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1F" w:rsidRDefault="0071341F" w:rsidP="0052609A">
      <w:pPr>
        <w:jc w:val="center"/>
        <w:outlineLvl w:val="0"/>
        <w:rPr>
          <w:rFonts w:ascii="Courier New" w:hAnsi="Courier New" w:cs="Courier New"/>
          <w:b/>
        </w:rPr>
      </w:pPr>
      <w:r>
        <w:rPr>
          <w:rFonts w:ascii="Courier New" w:hAnsi="Courier New" w:cs="Courier New"/>
          <w:b/>
        </w:rPr>
        <w:t>COMMONWEALTH OF MASSACHUSETTS</w:t>
      </w:r>
    </w:p>
    <w:p w:rsidR="0071341F" w:rsidRDefault="0071341F" w:rsidP="0071341F">
      <w:pPr>
        <w:jc w:val="center"/>
        <w:rPr>
          <w:rFonts w:ascii="Courier New" w:hAnsi="Courier New" w:cs="Courier New"/>
          <w:b/>
        </w:rPr>
      </w:pPr>
    </w:p>
    <w:p w:rsidR="0071341F" w:rsidRDefault="0071341F" w:rsidP="0071341F">
      <w:pPr>
        <w:jc w:val="center"/>
        <w:outlineLvl w:val="0"/>
        <w:rPr>
          <w:rFonts w:ascii="Courier New" w:hAnsi="Courier New" w:cs="Courier New"/>
          <w:b/>
        </w:rPr>
      </w:pPr>
      <w:r>
        <w:rPr>
          <w:rFonts w:ascii="Courier New" w:hAnsi="Courier New" w:cs="Courier New"/>
          <w:b/>
        </w:rPr>
        <w:t>APPELLATE TAX BOARD</w:t>
      </w:r>
    </w:p>
    <w:p w:rsidR="0071341F" w:rsidRDefault="0071341F" w:rsidP="0071341F">
      <w:pPr>
        <w:jc w:val="center"/>
        <w:rPr>
          <w:rFonts w:ascii="Courier New" w:hAnsi="Courier New" w:cs="Courier New"/>
          <w:b/>
        </w:rPr>
      </w:pPr>
    </w:p>
    <w:p w:rsidR="0071341F" w:rsidRDefault="0071341F" w:rsidP="0071341F">
      <w:pPr>
        <w:jc w:val="center"/>
        <w:rPr>
          <w:rFonts w:ascii="Courier New" w:hAnsi="Courier New" w:cs="Courier New"/>
          <w:b/>
        </w:rPr>
      </w:pPr>
    </w:p>
    <w:p w:rsidR="0071341F" w:rsidRDefault="0071341F" w:rsidP="0071341F">
      <w:pPr>
        <w:jc w:val="center"/>
        <w:rPr>
          <w:rFonts w:ascii="Courier New" w:hAnsi="Courier New" w:cs="Courier New"/>
          <w:b/>
        </w:rPr>
      </w:pPr>
    </w:p>
    <w:p w:rsidR="00501751" w:rsidRDefault="00501751" w:rsidP="00501751">
      <w:pPr>
        <w:rPr>
          <w:rFonts w:ascii="Courier New" w:hAnsi="Courier New" w:cs="Courier New"/>
          <w:b/>
        </w:rPr>
      </w:pPr>
      <w:r>
        <w:rPr>
          <w:rFonts w:ascii="Courier New" w:hAnsi="Courier New" w:cs="Courier New"/>
          <w:b/>
        </w:rPr>
        <w:t>LOWE’S HOME CENTERS, INC.</w:t>
      </w:r>
      <w:r w:rsidR="00931DA8">
        <w:rPr>
          <w:rFonts w:ascii="Courier New" w:hAnsi="Courier New" w:cs="Courier New"/>
          <w:b/>
        </w:rPr>
        <w:t xml:space="preserve"> </w:t>
      </w:r>
      <w:r w:rsidR="0023410D">
        <w:rPr>
          <w:rFonts w:ascii="Courier New" w:hAnsi="Courier New" w:cs="Courier New"/>
          <w:b/>
        </w:rPr>
        <w:t xml:space="preserve">  </w:t>
      </w:r>
      <w:r w:rsidR="00931DA8">
        <w:rPr>
          <w:rFonts w:ascii="Courier New" w:hAnsi="Courier New" w:cs="Courier New"/>
          <w:b/>
        </w:rPr>
        <w:t xml:space="preserve">   </w:t>
      </w:r>
      <w:r w:rsidR="004B0637">
        <w:rPr>
          <w:rFonts w:ascii="Courier New" w:hAnsi="Courier New" w:cs="Courier New"/>
          <w:b/>
        </w:rPr>
        <w:t>v.</w:t>
      </w:r>
      <w:r w:rsidR="0071341F">
        <w:rPr>
          <w:rFonts w:ascii="Courier New" w:hAnsi="Courier New" w:cs="Courier New"/>
          <w:b/>
        </w:rPr>
        <w:t xml:space="preserve">   </w:t>
      </w:r>
      <w:r w:rsidR="00F137B5">
        <w:rPr>
          <w:rFonts w:ascii="Courier New" w:hAnsi="Courier New" w:cs="Courier New"/>
          <w:b/>
        </w:rPr>
        <w:t>   </w:t>
      </w:r>
      <w:r>
        <w:rPr>
          <w:rFonts w:ascii="Courier New" w:hAnsi="Courier New" w:cs="Courier New"/>
          <w:b/>
        </w:rPr>
        <w:t>BOARD OF ASSESSORS</w:t>
      </w:r>
      <w:r w:rsidR="00373DB0">
        <w:rPr>
          <w:rFonts w:ascii="Courier New" w:hAnsi="Courier New" w:cs="Courier New"/>
          <w:b/>
        </w:rPr>
        <w:t xml:space="preserve"> OF</w:t>
      </w:r>
    </w:p>
    <w:p w:rsidR="0071341F" w:rsidRDefault="00501751" w:rsidP="00501751">
      <w:pPr>
        <w:ind w:left="720"/>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sidR="00931DA8">
        <w:rPr>
          <w:rFonts w:ascii="Courier New" w:hAnsi="Courier New" w:cs="Courier New"/>
          <w:b/>
        </w:rPr>
        <w:t xml:space="preserve">   </w:t>
      </w:r>
      <w:r w:rsidR="00F137B5">
        <w:rPr>
          <w:rFonts w:ascii="Courier New" w:hAnsi="Courier New" w:cs="Courier New"/>
          <w:b/>
        </w:rPr>
        <w:t>   </w:t>
      </w:r>
      <w:r>
        <w:rPr>
          <w:rFonts w:ascii="Courier New" w:hAnsi="Courier New" w:cs="Courier New"/>
          <w:b/>
        </w:rPr>
        <w:t xml:space="preserve">   </w:t>
      </w:r>
      <w:r w:rsidR="0071341F">
        <w:rPr>
          <w:rFonts w:ascii="Courier New" w:hAnsi="Courier New" w:cs="Courier New"/>
          <w:b/>
        </w:rPr>
        <w:t xml:space="preserve">THE </w:t>
      </w:r>
      <w:r>
        <w:rPr>
          <w:rFonts w:ascii="Courier New" w:hAnsi="Courier New" w:cs="Courier New"/>
          <w:b/>
        </w:rPr>
        <w:t>CITY OF QUINCY</w:t>
      </w:r>
    </w:p>
    <w:p w:rsidR="0071341F" w:rsidRDefault="0071341F" w:rsidP="0071341F">
      <w:pPr>
        <w:rPr>
          <w:rFonts w:ascii="Courier New" w:hAnsi="Courier New" w:cs="Courier New"/>
          <w:b/>
        </w:rPr>
      </w:pPr>
    </w:p>
    <w:p w:rsidR="008A42C6" w:rsidRDefault="0071341F" w:rsidP="0071341F">
      <w:pPr>
        <w:rPr>
          <w:rFonts w:ascii="Courier New" w:hAnsi="Courier New" w:cs="Courier New"/>
        </w:rPr>
      </w:pPr>
      <w:r>
        <w:rPr>
          <w:rFonts w:ascii="Courier New" w:hAnsi="Courier New" w:cs="Courier New"/>
        </w:rPr>
        <w:t xml:space="preserve">Docket Nos. </w:t>
      </w:r>
      <w:r w:rsidR="00E72826">
        <w:rPr>
          <w:rFonts w:ascii="Courier New" w:hAnsi="Courier New" w:cs="Courier New"/>
        </w:rPr>
        <w:t>F</w:t>
      </w:r>
      <w:r w:rsidR="00501751">
        <w:rPr>
          <w:rFonts w:ascii="Courier New" w:hAnsi="Courier New" w:cs="Courier New"/>
        </w:rPr>
        <w:t>317851</w:t>
      </w:r>
      <w:r w:rsidR="008A42C6">
        <w:rPr>
          <w:rFonts w:ascii="Courier New" w:hAnsi="Courier New" w:cs="Courier New"/>
        </w:rPr>
        <w:t xml:space="preserve"> (FY 2012)</w:t>
      </w:r>
      <w:r w:rsidR="008A42C6">
        <w:rPr>
          <w:rFonts w:ascii="Courier New" w:hAnsi="Courier New" w:cs="Courier New"/>
        </w:rPr>
        <w:tab/>
      </w:r>
      <w:r w:rsidR="008A42C6">
        <w:rPr>
          <w:rFonts w:ascii="Courier New" w:hAnsi="Courier New" w:cs="Courier New"/>
        </w:rPr>
        <w:tab/>
        <w:t xml:space="preserve">    </w:t>
      </w:r>
    </w:p>
    <w:p w:rsidR="0071341F" w:rsidRDefault="008A42C6" w:rsidP="008A42C6">
      <w:pPr>
        <w:ind w:left="720" w:firstLine="720"/>
        <w:rPr>
          <w:rFonts w:ascii="Courier New" w:hAnsi="Courier New" w:cs="Courier New"/>
        </w:rPr>
      </w:pPr>
      <w:r>
        <w:rPr>
          <w:rFonts w:ascii="Courier New" w:hAnsi="Courier New" w:cs="Courier New"/>
        </w:rPr>
        <w:t xml:space="preserve">  </w:t>
      </w:r>
      <w:r w:rsidR="00501751">
        <w:rPr>
          <w:rFonts w:ascii="Courier New" w:hAnsi="Courier New" w:cs="Courier New"/>
        </w:rPr>
        <w:t>F321484</w:t>
      </w:r>
      <w:r>
        <w:rPr>
          <w:rFonts w:ascii="Courier New" w:hAnsi="Courier New" w:cs="Courier New"/>
        </w:rPr>
        <w:t xml:space="preserve"> (FY 2013)</w:t>
      </w:r>
      <w:r w:rsidR="00501751">
        <w:rPr>
          <w:rFonts w:ascii="Courier New" w:hAnsi="Courier New" w:cs="Courier New"/>
        </w:rPr>
        <w:t xml:space="preserve">  </w:t>
      </w:r>
      <w:r w:rsidR="0071341F">
        <w:rPr>
          <w:rFonts w:ascii="Courier New" w:hAnsi="Courier New" w:cs="Courier New"/>
        </w:rPr>
        <w:t xml:space="preserve">   </w:t>
      </w:r>
      <w:r w:rsidR="00F137B5">
        <w:rPr>
          <w:rFonts w:ascii="Courier New" w:hAnsi="Courier New" w:cs="Courier New"/>
        </w:rPr>
        <w:t>   </w:t>
      </w:r>
      <w:r>
        <w:rPr>
          <w:rFonts w:ascii="Courier New" w:hAnsi="Courier New" w:cs="Courier New"/>
        </w:rPr>
        <w:t xml:space="preserve">  </w:t>
      </w:r>
    </w:p>
    <w:p w:rsidR="0071341F" w:rsidRDefault="00F137B5" w:rsidP="0071341F">
      <w:pPr>
        <w:rPr>
          <w:rFonts w:ascii="Courier New" w:hAnsi="Courier New" w:cs="Courier New"/>
        </w:rPr>
      </w:pPr>
      <w:r>
        <w:rPr>
          <w:rFonts w:ascii="Courier New" w:hAnsi="Courier New" w:cs="Courier New"/>
        </w:rPr>
        <w:tab/>
      </w:r>
      <w:r>
        <w:rPr>
          <w:rFonts w:ascii="Courier New" w:hAnsi="Courier New" w:cs="Courier New"/>
        </w:rPr>
        <w:tab/>
      </w:r>
      <w:r w:rsidR="00501751">
        <w:rPr>
          <w:rFonts w:ascii="Courier New" w:hAnsi="Courier New" w:cs="Courier New"/>
        </w:rPr>
        <w:t xml:space="preserve">  F324962</w:t>
      </w:r>
      <w:r w:rsidR="008A42C6">
        <w:rPr>
          <w:rFonts w:ascii="Courier New" w:hAnsi="Courier New" w:cs="Courier New"/>
        </w:rPr>
        <w:t xml:space="preserve"> (FY 2014)</w:t>
      </w:r>
      <w:r>
        <w:rPr>
          <w:rFonts w:ascii="Courier New" w:hAnsi="Courier New" w:cs="Courier New"/>
        </w:rPr>
        <w:tab/>
      </w:r>
      <w:r>
        <w:rPr>
          <w:rFonts w:ascii="Courier New" w:hAnsi="Courier New" w:cs="Courier New"/>
        </w:rPr>
        <w:tab/>
      </w:r>
      <w:r w:rsidR="00DD6352">
        <w:rPr>
          <w:rFonts w:ascii="Courier New" w:hAnsi="Courier New" w:cs="Courier New"/>
        </w:rPr>
        <w:t xml:space="preserve">    Promulgated:</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w:t>
      </w:r>
      <w:r w:rsidR="00DD6352">
        <w:rPr>
          <w:rFonts w:ascii="Courier New" w:hAnsi="Courier New" w:cs="Courier New"/>
        </w:rPr>
        <w:tab/>
      </w:r>
      <w:r w:rsidR="00DD6352">
        <w:rPr>
          <w:rFonts w:ascii="Courier New" w:hAnsi="Courier New" w:cs="Courier New"/>
        </w:rPr>
        <w:tab/>
      </w:r>
      <w:r w:rsidR="00DD6352">
        <w:rPr>
          <w:rFonts w:ascii="Courier New" w:hAnsi="Courier New" w:cs="Courier New"/>
        </w:rPr>
        <w:tab/>
      </w:r>
      <w:r w:rsidR="00DD6352">
        <w:rPr>
          <w:rFonts w:ascii="Courier New" w:hAnsi="Courier New" w:cs="Courier New"/>
        </w:rPr>
        <w:tab/>
      </w:r>
      <w:r w:rsidR="00DD6352">
        <w:rPr>
          <w:rFonts w:ascii="Courier New" w:hAnsi="Courier New" w:cs="Courier New"/>
        </w:rPr>
        <w:tab/>
      </w:r>
      <w:r w:rsidR="00DD6352">
        <w:rPr>
          <w:rFonts w:ascii="Courier New" w:hAnsi="Courier New" w:cs="Courier New"/>
        </w:rPr>
        <w:tab/>
        <w:t>    </w:t>
      </w:r>
      <w:r w:rsidR="00FC44E4">
        <w:rPr>
          <w:rFonts w:ascii="Courier New" w:hAnsi="Courier New" w:cs="Courier New"/>
        </w:rPr>
        <w:t>March 23, 2018</w:t>
      </w:r>
      <w:bookmarkStart w:id="0" w:name="_GoBack"/>
      <w:bookmarkEnd w:id="0"/>
    </w:p>
    <w:p w:rsidR="0071341F" w:rsidRDefault="0071341F" w:rsidP="0071341F">
      <w:pPr>
        <w:rPr>
          <w:rFonts w:ascii="Courier New" w:hAnsi="Courier New" w:cs="Courier New"/>
        </w:rPr>
      </w:pPr>
    </w:p>
    <w:p w:rsidR="0071341F" w:rsidRDefault="0071341F" w:rsidP="0071341F">
      <w:pPr>
        <w:rPr>
          <w:rFonts w:ascii="Courier New" w:hAnsi="Courier New" w:cs="Courier New"/>
        </w:rPr>
      </w:pPr>
    </w:p>
    <w:p w:rsidR="0071341F" w:rsidRDefault="0071341F" w:rsidP="0052609A">
      <w:pPr>
        <w:spacing w:line="480" w:lineRule="auto"/>
        <w:jc w:val="both"/>
        <w:rPr>
          <w:rFonts w:ascii="Courier New" w:hAnsi="Courier New" w:cs="Courier New"/>
        </w:rPr>
      </w:pPr>
      <w:r>
        <w:rPr>
          <w:rFonts w:ascii="Courier New" w:hAnsi="Courier New" w:cs="Courier New"/>
        </w:rPr>
        <w:tab/>
        <w:t xml:space="preserve">These are appeals </w:t>
      </w:r>
      <w:r w:rsidR="00501751">
        <w:rPr>
          <w:rFonts w:ascii="Courier New" w:hAnsi="Courier New" w:cs="Courier New"/>
        </w:rPr>
        <w:t>f</w:t>
      </w:r>
      <w:r>
        <w:rPr>
          <w:rFonts w:ascii="Courier New" w:hAnsi="Courier New" w:cs="Courier New"/>
        </w:rPr>
        <w:t xml:space="preserve">iled under the formal procedure pursuant to G.L. c. 58A, § 7 and G.L. c. 59, §§ 64 and 65 from the refusal of the </w:t>
      </w:r>
      <w:r w:rsidR="0024124A">
        <w:rPr>
          <w:rFonts w:ascii="Courier New" w:hAnsi="Courier New" w:cs="Courier New"/>
        </w:rPr>
        <w:t xml:space="preserve">Board of Assessors of the </w:t>
      </w:r>
      <w:r w:rsidR="00501751">
        <w:rPr>
          <w:rFonts w:ascii="Courier New" w:hAnsi="Courier New" w:cs="Courier New"/>
        </w:rPr>
        <w:t>City of Quincy</w:t>
      </w:r>
      <w:r w:rsidR="0024124A">
        <w:rPr>
          <w:rFonts w:ascii="Courier New" w:hAnsi="Courier New" w:cs="Courier New"/>
        </w:rPr>
        <w:t xml:space="preserve"> (“</w:t>
      </w:r>
      <w:r>
        <w:rPr>
          <w:rFonts w:ascii="Courier New" w:hAnsi="Courier New" w:cs="Courier New"/>
        </w:rPr>
        <w:t>appellee</w:t>
      </w:r>
      <w:r w:rsidR="0024124A">
        <w:rPr>
          <w:rFonts w:ascii="Courier New" w:hAnsi="Courier New" w:cs="Courier New"/>
        </w:rPr>
        <w:t>” or “assessors”)</w:t>
      </w:r>
      <w:r>
        <w:rPr>
          <w:rFonts w:ascii="Courier New" w:hAnsi="Courier New" w:cs="Courier New"/>
        </w:rPr>
        <w:t xml:space="preserve"> to abate taxes on </w:t>
      </w:r>
      <w:r w:rsidR="0024124A">
        <w:rPr>
          <w:rFonts w:ascii="Courier New" w:hAnsi="Courier New" w:cs="Courier New"/>
        </w:rPr>
        <w:t xml:space="preserve">certain </w:t>
      </w:r>
      <w:r>
        <w:rPr>
          <w:rFonts w:ascii="Courier New" w:hAnsi="Courier New" w:cs="Courier New"/>
        </w:rPr>
        <w:t xml:space="preserve">real estate in </w:t>
      </w:r>
      <w:r w:rsidR="00501751">
        <w:rPr>
          <w:rFonts w:ascii="Courier New" w:hAnsi="Courier New" w:cs="Courier New"/>
        </w:rPr>
        <w:t>Quincy</w:t>
      </w:r>
      <w:r>
        <w:rPr>
          <w:rFonts w:ascii="Courier New" w:hAnsi="Courier New" w:cs="Courier New"/>
        </w:rPr>
        <w:t xml:space="preserve"> owned by and </w:t>
      </w:r>
      <w:r w:rsidR="00501751">
        <w:rPr>
          <w:rFonts w:ascii="Courier New" w:hAnsi="Courier New" w:cs="Courier New"/>
        </w:rPr>
        <w:t>assessed to Lowe’s Home Centers, Inc.</w:t>
      </w:r>
      <w:r w:rsidR="0023410D">
        <w:rPr>
          <w:rFonts w:ascii="Courier New" w:hAnsi="Courier New" w:cs="Courier New"/>
        </w:rPr>
        <w:t xml:space="preserve"> </w:t>
      </w:r>
      <w:r w:rsidR="0024124A">
        <w:rPr>
          <w:rFonts w:ascii="Courier New" w:hAnsi="Courier New" w:cs="Courier New"/>
        </w:rPr>
        <w:t>(“</w:t>
      </w:r>
      <w:r w:rsidR="00B66ACC">
        <w:rPr>
          <w:rFonts w:ascii="Courier New" w:hAnsi="Courier New" w:cs="Courier New"/>
        </w:rPr>
        <w:t>appellant</w:t>
      </w:r>
      <w:r w:rsidR="0024124A">
        <w:rPr>
          <w:rFonts w:ascii="Courier New" w:hAnsi="Courier New" w:cs="Courier New"/>
        </w:rPr>
        <w:t>”</w:t>
      </w:r>
      <w:r w:rsidR="00CD7A26">
        <w:rPr>
          <w:rFonts w:ascii="Courier New" w:hAnsi="Courier New" w:cs="Courier New"/>
        </w:rPr>
        <w:t xml:space="preserve"> or “Lowe’s”</w:t>
      </w:r>
      <w:r w:rsidR="0024124A">
        <w:rPr>
          <w:rFonts w:ascii="Courier New" w:hAnsi="Courier New" w:cs="Courier New"/>
        </w:rPr>
        <w:t>)</w:t>
      </w:r>
      <w:r>
        <w:rPr>
          <w:rFonts w:ascii="Courier New" w:hAnsi="Courier New" w:cs="Courier New"/>
        </w:rPr>
        <w:t xml:space="preserve"> under G.L. c. 59, §§ 11 and 38, for fiscal years 20</w:t>
      </w:r>
      <w:r w:rsidR="004B0637">
        <w:rPr>
          <w:rFonts w:ascii="Courier New" w:hAnsi="Courier New" w:cs="Courier New"/>
        </w:rPr>
        <w:t>12</w:t>
      </w:r>
      <w:r w:rsidR="008A42C6">
        <w:rPr>
          <w:rFonts w:ascii="Courier New" w:hAnsi="Courier New" w:cs="Courier New"/>
        </w:rPr>
        <w:t>, 2013</w:t>
      </w:r>
      <w:r w:rsidR="00373DB0">
        <w:rPr>
          <w:rFonts w:ascii="Courier New" w:hAnsi="Courier New" w:cs="Courier New"/>
        </w:rPr>
        <w:t>,</w:t>
      </w:r>
      <w:r w:rsidR="008A42C6">
        <w:rPr>
          <w:rFonts w:ascii="Courier New" w:hAnsi="Courier New" w:cs="Courier New"/>
        </w:rPr>
        <w:t xml:space="preserve"> and 2014 </w:t>
      </w:r>
      <w:r w:rsidR="0024124A">
        <w:rPr>
          <w:rFonts w:ascii="Courier New" w:hAnsi="Courier New" w:cs="Courier New"/>
        </w:rPr>
        <w:t>(“fiscal years at issue</w:t>
      </w:r>
      <w:r w:rsidR="00D67BD8">
        <w:rPr>
          <w:rFonts w:ascii="Courier New" w:hAnsi="Courier New" w:cs="Courier New"/>
        </w:rPr>
        <w:t>”</w:t>
      </w:r>
      <w:r w:rsidR="00AE3224">
        <w:rPr>
          <w:rFonts w:ascii="Courier New" w:hAnsi="Courier New" w:cs="Courier New"/>
        </w:rPr>
        <w:t>)</w:t>
      </w:r>
      <w:r>
        <w:rPr>
          <w:rFonts w:ascii="Courier New" w:hAnsi="Courier New" w:cs="Courier New"/>
        </w:rPr>
        <w:t>.</w:t>
      </w:r>
    </w:p>
    <w:p w:rsidR="0071341F" w:rsidRDefault="0071341F" w:rsidP="0052609A">
      <w:pPr>
        <w:spacing w:line="480" w:lineRule="auto"/>
        <w:jc w:val="both"/>
        <w:rPr>
          <w:rFonts w:ascii="Courier New" w:hAnsi="Courier New" w:cs="Courier New"/>
        </w:rPr>
      </w:pPr>
      <w:r>
        <w:rPr>
          <w:rFonts w:ascii="Courier New" w:hAnsi="Courier New" w:cs="Courier New"/>
        </w:rPr>
        <w:tab/>
        <w:t xml:space="preserve">Commissioner </w:t>
      </w:r>
      <w:r w:rsidR="00501751">
        <w:rPr>
          <w:rFonts w:ascii="Courier New" w:hAnsi="Courier New" w:cs="Courier New"/>
        </w:rPr>
        <w:t>Chmielinski</w:t>
      </w:r>
      <w:r>
        <w:rPr>
          <w:rFonts w:ascii="Courier New" w:hAnsi="Courier New" w:cs="Courier New"/>
        </w:rPr>
        <w:t xml:space="preserve"> heard these appeals</w:t>
      </w:r>
      <w:r w:rsidR="004B0637">
        <w:rPr>
          <w:rFonts w:ascii="Courier New" w:hAnsi="Courier New" w:cs="Courier New"/>
        </w:rPr>
        <w:t>.  Chairman Hammond</w:t>
      </w:r>
      <w:r w:rsidR="00A07521">
        <w:rPr>
          <w:rFonts w:ascii="Courier New" w:hAnsi="Courier New" w:cs="Courier New"/>
        </w:rPr>
        <w:t>, and</w:t>
      </w:r>
      <w:r w:rsidR="004B0637">
        <w:rPr>
          <w:rFonts w:ascii="Courier New" w:hAnsi="Courier New" w:cs="Courier New"/>
        </w:rPr>
        <w:t xml:space="preserve"> C</w:t>
      </w:r>
      <w:r>
        <w:rPr>
          <w:rFonts w:ascii="Courier New" w:hAnsi="Courier New" w:cs="Courier New"/>
        </w:rPr>
        <w:t xml:space="preserve">ommissioners </w:t>
      </w:r>
      <w:r w:rsidR="00501751">
        <w:rPr>
          <w:rFonts w:ascii="Courier New" w:hAnsi="Courier New" w:cs="Courier New"/>
        </w:rPr>
        <w:t xml:space="preserve">Rose </w:t>
      </w:r>
      <w:r w:rsidR="009F1F7A">
        <w:rPr>
          <w:rFonts w:ascii="Courier New" w:hAnsi="Courier New" w:cs="Courier New"/>
        </w:rPr>
        <w:t>and Good</w:t>
      </w:r>
      <w:r w:rsidR="004B0637">
        <w:rPr>
          <w:rFonts w:ascii="Courier New" w:hAnsi="Courier New" w:cs="Courier New"/>
        </w:rPr>
        <w:t xml:space="preserve"> joined him</w:t>
      </w:r>
      <w:r w:rsidR="00B66ACC">
        <w:rPr>
          <w:rFonts w:ascii="Courier New" w:hAnsi="Courier New" w:cs="Courier New"/>
        </w:rPr>
        <w:t xml:space="preserve"> </w:t>
      </w:r>
      <w:r w:rsidR="00D60F6A">
        <w:rPr>
          <w:rFonts w:ascii="Courier New" w:hAnsi="Courier New" w:cs="Courier New"/>
        </w:rPr>
        <w:t>i</w:t>
      </w:r>
      <w:r w:rsidR="00B66ACC">
        <w:rPr>
          <w:rFonts w:ascii="Courier New" w:hAnsi="Courier New" w:cs="Courier New"/>
        </w:rPr>
        <w:t>n the decisio</w:t>
      </w:r>
      <w:r w:rsidR="004B0637">
        <w:rPr>
          <w:rFonts w:ascii="Courier New" w:hAnsi="Courier New" w:cs="Courier New"/>
        </w:rPr>
        <w:t>ns for the appell</w:t>
      </w:r>
      <w:r w:rsidR="001E1352">
        <w:rPr>
          <w:rFonts w:ascii="Courier New" w:hAnsi="Courier New" w:cs="Courier New"/>
        </w:rPr>
        <w:t>ee</w:t>
      </w:r>
      <w:r>
        <w:rPr>
          <w:rFonts w:ascii="Courier New" w:hAnsi="Courier New" w:cs="Courier New"/>
        </w:rPr>
        <w:t xml:space="preserve">. </w:t>
      </w:r>
    </w:p>
    <w:p w:rsidR="0071341F" w:rsidRDefault="0071341F" w:rsidP="0052609A">
      <w:pPr>
        <w:spacing w:line="480" w:lineRule="auto"/>
        <w:jc w:val="both"/>
        <w:rPr>
          <w:rFonts w:ascii="Courier New" w:hAnsi="Courier New" w:cs="Courier New"/>
        </w:rPr>
      </w:pPr>
      <w:r>
        <w:rPr>
          <w:rFonts w:ascii="Courier New" w:hAnsi="Courier New" w:cs="Courier New"/>
        </w:rPr>
        <w:tab/>
        <w:t xml:space="preserve">These findings of fact and report are made pursuant to </w:t>
      </w:r>
      <w:r w:rsidR="00BB0E06">
        <w:rPr>
          <w:rFonts w:ascii="Courier New" w:hAnsi="Courier New" w:cs="Courier New"/>
        </w:rPr>
        <w:t xml:space="preserve">a </w:t>
      </w:r>
      <w:r>
        <w:rPr>
          <w:rFonts w:ascii="Courier New" w:hAnsi="Courier New" w:cs="Courier New"/>
        </w:rPr>
        <w:t xml:space="preserve">request by </w:t>
      </w:r>
      <w:r w:rsidR="00E72826">
        <w:rPr>
          <w:rFonts w:ascii="Courier New" w:hAnsi="Courier New" w:cs="Courier New"/>
        </w:rPr>
        <w:t xml:space="preserve">the </w:t>
      </w:r>
      <w:r w:rsidR="00B66ACC">
        <w:rPr>
          <w:rFonts w:ascii="Courier New" w:hAnsi="Courier New" w:cs="Courier New"/>
        </w:rPr>
        <w:t>appellant</w:t>
      </w:r>
      <w:r>
        <w:rPr>
          <w:rFonts w:ascii="Courier New" w:hAnsi="Courier New" w:cs="Courier New"/>
        </w:rPr>
        <w:t xml:space="preserve"> </w:t>
      </w:r>
      <w:r w:rsidR="009F1F7A">
        <w:rPr>
          <w:rFonts w:ascii="Courier New" w:hAnsi="Courier New" w:cs="Courier New"/>
        </w:rPr>
        <w:t>u</w:t>
      </w:r>
      <w:r>
        <w:rPr>
          <w:rFonts w:ascii="Courier New" w:hAnsi="Courier New" w:cs="Courier New"/>
        </w:rPr>
        <w:t>nder G.L. c. 58A, § 13 and 831 CMR 1.32.</w:t>
      </w:r>
    </w:p>
    <w:p w:rsidR="0071341F" w:rsidRDefault="0071341F" w:rsidP="0071341F">
      <w:pPr>
        <w:spacing w:line="480" w:lineRule="auto"/>
        <w:rPr>
          <w:rFonts w:ascii="Courier New" w:hAnsi="Courier New" w:cs="Courier New"/>
        </w:rPr>
      </w:pPr>
    </w:p>
    <w:p w:rsidR="0071341F" w:rsidRDefault="0071341F" w:rsidP="00D926A6">
      <w:pPr>
        <w:rPr>
          <w:rFonts w:ascii="Courier New" w:hAnsi="Courier New" w:cs="Courier New"/>
        </w:rPr>
      </w:pPr>
      <w:r>
        <w:rPr>
          <w:rFonts w:ascii="Courier New" w:hAnsi="Courier New" w:cs="Courier New"/>
        </w:rPr>
        <w:tab/>
      </w:r>
      <w:r w:rsidR="00501751">
        <w:rPr>
          <w:rFonts w:ascii="Courier New" w:hAnsi="Courier New" w:cs="Courier New"/>
          <w:i/>
        </w:rPr>
        <w:t>Alan R. Hoffman</w:t>
      </w:r>
      <w:r w:rsidR="009F1F7A">
        <w:rPr>
          <w:rFonts w:ascii="Courier New" w:hAnsi="Courier New" w:cs="Courier New"/>
          <w:i/>
        </w:rPr>
        <w:t xml:space="preserve">, </w:t>
      </w:r>
      <w:r w:rsidR="009F1F7A">
        <w:rPr>
          <w:rFonts w:ascii="Courier New" w:hAnsi="Courier New" w:cs="Courier New"/>
        </w:rPr>
        <w:t>Esq</w:t>
      </w:r>
      <w:r w:rsidR="00C81BC6">
        <w:rPr>
          <w:rFonts w:ascii="Courier New" w:hAnsi="Courier New" w:cs="Courier New"/>
        </w:rPr>
        <w:t>.</w:t>
      </w:r>
      <w:r>
        <w:rPr>
          <w:rFonts w:ascii="Courier New" w:hAnsi="Courier New" w:cs="Courier New"/>
        </w:rPr>
        <w:t xml:space="preserve"> </w:t>
      </w:r>
      <w:r w:rsidR="00501751">
        <w:rPr>
          <w:rFonts w:ascii="Courier New" w:hAnsi="Courier New" w:cs="Courier New"/>
        </w:rPr>
        <w:t xml:space="preserve">and </w:t>
      </w:r>
      <w:r w:rsidR="00501751">
        <w:rPr>
          <w:rFonts w:ascii="Courier New" w:hAnsi="Courier New" w:cs="Courier New"/>
          <w:i/>
        </w:rPr>
        <w:t xml:space="preserve">Ryan J. Gibbs, </w:t>
      </w:r>
      <w:r w:rsidR="00501751">
        <w:rPr>
          <w:rFonts w:ascii="Courier New" w:hAnsi="Courier New" w:cs="Courier New"/>
        </w:rPr>
        <w:t xml:space="preserve">Esq. </w:t>
      </w:r>
      <w:r>
        <w:rPr>
          <w:rFonts w:ascii="Courier New" w:hAnsi="Courier New" w:cs="Courier New"/>
        </w:rPr>
        <w:t>for the appellant.</w:t>
      </w:r>
    </w:p>
    <w:p w:rsidR="00D926A6" w:rsidRDefault="00D926A6" w:rsidP="00D926A6">
      <w:pPr>
        <w:rPr>
          <w:rFonts w:ascii="Courier New" w:hAnsi="Courier New" w:cs="Courier New"/>
        </w:rPr>
      </w:pPr>
    </w:p>
    <w:p w:rsidR="0071341F" w:rsidRDefault="0071341F" w:rsidP="00D926A6">
      <w:pPr>
        <w:rPr>
          <w:rFonts w:ascii="Courier New" w:hAnsi="Courier New" w:cs="Courier New"/>
        </w:rPr>
      </w:pPr>
      <w:r>
        <w:rPr>
          <w:rFonts w:ascii="Courier New" w:hAnsi="Courier New" w:cs="Courier New"/>
        </w:rPr>
        <w:tab/>
      </w:r>
      <w:r w:rsidR="00501751">
        <w:rPr>
          <w:rFonts w:ascii="Courier New" w:hAnsi="Courier New" w:cs="Courier New"/>
          <w:i/>
        </w:rPr>
        <w:t xml:space="preserve">Peter Moran, </w:t>
      </w:r>
      <w:r w:rsidR="00501751">
        <w:rPr>
          <w:rFonts w:ascii="Courier New" w:hAnsi="Courier New" w:cs="Courier New"/>
        </w:rPr>
        <w:t xml:space="preserve">chair of the assessors, </w:t>
      </w:r>
      <w:r>
        <w:rPr>
          <w:rFonts w:ascii="Courier New" w:hAnsi="Courier New" w:cs="Courier New"/>
        </w:rPr>
        <w:t>for the appellee.</w:t>
      </w:r>
    </w:p>
    <w:p w:rsidR="000C12AB" w:rsidRPr="003E4316" w:rsidRDefault="000C12AB" w:rsidP="000C12AB">
      <w:pPr>
        <w:spacing w:line="480" w:lineRule="auto"/>
        <w:jc w:val="center"/>
        <w:rPr>
          <w:rFonts w:ascii="Courier New" w:hAnsi="Courier New" w:cs="Courier New"/>
          <w:b/>
        </w:rPr>
      </w:pPr>
      <w:r w:rsidRPr="003E4316">
        <w:rPr>
          <w:rFonts w:ascii="Courier New" w:hAnsi="Courier New" w:cs="Courier New"/>
          <w:b/>
        </w:rPr>
        <w:lastRenderedPageBreak/>
        <w:t>FINDINGS OF FACT AND REPORT</w:t>
      </w:r>
    </w:p>
    <w:p w:rsidR="000C12AB" w:rsidRDefault="000C12AB" w:rsidP="000C12AB">
      <w:pPr>
        <w:spacing w:line="480" w:lineRule="auto"/>
        <w:ind w:right="-180" w:firstLine="720"/>
        <w:jc w:val="both"/>
        <w:rPr>
          <w:rFonts w:ascii="Courier New" w:hAnsi="Courier New" w:cs="Courier New"/>
        </w:rPr>
      </w:pPr>
      <w:r w:rsidRPr="003E4316">
        <w:rPr>
          <w:rFonts w:ascii="Courier New" w:hAnsi="Courier New" w:cs="Courier New"/>
        </w:rPr>
        <w:t>On the basis of</w:t>
      </w:r>
      <w:r>
        <w:rPr>
          <w:rFonts w:ascii="Courier New" w:hAnsi="Courier New" w:cs="Courier New"/>
        </w:rPr>
        <w:t xml:space="preserve"> testimony and e</w:t>
      </w:r>
      <w:r w:rsidR="00F87EF4">
        <w:rPr>
          <w:rFonts w:ascii="Courier New" w:hAnsi="Courier New" w:cs="Courier New"/>
        </w:rPr>
        <w:t>x</w:t>
      </w:r>
      <w:r w:rsidR="00B5432F">
        <w:rPr>
          <w:rFonts w:ascii="Courier New" w:hAnsi="Courier New" w:cs="Courier New"/>
        </w:rPr>
        <w:t>hibits</w:t>
      </w:r>
      <w:r>
        <w:rPr>
          <w:rFonts w:ascii="Courier New" w:hAnsi="Courier New" w:cs="Courier New"/>
        </w:rPr>
        <w:t xml:space="preserve"> </w:t>
      </w:r>
      <w:r w:rsidRPr="00827979">
        <w:rPr>
          <w:rFonts w:ascii="Courier New" w:hAnsi="Courier New" w:cs="Courier New"/>
        </w:rPr>
        <w:t xml:space="preserve">offered into evidence at </w:t>
      </w:r>
      <w:r>
        <w:rPr>
          <w:rFonts w:ascii="Courier New" w:hAnsi="Courier New" w:cs="Courier New"/>
        </w:rPr>
        <w:t xml:space="preserve">the hearing of these appeals, </w:t>
      </w:r>
      <w:r w:rsidR="007B753B">
        <w:rPr>
          <w:rFonts w:ascii="Courier New" w:hAnsi="Courier New" w:cs="Courier New"/>
        </w:rPr>
        <w:t>as well as its view of the subject property, the surrounding are</w:t>
      </w:r>
      <w:r w:rsidR="00C31164">
        <w:rPr>
          <w:rFonts w:ascii="Courier New" w:hAnsi="Courier New" w:cs="Courier New"/>
        </w:rPr>
        <w:t>a</w:t>
      </w:r>
      <w:r w:rsidR="007B753B">
        <w:rPr>
          <w:rFonts w:ascii="Courier New" w:hAnsi="Courier New" w:cs="Courier New"/>
        </w:rPr>
        <w:t xml:space="preserve">, and several of the purportedly comparable properties, </w:t>
      </w:r>
      <w:r>
        <w:rPr>
          <w:rFonts w:ascii="Courier New" w:hAnsi="Courier New" w:cs="Courier New"/>
        </w:rPr>
        <w:t>the Appellate Tax Board (“Board”)</w:t>
      </w:r>
      <w:r w:rsidRPr="00827979">
        <w:rPr>
          <w:rFonts w:ascii="Courier New" w:hAnsi="Courier New" w:cs="Courier New"/>
        </w:rPr>
        <w:t xml:space="preserve"> made the following findings of fact.</w:t>
      </w:r>
      <w:r w:rsidRPr="003E4316">
        <w:rPr>
          <w:rFonts w:ascii="Courier New" w:hAnsi="Courier New" w:cs="Courier New"/>
        </w:rPr>
        <w:t xml:space="preserve"> </w:t>
      </w:r>
    </w:p>
    <w:p w:rsidR="00DD6352" w:rsidRDefault="00DD6352" w:rsidP="000C12AB">
      <w:pPr>
        <w:spacing w:line="480" w:lineRule="auto"/>
        <w:ind w:right="-180" w:firstLine="720"/>
        <w:jc w:val="both"/>
        <w:rPr>
          <w:rFonts w:ascii="Courier New" w:hAnsi="Courier New" w:cs="Courier New"/>
        </w:rPr>
      </w:pPr>
    </w:p>
    <w:p w:rsidR="003B0927" w:rsidRPr="003B0927" w:rsidRDefault="003B0927" w:rsidP="003B0927">
      <w:pPr>
        <w:numPr>
          <w:ilvl w:val="0"/>
          <w:numId w:val="1"/>
        </w:numPr>
        <w:spacing w:line="480" w:lineRule="auto"/>
        <w:ind w:right="-180"/>
        <w:jc w:val="both"/>
        <w:rPr>
          <w:rFonts w:ascii="Courier New" w:hAnsi="Courier New" w:cs="Courier New"/>
          <w:b/>
        </w:rPr>
      </w:pPr>
      <w:r>
        <w:rPr>
          <w:rFonts w:ascii="Courier New" w:hAnsi="Courier New" w:cs="Courier New"/>
          <w:b/>
        </w:rPr>
        <w:t>Introduction and Jurisdiction</w:t>
      </w:r>
    </w:p>
    <w:p w:rsidR="00776125" w:rsidRPr="00776125" w:rsidRDefault="000C12AB" w:rsidP="000F0772">
      <w:pPr>
        <w:spacing w:line="480" w:lineRule="auto"/>
        <w:ind w:firstLine="720"/>
        <w:jc w:val="both"/>
        <w:rPr>
          <w:rFonts w:ascii="Courier New" w:hAnsi="Courier New" w:cs="Courier New"/>
        </w:rPr>
      </w:pPr>
      <w:r>
        <w:rPr>
          <w:rFonts w:ascii="Courier New" w:hAnsi="Courier New" w:cs="Courier New"/>
        </w:rPr>
        <w:t xml:space="preserve">On </w:t>
      </w:r>
      <w:r w:rsidRPr="00276BE5">
        <w:rPr>
          <w:rFonts w:ascii="Courier New" w:hAnsi="Courier New" w:cs="Courier New"/>
        </w:rPr>
        <w:t xml:space="preserve">January </w:t>
      </w:r>
      <w:r>
        <w:rPr>
          <w:rFonts w:ascii="Courier New" w:hAnsi="Courier New" w:cs="Courier New"/>
        </w:rPr>
        <w:t>1</w:t>
      </w:r>
      <w:r w:rsidRPr="00276BE5">
        <w:rPr>
          <w:rFonts w:ascii="Courier New" w:hAnsi="Courier New" w:cs="Courier New"/>
        </w:rPr>
        <w:t>, 201</w:t>
      </w:r>
      <w:r w:rsidR="00C53A90">
        <w:rPr>
          <w:rFonts w:ascii="Courier New" w:hAnsi="Courier New" w:cs="Courier New"/>
        </w:rPr>
        <w:t xml:space="preserve">1, </w:t>
      </w:r>
      <w:r w:rsidR="003B0927">
        <w:rPr>
          <w:rFonts w:ascii="Courier New" w:hAnsi="Courier New" w:cs="Courier New"/>
        </w:rPr>
        <w:t>January 1, 201</w:t>
      </w:r>
      <w:r w:rsidR="00C53A90">
        <w:rPr>
          <w:rFonts w:ascii="Courier New" w:hAnsi="Courier New" w:cs="Courier New"/>
        </w:rPr>
        <w:t>2, and January 1, 2013</w:t>
      </w:r>
      <w:r w:rsidRPr="003E4316">
        <w:rPr>
          <w:rFonts w:ascii="Courier New" w:hAnsi="Courier New" w:cs="Courier New"/>
        </w:rPr>
        <w:t xml:space="preserve">, </w:t>
      </w:r>
      <w:r w:rsidR="00EF2B05">
        <w:rPr>
          <w:rFonts w:ascii="Courier New" w:hAnsi="Courier New" w:cs="Courier New"/>
        </w:rPr>
        <w:t>the relevant</w:t>
      </w:r>
      <w:r w:rsidR="00965E4D">
        <w:rPr>
          <w:rFonts w:ascii="Courier New" w:hAnsi="Courier New" w:cs="Courier New"/>
        </w:rPr>
        <w:t xml:space="preserve"> valuation and assessment dates for the fiscal years at issue, </w:t>
      </w:r>
      <w:r w:rsidR="00B5432F">
        <w:rPr>
          <w:rFonts w:ascii="Courier New" w:hAnsi="Courier New" w:cs="Courier New"/>
        </w:rPr>
        <w:t>the appellant</w:t>
      </w:r>
      <w:r w:rsidR="003B0927">
        <w:rPr>
          <w:rFonts w:ascii="Courier New" w:hAnsi="Courier New" w:cs="Courier New"/>
        </w:rPr>
        <w:t xml:space="preserve"> was the assessed</w:t>
      </w:r>
      <w:r w:rsidR="00097827">
        <w:rPr>
          <w:rFonts w:ascii="Courier New" w:hAnsi="Courier New" w:cs="Courier New"/>
        </w:rPr>
        <w:t xml:space="preserve"> </w:t>
      </w:r>
      <w:r w:rsidRPr="002A3FF5">
        <w:rPr>
          <w:rFonts w:ascii="Courier New" w:hAnsi="Courier New" w:cs="Courier New"/>
        </w:rPr>
        <w:t>owner</w:t>
      </w:r>
      <w:r w:rsidR="00B30F1A">
        <w:rPr>
          <w:rFonts w:ascii="Courier New" w:hAnsi="Courier New" w:cs="Courier New"/>
        </w:rPr>
        <w:t xml:space="preserve"> of a</w:t>
      </w:r>
      <w:r w:rsidR="00A928B2">
        <w:rPr>
          <w:rFonts w:ascii="Courier New" w:hAnsi="Courier New" w:cs="Courier New"/>
        </w:rPr>
        <w:t xml:space="preserve"> 12.81</w:t>
      </w:r>
      <w:r w:rsidR="00A70C8D">
        <w:rPr>
          <w:rFonts w:ascii="Courier New" w:hAnsi="Courier New" w:cs="Courier New"/>
        </w:rPr>
        <w:t xml:space="preserve">-acre </w:t>
      </w:r>
      <w:r w:rsidR="008A42C6">
        <w:rPr>
          <w:rFonts w:ascii="Courier New" w:hAnsi="Courier New" w:cs="Courier New"/>
        </w:rPr>
        <w:t xml:space="preserve">improved </w:t>
      </w:r>
      <w:r w:rsidR="00A70C8D">
        <w:rPr>
          <w:rFonts w:ascii="Courier New" w:hAnsi="Courier New" w:cs="Courier New"/>
        </w:rPr>
        <w:t xml:space="preserve">parcel of real estate located at </w:t>
      </w:r>
      <w:r w:rsidR="00A928B2">
        <w:rPr>
          <w:rFonts w:ascii="Courier New" w:hAnsi="Courier New" w:cs="Courier New"/>
        </w:rPr>
        <w:t>599 Thomas Burgin Parkway</w:t>
      </w:r>
      <w:r w:rsidR="00A70C8D">
        <w:rPr>
          <w:rFonts w:ascii="Courier New" w:hAnsi="Courier New" w:cs="Courier New"/>
        </w:rPr>
        <w:t xml:space="preserve"> in </w:t>
      </w:r>
      <w:r w:rsidR="00A928B2">
        <w:rPr>
          <w:rFonts w:ascii="Courier New" w:hAnsi="Courier New" w:cs="Courier New"/>
        </w:rPr>
        <w:t>Quincy</w:t>
      </w:r>
      <w:r w:rsidR="00CA3EBF">
        <w:rPr>
          <w:rFonts w:ascii="Courier New" w:hAnsi="Courier New" w:cs="Courier New"/>
        </w:rPr>
        <w:t xml:space="preserve"> (“subject property”).  For assessment purposes, the subject property is identified as Map 3089, Block 18,</w:t>
      </w:r>
      <w:r w:rsidR="000D131B">
        <w:rPr>
          <w:rFonts w:ascii="Courier New" w:hAnsi="Courier New" w:cs="Courier New"/>
        </w:rPr>
        <w:t xml:space="preserve"> Lot A.  </w:t>
      </w:r>
      <w:r w:rsidR="00D461E5">
        <w:rPr>
          <w:rFonts w:ascii="Courier New" w:hAnsi="Courier New" w:cs="Courier New"/>
        </w:rPr>
        <w:t xml:space="preserve">The subject property is </w:t>
      </w:r>
      <w:r w:rsidR="00373DB0">
        <w:rPr>
          <w:rFonts w:ascii="Courier New" w:hAnsi="Courier New" w:cs="Courier New"/>
        </w:rPr>
        <w:t>situated</w:t>
      </w:r>
      <w:r w:rsidR="00D461E5">
        <w:rPr>
          <w:rFonts w:ascii="Courier New" w:hAnsi="Courier New" w:cs="Courier New"/>
        </w:rPr>
        <w:t xml:space="preserve"> in South Quincy</w:t>
      </w:r>
      <w:r w:rsidR="00EE193B">
        <w:rPr>
          <w:rFonts w:ascii="Courier New" w:hAnsi="Courier New" w:cs="Courier New"/>
        </w:rPr>
        <w:t xml:space="preserve"> </w:t>
      </w:r>
      <w:r w:rsidR="00D461E5">
        <w:rPr>
          <w:rFonts w:ascii="Courier New" w:hAnsi="Courier New" w:cs="Courier New"/>
        </w:rPr>
        <w:t>just outside of downtown Quincy</w:t>
      </w:r>
      <w:r w:rsidR="00B75E9E">
        <w:rPr>
          <w:rFonts w:ascii="Courier New" w:hAnsi="Courier New" w:cs="Courier New"/>
        </w:rPr>
        <w:t xml:space="preserve"> </w:t>
      </w:r>
      <w:r w:rsidR="00D461E5">
        <w:rPr>
          <w:rFonts w:ascii="Courier New" w:hAnsi="Courier New" w:cs="Courier New"/>
        </w:rPr>
        <w:t>and near the intersection of Interstate 93.</w:t>
      </w:r>
      <w:r w:rsidR="00EE193B">
        <w:rPr>
          <w:rFonts w:ascii="Courier New" w:hAnsi="Courier New" w:cs="Courier New"/>
        </w:rPr>
        <w:t xml:space="preserve">  </w:t>
      </w:r>
      <w:r w:rsidR="000D131B">
        <w:rPr>
          <w:rFonts w:ascii="Courier New" w:hAnsi="Courier New" w:cs="Courier New"/>
        </w:rPr>
        <w:t>More specifically the subjec</w:t>
      </w:r>
      <w:r w:rsidR="00E80789">
        <w:rPr>
          <w:rFonts w:ascii="Courier New" w:hAnsi="Courier New" w:cs="Courier New"/>
        </w:rPr>
        <w:t>t property is located within a planned unit d</w:t>
      </w:r>
      <w:r w:rsidR="000D131B">
        <w:rPr>
          <w:rFonts w:ascii="Courier New" w:hAnsi="Courier New" w:cs="Courier New"/>
        </w:rPr>
        <w:t xml:space="preserve">evelopment zoning district, which allows for many uses with city council approval for a special permit.  </w:t>
      </w:r>
      <w:r w:rsidR="0042174B">
        <w:rPr>
          <w:rFonts w:ascii="Courier New" w:hAnsi="Courier New" w:cs="Courier New"/>
        </w:rPr>
        <w:t>Within t</w:t>
      </w:r>
      <w:r w:rsidR="00EE193B">
        <w:rPr>
          <w:rFonts w:ascii="Courier New" w:hAnsi="Courier New" w:cs="Courier New"/>
        </w:rPr>
        <w:t>he immediate</w:t>
      </w:r>
      <w:r w:rsidR="0042174B">
        <w:rPr>
          <w:rFonts w:ascii="Courier New" w:hAnsi="Courier New" w:cs="Courier New"/>
        </w:rPr>
        <w:t xml:space="preserve"> area</w:t>
      </w:r>
      <w:r w:rsidR="00373DB0">
        <w:rPr>
          <w:rFonts w:ascii="Courier New" w:hAnsi="Courier New" w:cs="Courier New"/>
        </w:rPr>
        <w:t>,</w:t>
      </w:r>
      <w:r w:rsidR="0042174B">
        <w:rPr>
          <w:rFonts w:ascii="Courier New" w:hAnsi="Courier New" w:cs="Courier New"/>
        </w:rPr>
        <w:t xml:space="preserve"> there are</w:t>
      </w:r>
      <w:r w:rsidR="00B75E9E">
        <w:rPr>
          <w:rFonts w:ascii="Courier New" w:hAnsi="Courier New" w:cs="Courier New"/>
        </w:rPr>
        <w:t xml:space="preserve"> var</w:t>
      </w:r>
      <w:r w:rsidR="0042174B">
        <w:rPr>
          <w:rFonts w:ascii="Courier New" w:hAnsi="Courier New" w:cs="Courier New"/>
        </w:rPr>
        <w:t>y</w:t>
      </w:r>
      <w:r w:rsidR="00B75E9E">
        <w:rPr>
          <w:rFonts w:ascii="Courier New" w:hAnsi="Courier New" w:cs="Courier New"/>
        </w:rPr>
        <w:t>ing pr</w:t>
      </w:r>
      <w:r w:rsidR="0042174B">
        <w:rPr>
          <w:rFonts w:ascii="Courier New" w:hAnsi="Courier New" w:cs="Courier New"/>
        </w:rPr>
        <w:t xml:space="preserve">operty uses, including </w:t>
      </w:r>
      <w:r w:rsidR="00F61859">
        <w:rPr>
          <w:rFonts w:ascii="Courier New" w:hAnsi="Courier New" w:cs="Courier New"/>
        </w:rPr>
        <w:t>two</w:t>
      </w:r>
      <w:r w:rsidR="0042174B">
        <w:rPr>
          <w:rFonts w:ascii="Courier New" w:hAnsi="Courier New" w:cs="Courier New"/>
        </w:rPr>
        <w:t xml:space="preserve">- and </w:t>
      </w:r>
      <w:r w:rsidR="00F61859">
        <w:rPr>
          <w:rFonts w:ascii="Courier New" w:hAnsi="Courier New" w:cs="Courier New"/>
        </w:rPr>
        <w:t>four</w:t>
      </w:r>
      <w:r w:rsidR="0042174B">
        <w:rPr>
          <w:rFonts w:ascii="Courier New" w:hAnsi="Courier New" w:cs="Courier New"/>
        </w:rPr>
        <w:t xml:space="preserve">-family </w:t>
      </w:r>
      <w:r w:rsidR="000D131B">
        <w:rPr>
          <w:rFonts w:ascii="Courier New" w:hAnsi="Courier New" w:cs="Courier New"/>
        </w:rPr>
        <w:t xml:space="preserve">residential </w:t>
      </w:r>
      <w:r w:rsidR="0042174B">
        <w:rPr>
          <w:rFonts w:ascii="Courier New" w:hAnsi="Courier New" w:cs="Courier New"/>
        </w:rPr>
        <w:t xml:space="preserve">dwellings, small mixed-use properties with retail or office spaces on the first floor and apartments on the upper floors, and also large apartment complexes.  In addition to the subject property, Home </w:t>
      </w:r>
      <w:r w:rsidR="0042174B">
        <w:rPr>
          <w:rFonts w:ascii="Courier New" w:hAnsi="Courier New" w:cs="Courier New"/>
        </w:rPr>
        <w:lastRenderedPageBreak/>
        <w:t>Depot and BJ’s big-box retail stores are within the immediate area.  Also located nearby is the Quincy Adams MBTA station and parking facility.</w:t>
      </w:r>
      <w:r w:rsidR="00EE193B">
        <w:rPr>
          <w:rFonts w:ascii="Courier New" w:hAnsi="Courier New" w:cs="Courier New"/>
        </w:rPr>
        <w:t xml:space="preserve"> </w:t>
      </w:r>
      <w:r w:rsidR="00CA3EBF">
        <w:rPr>
          <w:rFonts w:ascii="Courier New" w:hAnsi="Courier New" w:cs="Courier New"/>
        </w:rPr>
        <w:t xml:space="preserve">  </w:t>
      </w:r>
      <w:r w:rsidR="000F0772">
        <w:rPr>
          <w:rFonts w:ascii="Courier New" w:hAnsi="Courier New" w:cs="Courier New"/>
        </w:rPr>
        <w:t xml:space="preserve"> </w:t>
      </w:r>
      <w:r w:rsidR="00CD7A26">
        <w:rPr>
          <w:rFonts w:ascii="Courier New" w:hAnsi="Courier New" w:cs="Courier New"/>
        </w:rPr>
        <w:t xml:space="preserve"> </w:t>
      </w:r>
    </w:p>
    <w:p w:rsidR="00DE0628" w:rsidRDefault="00313B19" w:rsidP="00ED2140">
      <w:pPr>
        <w:spacing w:line="480" w:lineRule="auto"/>
        <w:ind w:firstLine="720"/>
        <w:jc w:val="both"/>
        <w:rPr>
          <w:rFonts w:ascii="Courier New" w:hAnsi="Courier New" w:cs="Courier New"/>
        </w:rPr>
      </w:pPr>
      <w:r>
        <w:rPr>
          <w:rFonts w:ascii="Courier New" w:hAnsi="Courier New" w:cs="Courier New"/>
        </w:rPr>
        <w:t>T</w:t>
      </w:r>
      <w:r w:rsidR="003B5E34">
        <w:rPr>
          <w:rFonts w:ascii="Courier New" w:hAnsi="Courier New" w:cs="Courier New"/>
        </w:rPr>
        <w:t xml:space="preserve">he subject </w:t>
      </w:r>
      <w:r w:rsidR="00E80789">
        <w:rPr>
          <w:rFonts w:ascii="Courier New" w:hAnsi="Courier New" w:cs="Courier New"/>
        </w:rPr>
        <w:t xml:space="preserve">property </w:t>
      </w:r>
      <w:r w:rsidR="003B5E34">
        <w:rPr>
          <w:rFonts w:ascii="Courier New" w:hAnsi="Courier New" w:cs="Courier New"/>
        </w:rPr>
        <w:t xml:space="preserve">is </w:t>
      </w:r>
      <w:r w:rsidR="00E80789">
        <w:rPr>
          <w:rFonts w:ascii="Courier New" w:hAnsi="Courier New" w:cs="Courier New"/>
        </w:rPr>
        <w:t xml:space="preserve">improved with </w:t>
      </w:r>
      <w:r w:rsidR="00B03137">
        <w:rPr>
          <w:rFonts w:ascii="Courier New" w:hAnsi="Courier New" w:cs="Courier New"/>
        </w:rPr>
        <w:t xml:space="preserve">a </w:t>
      </w:r>
      <w:r w:rsidR="003B5E34">
        <w:rPr>
          <w:rFonts w:ascii="Courier New" w:hAnsi="Courier New" w:cs="Courier New"/>
        </w:rPr>
        <w:t xml:space="preserve">one-story, </w:t>
      </w:r>
      <w:r w:rsidR="00D461E5">
        <w:rPr>
          <w:rFonts w:ascii="Courier New" w:hAnsi="Courier New" w:cs="Courier New"/>
        </w:rPr>
        <w:t>plus mezzanine,</w:t>
      </w:r>
      <w:r w:rsidR="003B5E34">
        <w:rPr>
          <w:rFonts w:ascii="Courier New" w:hAnsi="Courier New" w:cs="Courier New"/>
        </w:rPr>
        <w:t xml:space="preserve"> </w:t>
      </w:r>
      <w:r w:rsidR="00D461E5">
        <w:rPr>
          <w:rFonts w:ascii="Courier New" w:hAnsi="Courier New" w:cs="Courier New"/>
        </w:rPr>
        <w:t>big</w:t>
      </w:r>
      <w:r w:rsidR="007B753B">
        <w:rPr>
          <w:rFonts w:ascii="Courier New" w:hAnsi="Courier New" w:cs="Courier New"/>
        </w:rPr>
        <w:t>-</w:t>
      </w:r>
      <w:r w:rsidR="00D461E5">
        <w:rPr>
          <w:rFonts w:ascii="Courier New" w:hAnsi="Courier New" w:cs="Courier New"/>
        </w:rPr>
        <w:t xml:space="preserve">box </w:t>
      </w:r>
      <w:r w:rsidR="003B5E34">
        <w:rPr>
          <w:rFonts w:ascii="Courier New" w:hAnsi="Courier New" w:cs="Courier New"/>
        </w:rPr>
        <w:t xml:space="preserve">retail building </w:t>
      </w:r>
      <w:r w:rsidR="00E80789">
        <w:rPr>
          <w:rFonts w:ascii="Courier New" w:hAnsi="Courier New" w:cs="Courier New"/>
        </w:rPr>
        <w:t>w</w:t>
      </w:r>
      <w:r w:rsidR="003B5E34">
        <w:rPr>
          <w:rFonts w:ascii="Courier New" w:hAnsi="Courier New" w:cs="Courier New"/>
        </w:rPr>
        <w:t xml:space="preserve">ith approximately </w:t>
      </w:r>
      <w:r w:rsidR="00C53A90">
        <w:rPr>
          <w:rFonts w:ascii="Courier New" w:hAnsi="Courier New" w:cs="Courier New"/>
        </w:rPr>
        <w:t>124,825</w:t>
      </w:r>
      <w:r w:rsidR="003B5E34">
        <w:rPr>
          <w:rFonts w:ascii="Courier New" w:hAnsi="Courier New" w:cs="Courier New"/>
        </w:rPr>
        <w:t xml:space="preserve"> feet of </w:t>
      </w:r>
      <w:r w:rsidR="00D461E5">
        <w:rPr>
          <w:rFonts w:ascii="Courier New" w:hAnsi="Courier New" w:cs="Courier New"/>
        </w:rPr>
        <w:t xml:space="preserve">net </w:t>
      </w:r>
      <w:r w:rsidR="003B5E34">
        <w:rPr>
          <w:rFonts w:ascii="Courier New" w:hAnsi="Courier New" w:cs="Courier New"/>
        </w:rPr>
        <w:t>leasable area</w:t>
      </w:r>
      <w:r w:rsidR="00E80789">
        <w:rPr>
          <w:rFonts w:ascii="Courier New" w:hAnsi="Courier New" w:cs="Courier New"/>
        </w:rPr>
        <w:t>, which was constructed in 2010 (“subject building”)</w:t>
      </w:r>
      <w:r w:rsidR="006B71E4">
        <w:rPr>
          <w:rFonts w:ascii="Courier New" w:hAnsi="Courier New" w:cs="Courier New"/>
        </w:rPr>
        <w:t xml:space="preserve">.  </w:t>
      </w:r>
      <w:r w:rsidR="003B5E34">
        <w:rPr>
          <w:rFonts w:ascii="Courier New" w:hAnsi="Courier New" w:cs="Courier New"/>
        </w:rPr>
        <w:t>The subject building has a steel-frame structure with a concre</w:t>
      </w:r>
      <w:r w:rsidR="005C699B">
        <w:rPr>
          <w:rFonts w:ascii="Courier New" w:hAnsi="Courier New" w:cs="Courier New"/>
        </w:rPr>
        <w:t>te slab foundation,</w:t>
      </w:r>
      <w:r w:rsidR="003B5E34">
        <w:rPr>
          <w:rFonts w:ascii="Courier New" w:hAnsi="Courier New" w:cs="Courier New"/>
        </w:rPr>
        <w:t xml:space="preserve"> </w:t>
      </w:r>
      <w:r w:rsidR="005C699B">
        <w:rPr>
          <w:rFonts w:ascii="Courier New" w:hAnsi="Courier New" w:cs="Courier New"/>
        </w:rPr>
        <w:t xml:space="preserve">a flat membrane roof, </w:t>
      </w:r>
      <w:r w:rsidR="00A348B6">
        <w:rPr>
          <w:rFonts w:ascii="Courier New" w:hAnsi="Courier New" w:cs="Courier New"/>
        </w:rPr>
        <w:t xml:space="preserve">and a </w:t>
      </w:r>
      <w:r w:rsidR="005C699B">
        <w:rPr>
          <w:rFonts w:ascii="Courier New" w:hAnsi="Courier New" w:cs="Courier New"/>
        </w:rPr>
        <w:t>concrete block</w:t>
      </w:r>
      <w:r w:rsidR="003B5E34">
        <w:rPr>
          <w:rFonts w:ascii="Courier New" w:hAnsi="Courier New" w:cs="Courier New"/>
        </w:rPr>
        <w:t xml:space="preserve"> </w:t>
      </w:r>
      <w:r w:rsidR="00AB460C">
        <w:rPr>
          <w:rFonts w:ascii="Courier New" w:hAnsi="Courier New" w:cs="Courier New"/>
        </w:rPr>
        <w:t>exterior</w:t>
      </w:r>
      <w:r w:rsidR="003B5E34">
        <w:rPr>
          <w:rFonts w:ascii="Courier New" w:hAnsi="Courier New" w:cs="Courier New"/>
        </w:rPr>
        <w:t>.</w:t>
      </w:r>
      <w:r w:rsidR="00B03137">
        <w:rPr>
          <w:rFonts w:ascii="Courier New" w:hAnsi="Courier New" w:cs="Courier New"/>
        </w:rPr>
        <w:t xml:space="preserve">  The </w:t>
      </w:r>
      <w:r w:rsidR="00E80789">
        <w:rPr>
          <w:rFonts w:ascii="Courier New" w:hAnsi="Courier New" w:cs="Courier New"/>
        </w:rPr>
        <w:t xml:space="preserve">first </w:t>
      </w:r>
      <w:r w:rsidR="004F069C">
        <w:rPr>
          <w:rFonts w:ascii="Courier New" w:hAnsi="Courier New" w:cs="Courier New"/>
        </w:rPr>
        <w:t xml:space="preserve">floor </w:t>
      </w:r>
      <w:r w:rsidR="005C699B">
        <w:rPr>
          <w:rFonts w:ascii="Courier New" w:hAnsi="Courier New" w:cs="Courier New"/>
        </w:rPr>
        <w:t xml:space="preserve">is primarily </w:t>
      </w:r>
      <w:r w:rsidR="004F069C">
        <w:rPr>
          <w:rFonts w:ascii="Courier New" w:hAnsi="Courier New" w:cs="Courier New"/>
        </w:rPr>
        <w:t>retail and receiving w</w:t>
      </w:r>
      <w:r w:rsidR="005C699B">
        <w:rPr>
          <w:rFonts w:ascii="Courier New" w:hAnsi="Courier New" w:cs="Courier New"/>
        </w:rPr>
        <w:t>i</w:t>
      </w:r>
      <w:r w:rsidR="001C1758">
        <w:rPr>
          <w:rFonts w:ascii="Courier New" w:hAnsi="Courier New" w:cs="Courier New"/>
        </w:rPr>
        <w:t xml:space="preserve">th ceiling heights of 20-25 feet.  </w:t>
      </w:r>
      <w:r w:rsidR="004F069C">
        <w:rPr>
          <w:rFonts w:ascii="Courier New" w:hAnsi="Courier New" w:cs="Courier New"/>
        </w:rPr>
        <w:t xml:space="preserve">The mezzanine level consists of offices, an employee break room, an employee training room, and </w:t>
      </w:r>
      <w:r w:rsidR="00E80789">
        <w:rPr>
          <w:rFonts w:ascii="Courier New" w:hAnsi="Courier New" w:cs="Courier New"/>
        </w:rPr>
        <w:t>4</w:t>
      </w:r>
      <w:r w:rsidR="004F069C">
        <w:rPr>
          <w:rFonts w:ascii="Courier New" w:hAnsi="Courier New" w:cs="Courier New"/>
        </w:rPr>
        <w:t xml:space="preserve"> lavatories.   </w:t>
      </w:r>
      <w:r w:rsidR="00373DB0">
        <w:rPr>
          <w:rFonts w:ascii="Courier New" w:hAnsi="Courier New" w:cs="Courier New"/>
        </w:rPr>
        <w:t xml:space="preserve">The subject building also has </w:t>
      </w:r>
      <w:r w:rsidR="00E80789">
        <w:rPr>
          <w:rFonts w:ascii="Courier New" w:hAnsi="Courier New" w:cs="Courier New"/>
        </w:rPr>
        <w:t>3</w:t>
      </w:r>
      <w:r w:rsidR="00373DB0">
        <w:rPr>
          <w:rFonts w:ascii="Courier New" w:hAnsi="Courier New" w:cs="Courier New"/>
        </w:rPr>
        <w:t xml:space="preserve"> loading docks and </w:t>
      </w:r>
      <w:r w:rsidR="00E80789">
        <w:rPr>
          <w:rFonts w:ascii="Courier New" w:hAnsi="Courier New" w:cs="Courier New"/>
        </w:rPr>
        <w:t>1</w:t>
      </w:r>
      <w:r w:rsidR="00373DB0">
        <w:rPr>
          <w:rFonts w:ascii="Courier New" w:hAnsi="Courier New" w:cs="Courier New"/>
        </w:rPr>
        <w:t xml:space="preserve"> truck-height bay.  In addition, t</w:t>
      </w:r>
      <w:r w:rsidR="00D05305">
        <w:rPr>
          <w:rFonts w:ascii="Courier New" w:hAnsi="Courier New" w:cs="Courier New"/>
        </w:rPr>
        <w:t>here is a 26,769</w:t>
      </w:r>
      <w:r w:rsidR="00E80789">
        <w:rPr>
          <w:rFonts w:ascii="Courier New" w:hAnsi="Courier New" w:cs="Courier New"/>
        </w:rPr>
        <w:t>-</w:t>
      </w:r>
      <w:r w:rsidR="00D05305">
        <w:rPr>
          <w:rFonts w:ascii="Courier New" w:hAnsi="Courier New" w:cs="Courier New"/>
        </w:rPr>
        <w:t>square</w:t>
      </w:r>
      <w:r w:rsidR="005C699B">
        <w:rPr>
          <w:rFonts w:ascii="Courier New" w:hAnsi="Courier New" w:cs="Courier New"/>
        </w:rPr>
        <w:t>-</w:t>
      </w:r>
      <w:r w:rsidR="00D05305">
        <w:rPr>
          <w:rFonts w:ascii="Courier New" w:hAnsi="Courier New" w:cs="Courier New"/>
        </w:rPr>
        <w:t>foot</w:t>
      </w:r>
      <w:r w:rsidR="005C699B">
        <w:rPr>
          <w:rFonts w:ascii="Courier New" w:hAnsi="Courier New" w:cs="Courier New"/>
        </w:rPr>
        <w:t>,</w:t>
      </w:r>
      <w:r w:rsidR="00D05305">
        <w:rPr>
          <w:rFonts w:ascii="Courier New" w:hAnsi="Courier New" w:cs="Courier New"/>
        </w:rPr>
        <w:t xml:space="preserve"> fenced-in</w:t>
      </w:r>
      <w:r w:rsidR="005C699B">
        <w:rPr>
          <w:rFonts w:ascii="Courier New" w:hAnsi="Courier New" w:cs="Courier New"/>
        </w:rPr>
        <w:t>,</w:t>
      </w:r>
      <w:r w:rsidR="00ED2140">
        <w:rPr>
          <w:rFonts w:ascii="Courier New" w:hAnsi="Courier New" w:cs="Courier New"/>
        </w:rPr>
        <w:t xml:space="preserve"> </w:t>
      </w:r>
      <w:r w:rsidR="005C699B">
        <w:rPr>
          <w:rFonts w:ascii="Courier New" w:hAnsi="Courier New" w:cs="Courier New"/>
        </w:rPr>
        <w:t xml:space="preserve">outdoor </w:t>
      </w:r>
      <w:r w:rsidR="00D05305">
        <w:rPr>
          <w:rFonts w:ascii="Courier New" w:hAnsi="Courier New" w:cs="Courier New"/>
        </w:rPr>
        <w:t>garden center that is not included in the leasable area due to its exposure to the elements.</w:t>
      </w:r>
      <w:r w:rsidR="00E80789">
        <w:rPr>
          <w:rFonts w:ascii="Courier New" w:hAnsi="Courier New" w:cs="Courier New"/>
        </w:rPr>
        <w:t xml:space="preserve">  The subject property is subject to a renewable 20-year ground lease at an annual rent of $1,662,500 for the first </w:t>
      </w:r>
      <w:r w:rsidR="00BA7711">
        <w:rPr>
          <w:rFonts w:ascii="Courier New" w:hAnsi="Courier New" w:cs="Courier New"/>
        </w:rPr>
        <w:t>5</w:t>
      </w:r>
      <w:r w:rsidR="00E80789">
        <w:rPr>
          <w:rFonts w:ascii="Courier New" w:hAnsi="Courier New" w:cs="Courier New"/>
        </w:rPr>
        <w:t xml:space="preserve"> years.  Pursuant to the lease, the appellant is responsible for all costs associated with construction of the subject building, which according to the subject property’s building permits totaled $16,753,635.  </w:t>
      </w:r>
      <w:r w:rsidR="00D05305">
        <w:rPr>
          <w:rFonts w:ascii="Courier New" w:hAnsi="Courier New" w:cs="Courier New"/>
        </w:rPr>
        <w:t xml:space="preserve"> </w:t>
      </w:r>
      <w:r w:rsidR="00DE0628">
        <w:rPr>
          <w:rFonts w:ascii="Courier New" w:hAnsi="Courier New" w:cs="Courier New"/>
        </w:rPr>
        <w:t xml:space="preserve"> </w:t>
      </w:r>
      <w:r w:rsidR="007B753B">
        <w:rPr>
          <w:rFonts w:ascii="Courier New" w:hAnsi="Courier New" w:cs="Courier New"/>
        </w:rPr>
        <w:t xml:space="preserve">  </w:t>
      </w:r>
      <w:r w:rsidR="001C1758">
        <w:rPr>
          <w:rFonts w:ascii="Courier New" w:hAnsi="Courier New" w:cs="Courier New"/>
        </w:rPr>
        <w:t xml:space="preserve">  </w:t>
      </w:r>
    </w:p>
    <w:p w:rsidR="002F76D4" w:rsidRDefault="001C1758" w:rsidP="00584335">
      <w:pPr>
        <w:spacing w:line="480" w:lineRule="auto"/>
        <w:ind w:firstLine="720"/>
        <w:jc w:val="both"/>
        <w:rPr>
          <w:rFonts w:ascii="Courier New" w:hAnsi="Courier New" w:cs="Courier New"/>
        </w:rPr>
      </w:pPr>
      <w:r w:rsidRPr="00584335">
        <w:rPr>
          <w:rFonts w:ascii="Courier New" w:hAnsi="Courier New" w:cs="Courier New"/>
        </w:rPr>
        <w:t xml:space="preserve">For </w:t>
      </w:r>
      <w:r>
        <w:rPr>
          <w:rFonts w:ascii="Courier New" w:hAnsi="Courier New" w:cs="Courier New"/>
        </w:rPr>
        <w:t>fiscal year 2012</w:t>
      </w:r>
      <w:r w:rsidR="002F76D4" w:rsidRPr="00B03117">
        <w:rPr>
          <w:rFonts w:ascii="Courier New" w:hAnsi="Courier New" w:cs="Courier New"/>
        </w:rPr>
        <w:t xml:space="preserve">, the assessors valued </w:t>
      </w:r>
      <w:r w:rsidR="002F76D4">
        <w:rPr>
          <w:rFonts w:ascii="Courier New" w:hAnsi="Courier New" w:cs="Courier New"/>
        </w:rPr>
        <w:t>the subject property at $</w:t>
      </w:r>
      <w:r>
        <w:rPr>
          <w:rFonts w:ascii="Courier New" w:hAnsi="Courier New" w:cs="Courier New"/>
        </w:rPr>
        <w:t>14,454,800</w:t>
      </w:r>
      <w:r w:rsidR="002F76D4" w:rsidRPr="00B03117">
        <w:rPr>
          <w:rFonts w:ascii="Courier New" w:hAnsi="Courier New" w:cs="Courier New"/>
        </w:rPr>
        <w:t xml:space="preserve"> and</w:t>
      </w:r>
      <w:r w:rsidR="00A70C8D">
        <w:rPr>
          <w:rFonts w:ascii="Courier New" w:hAnsi="Courier New" w:cs="Courier New"/>
        </w:rPr>
        <w:t xml:space="preserve"> assessed a tax thereon, at the </w:t>
      </w:r>
      <w:r w:rsidR="002F76D4">
        <w:rPr>
          <w:rFonts w:ascii="Courier New" w:hAnsi="Courier New" w:cs="Courier New"/>
        </w:rPr>
        <w:t xml:space="preserve">rate </w:t>
      </w:r>
      <w:r w:rsidR="002F76D4">
        <w:rPr>
          <w:rFonts w:ascii="Courier New" w:hAnsi="Courier New" w:cs="Courier New"/>
        </w:rPr>
        <w:lastRenderedPageBreak/>
        <w:t>of $</w:t>
      </w:r>
      <w:r>
        <w:rPr>
          <w:rFonts w:ascii="Courier New" w:hAnsi="Courier New" w:cs="Courier New"/>
        </w:rPr>
        <w:t>28.66 per t</w:t>
      </w:r>
      <w:r w:rsidR="002F76D4" w:rsidRPr="00B03117">
        <w:rPr>
          <w:rFonts w:ascii="Courier New" w:hAnsi="Courier New" w:cs="Courier New"/>
        </w:rPr>
        <w:t>housand, i</w:t>
      </w:r>
      <w:r w:rsidR="002F76D4">
        <w:rPr>
          <w:rFonts w:ascii="Courier New" w:hAnsi="Courier New" w:cs="Courier New"/>
        </w:rPr>
        <w:t>n the total amount of $</w:t>
      </w:r>
      <w:r>
        <w:rPr>
          <w:rFonts w:ascii="Courier New" w:hAnsi="Courier New" w:cs="Courier New"/>
        </w:rPr>
        <w:t>41</w:t>
      </w:r>
      <w:r w:rsidR="00584335">
        <w:rPr>
          <w:rFonts w:ascii="Courier New" w:hAnsi="Courier New" w:cs="Courier New"/>
        </w:rPr>
        <w:t>8,667.32</w:t>
      </w:r>
      <w:r w:rsidR="00A70C8D">
        <w:rPr>
          <w:rFonts w:ascii="Courier New" w:hAnsi="Courier New" w:cs="Courier New"/>
        </w:rPr>
        <w:t>.</w:t>
      </w:r>
      <w:r w:rsidR="00584335">
        <w:rPr>
          <w:rStyle w:val="FootnoteReference"/>
          <w:rFonts w:ascii="Courier New" w:hAnsi="Courier New" w:cs="Courier New"/>
        </w:rPr>
        <w:footnoteReference w:id="1"/>
      </w:r>
      <w:r w:rsidR="001C3F19">
        <w:rPr>
          <w:rFonts w:ascii="Courier New" w:hAnsi="Courier New" w:cs="Courier New"/>
        </w:rPr>
        <w:t xml:space="preserve">  </w:t>
      </w:r>
      <w:r w:rsidR="00373DB0">
        <w:rPr>
          <w:rFonts w:ascii="Courier New" w:hAnsi="Courier New" w:cs="Courier New"/>
        </w:rPr>
        <w:t xml:space="preserve">In accordance with G.L. c. 59, § 57C, the appellant timely paid the tax due without incurring interest.  </w:t>
      </w:r>
      <w:r w:rsidR="002F76D4">
        <w:rPr>
          <w:rFonts w:ascii="Courier New" w:hAnsi="Courier New" w:cs="Courier New"/>
        </w:rPr>
        <w:t xml:space="preserve">On </w:t>
      </w:r>
      <w:r w:rsidR="001C3F19">
        <w:rPr>
          <w:rFonts w:ascii="Courier New" w:hAnsi="Courier New" w:cs="Courier New"/>
        </w:rPr>
        <w:t>January 26</w:t>
      </w:r>
      <w:r w:rsidR="002F76D4">
        <w:rPr>
          <w:rFonts w:ascii="Courier New" w:hAnsi="Courier New" w:cs="Courier New"/>
        </w:rPr>
        <w:t>, 201</w:t>
      </w:r>
      <w:r w:rsidR="00373DB0">
        <w:rPr>
          <w:rFonts w:ascii="Courier New" w:hAnsi="Courier New" w:cs="Courier New"/>
        </w:rPr>
        <w:t>2</w:t>
      </w:r>
      <w:r w:rsidR="002F76D4">
        <w:rPr>
          <w:rFonts w:ascii="Courier New" w:hAnsi="Courier New" w:cs="Courier New"/>
        </w:rPr>
        <w:t xml:space="preserve">, </w:t>
      </w:r>
      <w:r w:rsidR="00446B02">
        <w:rPr>
          <w:rFonts w:ascii="Courier New" w:hAnsi="Courier New" w:cs="Courier New"/>
        </w:rPr>
        <w:t xml:space="preserve">in accordance with </w:t>
      </w:r>
      <w:r w:rsidR="006078BB">
        <w:rPr>
          <w:rFonts w:ascii="Courier New" w:hAnsi="Courier New" w:cs="Courier New"/>
        </w:rPr>
        <w:t xml:space="preserve">G.L. c. 59, </w:t>
      </w:r>
      <w:r w:rsidR="00F465CB">
        <w:rPr>
          <w:rFonts w:ascii="Courier New" w:hAnsi="Courier New" w:cs="Courier New"/>
        </w:rPr>
        <w:t xml:space="preserve">§ </w:t>
      </w:r>
      <w:r w:rsidR="006078BB">
        <w:rPr>
          <w:rFonts w:ascii="Courier New" w:hAnsi="Courier New" w:cs="Courier New"/>
        </w:rPr>
        <w:t xml:space="preserve">59, </w:t>
      </w:r>
      <w:r w:rsidR="002F76D4">
        <w:rPr>
          <w:rFonts w:ascii="Courier New" w:hAnsi="Courier New" w:cs="Courier New"/>
        </w:rPr>
        <w:t>the a</w:t>
      </w:r>
      <w:r w:rsidR="002F76D4" w:rsidRPr="00521B50">
        <w:rPr>
          <w:rFonts w:ascii="Courier New" w:hAnsi="Courier New" w:cs="Courier New"/>
        </w:rPr>
        <w:t>ppellan</w:t>
      </w:r>
      <w:r w:rsidR="002F76D4">
        <w:rPr>
          <w:rFonts w:ascii="Courier New" w:hAnsi="Courier New" w:cs="Courier New"/>
        </w:rPr>
        <w:t>t t</w:t>
      </w:r>
      <w:r w:rsidR="002F76D4" w:rsidRPr="00B03117">
        <w:rPr>
          <w:rFonts w:ascii="Courier New" w:hAnsi="Courier New" w:cs="Courier New"/>
        </w:rPr>
        <w:t xml:space="preserve">imely filed an </w:t>
      </w:r>
      <w:r w:rsidR="00E80789">
        <w:rPr>
          <w:rFonts w:ascii="Courier New" w:hAnsi="Courier New" w:cs="Courier New"/>
        </w:rPr>
        <w:t>a</w:t>
      </w:r>
      <w:r w:rsidR="002F76D4" w:rsidRPr="00B03117">
        <w:rPr>
          <w:rFonts w:ascii="Courier New" w:hAnsi="Courier New" w:cs="Courier New"/>
        </w:rPr>
        <w:t xml:space="preserve">batement </w:t>
      </w:r>
      <w:r w:rsidR="00E80789">
        <w:rPr>
          <w:rFonts w:ascii="Courier New" w:hAnsi="Courier New" w:cs="Courier New"/>
        </w:rPr>
        <w:t xml:space="preserve">application </w:t>
      </w:r>
      <w:r w:rsidR="002F76D4" w:rsidRPr="00B03117">
        <w:rPr>
          <w:rFonts w:ascii="Courier New" w:hAnsi="Courier New" w:cs="Courier New"/>
        </w:rPr>
        <w:t>with t</w:t>
      </w:r>
      <w:r w:rsidR="002F76D4">
        <w:rPr>
          <w:rFonts w:ascii="Courier New" w:hAnsi="Courier New" w:cs="Courier New"/>
        </w:rPr>
        <w:t xml:space="preserve">he assessors, which </w:t>
      </w:r>
      <w:r w:rsidR="00F465CB">
        <w:rPr>
          <w:rFonts w:ascii="Courier New" w:hAnsi="Courier New" w:cs="Courier New"/>
        </w:rPr>
        <w:t>they</w:t>
      </w:r>
      <w:r w:rsidR="002F76D4">
        <w:rPr>
          <w:rFonts w:ascii="Courier New" w:hAnsi="Courier New" w:cs="Courier New"/>
        </w:rPr>
        <w:t xml:space="preserve"> denied on </w:t>
      </w:r>
      <w:r w:rsidR="001C3F19">
        <w:rPr>
          <w:rFonts w:ascii="Courier New" w:hAnsi="Courier New" w:cs="Courier New"/>
        </w:rPr>
        <w:t>February 9</w:t>
      </w:r>
      <w:r w:rsidR="002F76D4">
        <w:rPr>
          <w:rFonts w:ascii="Courier New" w:hAnsi="Courier New" w:cs="Courier New"/>
        </w:rPr>
        <w:t>, 201</w:t>
      </w:r>
      <w:r w:rsidR="00373DB0">
        <w:rPr>
          <w:rFonts w:ascii="Courier New" w:hAnsi="Courier New" w:cs="Courier New"/>
        </w:rPr>
        <w:t>2</w:t>
      </w:r>
      <w:r w:rsidR="002F76D4">
        <w:rPr>
          <w:rFonts w:ascii="Courier New" w:hAnsi="Courier New" w:cs="Courier New"/>
        </w:rPr>
        <w:t xml:space="preserve">.  On </w:t>
      </w:r>
      <w:r w:rsidR="00A81A79">
        <w:rPr>
          <w:rFonts w:ascii="Courier New" w:hAnsi="Courier New" w:cs="Courier New"/>
        </w:rPr>
        <w:t>April 19</w:t>
      </w:r>
      <w:r w:rsidR="002F76D4">
        <w:rPr>
          <w:rFonts w:ascii="Courier New" w:hAnsi="Courier New" w:cs="Courier New"/>
        </w:rPr>
        <w:t>, 201</w:t>
      </w:r>
      <w:r w:rsidR="00373DB0">
        <w:rPr>
          <w:rFonts w:ascii="Courier New" w:hAnsi="Courier New" w:cs="Courier New"/>
        </w:rPr>
        <w:t>2</w:t>
      </w:r>
      <w:r w:rsidR="006078BB">
        <w:rPr>
          <w:rFonts w:ascii="Courier New" w:hAnsi="Courier New" w:cs="Courier New"/>
        </w:rPr>
        <w:t>, in accordance with G.L.</w:t>
      </w:r>
      <w:r w:rsidR="00DD6352">
        <w:rPr>
          <w:rFonts w:ascii="Courier New" w:hAnsi="Courier New" w:cs="Courier New"/>
        </w:rPr>
        <w:t> </w:t>
      </w:r>
      <w:r w:rsidR="006078BB">
        <w:rPr>
          <w:rFonts w:ascii="Courier New" w:hAnsi="Courier New" w:cs="Courier New"/>
        </w:rPr>
        <w:t>c.</w:t>
      </w:r>
      <w:r w:rsidR="00DD6352">
        <w:rPr>
          <w:rFonts w:ascii="Courier New" w:hAnsi="Courier New" w:cs="Courier New"/>
        </w:rPr>
        <w:t> </w:t>
      </w:r>
      <w:r w:rsidR="006078BB">
        <w:rPr>
          <w:rFonts w:ascii="Courier New" w:hAnsi="Courier New" w:cs="Courier New"/>
        </w:rPr>
        <w:t>59, §§ 64 and 65,</w:t>
      </w:r>
      <w:r w:rsidR="002F76D4">
        <w:rPr>
          <w:rFonts w:ascii="Courier New" w:hAnsi="Courier New" w:cs="Courier New"/>
        </w:rPr>
        <w:t xml:space="preserve"> the </w:t>
      </w:r>
      <w:r w:rsidR="002F76D4" w:rsidRPr="00521B50">
        <w:rPr>
          <w:rFonts w:ascii="Courier New" w:hAnsi="Courier New" w:cs="Courier New"/>
        </w:rPr>
        <w:t>appellan</w:t>
      </w:r>
      <w:r w:rsidR="002F76D4">
        <w:rPr>
          <w:rFonts w:ascii="Courier New" w:hAnsi="Courier New" w:cs="Courier New"/>
        </w:rPr>
        <w:t>t seasonably</w:t>
      </w:r>
      <w:r w:rsidR="002F76D4" w:rsidRPr="00B03117">
        <w:rPr>
          <w:rFonts w:ascii="Courier New" w:hAnsi="Courier New" w:cs="Courier New"/>
        </w:rPr>
        <w:t xml:space="preserve"> filed an appeal with t</w:t>
      </w:r>
      <w:r w:rsidR="002F76D4">
        <w:rPr>
          <w:rFonts w:ascii="Courier New" w:hAnsi="Courier New" w:cs="Courier New"/>
        </w:rPr>
        <w:t>he Board</w:t>
      </w:r>
      <w:r w:rsidR="002F76D4" w:rsidRPr="00B03117">
        <w:rPr>
          <w:rFonts w:ascii="Courier New" w:hAnsi="Courier New" w:cs="Courier New"/>
        </w:rPr>
        <w:t>.</w:t>
      </w:r>
      <w:r w:rsidR="002F76D4">
        <w:rPr>
          <w:rFonts w:ascii="Courier New" w:hAnsi="Courier New" w:cs="Courier New"/>
        </w:rPr>
        <w:t xml:space="preserve"> </w:t>
      </w:r>
      <w:r w:rsidR="002F76D4" w:rsidRPr="00B03117">
        <w:rPr>
          <w:rFonts w:ascii="Courier New" w:hAnsi="Courier New" w:cs="Courier New"/>
        </w:rPr>
        <w:t xml:space="preserve"> </w:t>
      </w:r>
      <w:r w:rsidR="002F76D4">
        <w:rPr>
          <w:rFonts w:ascii="Courier New" w:hAnsi="Courier New" w:cs="Courier New"/>
        </w:rPr>
        <w:t xml:space="preserve">  </w:t>
      </w:r>
    </w:p>
    <w:p w:rsidR="006014D0" w:rsidRDefault="00584335" w:rsidP="00584335">
      <w:pPr>
        <w:spacing w:line="480" w:lineRule="auto"/>
        <w:ind w:firstLine="720"/>
        <w:jc w:val="both"/>
        <w:rPr>
          <w:rFonts w:ascii="Courier New" w:hAnsi="Courier New" w:cs="Courier New"/>
        </w:rPr>
      </w:pPr>
      <w:r>
        <w:rPr>
          <w:rFonts w:ascii="Courier New" w:hAnsi="Courier New" w:cs="Courier New"/>
        </w:rPr>
        <w:t>For fiscal year 2013</w:t>
      </w:r>
      <w:r w:rsidRPr="00737CF7">
        <w:rPr>
          <w:rFonts w:ascii="Courier New" w:hAnsi="Courier New" w:cs="Courier New"/>
        </w:rPr>
        <w:t>, the assessors valued the subject property at $</w:t>
      </w:r>
      <w:r>
        <w:rPr>
          <w:rFonts w:ascii="Courier New" w:hAnsi="Courier New" w:cs="Courier New"/>
        </w:rPr>
        <w:t>14,753,000</w:t>
      </w:r>
      <w:r w:rsidRPr="00737CF7">
        <w:rPr>
          <w:rFonts w:ascii="Courier New" w:hAnsi="Courier New" w:cs="Courier New"/>
        </w:rPr>
        <w:t xml:space="preserve"> and assessed a tax thereon, at the</w:t>
      </w:r>
      <w:r>
        <w:rPr>
          <w:rFonts w:ascii="Courier New" w:hAnsi="Courier New" w:cs="Courier New"/>
        </w:rPr>
        <w:t xml:space="preserve"> ra</w:t>
      </w:r>
      <w:r w:rsidRPr="00737CF7">
        <w:rPr>
          <w:rFonts w:ascii="Courier New" w:hAnsi="Courier New" w:cs="Courier New"/>
        </w:rPr>
        <w:t>te of $</w:t>
      </w:r>
      <w:r>
        <w:rPr>
          <w:rFonts w:ascii="Courier New" w:hAnsi="Courier New" w:cs="Courier New"/>
        </w:rPr>
        <w:t>30.61</w:t>
      </w:r>
      <w:r w:rsidRPr="00737CF7">
        <w:rPr>
          <w:rFonts w:ascii="Courier New" w:hAnsi="Courier New" w:cs="Courier New"/>
        </w:rPr>
        <w:t xml:space="preserve"> per thousand, in the total </w:t>
      </w:r>
      <w:r>
        <w:rPr>
          <w:rFonts w:ascii="Courier New" w:hAnsi="Courier New" w:cs="Courier New"/>
        </w:rPr>
        <w:t xml:space="preserve">amount </w:t>
      </w:r>
      <w:r w:rsidRPr="00737CF7">
        <w:rPr>
          <w:rFonts w:ascii="Courier New" w:hAnsi="Courier New" w:cs="Courier New"/>
        </w:rPr>
        <w:t>of $</w:t>
      </w:r>
      <w:r>
        <w:rPr>
          <w:rFonts w:ascii="Courier New" w:hAnsi="Courier New" w:cs="Courier New"/>
        </w:rPr>
        <w:t>456,105.22.</w:t>
      </w:r>
      <w:r>
        <w:rPr>
          <w:rStyle w:val="FootnoteReference"/>
          <w:rFonts w:ascii="Courier New" w:hAnsi="Courier New" w:cs="Courier New"/>
        </w:rPr>
        <w:footnoteReference w:id="2"/>
      </w:r>
      <w:r w:rsidRPr="00737CF7">
        <w:rPr>
          <w:rFonts w:ascii="Courier New" w:hAnsi="Courier New" w:cs="Courier New"/>
        </w:rPr>
        <w:t xml:space="preserve">  </w:t>
      </w:r>
      <w:r>
        <w:rPr>
          <w:rFonts w:ascii="Courier New" w:hAnsi="Courier New" w:cs="Courier New"/>
        </w:rPr>
        <w:t>In accordance with G.L. c. 59, § 57C, t</w:t>
      </w:r>
      <w:r w:rsidRPr="00737CF7">
        <w:rPr>
          <w:rFonts w:ascii="Courier New" w:hAnsi="Courier New" w:cs="Courier New"/>
        </w:rPr>
        <w:t xml:space="preserve">he appellant timely paid the tax due without incurring interest.  </w:t>
      </w:r>
      <w:r w:rsidR="003F7271">
        <w:rPr>
          <w:rFonts w:ascii="Courier New" w:hAnsi="Courier New" w:cs="Courier New"/>
        </w:rPr>
        <w:t>On January 25, 2013</w:t>
      </w:r>
      <w:r>
        <w:rPr>
          <w:rFonts w:ascii="Courier New" w:hAnsi="Courier New" w:cs="Courier New"/>
        </w:rPr>
        <w:t xml:space="preserve">, in accordance with G. L. c. 59, § 59, </w:t>
      </w:r>
      <w:r w:rsidR="004C47F0">
        <w:rPr>
          <w:rFonts w:ascii="Courier New" w:hAnsi="Courier New" w:cs="Courier New"/>
        </w:rPr>
        <w:t>the appellant</w:t>
      </w:r>
      <w:r w:rsidR="00A53152">
        <w:rPr>
          <w:rFonts w:ascii="Courier New" w:hAnsi="Courier New" w:cs="Courier New"/>
        </w:rPr>
        <w:t xml:space="preserve"> </w:t>
      </w:r>
      <w:r>
        <w:rPr>
          <w:rFonts w:ascii="Courier New" w:hAnsi="Courier New" w:cs="Courier New"/>
        </w:rPr>
        <w:t>timely filed an abatement application with the assessors</w:t>
      </w:r>
      <w:r w:rsidR="004C47F0">
        <w:rPr>
          <w:rFonts w:ascii="Courier New" w:hAnsi="Courier New" w:cs="Courier New"/>
        </w:rPr>
        <w:t xml:space="preserve">, which </w:t>
      </w:r>
      <w:r w:rsidR="00D926A6">
        <w:rPr>
          <w:rFonts w:ascii="Courier New" w:hAnsi="Courier New" w:cs="Courier New"/>
        </w:rPr>
        <w:t>they</w:t>
      </w:r>
      <w:r w:rsidR="004C47F0">
        <w:rPr>
          <w:rFonts w:ascii="Courier New" w:hAnsi="Courier New" w:cs="Courier New"/>
        </w:rPr>
        <w:t xml:space="preserve"> denied on February </w:t>
      </w:r>
      <w:r w:rsidR="0005405C">
        <w:rPr>
          <w:rFonts w:ascii="Courier New" w:hAnsi="Courier New" w:cs="Courier New"/>
        </w:rPr>
        <w:t xml:space="preserve">8, 2013.  </w:t>
      </w:r>
      <w:r w:rsidR="00AB51B9">
        <w:rPr>
          <w:rFonts w:ascii="Courier New" w:hAnsi="Courier New" w:cs="Courier New"/>
        </w:rPr>
        <w:t>Because the appellant alleged that it did not receive notice of the denial, t</w:t>
      </w:r>
      <w:r w:rsidR="0005405C">
        <w:rPr>
          <w:rFonts w:ascii="Courier New" w:hAnsi="Courier New" w:cs="Courier New"/>
        </w:rPr>
        <w:t xml:space="preserve">he appellant </w:t>
      </w:r>
      <w:r w:rsidR="006014D0">
        <w:rPr>
          <w:rFonts w:ascii="Courier New" w:hAnsi="Courier New" w:cs="Courier New"/>
        </w:rPr>
        <w:t>filed its appeal with the Board on July 23, 2013</w:t>
      </w:r>
      <w:r w:rsidR="00AB51B9">
        <w:rPr>
          <w:rFonts w:ascii="Courier New" w:hAnsi="Courier New" w:cs="Courier New"/>
        </w:rPr>
        <w:t xml:space="preserve">, within </w:t>
      </w:r>
      <w:r w:rsidR="00EB71BD">
        <w:rPr>
          <w:rFonts w:ascii="Courier New" w:hAnsi="Courier New" w:cs="Courier New"/>
        </w:rPr>
        <w:t>three</w:t>
      </w:r>
      <w:r w:rsidR="00AB51B9">
        <w:rPr>
          <w:rFonts w:ascii="Courier New" w:hAnsi="Courier New" w:cs="Courier New"/>
        </w:rPr>
        <w:t xml:space="preserve"> months of the deemed denial of its abatement application</w:t>
      </w:r>
      <w:r w:rsidR="006014D0">
        <w:rPr>
          <w:rFonts w:ascii="Courier New" w:hAnsi="Courier New" w:cs="Courier New"/>
        </w:rPr>
        <w:t xml:space="preserve">.  </w:t>
      </w:r>
    </w:p>
    <w:p w:rsidR="0005405C" w:rsidRDefault="00584335" w:rsidP="002F76D4">
      <w:pPr>
        <w:spacing w:line="480" w:lineRule="auto"/>
        <w:ind w:firstLine="720"/>
        <w:jc w:val="both"/>
        <w:rPr>
          <w:rFonts w:ascii="Courier New" w:hAnsi="Courier New" w:cs="Courier New"/>
        </w:rPr>
      </w:pPr>
      <w:r w:rsidRPr="00737CF7">
        <w:rPr>
          <w:rFonts w:ascii="Courier New" w:hAnsi="Courier New" w:cs="Courier New"/>
        </w:rPr>
        <w:t>For fiscal year 201</w:t>
      </w:r>
      <w:r w:rsidR="00651728">
        <w:rPr>
          <w:rFonts w:ascii="Courier New" w:hAnsi="Courier New" w:cs="Courier New"/>
        </w:rPr>
        <w:t>4</w:t>
      </w:r>
      <w:r w:rsidRPr="00737CF7">
        <w:rPr>
          <w:rFonts w:ascii="Courier New" w:hAnsi="Courier New" w:cs="Courier New"/>
        </w:rPr>
        <w:t>, the assessors valued the subject property at $</w:t>
      </w:r>
      <w:r w:rsidR="00651728">
        <w:rPr>
          <w:rFonts w:ascii="Courier New" w:hAnsi="Courier New" w:cs="Courier New"/>
        </w:rPr>
        <w:t>14,865,300</w:t>
      </w:r>
      <w:r w:rsidRPr="00737CF7">
        <w:rPr>
          <w:rFonts w:ascii="Courier New" w:hAnsi="Courier New" w:cs="Courier New"/>
        </w:rPr>
        <w:t xml:space="preserve"> and assessed a tax thereon, at the</w:t>
      </w:r>
      <w:r>
        <w:rPr>
          <w:rFonts w:ascii="Courier New" w:hAnsi="Courier New" w:cs="Courier New"/>
        </w:rPr>
        <w:t xml:space="preserve"> ra</w:t>
      </w:r>
      <w:r w:rsidRPr="00737CF7">
        <w:rPr>
          <w:rFonts w:ascii="Courier New" w:hAnsi="Courier New" w:cs="Courier New"/>
        </w:rPr>
        <w:t xml:space="preserve">te </w:t>
      </w:r>
      <w:r w:rsidRPr="00737CF7">
        <w:rPr>
          <w:rFonts w:ascii="Courier New" w:hAnsi="Courier New" w:cs="Courier New"/>
        </w:rPr>
        <w:lastRenderedPageBreak/>
        <w:t>of $</w:t>
      </w:r>
      <w:r w:rsidR="00651728">
        <w:rPr>
          <w:rFonts w:ascii="Courier New" w:hAnsi="Courier New" w:cs="Courier New"/>
        </w:rPr>
        <w:t>31.23</w:t>
      </w:r>
      <w:r w:rsidRPr="00737CF7">
        <w:rPr>
          <w:rFonts w:ascii="Courier New" w:hAnsi="Courier New" w:cs="Courier New"/>
        </w:rPr>
        <w:t xml:space="preserve"> per thousand, in the total </w:t>
      </w:r>
      <w:r>
        <w:rPr>
          <w:rFonts w:ascii="Courier New" w:hAnsi="Courier New" w:cs="Courier New"/>
        </w:rPr>
        <w:t xml:space="preserve">amount </w:t>
      </w:r>
      <w:r w:rsidRPr="00737CF7">
        <w:rPr>
          <w:rFonts w:ascii="Courier New" w:hAnsi="Courier New" w:cs="Courier New"/>
        </w:rPr>
        <w:t>of $</w:t>
      </w:r>
      <w:r w:rsidR="00651728">
        <w:rPr>
          <w:rFonts w:ascii="Courier New" w:hAnsi="Courier New" w:cs="Courier New"/>
        </w:rPr>
        <w:t>469,135.75</w:t>
      </w:r>
      <w:r>
        <w:rPr>
          <w:rFonts w:ascii="Courier New" w:hAnsi="Courier New" w:cs="Courier New"/>
        </w:rPr>
        <w:t>.</w:t>
      </w:r>
      <w:r w:rsidR="00651728">
        <w:rPr>
          <w:rStyle w:val="FootnoteReference"/>
          <w:rFonts w:ascii="Courier New" w:hAnsi="Courier New" w:cs="Courier New"/>
        </w:rPr>
        <w:footnoteReference w:id="3"/>
      </w:r>
      <w:r w:rsidRPr="00737CF7">
        <w:rPr>
          <w:rFonts w:ascii="Courier New" w:hAnsi="Courier New" w:cs="Courier New"/>
        </w:rPr>
        <w:t xml:space="preserve">  </w:t>
      </w:r>
      <w:r>
        <w:rPr>
          <w:rFonts w:ascii="Courier New" w:hAnsi="Courier New" w:cs="Courier New"/>
        </w:rPr>
        <w:t>In accordance with G.L. c. 59, § 57C, t</w:t>
      </w:r>
      <w:r w:rsidRPr="00737CF7">
        <w:rPr>
          <w:rFonts w:ascii="Courier New" w:hAnsi="Courier New" w:cs="Courier New"/>
        </w:rPr>
        <w:t xml:space="preserve">he appellant timely paid the tax due without incurring interest.  </w:t>
      </w:r>
      <w:r w:rsidR="003F7271">
        <w:rPr>
          <w:rFonts w:ascii="Courier New" w:hAnsi="Courier New" w:cs="Courier New"/>
        </w:rPr>
        <w:t>On January 17, 2014</w:t>
      </w:r>
      <w:r>
        <w:rPr>
          <w:rFonts w:ascii="Courier New" w:hAnsi="Courier New" w:cs="Courier New"/>
        </w:rPr>
        <w:t xml:space="preserve">, in accordance with G. L. c. 59, § 59, the appellant timely filed an abatement application with the assessors, which </w:t>
      </w:r>
      <w:r w:rsidR="003F7271">
        <w:rPr>
          <w:rFonts w:ascii="Courier New" w:hAnsi="Courier New" w:cs="Courier New"/>
        </w:rPr>
        <w:t xml:space="preserve">was deemed </w:t>
      </w:r>
      <w:r w:rsidRPr="00737CF7">
        <w:rPr>
          <w:rFonts w:ascii="Courier New" w:hAnsi="Courier New" w:cs="Courier New"/>
        </w:rPr>
        <w:t xml:space="preserve">denied </w:t>
      </w:r>
      <w:r>
        <w:rPr>
          <w:rFonts w:ascii="Courier New" w:hAnsi="Courier New" w:cs="Courier New"/>
        </w:rPr>
        <w:t xml:space="preserve">on </w:t>
      </w:r>
      <w:r w:rsidR="003F7271">
        <w:rPr>
          <w:rFonts w:ascii="Courier New" w:hAnsi="Courier New" w:cs="Courier New"/>
        </w:rPr>
        <w:t>April 17, 2014</w:t>
      </w:r>
      <w:r w:rsidRPr="00737CF7">
        <w:rPr>
          <w:rFonts w:ascii="Courier New" w:hAnsi="Courier New" w:cs="Courier New"/>
        </w:rPr>
        <w:t xml:space="preserve">.  On </w:t>
      </w:r>
      <w:r w:rsidR="003F7271">
        <w:rPr>
          <w:rFonts w:ascii="Courier New" w:hAnsi="Courier New" w:cs="Courier New"/>
        </w:rPr>
        <w:t>July 16, 2014</w:t>
      </w:r>
      <w:r w:rsidRPr="00737CF7">
        <w:rPr>
          <w:rFonts w:ascii="Courier New" w:hAnsi="Courier New" w:cs="Courier New"/>
        </w:rPr>
        <w:t xml:space="preserve">, </w:t>
      </w:r>
      <w:r>
        <w:rPr>
          <w:rFonts w:ascii="Courier New" w:hAnsi="Courier New" w:cs="Courier New"/>
        </w:rPr>
        <w:t>in accordance with       G.L.</w:t>
      </w:r>
      <w:r w:rsidR="00DD6352">
        <w:rPr>
          <w:rFonts w:ascii="Courier New" w:hAnsi="Courier New" w:cs="Courier New"/>
        </w:rPr>
        <w:t> </w:t>
      </w:r>
      <w:r>
        <w:rPr>
          <w:rFonts w:ascii="Courier New" w:hAnsi="Courier New" w:cs="Courier New"/>
        </w:rPr>
        <w:t xml:space="preserve">c. 59, §§ 64 and 65, </w:t>
      </w:r>
      <w:r w:rsidRPr="00737CF7">
        <w:rPr>
          <w:rFonts w:ascii="Courier New" w:hAnsi="Courier New" w:cs="Courier New"/>
        </w:rPr>
        <w:t xml:space="preserve">the appellant seasonably filed an appeal with the Board. </w:t>
      </w:r>
    </w:p>
    <w:p w:rsidR="0005405C" w:rsidRDefault="0005405C" w:rsidP="0005405C">
      <w:pPr>
        <w:spacing w:line="480" w:lineRule="auto"/>
        <w:ind w:firstLine="720"/>
        <w:jc w:val="both"/>
        <w:rPr>
          <w:rFonts w:ascii="Courier New" w:hAnsi="Courier New" w:cs="Courier New"/>
        </w:rPr>
      </w:pPr>
      <w:r>
        <w:rPr>
          <w:rFonts w:ascii="Courier New" w:hAnsi="Courier New" w:cs="Courier New"/>
        </w:rPr>
        <w:t>At the hearing of these appea</w:t>
      </w:r>
      <w:r w:rsidR="00373DB0">
        <w:rPr>
          <w:rFonts w:ascii="Courier New" w:hAnsi="Courier New" w:cs="Courier New"/>
        </w:rPr>
        <w:t>ls, the assessors made an oral motion to d</w:t>
      </w:r>
      <w:r>
        <w:rPr>
          <w:rFonts w:ascii="Courier New" w:hAnsi="Courier New" w:cs="Courier New"/>
        </w:rPr>
        <w:t>ismiss</w:t>
      </w:r>
      <w:r w:rsidRPr="00737CF7">
        <w:rPr>
          <w:rFonts w:ascii="Courier New" w:hAnsi="Courier New" w:cs="Courier New"/>
        </w:rPr>
        <w:t xml:space="preserve"> </w:t>
      </w:r>
      <w:r>
        <w:rPr>
          <w:rFonts w:ascii="Courier New" w:hAnsi="Courier New" w:cs="Courier New"/>
        </w:rPr>
        <w:t>the appellant</w:t>
      </w:r>
      <w:r w:rsidR="00373DB0">
        <w:rPr>
          <w:rFonts w:ascii="Courier New" w:hAnsi="Courier New" w:cs="Courier New"/>
        </w:rPr>
        <w:t>’</w:t>
      </w:r>
      <w:r>
        <w:rPr>
          <w:rFonts w:ascii="Courier New" w:hAnsi="Courier New" w:cs="Courier New"/>
        </w:rPr>
        <w:t>s fiscal year 2013 appeal, a</w:t>
      </w:r>
      <w:r w:rsidR="00373DB0">
        <w:rPr>
          <w:rFonts w:ascii="Courier New" w:hAnsi="Courier New" w:cs="Courier New"/>
        </w:rPr>
        <w:t xml:space="preserve">rguing </w:t>
      </w:r>
      <w:r>
        <w:rPr>
          <w:rFonts w:ascii="Courier New" w:hAnsi="Courier New" w:cs="Courier New"/>
        </w:rPr>
        <w:t xml:space="preserve">that </w:t>
      </w:r>
      <w:r w:rsidR="00F61859">
        <w:rPr>
          <w:rFonts w:ascii="Courier New" w:hAnsi="Courier New" w:cs="Courier New"/>
        </w:rPr>
        <w:t>it</w:t>
      </w:r>
      <w:r w:rsidR="00373DB0">
        <w:rPr>
          <w:rFonts w:ascii="Courier New" w:hAnsi="Courier New" w:cs="Courier New"/>
        </w:rPr>
        <w:t xml:space="preserve"> </w:t>
      </w:r>
      <w:r>
        <w:rPr>
          <w:rFonts w:ascii="Courier New" w:hAnsi="Courier New" w:cs="Courier New"/>
        </w:rPr>
        <w:t>was not timely filed</w:t>
      </w:r>
      <w:r w:rsidR="00F61859">
        <w:rPr>
          <w:rFonts w:ascii="Courier New" w:hAnsi="Courier New" w:cs="Courier New"/>
        </w:rPr>
        <w:t xml:space="preserve"> with the Board</w:t>
      </w:r>
      <w:r>
        <w:rPr>
          <w:rFonts w:ascii="Courier New" w:hAnsi="Courier New" w:cs="Courier New"/>
        </w:rPr>
        <w:t xml:space="preserve">.  In support of their motion, the assessors submitted the affidavit of Jacquelyn Reid, the head clerk for the assessors.  Ms. Reid stated in her affidavit that her job with the assessors’ office is to process the abatement applications by logging them into the computer system, preparing them for the assessors’ review, and then sending notice of the assessors’ decision to the taxpayers.  Ms. Reid </w:t>
      </w:r>
      <w:r w:rsidR="004B5EB0">
        <w:rPr>
          <w:rFonts w:ascii="Courier New" w:hAnsi="Courier New" w:cs="Courier New"/>
        </w:rPr>
        <w:t>further stated in her affidavit</w:t>
      </w:r>
      <w:r>
        <w:rPr>
          <w:rFonts w:ascii="Courier New" w:hAnsi="Courier New" w:cs="Courier New"/>
        </w:rPr>
        <w:t xml:space="preserve"> that with respect to the appellant’s fiscal year 2013 abatement application, the assessors denied the application by vote on February 8, 2013 and, on February 11, 2013</w:t>
      </w:r>
      <w:r w:rsidR="00D926A6">
        <w:rPr>
          <w:rFonts w:ascii="Courier New" w:hAnsi="Courier New" w:cs="Courier New"/>
        </w:rPr>
        <w:t>,</w:t>
      </w:r>
      <w:r>
        <w:rPr>
          <w:rFonts w:ascii="Courier New" w:hAnsi="Courier New" w:cs="Courier New"/>
        </w:rPr>
        <w:t xml:space="preserve"> she processed and mailed the denial </w:t>
      </w:r>
      <w:r w:rsidR="0060418B">
        <w:rPr>
          <w:rFonts w:ascii="Courier New" w:hAnsi="Courier New" w:cs="Courier New"/>
        </w:rPr>
        <w:t xml:space="preserve">notice </w:t>
      </w:r>
      <w:r>
        <w:rPr>
          <w:rFonts w:ascii="Courier New" w:hAnsi="Courier New" w:cs="Courier New"/>
        </w:rPr>
        <w:t xml:space="preserve">to </w:t>
      </w:r>
      <w:r w:rsidR="004B5EB0">
        <w:rPr>
          <w:rFonts w:ascii="Courier New" w:hAnsi="Courier New" w:cs="Courier New"/>
        </w:rPr>
        <w:t>the appellant’s then counsel,</w:t>
      </w:r>
      <w:r>
        <w:rPr>
          <w:rFonts w:ascii="Courier New" w:hAnsi="Courier New" w:cs="Courier New"/>
        </w:rPr>
        <w:t xml:space="preserve"> </w:t>
      </w:r>
      <w:r w:rsidR="00373DB0">
        <w:rPr>
          <w:rFonts w:ascii="Courier New" w:hAnsi="Courier New" w:cs="Courier New"/>
        </w:rPr>
        <w:t xml:space="preserve">as </w:t>
      </w:r>
      <w:r w:rsidR="00373DB0">
        <w:rPr>
          <w:rFonts w:ascii="Courier New" w:hAnsi="Courier New" w:cs="Courier New"/>
        </w:rPr>
        <w:lastRenderedPageBreak/>
        <w:t xml:space="preserve">identified on and </w:t>
      </w:r>
      <w:r>
        <w:rPr>
          <w:rFonts w:ascii="Courier New" w:hAnsi="Courier New" w:cs="Courier New"/>
        </w:rPr>
        <w:t xml:space="preserve">pursuant to the appellant’s abatement application. </w:t>
      </w:r>
    </w:p>
    <w:p w:rsidR="0005405C" w:rsidRDefault="0005405C" w:rsidP="0005405C">
      <w:pPr>
        <w:spacing w:line="480" w:lineRule="auto"/>
        <w:ind w:firstLine="720"/>
        <w:jc w:val="both"/>
        <w:rPr>
          <w:rFonts w:ascii="Courier New" w:hAnsi="Courier New" w:cs="Courier New"/>
        </w:rPr>
      </w:pPr>
      <w:r>
        <w:rPr>
          <w:rFonts w:ascii="Courier New" w:hAnsi="Courier New" w:cs="Courier New"/>
        </w:rPr>
        <w:t xml:space="preserve">The appellant, however, maintained that it did not receive the assessors’ fiscal year 2013 denial notice.  In support </w:t>
      </w:r>
      <w:r w:rsidR="005C3E65">
        <w:rPr>
          <w:rFonts w:ascii="Courier New" w:hAnsi="Courier New" w:cs="Courier New"/>
        </w:rPr>
        <w:t>of its position</w:t>
      </w:r>
      <w:r>
        <w:rPr>
          <w:rFonts w:ascii="Courier New" w:hAnsi="Courier New" w:cs="Courier New"/>
        </w:rPr>
        <w:t xml:space="preserve">, the appellant presented the affidavit of Justine T. Mahoney, a paralegal with the law firm of </w:t>
      </w:r>
      <w:r w:rsidR="00AB51B9">
        <w:rPr>
          <w:rFonts w:ascii="Courier New" w:hAnsi="Courier New" w:cs="Courier New"/>
        </w:rPr>
        <w:t>the appellant’s then counsel</w:t>
      </w:r>
      <w:r>
        <w:rPr>
          <w:rFonts w:ascii="Courier New" w:hAnsi="Courier New" w:cs="Courier New"/>
        </w:rPr>
        <w:t xml:space="preserve"> since 2004.  Ms. Mahoney st</w:t>
      </w:r>
      <w:r w:rsidR="004B5EB0">
        <w:rPr>
          <w:rFonts w:ascii="Courier New" w:hAnsi="Courier New" w:cs="Courier New"/>
        </w:rPr>
        <w:t xml:space="preserve">ated in her affidavit that </w:t>
      </w:r>
      <w:r>
        <w:rPr>
          <w:rFonts w:ascii="Courier New" w:hAnsi="Courier New" w:cs="Courier New"/>
        </w:rPr>
        <w:t>since 2011 her main responsibilities include tracking deadlines for and preparation and filing of real estate tax abatement applications with the local board</w:t>
      </w:r>
      <w:r w:rsidR="005C3E65">
        <w:rPr>
          <w:rFonts w:ascii="Courier New" w:hAnsi="Courier New" w:cs="Courier New"/>
        </w:rPr>
        <w:t>s</w:t>
      </w:r>
      <w:r>
        <w:rPr>
          <w:rFonts w:ascii="Courier New" w:hAnsi="Courier New" w:cs="Courier New"/>
        </w:rPr>
        <w:t xml:space="preserve"> of assessors and subsequent appeals with the Board.  A</w:t>
      </w:r>
      <w:r w:rsidR="005C3E65">
        <w:rPr>
          <w:rFonts w:ascii="Courier New" w:hAnsi="Courier New" w:cs="Courier New"/>
        </w:rPr>
        <w:t xml:space="preserve">s </w:t>
      </w:r>
      <w:r>
        <w:rPr>
          <w:rFonts w:ascii="Courier New" w:hAnsi="Courier New" w:cs="Courier New"/>
        </w:rPr>
        <w:t>part of her daily responsibilities, she receive</w:t>
      </w:r>
      <w:r w:rsidR="004B5EB0">
        <w:rPr>
          <w:rFonts w:ascii="Courier New" w:hAnsi="Courier New" w:cs="Courier New"/>
        </w:rPr>
        <w:t>d</w:t>
      </w:r>
      <w:r>
        <w:rPr>
          <w:rFonts w:ascii="Courier New" w:hAnsi="Courier New" w:cs="Courier New"/>
        </w:rPr>
        <w:t xml:space="preserve"> and open</w:t>
      </w:r>
      <w:r w:rsidR="004B5EB0">
        <w:rPr>
          <w:rFonts w:ascii="Courier New" w:hAnsi="Courier New" w:cs="Courier New"/>
        </w:rPr>
        <w:t>ed</w:t>
      </w:r>
      <w:r>
        <w:rPr>
          <w:rFonts w:ascii="Courier New" w:hAnsi="Courier New" w:cs="Courier New"/>
        </w:rPr>
        <w:t xml:space="preserve"> all mail delivered to the office and docket</w:t>
      </w:r>
      <w:r w:rsidR="004B5EB0">
        <w:rPr>
          <w:rFonts w:ascii="Courier New" w:hAnsi="Courier New" w:cs="Courier New"/>
        </w:rPr>
        <w:t>ed</w:t>
      </w:r>
      <w:r>
        <w:rPr>
          <w:rFonts w:ascii="Courier New" w:hAnsi="Courier New" w:cs="Courier New"/>
        </w:rPr>
        <w:t xml:space="preserve"> receipts of abatement denials.</w:t>
      </w:r>
    </w:p>
    <w:p w:rsidR="00AB51B9" w:rsidRDefault="0005405C" w:rsidP="00AB51B9">
      <w:pPr>
        <w:spacing w:line="480" w:lineRule="auto"/>
        <w:ind w:firstLine="720"/>
        <w:jc w:val="both"/>
        <w:rPr>
          <w:rFonts w:ascii="Courier New" w:hAnsi="Courier New" w:cs="Courier New"/>
        </w:rPr>
      </w:pPr>
      <w:r>
        <w:rPr>
          <w:rFonts w:ascii="Courier New" w:hAnsi="Courier New" w:cs="Courier New"/>
        </w:rPr>
        <w:t>According to Ms. Mahoney, o</w:t>
      </w:r>
      <w:r w:rsidR="005C3E65">
        <w:rPr>
          <w:rFonts w:ascii="Courier New" w:hAnsi="Courier New" w:cs="Courier New"/>
        </w:rPr>
        <w:t>n or about January 29</w:t>
      </w:r>
      <w:r w:rsidR="004B5EB0">
        <w:rPr>
          <w:rFonts w:ascii="Courier New" w:hAnsi="Courier New" w:cs="Courier New"/>
        </w:rPr>
        <w:t>, 2013,</w:t>
      </w:r>
      <w:r>
        <w:rPr>
          <w:rFonts w:ascii="Courier New" w:hAnsi="Courier New" w:cs="Courier New"/>
        </w:rPr>
        <w:t xml:space="preserve"> she received </w:t>
      </w:r>
      <w:r w:rsidR="004B5EB0">
        <w:rPr>
          <w:rFonts w:ascii="Courier New" w:hAnsi="Courier New" w:cs="Courier New"/>
        </w:rPr>
        <w:t xml:space="preserve">from the assessors </w:t>
      </w:r>
      <w:r>
        <w:rPr>
          <w:rFonts w:ascii="Courier New" w:hAnsi="Courier New" w:cs="Courier New"/>
        </w:rPr>
        <w:t>a date-stamped copy of the appellant’s abatement application, which indicated that it was received by the assessors on January 25, 2013.  She further stated th</w:t>
      </w:r>
      <w:r w:rsidR="001E4271">
        <w:rPr>
          <w:rFonts w:ascii="Courier New" w:hAnsi="Courier New" w:cs="Courier New"/>
        </w:rPr>
        <w:t>at</w:t>
      </w:r>
      <w:r>
        <w:rPr>
          <w:rFonts w:ascii="Courier New" w:hAnsi="Courier New" w:cs="Courier New"/>
        </w:rPr>
        <w:t xml:space="preserve"> she did not receive any other documentation as it relate</w:t>
      </w:r>
      <w:r w:rsidR="004B5EB0">
        <w:rPr>
          <w:rFonts w:ascii="Courier New" w:hAnsi="Courier New" w:cs="Courier New"/>
        </w:rPr>
        <w:t>d</w:t>
      </w:r>
      <w:r>
        <w:rPr>
          <w:rFonts w:ascii="Courier New" w:hAnsi="Courier New" w:cs="Courier New"/>
        </w:rPr>
        <w:t xml:space="preserve"> to the appellant’s fiscal year 2013 abatement application.  Accordingly, on or about July 23, 2013, Ms.</w:t>
      </w:r>
      <w:r w:rsidR="00DD6352">
        <w:rPr>
          <w:rFonts w:ascii="Courier New" w:hAnsi="Courier New" w:cs="Courier New"/>
        </w:rPr>
        <w:t> </w:t>
      </w:r>
      <w:r>
        <w:rPr>
          <w:rFonts w:ascii="Courier New" w:hAnsi="Courier New" w:cs="Courier New"/>
        </w:rPr>
        <w:t>Mahoney arranged for the appellant’s signed appeal to be filed with the Board</w:t>
      </w:r>
      <w:r w:rsidR="003A3981">
        <w:rPr>
          <w:rFonts w:ascii="Courier New" w:hAnsi="Courier New" w:cs="Courier New"/>
        </w:rPr>
        <w:t xml:space="preserve"> within </w:t>
      </w:r>
      <w:r w:rsidR="00BA7711">
        <w:rPr>
          <w:rFonts w:ascii="Courier New" w:hAnsi="Courier New" w:cs="Courier New"/>
        </w:rPr>
        <w:t xml:space="preserve">3 </w:t>
      </w:r>
      <w:r w:rsidR="003A3981">
        <w:rPr>
          <w:rFonts w:ascii="Courier New" w:hAnsi="Courier New" w:cs="Courier New"/>
        </w:rPr>
        <w:t>months of the deemed denial date</w:t>
      </w:r>
      <w:r>
        <w:rPr>
          <w:rFonts w:ascii="Courier New" w:hAnsi="Courier New" w:cs="Courier New"/>
        </w:rPr>
        <w:t xml:space="preserve">.  Lastly, Ms. Mahoney stated that upon further review of the law firm’s abatement filings for </w:t>
      </w:r>
      <w:r w:rsidR="008E6B73">
        <w:rPr>
          <w:rFonts w:ascii="Courier New" w:hAnsi="Courier New" w:cs="Courier New"/>
        </w:rPr>
        <w:t xml:space="preserve">other </w:t>
      </w:r>
      <w:r>
        <w:rPr>
          <w:rFonts w:ascii="Courier New" w:hAnsi="Courier New" w:cs="Courier New"/>
        </w:rPr>
        <w:t xml:space="preserve">properties located in Quincy </w:t>
      </w:r>
      <w:r>
        <w:rPr>
          <w:rFonts w:ascii="Courier New" w:hAnsi="Courier New" w:cs="Courier New"/>
        </w:rPr>
        <w:lastRenderedPageBreak/>
        <w:t>for fiscal year 2013</w:t>
      </w:r>
      <w:r w:rsidR="003A3981">
        <w:rPr>
          <w:rFonts w:ascii="Courier New" w:hAnsi="Courier New" w:cs="Courier New"/>
        </w:rPr>
        <w:t xml:space="preserve"> -</w:t>
      </w:r>
      <w:r>
        <w:rPr>
          <w:rFonts w:ascii="Courier New" w:hAnsi="Courier New" w:cs="Courier New"/>
        </w:rPr>
        <w:t xml:space="preserve"> </w:t>
      </w:r>
      <w:r w:rsidR="00BA7711">
        <w:rPr>
          <w:rFonts w:ascii="Courier New" w:hAnsi="Courier New" w:cs="Courier New"/>
        </w:rPr>
        <w:t>30</w:t>
      </w:r>
      <w:r>
        <w:rPr>
          <w:rFonts w:ascii="Courier New" w:hAnsi="Courier New" w:cs="Courier New"/>
        </w:rPr>
        <w:t xml:space="preserve"> in total</w:t>
      </w:r>
      <w:r w:rsidR="003A3981">
        <w:rPr>
          <w:rFonts w:ascii="Courier New" w:hAnsi="Courier New" w:cs="Courier New"/>
        </w:rPr>
        <w:t xml:space="preserve"> -</w:t>
      </w:r>
      <w:r>
        <w:rPr>
          <w:rFonts w:ascii="Courier New" w:hAnsi="Courier New" w:cs="Courier New"/>
        </w:rPr>
        <w:t xml:space="preserve"> sh</w:t>
      </w:r>
      <w:r w:rsidR="00BA7711">
        <w:rPr>
          <w:rFonts w:ascii="Courier New" w:hAnsi="Courier New" w:cs="Courier New"/>
        </w:rPr>
        <w:t>e received only 7 denials from the assessors</w:t>
      </w:r>
      <w:r>
        <w:rPr>
          <w:rFonts w:ascii="Courier New" w:hAnsi="Courier New" w:cs="Courier New"/>
        </w:rPr>
        <w:t xml:space="preserve">.  </w:t>
      </w:r>
    </w:p>
    <w:p w:rsidR="0005405C" w:rsidRDefault="0005405C" w:rsidP="00AB51B9">
      <w:pPr>
        <w:spacing w:line="480" w:lineRule="auto"/>
        <w:ind w:firstLine="720"/>
        <w:jc w:val="both"/>
        <w:rPr>
          <w:rFonts w:ascii="Courier New" w:hAnsi="Courier New" w:cs="Courier New"/>
        </w:rPr>
      </w:pPr>
      <w:r>
        <w:rPr>
          <w:rFonts w:ascii="Courier New" w:hAnsi="Courier New" w:cs="Courier New"/>
        </w:rPr>
        <w:t>Based on the evidence presented, the Board found that the appellant did not receive the assessors’ denial notice dated February 8, 2013 and, for the reasons more fully explained in the following Opinion, the Board found that the appellant’s appeal, filed on July 23, 2013</w:t>
      </w:r>
      <w:r w:rsidR="00F61859">
        <w:rPr>
          <w:rFonts w:ascii="Courier New" w:hAnsi="Courier New" w:cs="Courier New"/>
        </w:rPr>
        <w:t>,</w:t>
      </w:r>
      <w:r w:rsidR="003A3981">
        <w:rPr>
          <w:rFonts w:ascii="Courier New" w:hAnsi="Courier New" w:cs="Courier New"/>
        </w:rPr>
        <w:t xml:space="preserve"> within </w:t>
      </w:r>
      <w:r w:rsidR="00BA7711">
        <w:rPr>
          <w:rFonts w:ascii="Courier New" w:hAnsi="Courier New" w:cs="Courier New"/>
        </w:rPr>
        <w:t>3</w:t>
      </w:r>
      <w:r w:rsidR="003A3981">
        <w:rPr>
          <w:rFonts w:ascii="Courier New" w:hAnsi="Courier New" w:cs="Courier New"/>
        </w:rPr>
        <w:t xml:space="preserve"> months of the deemed denial date</w:t>
      </w:r>
      <w:r w:rsidR="001E4271">
        <w:rPr>
          <w:rFonts w:ascii="Courier New" w:hAnsi="Courier New" w:cs="Courier New"/>
        </w:rPr>
        <w:t xml:space="preserve"> of April 25, 2013</w:t>
      </w:r>
      <w:r>
        <w:rPr>
          <w:rFonts w:ascii="Courier New" w:hAnsi="Courier New" w:cs="Courier New"/>
        </w:rPr>
        <w:t xml:space="preserve">, was timely. </w:t>
      </w:r>
    </w:p>
    <w:p w:rsidR="00CE3F9F" w:rsidRDefault="002F76D4" w:rsidP="002F76D4">
      <w:pPr>
        <w:spacing w:line="480" w:lineRule="auto"/>
        <w:ind w:firstLine="720"/>
        <w:jc w:val="both"/>
        <w:rPr>
          <w:rFonts w:ascii="Courier New" w:hAnsi="Courier New" w:cs="Courier New"/>
        </w:rPr>
      </w:pPr>
      <w:r w:rsidRPr="00737CF7">
        <w:rPr>
          <w:rFonts w:ascii="Courier New" w:hAnsi="Courier New" w:cs="Courier New"/>
        </w:rPr>
        <w:t>On the basis of these facts, the Board found and ruled that it had jurisdiction to hear and decide these appeals.</w:t>
      </w:r>
      <w:r w:rsidR="003B5E34">
        <w:rPr>
          <w:rFonts w:ascii="Courier New" w:hAnsi="Courier New" w:cs="Courier New"/>
        </w:rPr>
        <w:t xml:space="preserve"> </w:t>
      </w:r>
    </w:p>
    <w:p w:rsidR="00DD6352" w:rsidRDefault="00DD6352" w:rsidP="002F76D4">
      <w:pPr>
        <w:spacing w:line="480" w:lineRule="auto"/>
        <w:ind w:firstLine="720"/>
        <w:jc w:val="both"/>
        <w:rPr>
          <w:rFonts w:ascii="Courier New" w:hAnsi="Courier New" w:cs="Courier New"/>
        </w:rPr>
      </w:pPr>
    </w:p>
    <w:p w:rsidR="00631FDE" w:rsidRDefault="002B6B66" w:rsidP="00631FDE">
      <w:pPr>
        <w:numPr>
          <w:ilvl w:val="0"/>
          <w:numId w:val="1"/>
        </w:numPr>
        <w:spacing w:line="480" w:lineRule="auto"/>
        <w:jc w:val="both"/>
        <w:rPr>
          <w:rFonts w:ascii="Courier New" w:hAnsi="Courier New" w:cs="Courier New"/>
          <w:b/>
        </w:rPr>
      </w:pPr>
      <w:r>
        <w:rPr>
          <w:rFonts w:ascii="Courier New" w:hAnsi="Courier New" w:cs="Courier New"/>
          <w:b/>
        </w:rPr>
        <w:t xml:space="preserve">The </w:t>
      </w:r>
      <w:r w:rsidR="00631FDE" w:rsidRPr="00631FDE">
        <w:rPr>
          <w:rFonts w:ascii="Courier New" w:hAnsi="Courier New" w:cs="Courier New"/>
          <w:b/>
        </w:rPr>
        <w:t>Appellant’s Case-in-</w:t>
      </w:r>
      <w:r w:rsidR="00631FDE">
        <w:rPr>
          <w:rFonts w:ascii="Courier New" w:hAnsi="Courier New" w:cs="Courier New"/>
          <w:b/>
        </w:rPr>
        <w:t>C</w:t>
      </w:r>
      <w:r w:rsidR="00631FDE" w:rsidRPr="00631FDE">
        <w:rPr>
          <w:rFonts w:ascii="Courier New" w:hAnsi="Courier New" w:cs="Courier New"/>
          <w:b/>
        </w:rPr>
        <w:t>hief</w:t>
      </w:r>
    </w:p>
    <w:p w:rsidR="003856D5" w:rsidRPr="00AE3B1C" w:rsidRDefault="00B45497" w:rsidP="000F0772">
      <w:pPr>
        <w:spacing w:line="480" w:lineRule="auto"/>
        <w:ind w:firstLine="720"/>
        <w:jc w:val="both"/>
        <w:rPr>
          <w:rFonts w:ascii="Courier New" w:hAnsi="Courier New" w:cs="Courier New"/>
          <w:b/>
        </w:rPr>
      </w:pPr>
      <w:r>
        <w:rPr>
          <w:rFonts w:ascii="Courier New" w:hAnsi="Courier New" w:cs="Courier New"/>
        </w:rPr>
        <w:t xml:space="preserve">The appellant presented its case-in-chief </w:t>
      </w:r>
      <w:r w:rsidR="00EA1D75">
        <w:rPr>
          <w:rFonts w:ascii="Courier New" w:hAnsi="Courier New" w:cs="Courier New"/>
        </w:rPr>
        <w:t xml:space="preserve">primarily </w:t>
      </w:r>
      <w:r>
        <w:rPr>
          <w:rFonts w:ascii="Courier New" w:hAnsi="Courier New" w:cs="Courier New"/>
        </w:rPr>
        <w:t xml:space="preserve">through the </w:t>
      </w:r>
      <w:r w:rsidR="00DF0BBA">
        <w:rPr>
          <w:rFonts w:ascii="Courier New" w:hAnsi="Courier New" w:cs="Courier New"/>
        </w:rPr>
        <w:t>testimony</w:t>
      </w:r>
      <w:r w:rsidR="00BD6D30">
        <w:rPr>
          <w:rFonts w:ascii="Courier New" w:hAnsi="Courier New" w:cs="Courier New"/>
        </w:rPr>
        <w:t xml:space="preserve"> </w:t>
      </w:r>
      <w:r w:rsidR="00C90B0E">
        <w:rPr>
          <w:rFonts w:ascii="Courier New" w:hAnsi="Courier New" w:cs="Courier New"/>
        </w:rPr>
        <w:t xml:space="preserve">and appraisal report of John A. Shuka, a certified general </w:t>
      </w:r>
      <w:r w:rsidR="007F1191">
        <w:rPr>
          <w:rFonts w:ascii="Courier New" w:hAnsi="Courier New" w:cs="Courier New"/>
        </w:rPr>
        <w:t xml:space="preserve">real estate appraiser, </w:t>
      </w:r>
      <w:r w:rsidR="00957F2D">
        <w:rPr>
          <w:rFonts w:ascii="Courier New" w:hAnsi="Courier New" w:cs="Courier New"/>
        </w:rPr>
        <w:t xml:space="preserve">whom the Board qualified as an expert witness in the area of commercial real estate valuation.  </w:t>
      </w:r>
      <w:r w:rsidR="00510263">
        <w:rPr>
          <w:rFonts w:ascii="Courier New" w:hAnsi="Courier New" w:cs="Courier New"/>
        </w:rPr>
        <w:t xml:space="preserve">After determining that the </w:t>
      </w:r>
      <w:r w:rsidR="00080E61">
        <w:rPr>
          <w:rFonts w:ascii="Courier New" w:hAnsi="Courier New" w:cs="Courier New"/>
        </w:rPr>
        <w:t xml:space="preserve">subject property’s </w:t>
      </w:r>
      <w:r w:rsidR="00353186">
        <w:rPr>
          <w:rFonts w:ascii="Courier New" w:hAnsi="Courier New" w:cs="Courier New"/>
        </w:rPr>
        <w:t>highest</w:t>
      </w:r>
      <w:r w:rsidR="001E4271">
        <w:rPr>
          <w:rFonts w:ascii="Courier New" w:hAnsi="Courier New" w:cs="Courier New"/>
        </w:rPr>
        <w:t>-</w:t>
      </w:r>
      <w:r w:rsidR="00353186">
        <w:rPr>
          <w:rFonts w:ascii="Courier New" w:hAnsi="Courier New" w:cs="Courier New"/>
        </w:rPr>
        <w:t>and</w:t>
      </w:r>
      <w:r w:rsidR="001E4271">
        <w:rPr>
          <w:rFonts w:ascii="Courier New" w:hAnsi="Courier New" w:cs="Courier New"/>
        </w:rPr>
        <w:t>-</w:t>
      </w:r>
      <w:r w:rsidR="00353186">
        <w:rPr>
          <w:rFonts w:ascii="Courier New" w:hAnsi="Courier New" w:cs="Courier New"/>
        </w:rPr>
        <w:t xml:space="preserve">best use was </w:t>
      </w:r>
      <w:r w:rsidR="00510263">
        <w:rPr>
          <w:rFonts w:ascii="Courier New" w:hAnsi="Courier New" w:cs="Courier New"/>
        </w:rPr>
        <w:t xml:space="preserve">its </w:t>
      </w:r>
      <w:r w:rsidR="00FF02FC">
        <w:rPr>
          <w:rFonts w:ascii="Courier New" w:hAnsi="Courier New" w:cs="Courier New"/>
        </w:rPr>
        <w:t xml:space="preserve">continued </w:t>
      </w:r>
      <w:r w:rsidR="00190776">
        <w:rPr>
          <w:rFonts w:ascii="Courier New" w:hAnsi="Courier New" w:cs="Courier New"/>
        </w:rPr>
        <w:t>use as a retail build</w:t>
      </w:r>
      <w:r w:rsidR="00510263">
        <w:rPr>
          <w:rFonts w:ascii="Courier New" w:hAnsi="Courier New" w:cs="Courier New"/>
        </w:rPr>
        <w:t xml:space="preserve">ing, Mr. </w:t>
      </w:r>
      <w:r w:rsidR="007E3F2E">
        <w:rPr>
          <w:rFonts w:ascii="Courier New" w:hAnsi="Courier New" w:cs="Courier New"/>
        </w:rPr>
        <w:t>Shuka</w:t>
      </w:r>
      <w:r w:rsidR="00510263">
        <w:rPr>
          <w:rFonts w:ascii="Courier New" w:hAnsi="Courier New" w:cs="Courier New"/>
        </w:rPr>
        <w:t xml:space="preserve"> considered the </w:t>
      </w:r>
      <w:r w:rsidR="00F55F0B">
        <w:rPr>
          <w:rFonts w:ascii="Courier New" w:hAnsi="Courier New" w:cs="Courier New"/>
        </w:rPr>
        <w:t>3</w:t>
      </w:r>
      <w:r w:rsidR="00510263">
        <w:rPr>
          <w:rFonts w:ascii="Courier New" w:hAnsi="Courier New" w:cs="Courier New"/>
        </w:rPr>
        <w:t xml:space="preserve"> usual methods for estimating the value of the subject property for the fiscal years at issue.</w:t>
      </w:r>
      <w:r w:rsidR="003856D5">
        <w:rPr>
          <w:rFonts w:ascii="Courier New" w:hAnsi="Courier New" w:cs="Courier New"/>
        </w:rPr>
        <w:t xml:space="preserve">  </w:t>
      </w:r>
      <w:r w:rsidR="00416CB4">
        <w:rPr>
          <w:rFonts w:ascii="Courier New" w:hAnsi="Courier New" w:cs="Courier New"/>
          <w:color w:val="333333"/>
        </w:rPr>
        <w:t xml:space="preserve">Mr. </w:t>
      </w:r>
      <w:r w:rsidR="007E3F2E">
        <w:rPr>
          <w:rFonts w:ascii="Courier New" w:hAnsi="Courier New" w:cs="Courier New"/>
          <w:color w:val="333333"/>
        </w:rPr>
        <w:t>Shuka</w:t>
      </w:r>
      <w:r w:rsidR="00416CB4" w:rsidRPr="006D23C1">
        <w:rPr>
          <w:rFonts w:ascii="Courier New" w:hAnsi="Courier New" w:cs="Courier New"/>
          <w:color w:val="333333"/>
        </w:rPr>
        <w:t xml:space="preserve"> considered his direct income-capitalization approach to be the </w:t>
      </w:r>
      <w:r w:rsidR="00416CB4" w:rsidRPr="006D23C1">
        <w:rPr>
          <w:rFonts w:ascii="Courier New" w:hAnsi="Courier New" w:cs="Courier New"/>
          <w:color w:val="333333"/>
        </w:rPr>
        <w:lastRenderedPageBreak/>
        <w:t>most viable methodology to use to estimate the fair cash value of the subject property for the fiscal years at issue.</w:t>
      </w:r>
      <w:r w:rsidR="00851088">
        <w:rPr>
          <w:rStyle w:val="FootnoteReference"/>
          <w:rFonts w:ascii="Courier New" w:hAnsi="Courier New" w:cs="Courier New"/>
        </w:rPr>
        <w:footnoteReference w:id="4"/>
      </w:r>
      <w:r w:rsidR="00CD273D">
        <w:rPr>
          <w:rFonts w:ascii="Courier New" w:hAnsi="Courier New" w:cs="Courier New"/>
        </w:rPr>
        <w:t xml:space="preserve"> </w:t>
      </w:r>
    </w:p>
    <w:p w:rsidR="00B72484" w:rsidRDefault="00C50007" w:rsidP="0093645D">
      <w:pPr>
        <w:spacing w:line="480" w:lineRule="auto"/>
        <w:ind w:firstLine="720"/>
        <w:jc w:val="both"/>
        <w:rPr>
          <w:rFonts w:ascii="Courier New" w:hAnsi="Courier New" w:cs="Courier New"/>
        </w:rPr>
      </w:pPr>
      <w:r w:rsidRPr="00233A91">
        <w:rPr>
          <w:rFonts w:ascii="Courier New" w:hAnsi="Courier New" w:cs="Courier New"/>
        </w:rPr>
        <w:t xml:space="preserve">The first step in Mr. </w:t>
      </w:r>
      <w:r w:rsidR="009567F4">
        <w:rPr>
          <w:rFonts w:ascii="Courier New" w:hAnsi="Courier New" w:cs="Courier New"/>
        </w:rPr>
        <w:t xml:space="preserve">Shuka’s </w:t>
      </w:r>
      <w:r w:rsidRPr="00233A91">
        <w:rPr>
          <w:rFonts w:ascii="Courier New" w:hAnsi="Courier New" w:cs="Courier New"/>
        </w:rPr>
        <w:t>income-capitalization a</w:t>
      </w:r>
      <w:r w:rsidR="0057449A">
        <w:rPr>
          <w:rFonts w:ascii="Courier New" w:hAnsi="Courier New" w:cs="Courier New"/>
        </w:rPr>
        <w:t>nalyse</w:t>
      </w:r>
      <w:r w:rsidR="00123A60" w:rsidRPr="00233A91">
        <w:rPr>
          <w:rFonts w:ascii="Courier New" w:hAnsi="Courier New" w:cs="Courier New"/>
        </w:rPr>
        <w:t xml:space="preserve">s </w:t>
      </w:r>
      <w:r w:rsidRPr="00233A91">
        <w:rPr>
          <w:rFonts w:ascii="Courier New" w:hAnsi="Courier New" w:cs="Courier New"/>
        </w:rPr>
        <w:t>was to determine the subject propert</w:t>
      </w:r>
      <w:r w:rsidR="009A6585" w:rsidRPr="00233A91">
        <w:rPr>
          <w:rFonts w:ascii="Courier New" w:hAnsi="Courier New" w:cs="Courier New"/>
        </w:rPr>
        <w:t>y’</w:t>
      </w:r>
      <w:r w:rsidR="0030074B" w:rsidRPr="00233A91">
        <w:rPr>
          <w:rFonts w:ascii="Courier New" w:hAnsi="Courier New" w:cs="Courier New"/>
        </w:rPr>
        <w:t>s potential gross revenue</w:t>
      </w:r>
      <w:r w:rsidR="00123A60" w:rsidRPr="00233A91">
        <w:rPr>
          <w:rFonts w:ascii="Courier New" w:hAnsi="Courier New" w:cs="Courier New"/>
        </w:rPr>
        <w:t xml:space="preserve"> for each of the fiscal years at issue</w:t>
      </w:r>
      <w:r w:rsidR="00B36C63" w:rsidRPr="00233A91">
        <w:rPr>
          <w:rFonts w:ascii="Courier New" w:hAnsi="Courier New" w:cs="Courier New"/>
        </w:rPr>
        <w:t xml:space="preserve">. </w:t>
      </w:r>
      <w:r w:rsidR="00627F92" w:rsidRPr="00233A91">
        <w:rPr>
          <w:rFonts w:ascii="Courier New" w:hAnsi="Courier New" w:cs="Courier New"/>
        </w:rPr>
        <w:t xml:space="preserve"> </w:t>
      </w:r>
      <w:r w:rsidR="00F61859">
        <w:rPr>
          <w:rFonts w:ascii="Courier New" w:hAnsi="Courier New" w:cs="Courier New"/>
        </w:rPr>
        <w:t>To accomplish this step</w:t>
      </w:r>
      <w:r w:rsidR="00785882">
        <w:rPr>
          <w:rFonts w:ascii="Courier New" w:hAnsi="Courier New" w:cs="Courier New"/>
        </w:rPr>
        <w:t xml:space="preserve">, </w:t>
      </w:r>
      <w:r w:rsidR="00500B75">
        <w:rPr>
          <w:rFonts w:ascii="Courier New" w:hAnsi="Courier New" w:cs="Courier New"/>
        </w:rPr>
        <w:t xml:space="preserve">Mr. Shuka </w:t>
      </w:r>
      <w:r w:rsidR="00F61859">
        <w:rPr>
          <w:rFonts w:ascii="Courier New" w:hAnsi="Courier New" w:cs="Courier New"/>
        </w:rPr>
        <w:t xml:space="preserve">researched and </w:t>
      </w:r>
      <w:r w:rsidR="00CD4F76">
        <w:rPr>
          <w:rFonts w:ascii="Courier New" w:hAnsi="Courier New" w:cs="Courier New"/>
        </w:rPr>
        <w:t xml:space="preserve">relied on </w:t>
      </w:r>
      <w:r w:rsidR="001E4271">
        <w:rPr>
          <w:rFonts w:ascii="Courier New" w:hAnsi="Courier New" w:cs="Courier New"/>
        </w:rPr>
        <w:t>8</w:t>
      </w:r>
      <w:r w:rsidR="00DB3B02">
        <w:rPr>
          <w:rFonts w:ascii="Courier New" w:hAnsi="Courier New" w:cs="Courier New"/>
        </w:rPr>
        <w:t xml:space="preserve"> </w:t>
      </w:r>
      <w:r w:rsidR="0078782E">
        <w:rPr>
          <w:rFonts w:ascii="Courier New" w:hAnsi="Courier New" w:cs="Courier New"/>
        </w:rPr>
        <w:t>purportedly comparable re</w:t>
      </w:r>
      <w:r w:rsidR="00491E4C">
        <w:rPr>
          <w:rFonts w:ascii="Courier New" w:hAnsi="Courier New" w:cs="Courier New"/>
        </w:rPr>
        <w:t xml:space="preserve">tail </w:t>
      </w:r>
      <w:r w:rsidR="0078782E">
        <w:rPr>
          <w:rFonts w:ascii="Courier New" w:hAnsi="Courier New" w:cs="Courier New"/>
        </w:rPr>
        <w:t>leases</w:t>
      </w:r>
      <w:r w:rsidR="00DB3B02">
        <w:rPr>
          <w:rFonts w:ascii="Courier New" w:hAnsi="Courier New" w:cs="Courier New"/>
        </w:rPr>
        <w:t xml:space="preserve">, </w:t>
      </w:r>
      <w:r w:rsidR="00F61859">
        <w:rPr>
          <w:rFonts w:ascii="Courier New" w:hAnsi="Courier New" w:cs="Courier New"/>
        </w:rPr>
        <w:t>which</w:t>
      </w:r>
      <w:r w:rsidR="00D37F26">
        <w:rPr>
          <w:rFonts w:ascii="Courier New" w:hAnsi="Courier New" w:cs="Courier New"/>
        </w:rPr>
        <w:t xml:space="preserve"> </w:t>
      </w:r>
      <w:r w:rsidR="00DB3B02">
        <w:rPr>
          <w:rFonts w:ascii="Courier New" w:hAnsi="Courier New" w:cs="Courier New"/>
        </w:rPr>
        <w:t>includ</w:t>
      </w:r>
      <w:r w:rsidR="00D37F26">
        <w:rPr>
          <w:rFonts w:ascii="Courier New" w:hAnsi="Courier New" w:cs="Courier New"/>
        </w:rPr>
        <w:t>ed</w:t>
      </w:r>
      <w:r w:rsidR="001E4271">
        <w:rPr>
          <w:rFonts w:ascii="Courier New" w:hAnsi="Courier New" w:cs="Courier New"/>
        </w:rPr>
        <w:t xml:space="preserve"> 3</w:t>
      </w:r>
      <w:r w:rsidR="00DB3B02">
        <w:rPr>
          <w:rFonts w:ascii="Courier New" w:hAnsi="Courier New" w:cs="Courier New"/>
        </w:rPr>
        <w:t xml:space="preserve"> build-to-suit leases,</w:t>
      </w:r>
      <w:r w:rsidR="0078782E">
        <w:rPr>
          <w:rFonts w:ascii="Courier New" w:hAnsi="Courier New" w:cs="Courier New"/>
        </w:rPr>
        <w:t xml:space="preserve"> to assist in estimating market rents for the subject property.</w:t>
      </w:r>
      <w:r w:rsidR="004E1EF2">
        <w:rPr>
          <w:rFonts w:ascii="Courier New" w:hAnsi="Courier New" w:cs="Courier New"/>
        </w:rPr>
        <w:t xml:space="preserve">  Relevant information regarding Mr. </w:t>
      </w:r>
      <w:r w:rsidR="007E3F2E">
        <w:rPr>
          <w:rFonts w:ascii="Courier New" w:hAnsi="Courier New" w:cs="Courier New"/>
        </w:rPr>
        <w:t>Shuka</w:t>
      </w:r>
      <w:r w:rsidR="004E1EF2">
        <w:rPr>
          <w:rFonts w:ascii="Courier New" w:hAnsi="Courier New" w:cs="Courier New"/>
        </w:rPr>
        <w:t xml:space="preserve">’s </w:t>
      </w:r>
      <w:r w:rsidR="00B34EEB">
        <w:rPr>
          <w:rFonts w:ascii="Courier New" w:hAnsi="Courier New" w:cs="Courier New"/>
        </w:rPr>
        <w:t xml:space="preserve">purportedly </w:t>
      </w:r>
      <w:r w:rsidR="004E1EF2">
        <w:rPr>
          <w:rFonts w:ascii="Courier New" w:hAnsi="Courier New" w:cs="Courier New"/>
        </w:rPr>
        <w:t xml:space="preserve">comparable leases </w:t>
      </w:r>
      <w:r w:rsidR="00443453">
        <w:rPr>
          <w:rFonts w:ascii="Courier New" w:hAnsi="Courier New" w:cs="Courier New"/>
        </w:rPr>
        <w:t>appears</w:t>
      </w:r>
      <w:r w:rsidR="004E1EF2">
        <w:rPr>
          <w:rFonts w:ascii="Courier New" w:hAnsi="Courier New" w:cs="Courier New"/>
        </w:rPr>
        <w:t xml:space="preserve"> in the following table.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160"/>
        <w:gridCol w:w="1530"/>
        <w:gridCol w:w="900"/>
        <w:gridCol w:w="1080"/>
        <w:gridCol w:w="1170"/>
        <w:gridCol w:w="810"/>
        <w:gridCol w:w="1440"/>
      </w:tblGrid>
      <w:tr w:rsidR="00AF78E3" w:rsidRPr="00AF78E3" w:rsidTr="005B06B3">
        <w:tc>
          <w:tcPr>
            <w:tcW w:w="558" w:type="dxa"/>
          </w:tcPr>
          <w:p w:rsidR="004F133D" w:rsidRPr="00AF78E3" w:rsidRDefault="00B72484" w:rsidP="00706E43">
            <w:pPr>
              <w:jc w:val="center"/>
              <w:rPr>
                <w:rFonts w:ascii="Courier New" w:hAnsi="Courier New" w:cs="Courier New"/>
                <w:b/>
                <w:sz w:val="16"/>
                <w:szCs w:val="16"/>
              </w:rPr>
            </w:pPr>
            <w:r>
              <w:rPr>
                <w:rFonts w:ascii="Courier New" w:hAnsi="Courier New" w:cs="Courier New"/>
              </w:rPr>
              <w:br w:type="page"/>
            </w:r>
            <w:r w:rsidR="004F133D" w:rsidRPr="00AF78E3">
              <w:rPr>
                <w:rFonts w:ascii="Courier New" w:hAnsi="Courier New" w:cs="Courier New"/>
                <w:b/>
                <w:sz w:val="16"/>
                <w:szCs w:val="16"/>
              </w:rPr>
              <w:t>No.</w:t>
            </w:r>
          </w:p>
        </w:tc>
        <w:tc>
          <w:tcPr>
            <w:tcW w:w="2160" w:type="dxa"/>
            <w:shd w:val="clear" w:color="auto" w:fill="auto"/>
          </w:tcPr>
          <w:p w:rsidR="004F133D" w:rsidRPr="00AF78E3" w:rsidRDefault="004F133D" w:rsidP="00706E43">
            <w:pPr>
              <w:jc w:val="center"/>
              <w:rPr>
                <w:rFonts w:ascii="Courier New" w:hAnsi="Courier New" w:cs="Courier New"/>
                <w:b/>
                <w:sz w:val="16"/>
                <w:szCs w:val="16"/>
              </w:rPr>
            </w:pPr>
            <w:r w:rsidRPr="00AF78E3">
              <w:rPr>
                <w:rFonts w:ascii="Courier New" w:hAnsi="Courier New" w:cs="Courier New"/>
                <w:b/>
                <w:sz w:val="16"/>
                <w:szCs w:val="16"/>
              </w:rPr>
              <w:t>Address</w:t>
            </w:r>
          </w:p>
        </w:tc>
        <w:tc>
          <w:tcPr>
            <w:tcW w:w="1530" w:type="dxa"/>
            <w:shd w:val="clear" w:color="auto" w:fill="auto"/>
          </w:tcPr>
          <w:p w:rsidR="004F133D" w:rsidRPr="00AF78E3" w:rsidRDefault="004F133D" w:rsidP="00706E43">
            <w:pPr>
              <w:jc w:val="center"/>
              <w:rPr>
                <w:rFonts w:ascii="Courier New" w:hAnsi="Courier New" w:cs="Courier New"/>
                <w:b/>
                <w:sz w:val="16"/>
                <w:szCs w:val="16"/>
              </w:rPr>
            </w:pPr>
            <w:r w:rsidRPr="00AF78E3">
              <w:rPr>
                <w:rFonts w:ascii="Courier New" w:hAnsi="Courier New" w:cs="Courier New"/>
                <w:b/>
                <w:sz w:val="16"/>
                <w:szCs w:val="16"/>
              </w:rPr>
              <w:t>Tenant</w:t>
            </w:r>
          </w:p>
        </w:tc>
        <w:tc>
          <w:tcPr>
            <w:tcW w:w="900" w:type="dxa"/>
            <w:shd w:val="clear" w:color="auto" w:fill="auto"/>
          </w:tcPr>
          <w:p w:rsidR="004F133D" w:rsidRPr="00AF78E3" w:rsidRDefault="004F133D" w:rsidP="00706E43">
            <w:pPr>
              <w:jc w:val="center"/>
              <w:rPr>
                <w:rFonts w:ascii="Courier New" w:hAnsi="Courier New" w:cs="Courier New"/>
                <w:b/>
                <w:sz w:val="16"/>
                <w:szCs w:val="16"/>
              </w:rPr>
            </w:pPr>
            <w:r w:rsidRPr="00AF78E3">
              <w:rPr>
                <w:rFonts w:ascii="Courier New" w:hAnsi="Courier New" w:cs="Courier New"/>
                <w:b/>
                <w:sz w:val="16"/>
                <w:szCs w:val="16"/>
              </w:rPr>
              <w:t>Square Feet</w:t>
            </w:r>
          </w:p>
        </w:tc>
        <w:tc>
          <w:tcPr>
            <w:tcW w:w="1080" w:type="dxa"/>
            <w:shd w:val="clear" w:color="auto" w:fill="auto"/>
          </w:tcPr>
          <w:p w:rsidR="004F133D" w:rsidRPr="00AF78E3" w:rsidRDefault="004F133D" w:rsidP="00706E43">
            <w:pPr>
              <w:jc w:val="center"/>
              <w:rPr>
                <w:rFonts w:ascii="Courier New" w:hAnsi="Courier New" w:cs="Courier New"/>
                <w:b/>
                <w:sz w:val="16"/>
                <w:szCs w:val="16"/>
              </w:rPr>
            </w:pPr>
            <w:r w:rsidRPr="00AF78E3">
              <w:rPr>
                <w:rFonts w:ascii="Courier New" w:hAnsi="Courier New" w:cs="Courier New"/>
                <w:b/>
                <w:sz w:val="16"/>
                <w:szCs w:val="16"/>
              </w:rPr>
              <w:t>Date</w:t>
            </w:r>
          </w:p>
        </w:tc>
        <w:tc>
          <w:tcPr>
            <w:tcW w:w="1170" w:type="dxa"/>
          </w:tcPr>
          <w:p w:rsidR="004F133D" w:rsidRPr="00AF78E3" w:rsidRDefault="004F133D" w:rsidP="00706E43">
            <w:pPr>
              <w:jc w:val="center"/>
              <w:rPr>
                <w:rFonts w:ascii="Courier New" w:hAnsi="Courier New" w:cs="Courier New"/>
                <w:b/>
                <w:sz w:val="16"/>
                <w:szCs w:val="16"/>
              </w:rPr>
            </w:pPr>
            <w:r w:rsidRPr="00AF78E3">
              <w:rPr>
                <w:rFonts w:ascii="Courier New" w:hAnsi="Courier New" w:cs="Courier New"/>
                <w:b/>
                <w:sz w:val="16"/>
                <w:szCs w:val="16"/>
              </w:rPr>
              <w:t>Term</w:t>
            </w:r>
          </w:p>
        </w:tc>
        <w:tc>
          <w:tcPr>
            <w:tcW w:w="810" w:type="dxa"/>
            <w:shd w:val="clear" w:color="auto" w:fill="auto"/>
          </w:tcPr>
          <w:p w:rsidR="004F133D" w:rsidRPr="00AF78E3" w:rsidRDefault="00527A2D" w:rsidP="00706E43">
            <w:pPr>
              <w:jc w:val="center"/>
              <w:rPr>
                <w:rFonts w:ascii="Courier New" w:hAnsi="Courier New" w:cs="Courier New"/>
                <w:b/>
                <w:sz w:val="16"/>
                <w:szCs w:val="16"/>
              </w:rPr>
            </w:pPr>
            <w:r>
              <w:rPr>
                <w:rFonts w:ascii="Courier New" w:hAnsi="Courier New" w:cs="Courier New"/>
                <w:b/>
                <w:sz w:val="16"/>
                <w:szCs w:val="16"/>
              </w:rPr>
              <w:t xml:space="preserve">Avg </w:t>
            </w:r>
            <w:r w:rsidR="004F133D" w:rsidRPr="00AF78E3">
              <w:rPr>
                <w:rFonts w:ascii="Courier New" w:hAnsi="Courier New" w:cs="Courier New"/>
                <w:b/>
                <w:sz w:val="16"/>
                <w:szCs w:val="16"/>
              </w:rPr>
              <w:t>Rent PSF</w:t>
            </w:r>
          </w:p>
        </w:tc>
        <w:tc>
          <w:tcPr>
            <w:tcW w:w="1440" w:type="dxa"/>
            <w:shd w:val="clear" w:color="auto" w:fill="auto"/>
          </w:tcPr>
          <w:p w:rsidR="004F133D" w:rsidRPr="00AF78E3" w:rsidRDefault="00DB3B02" w:rsidP="00706E43">
            <w:pPr>
              <w:jc w:val="center"/>
              <w:rPr>
                <w:rFonts w:ascii="Courier New" w:hAnsi="Courier New" w:cs="Courier New"/>
                <w:b/>
                <w:sz w:val="16"/>
                <w:szCs w:val="16"/>
              </w:rPr>
            </w:pPr>
            <w:r>
              <w:rPr>
                <w:rFonts w:ascii="Courier New" w:hAnsi="Courier New" w:cs="Courier New"/>
                <w:b/>
                <w:sz w:val="16"/>
                <w:szCs w:val="16"/>
              </w:rPr>
              <w:t>Comments</w:t>
            </w:r>
          </w:p>
        </w:tc>
      </w:tr>
      <w:tr w:rsidR="00AF78E3" w:rsidRPr="00BB7775" w:rsidTr="005B06B3">
        <w:tc>
          <w:tcPr>
            <w:tcW w:w="558" w:type="dxa"/>
          </w:tcPr>
          <w:p w:rsidR="004F133D" w:rsidRPr="00706E43" w:rsidRDefault="004F133D" w:rsidP="00706E43">
            <w:pPr>
              <w:jc w:val="center"/>
              <w:rPr>
                <w:rFonts w:ascii="Courier New" w:hAnsi="Courier New" w:cs="Courier New"/>
                <w:sz w:val="16"/>
                <w:szCs w:val="16"/>
              </w:rPr>
            </w:pPr>
            <w:r>
              <w:rPr>
                <w:rFonts w:ascii="Courier New" w:hAnsi="Courier New" w:cs="Courier New"/>
                <w:sz w:val="16"/>
                <w:szCs w:val="16"/>
              </w:rPr>
              <w:t>1</w:t>
            </w:r>
          </w:p>
        </w:tc>
        <w:tc>
          <w:tcPr>
            <w:tcW w:w="2160" w:type="dxa"/>
            <w:shd w:val="clear" w:color="auto" w:fill="auto"/>
          </w:tcPr>
          <w:p w:rsidR="004F133D" w:rsidRDefault="00DB3B02" w:rsidP="00AF78E3">
            <w:pPr>
              <w:rPr>
                <w:rFonts w:ascii="Courier New" w:hAnsi="Courier New" w:cs="Courier New"/>
                <w:sz w:val="16"/>
                <w:szCs w:val="16"/>
              </w:rPr>
            </w:pPr>
            <w:r>
              <w:rPr>
                <w:rFonts w:ascii="Courier New" w:hAnsi="Courier New" w:cs="Courier New"/>
                <w:sz w:val="16"/>
                <w:szCs w:val="16"/>
              </w:rPr>
              <w:t>238-310 Grove St.,</w:t>
            </w:r>
          </w:p>
          <w:p w:rsidR="00DB3B02" w:rsidRPr="00706E43" w:rsidRDefault="00DB3B02" w:rsidP="00AF78E3">
            <w:pPr>
              <w:rPr>
                <w:rFonts w:ascii="Courier New" w:hAnsi="Courier New" w:cs="Courier New"/>
                <w:sz w:val="16"/>
                <w:szCs w:val="16"/>
              </w:rPr>
            </w:pPr>
            <w:r>
              <w:rPr>
                <w:rFonts w:ascii="Courier New" w:hAnsi="Courier New" w:cs="Courier New"/>
                <w:sz w:val="16"/>
                <w:szCs w:val="16"/>
              </w:rPr>
              <w:t>Braintree</w:t>
            </w:r>
            <w:r w:rsidR="005B06B3">
              <w:rPr>
                <w:rFonts w:ascii="Courier New" w:hAnsi="Courier New" w:cs="Courier New"/>
                <w:sz w:val="16"/>
                <w:szCs w:val="16"/>
              </w:rPr>
              <w:t>, MA</w:t>
            </w:r>
          </w:p>
        </w:tc>
        <w:tc>
          <w:tcPr>
            <w:tcW w:w="1530" w:type="dxa"/>
            <w:shd w:val="clear" w:color="auto" w:fill="auto"/>
          </w:tcPr>
          <w:p w:rsidR="004F133D" w:rsidRPr="00706E43" w:rsidRDefault="00DB3B02" w:rsidP="004F133D">
            <w:pPr>
              <w:rPr>
                <w:rFonts w:ascii="Courier New" w:hAnsi="Courier New" w:cs="Courier New"/>
                <w:sz w:val="16"/>
                <w:szCs w:val="16"/>
              </w:rPr>
            </w:pPr>
            <w:r>
              <w:rPr>
                <w:rFonts w:ascii="Courier New" w:hAnsi="Courier New" w:cs="Courier New"/>
                <w:sz w:val="16"/>
                <w:szCs w:val="16"/>
              </w:rPr>
              <w:t>TJ Maxx/Home Goods</w:t>
            </w:r>
          </w:p>
        </w:tc>
        <w:tc>
          <w:tcPr>
            <w:tcW w:w="900" w:type="dxa"/>
            <w:shd w:val="clear" w:color="auto" w:fill="auto"/>
          </w:tcPr>
          <w:p w:rsidR="004F133D" w:rsidRPr="00706E43" w:rsidRDefault="005B06B3" w:rsidP="004F133D">
            <w:pPr>
              <w:rPr>
                <w:rFonts w:ascii="Courier New" w:hAnsi="Courier New" w:cs="Courier New"/>
                <w:sz w:val="16"/>
                <w:szCs w:val="16"/>
              </w:rPr>
            </w:pPr>
            <w:r>
              <w:rPr>
                <w:rFonts w:ascii="Courier New" w:hAnsi="Courier New" w:cs="Courier New"/>
                <w:sz w:val="16"/>
                <w:szCs w:val="16"/>
              </w:rPr>
              <w:t xml:space="preserve"> </w:t>
            </w:r>
            <w:r w:rsidR="00DB3B02">
              <w:rPr>
                <w:rFonts w:ascii="Courier New" w:hAnsi="Courier New" w:cs="Courier New"/>
                <w:sz w:val="16"/>
                <w:szCs w:val="16"/>
              </w:rPr>
              <w:t>72,300</w:t>
            </w:r>
          </w:p>
        </w:tc>
        <w:tc>
          <w:tcPr>
            <w:tcW w:w="1080" w:type="dxa"/>
            <w:shd w:val="clear" w:color="auto" w:fill="auto"/>
          </w:tcPr>
          <w:p w:rsidR="004F133D" w:rsidRPr="00706E43" w:rsidRDefault="00DB3B02" w:rsidP="00DB3B02">
            <w:pPr>
              <w:rPr>
                <w:rFonts w:ascii="Courier New" w:hAnsi="Courier New" w:cs="Courier New"/>
                <w:sz w:val="16"/>
                <w:szCs w:val="16"/>
              </w:rPr>
            </w:pPr>
            <w:r>
              <w:rPr>
                <w:rFonts w:ascii="Courier New" w:hAnsi="Courier New" w:cs="Courier New"/>
                <w:sz w:val="16"/>
                <w:szCs w:val="16"/>
              </w:rPr>
              <w:t xml:space="preserve"> 7/2009</w:t>
            </w:r>
          </w:p>
        </w:tc>
        <w:tc>
          <w:tcPr>
            <w:tcW w:w="1170" w:type="dxa"/>
          </w:tcPr>
          <w:p w:rsidR="004F133D" w:rsidRDefault="00DB3B02" w:rsidP="004F133D">
            <w:pPr>
              <w:rPr>
                <w:rFonts w:ascii="Courier New" w:hAnsi="Courier New" w:cs="Courier New"/>
                <w:sz w:val="16"/>
                <w:szCs w:val="16"/>
              </w:rPr>
            </w:pPr>
            <w:r>
              <w:rPr>
                <w:rFonts w:ascii="Courier New" w:hAnsi="Courier New" w:cs="Courier New"/>
                <w:sz w:val="16"/>
                <w:szCs w:val="16"/>
              </w:rPr>
              <w:t xml:space="preserve"> 5 years</w:t>
            </w:r>
          </w:p>
        </w:tc>
        <w:tc>
          <w:tcPr>
            <w:tcW w:w="810" w:type="dxa"/>
            <w:shd w:val="clear" w:color="auto" w:fill="auto"/>
          </w:tcPr>
          <w:p w:rsidR="004F133D" w:rsidRPr="00706E43" w:rsidRDefault="00DB3B02" w:rsidP="004F133D">
            <w:pPr>
              <w:rPr>
                <w:rFonts w:ascii="Courier New" w:hAnsi="Courier New" w:cs="Courier New"/>
                <w:sz w:val="16"/>
                <w:szCs w:val="16"/>
              </w:rPr>
            </w:pPr>
            <w:r>
              <w:rPr>
                <w:rFonts w:ascii="Courier New" w:hAnsi="Courier New" w:cs="Courier New"/>
                <w:sz w:val="16"/>
                <w:szCs w:val="16"/>
              </w:rPr>
              <w:t>$</w:t>
            </w:r>
            <w:r w:rsidR="00500B75">
              <w:rPr>
                <w:rFonts w:ascii="Courier New" w:hAnsi="Courier New" w:cs="Courier New"/>
                <w:sz w:val="16"/>
                <w:szCs w:val="16"/>
              </w:rPr>
              <w:t xml:space="preserve"> </w:t>
            </w:r>
            <w:r>
              <w:rPr>
                <w:rFonts w:ascii="Courier New" w:hAnsi="Courier New" w:cs="Courier New"/>
                <w:sz w:val="16"/>
                <w:szCs w:val="16"/>
              </w:rPr>
              <w:t>7.22</w:t>
            </w:r>
          </w:p>
        </w:tc>
        <w:tc>
          <w:tcPr>
            <w:tcW w:w="1440" w:type="dxa"/>
            <w:shd w:val="clear" w:color="auto" w:fill="auto"/>
          </w:tcPr>
          <w:p w:rsidR="004F133D" w:rsidRPr="00706E43" w:rsidRDefault="00DB3B02" w:rsidP="004F133D">
            <w:pPr>
              <w:rPr>
                <w:rFonts w:ascii="Courier New" w:hAnsi="Courier New" w:cs="Courier New"/>
                <w:sz w:val="16"/>
                <w:szCs w:val="16"/>
              </w:rPr>
            </w:pPr>
            <w:r>
              <w:rPr>
                <w:rFonts w:ascii="Courier New" w:hAnsi="Courier New" w:cs="Courier New"/>
                <w:sz w:val="16"/>
                <w:szCs w:val="16"/>
              </w:rPr>
              <w:t>Pre-existing</w:t>
            </w:r>
            <w:r w:rsidR="005B06B3">
              <w:rPr>
                <w:rFonts w:ascii="Courier New" w:hAnsi="Courier New" w:cs="Courier New"/>
                <w:sz w:val="16"/>
                <w:szCs w:val="16"/>
              </w:rPr>
              <w:t xml:space="preserve"> space</w:t>
            </w:r>
            <w:r>
              <w:rPr>
                <w:rFonts w:ascii="Courier New" w:hAnsi="Courier New" w:cs="Courier New"/>
                <w:sz w:val="16"/>
                <w:szCs w:val="16"/>
              </w:rPr>
              <w:t xml:space="preserve"> </w:t>
            </w:r>
          </w:p>
        </w:tc>
      </w:tr>
      <w:tr w:rsidR="00AF78E3" w:rsidRPr="00BB7775" w:rsidTr="005B06B3">
        <w:tc>
          <w:tcPr>
            <w:tcW w:w="558" w:type="dxa"/>
          </w:tcPr>
          <w:p w:rsidR="004F133D" w:rsidRPr="00706E43" w:rsidRDefault="004F133D" w:rsidP="00706E43">
            <w:pPr>
              <w:jc w:val="center"/>
              <w:rPr>
                <w:rFonts w:ascii="Courier New" w:hAnsi="Courier New" w:cs="Courier New"/>
                <w:sz w:val="16"/>
                <w:szCs w:val="16"/>
              </w:rPr>
            </w:pPr>
            <w:r>
              <w:rPr>
                <w:rFonts w:ascii="Courier New" w:hAnsi="Courier New" w:cs="Courier New"/>
                <w:sz w:val="16"/>
                <w:szCs w:val="16"/>
              </w:rPr>
              <w:t>2</w:t>
            </w:r>
          </w:p>
        </w:tc>
        <w:tc>
          <w:tcPr>
            <w:tcW w:w="2160" w:type="dxa"/>
            <w:shd w:val="clear" w:color="auto" w:fill="auto"/>
          </w:tcPr>
          <w:p w:rsidR="004F133D" w:rsidRDefault="00DB3B02" w:rsidP="00706E43">
            <w:pPr>
              <w:rPr>
                <w:rFonts w:ascii="Courier New" w:hAnsi="Courier New" w:cs="Courier New"/>
                <w:sz w:val="16"/>
                <w:szCs w:val="16"/>
              </w:rPr>
            </w:pPr>
            <w:r>
              <w:rPr>
                <w:rFonts w:ascii="Courier New" w:hAnsi="Courier New" w:cs="Courier New"/>
                <w:sz w:val="16"/>
                <w:szCs w:val="16"/>
              </w:rPr>
              <w:t>140 Main St.,</w:t>
            </w:r>
          </w:p>
          <w:p w:rsidR="00DB3B02" w:rsidRDefault="00DB3B02" w:rsidP="00706E43">
            <w:pPr>
              <w:rPr>
                <w:rFonts w:ascii="Courier New" w:hAnsi="Courier New" w:cs="Courier New"/>
                <w:sz w:val="16"/>
                <w:szCs w:val="16"/>
              </w:rPr>
            </w:pPr>
            <w:r>
              <w:rPr>
                <w:rFonts w:ascii="Courier New" w:hAnsi="Courier New" w:cs="Courier New"/>
                <w:sz w:val="16"/>
                <w:szCs w:val="16"/>
              </w:rPr>
              <w:t>Weymouth</w:t>
            </w:r>
            <w:r w:rsidR="005B06B3">
              <w:rPr>
                <w:rFonts w:ascii="Courier New" w:hAnsi="Courier New" w:cs="Courier New"/>
                <w:sz w:val="16"/>
                <w:szCs w:val="16"/>
              </w:rPr>
              <w:t>, MA</w:t>
            </w:r>
          </w:p>
          <w:p w:rsidR="00DB3B02" w:rsidRPr="00706E43" w:rsidRDefault="00DB3B02" w:rsidP="00706E43">
            <w:pPr>
              <w:rPr>
                <w:rFonts w:ascii="Courier New" w:hAnsi="Courier New" w:cs="Courier New"/>
                <w:sz w:val="16"/>
                <w:szCs w:val="16"/>
              </w:rPr>
            </w:pPr>
          </w:p>
        </w:tc>
        <w:tc>
          <w:tcPr>
            <w:tcW w:w="1530" w:type="dxa"/>
            <w:shd w:val="clear" w:color="auto" w:fill="auto"/>
          </w:tcPr>
          <w:p w:rsidR="004F133D" w:rsidRPr="00706E43" w:rsidRDefault="00DB3B02" w:rsidP="004F133D">
            <w:pPr>
              <w:rPr>
                <w:rFonts w:ascii="Courier New" w:hAnsi="Courier New" w:cs="Courier New"/>
                <w:sz w:val="16"/>
                <w:szCs w:val="16"/>
              </w:rPr>
            </w:pPr>
            <w:r>
              <w:rPr>
                <w:rFonts w:ascii="Courier New" w:hAnsi="Courier New" w:cs="Courier New"/>
                <w:sz w:val="16"/>
                <w:szCs w:val="16"/>
              </w:rPr>
              <w:t>Nat’l Wholesale Liquidators</w:t>
            </w:r>
          </w:p>
        </w:tc>
        <w:tc>
          <w:tcPr>
            <w:tcW w:w="900" w:type="dxa"/>
            <w:shd w:val="clear" w:color="auto" w:fill="auto"/>
          </w:tcPr>
          <w:p w:rsidR="004F133D" w:rsidRPr="00706E43" w:rsidRDefault="005B06B3" w:rsidP="004F133D">
            <w:pPr>
              <w:rPr>
                <w:rFonts w:ascii="Courier New" w:hAnsi="Courier New" w:cs="Courier New"/>
                <w:sz w:val="16"/>
                <w:szCs w:val="16"/>
              </w:rPr>
            </w:pPr>
            <w:r>
              <w:rPr>
                <w:rFonts w:ascii="Courier New" w:hAnsi="Courier New" w:cs="Courier New"/>
                <w:sz w:val="16"/>
                <w:szCs w:val="16"/>
              </w:rPr>
              <w:t xml:space="preserve"> </w:t>
            </w:r>
            <w:r w:rsidR="00DB3B02">
              <w:rPr>
                <w:rFonts w:ascii="Courier New" w:hAnsi="Courier New" w:cs="Courier New"/>
                <w:sz w:val="16"/>
                <w:szCs w:val="16"/>
              </w:rPr>
              <w:t>89,000</w:t>
            </w:r>
          </w:p>
        </w:tc>
        <w:tc>
          <w:tcPr>
            <w:tcW w:w="1080" w:type="dxa"/>
            <w:shd w:val="clear" w:color="auto" w:fill="auto"/>
          </w:tcPr>
          <w:p w:rsidR="004F133D" w:rsidRPr="00706E43" w:rsidRDefault="00DB3B02" w:rsidP="00AF78E3">
            <w:pPr>
              <w:rPr>
                <w:rFonts w:ascii="Courier New" w:hAnsi="Courier New" w:cs="Courier New"/>
                <w:sz w:val="16"/>
                <w:szCs w:val="16"/>
              </w:rPr>
            </w:pPr>
            <w:r>
              <w:rPr>
                <w:rFonts w:ascii="Courier New" w:hAnsi="Courier New" w:cs="Courier New"/>
                <w:sz w:val="16"/>
                <w:szCs w:val="16"/>
              </w:rPr>
              <w:t>11/2014</w:t>
            </w:r>
          </w:p>
        </w:tc>
        <w:tc>
          <w:tcPr>
            <w:tcW w:w="1170" w:type="dxa"/>
          </w:tcPr>
          <w:p w:rsidR="004F133D" w:rsidRDefault="00DB3B02" w:rsidP="004F133D">
            <w:pPr>
              <w:rPr>
                <w:rFonts w:ascii="Courier New" w:hAnsi="Courier New" w:cs="Courier New"/>
                <w:sz w:val="16"/>
                <w:szCs w:val="16"/>
              </w:rPr>
            </w:pPr>
            <w:r>
              <w:rPr>
                <w:rFonts w:ascii="Courier New" w:hAnsi="Courier New" w:cs="Courier New"/>
                <w:sz w:val="16"/>
                <w:szCs w:val="16"/>
              </w:rPr>
              <w:t>20 years</w:t>
            </w:r>
          </w:p>
        </w:tc>
        <w:tc>
          <w:tcPr>
            <w:tcW w:w="810" w:type="dxa"/>
            <w:shd w:val="clear" w:color="auto" w:fill="auto"/>
          </w:tcPr>
          <w:p w:rsidR="004F133D" w:rsidRPr="00706E43" w:rsidRDefault="00DB3B02" w:rsidP="004F133D">
            <w:pPr>
              <w:rPr>
                <w:rFonts w:ascii="Courier New" w:hAnsi="Courier New" w:cs="Courier New"/>
                <w:sz w:val="16"/>
                <w:szCs w:val="16"/>
              </w:rPr>
            </w:pPr>
            <w:r>
              <w:rPr>
                <w:rFonts w:ascii="Courier New" w:hAnsi="Courier New" w:cs="Courier New"/>
                <w:sz w:val="16"/>
                <w:szCs w:val="16"/>
              </w:rPr>
              <w:t>$</w:t>
            </w:r>
            <w:r w:rsidR="00500B75">
              <w:rPr>
                <w:rFonts w:ascii="Courier New" w:hAnsi="Courier New" w:cs="Courier New"/>
                <w:sz w:val="16"/>
                <w:szCs w:val="16"/>
              </w:rPr>
              <w:t xml:space="preserve"> </w:t>
            </w:r>
            <w:r>
              <w:rPr>
                <w:rFonts w:ascii="Courier New" w:hAnsi="Courier New" w:cs="Courier New"/>
                <w:sz w:val="16"/>
                <w:szCs w:val="16"/>
              </w:rPr>
              <w:t>7.00</w:t>
            </w:r>
          </w:p>
        </w:tc>
        <w:tc>
          <w:tcPr>
            <w:tcW w:w="1440" w:type="dxa"/>
            <w:shd w:val="clear" w:color="auto" w:fill="auto"/>
          </w:tcPr>
          <w:p w:rsidR="004F133D" w:rsidRPr="00706E43" w:rsidRDefault="00DB3B02" w:rsidP="004F133D">
            <w:pPr>
              <w:rPr>
                <w:rFonts w:ascii="Courier New" w:hAnsi="Courier New" w:cs="Courier New"/>
                <w:sz w:val="16"/>
                <w:szCs w:val="16"/>
              </w:rPr>
            </w:pPr>
            <w:r>
              <w:rPr>
                <w:rFonts w:ascii="Courier New" w:hAnsi="Courier New" w:cs="Courier New"/>
                <w:sz w:val="16"/>
                <w:szCs w:val="16"/>
              </w:rPr>
              <w:t>Pre-existing</w:t>
            </w:r>
            <w:r w:rsidR="005B06B3">
              <w:rPr>
                <w:rFonts w:ascii="Courier New" w:hAnsi="Courier New" w:cs="Courier New"/>
                <w:sz w:val="16"/>
                <w:szCs w:val="16"/>
              </w:rPr>
              <w:t xml:space="preserve"> space</w:t>
            </w:r>
          </w:p>
        </w:tc>
      </w:tr>
      <w:tr w:rsidR="00AF78E3" w:rsidRPr="00BB7775" w:rsidTr="005B06B3">
        <w:tc>
          <w:tcPr>
            <w:tcW w:w="558" w:type="dxa"/>
          </w:tcPr>
          <w:p w:rsidR="004F133D" w:rsidRPr="00706E43" w:rsidRDefault="004F133D" w:rsidP="00706E43">
            <w:pPr>
              <w:jc w:val="center"/>
              <w:rPr>
                <w:rFonts w:ascii="Courier New" w:hAnsi="Courier New" w:cs="Courier New"/>
                <w:sz w:val="16"/>
                <w:szCs w:val="16"/>
              </w:rPr>
            </w:pPr>
            <w:r>
              <w:rPr>
                <w:rFonts w:ascii="Courier New" w:hAnsi="Courier New" w:cs="Courier New"/>
                <w:sz w:val="16"/>
                <w:szCs w:val="16"/>
              </w:rPr>
              <w:t>3</w:t>
            </w:r>
          </w:p>
        </w:tc>
        <w:tc>
          <w:tcPr>
            <w:tcW w:w="2160" w:type="dxa"/>
            <w:shd w:val="clear" w:color="auto" w:fill="auto"/>
          </w:tcPr>
          <w:p w:rsidR="004F133D" w:rsidRDefault="00DB3B02" w:rsidP="00706E43">
            <w:pPr>
              <w:rPr>
                <w:rFonts w:ascii="Courier New" w:hAnsi="Courier New" w:cs="Courier New"/>
                <w:sz w:val="16"/>
                <w:szCs w:val="16"/>
              </w:rPr>
            </w:pPr>
            <w:r>
              <w:rPr>
                <w:rFonts w:ascii="Courier New" w:hAnsi="Courier New" w:cs="Courier New"/>
                <w:sz w:val="16"/>
                <w:szCs w:val="16"/>
              </w:rPr>
              <w:t>90 Providence Hgwy.,</w:t>
            </w:r>
          </w:p>
          <w:p w:rsidR="00DB3B02" w:rsidRPr="00706E43" w:rsidRDefault="00DB3B02" w:rsidP="00706E43">
            <w:pPr>
              <w:rPr>
                <w:rFonts w:ascii="Courier New" w:hAnsi="Courier New" w:cs="Courier New"/>
                <w:sz w:val="16"/>
                <w:szCs w:val="16"/>
              </w:rPr>
            </w:pPr>
            <w:r>
              <w:rPr>
                <w:rFonts w:ascii="Courier New" w:hAnsi="Courier New" w:cs="Courier New"/>
                <w:sz w:val="16"/>
                <w:szCs w:val="16"/>
              </w:rPr>
              <w:t>Walpole</w:t>
            </w:r>
            <w:r w:rsidR="005B06B3">
              <w:rPr>
                <w:rFonts w:ascii="Courier New" w:hAnsi="Courier New" w:cs="Courier New"/>
                <w:sz w:val="16"/>
                <w:szCs w:val="16"/>
              </w:rPr>
              <w:t>, MA</w:t>
            </w:r>
          </w:p>
        </w:tc>
        <w:tc>
          <w:tcPr>
            <w:tcW w:w="1530" w:type="dxa"/>
            <w:shd w:val="clear" w:color="auto" w:fill="auto"/>
          </w:tcPr>
          <w:p w:rsidR="004F133D" w:rsidRPr="00706E43" w:rsidRDefault="005B06B3" w:rsidP="004F133D">
            <w:pPr>
              <w:rPr>
                <w:rFonts w:ascii="Courier New" w:hAnsi="Courier New" w:cs="Courier New"/>
                <w:sz w:val="16"/>
                <w:szCs w:val="16"/>
              </w:rPr>
            </w:pPr>
            <w:r>
              <w:rPr>
                <w:rFonts w:ascii="Courier New" w:hAnsi="Courier New" w:cs="Courier New"/>
                <w:sz w:val="16"/>
                <w:szCs w:val="16"/>
              </w:rPr>
              <w:t>Kohl’s</w:t>
            </w:r>
          </w:p>
        </w:tc>
        <w:tc>
          <w:tcPr>
            <w:tcW w:w="900" w:type="dxa"/>
            <w:shd w:val="clear" w:color="auto" w:fill="auto"/>
          </w:tcPr>
          <w:p w:rsidR="004F133D" w:rsidRPr="00706E43" w:rsidRDefault="005B06B3" w:rsidP="004F133D">
            <w:pPr>
              <w:rPr>
                <w:rFonts w:ascii="Courier New" w:hAnsi="Courier New" w:cs="Courier New"/>
                <w:sz w:val="16"/>
                <w:szCs w:val="16"/>
              </w:rPr>
            </w:pPr>
            <w:r>
              <w:rPr>
                <w:rFonts w:ascii="Courier New" w:hAnsi="Courier New" w:cs="Courier New"/>
                <w:sz w:val="16"/>
                <w:szCs w:val="16"/>
              </w:rPr>
              <w:t>102,445</w:t>
            </w:r>
          </w:p>
        </w:tc>
        <w:tc>
          <w:tcPr>
            <w:tcW w:w="1080" w:type="dxa"/>
            <w:shd w:val="clear" w:color="auto" w:fill="auto"/>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 xml:space="preserve"> 7/2009</w:t>
            </w:r>
          </w:p>
        </w:tc>
        <w:tc>
          <w:tcPr>
            <w:tcW w:w="1170" w:type="dxa"/>
          </w:tcPr>
          <w:p w:rsidR="004F133D" w:rsidRDefault="005B06B3" w:rsidP="004F133D">
            <w:pPr>
              <w:rPr>
                <w:rFonts w:ascii="Courier New" w:hAnsi="Courier New" w:cs="Courier New"/>
                <w:sz w:val="16"/>
                <w:szCs w:val="16"/>
              </w:rPr>
            </w:pPr>
            <w:r>
              <w:rPr>
                <w:rFonts w:ascii="Courier New" w:hAnsi="Courier New" w:cs="Courier New"/>
                <w:sz w:val="16"/>
                <w:szCs w:val="16"/>
              </w:rPr>
              <w:t>20 years</w:t>
            </w:r>
          </w:p>
        </w:tc>
        <w:tc>
          <w:tcPr>
            <w:tcW w:w="810" w:type="dxa"/>
            <w:shd w:val="clear" w:color="auto" w:fill="auto"/>
          </w:tcPr>
          <w:p w:rsidR="004F133D" w:rsidRPr="00706E43" w:rsidRDefault="005B06B3" w:rsidP="004F133D">
            <w:pPr>
              <w:rPr>
                <w:rFonts w:ascii="Courier New" w:hAnsi="Courier New" w:cs="Courier New"/>
                <w:sz w:val="16"/>
                <w:szCs w:val="16"/>
              </w:rPr>
            </w:pPr>
            <w:r>
              <w:rPr>
                <w:rFonts w:ascii="Courier New" w:hAnsi="Courier New" w:cs="Courier New"/>
                <w:sz w:val="16"/>
                <w:szCs w:val="16"/>
              </w:rPr>
              <w:t>$</w:t>
            </w:r>
            <w:r w:rsidR="00500B75">
              <w:rPr>
                <w:rFonts w:ascii="Courier New" w:hAnsi="Courier New" w:cs="Courier New"/>
                <w:sz w:val="16"/>
                <w:szCs w:val="16"/>
              </w:rPr>
              <w:t xml:space="preserve"> </w:t>
            </w:r>
            <w:r>
              <w:rPr>
                <w:rFonts w:ascii="Courier New" w:hAnsi="Courier New" w:cs="Courier New"/>
                <w:sz w:val="16"/>
                <w:szCs w:val="16"/>
              </w:rPr>
              <w:t>9.60</w:t>
            </w:r>
          </w:p>
        </w:tc>
        <w:tc>
          <w:tcPr>
            <w:tcW w:w="1440" w:type="dxa"/>
            <w:shd w:val="clear" w:color="auto" w:fill="auto"/>
          </w:tcPr>
          <w:p w:rsidR="004F133D" w:rsidRPr="00706E43" w:rsidRDefault="005B06B3" w:rsidP="004F133D">
            <w:pPr>
              <w:rPr>
                <w:rFonts w:ascii="Courier New" w:hAnsi="Courier New" w:cs="Courier New"/>
                <w:sz w:val="16"/>
                <w:szCs w:val="16"/>
              </w:rPr>
            </w:pPr>
            <w:r>
              <w:rPr>
                <w:rFonts w:ascii="Courier New" w:hAnsi="Courier New" w:cs="Courier New"/>
                <w:sz w:val="16"/>
                <w:szCs w:val="16"/>
              </w:rPr>
              <w:t>Pre-existing space</w:t>
            </w:r>
          </w:p>
        </w:tc>
      </w:tr>
      <w:tr w:rsidR="00AF78E3" w:rsidRPr="00BB7775" w:rsidTr="005B06B3">
        <w:tc>
          <w:tcPr>
            <w:tcW w:w="558" w:type="dxa"/>
          </w:tcPr>
          <w:p w:rsidR="004F133D" w:rsidRPr="00706E43" w:rsidRDefault="004F133D" w:rsidP="00706E43">
            <w:pPr>
              <w:jc w:val="center"/>
              <w:rPr>
                <w:rFonts w:ascii="Courier New" w:hAnsi="Courier New" w:cs="Courier New"/>
                <w:sz w:val="16"/>
                <w:szCs w:val="16"/>
              </w:rPr>
            </w:pPr>
            <w:r>
              <w:rPr>
                <w:rFonts w:ascii="Courier New" w:hAnsi="Courier New" w:cs="Courier New"/>
                <w:sz w:val="16"/>
                <w:szCs w:val="16"/>
              </w:rPr>
              <w:t>4</w:t>
            </w:r>
          </w:p>
        </w:tc>
        <w:tc>
          <w:tcPr>
            <w:tcW w:w="2160" w:type="dxa"/>
            <w:shd w:val="clear" w:color="auto" w:fill="auto"/>
          </w:tcPr>
          <w:p w:rsidR="005B06B3" w:rsidRDefault="005B06B3" w:rsidP="00706E43">
            <w:pPr>
              <w:rPr>
                <w:rFonts w:ascii="Courier New" w:hAnsi="Courier New" w:cs="Courier New"/>
                <w:sz w:val="16"/>
                <w:szCs w:val="16"/>
              </w:rPr>
            </w:pPr>
            <w:r>
              <w:rPr>
                <w:rFonts w:ascii="Courier New" w:hAnsi="Courier New" w:cs="Courier New"/>
                <w:sz w:val="16"/>
                <w:szCs w:val="16"/>
              </w:rPr>
              <w:t>180 Pearl St.,</w:t>
            </w:r>
          </w:p>
          <w:p w:rsidR="005B06B3" w:rsidRPr="00706E43" w:rsidRDefault="005B06B3" w:rsidP="00706E43">
            <w:pPr>
              <w:rPr>
                <w:rFonts w:ascii="Courier New" w:hAnsi="Courier New" w:cs="Courier New"/>
                <w:sz w:val="16"/>
                <w:szCs w:val="16"/>
              </w:rPr>
            </w:pPr>
            <w:r>
              <w:rPr>
                <w:rFonts w:ascii="Courier New" w:hAnsi="Courier New" w:cs="Courier New"/>
                <w:sz w:val="16"/>
                <w:szCs w:val="16"/>
              </w:rPr>
              <w:t>Braintree, MA</w:t>
            </w:r>
          </w:p>
        </w:tc>
        <w:tc>
          <w:tcPr>
            <w:tcW w:w="1530" w:type="dxa"/>
            <w:shd w:val="clear" w:color="auto" w:fill="auto"/>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Cardi’s Furniture</w:t>
            </w:r>
          </w:p>
        </w:tc>
        <w:tc>
          <w:tcPr>
            <w:tcW w:w="900" w:type="dxa"/>
            <w:shd w:val="clear" w:color="auto" w:fill="auto"/>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113,000</w:t>
            </w:r>
          </w:p>
        </w:tc>
        <w:tc>
          <w:tcPr>
            <w:tcW w:w="1080" w:type="dxa"/>
            <w:shd w:val="clear" w:color="auto" w:fill="auto"/>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 xml:space="preserve"> 6/2008</w:t>
            </w:r>
          </w:p>
        </w:tc>
        <w:tc>
          <w:tcPr>
            <w:tcW w:w="1170" w:type="dxa"/>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5.5 years</w:t>
            </w:r>
          </w:p>
        </w:tc>
        <w:tc>
          <w:tcPr>
            <w:tcW w:w="810" w:type="dxa"/>
            <w:shd w:val="clear" w:color="auto" w:fill="auto"/>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$12.00</w:t>
            </w:r>
          </w:p>
        </w:tc>
        <w:tc>
          <w:tcPr>
            <w:tcW w:w="1440" w:type="dxa"/>
            <w:shd w:val="clear" w:color="auto" w:fill="auto"/>
          </w:tcPr>
          <w:p w:rsidR="004F133D" w:rsidRDefault="005B06B3" w:rsidP="00AF78E3">
            <w:pPr>
              <w:rPr>
                <w:rFonts w:ascii="Courier New" w:hAnsi="Courier New" w:cs="Courier New"/>
                <w:sz w:val="16"/>
                <w:szCs w:val="16"/>
              </w:rPr>
            </w:pPr>
            <w:r>
              <w:rPr>
                <w:rFonts w:ascii="Courier New" w:hAnsi="Courier New" w:cs="Courier New"/>
                <w:sz w:val="16"/>
                <w:szCs w:val="16"/>
              </w:rPr>
              <w:t>Sub-lease</w:t>
            </w:r>
          </w:p>
          <w:p w:rsidR="005B06B3" w:rsidRPr="00706E43" w:rsidRDefault="005B06B3" w:rsidP="00AF78E3">
            <w:pPr>
              <w:rPr>
                <w:rFonts w:ascii="Courier New" w:hAnsi="Courier New" w:cs="Courier New"/>
                <w:sz w:val="16"/>
                <w:szCs w:val="16"/>
              </w:rPr>
            </w:pPr>
            <w:r>
              <w:rPr>
                <w:rFonts w:ascii="Courier New" w:hAnsi="Courier New" w:cs="Courier New"/>
                <w:sz w:val="16"/>
                <w:szCs w:val="16"/>
              </w:rPr>
              <w:t>Pre-existing</w:t>
            </w:r>
            <w:r w:rsidR="001E4271">
              <w:rPr>
                <w:rFonts w:ascii="Courier New" w:hAnsi="Courier New" w:cs="Courier New"/>
                <w:sz w:val="16"/>
                <w:szCs w:val="16"/>
              </w:rPr>
              <w:t xml:space="preserve"> space</w:t>
            </w:r>
          </w:p>
        </w:tc>
      </w:tr>
      <w:tr w:rsidR="005B06B3" w:rsidRPr="00BB7775" w:rsidTr="005B06B3">
        <w:tc>
          <w:tcPr>
            <w:tcW w:w="558" w:type="dxa"/>
          </w:tcPr>
          <w:p w:rsidR="005B06B3" w:rsidRDefault="005B06B3" w:rsidP="00706E43">
            <w:pPr>
              <w:jc w:val="center"/>
              <w:rPr>
                <w:rFonts w:ascii="Courier New" w:hAnsi="Courier New" w:cs="Courier New"/>
                <w:sz w:val="16"/>
                <w:szCs w:val="16"/>
              </w:rPr>
            </w:pPr>
            <w:r>
              <w:rPr>
                <w:rFonts w:ascii="Courier New" w:hAnsi="Courier New" w:cs="Courier New"/>
                <w:sz w:val="16"/>
                <w:szCs w:val="16"/>
              </w:rPr>
              <w:t>5</w:t>
            </w:r>
          </w:p>
        </w:tc>
        <w:tc>
          <w:tcPr>
            <w:tcW w:w="2160" w:type="dxa"/>
            <w:shd w:val="clear" w:color="auto" w:fill="auto"/>
          </w:tcPr>
          <w:p w:rsidR="005B06B3" w:rsidRDefault="005B06B3" w:rsidP="00706E43">
            <w:pPr>
              <w:rPr>
                <w:rFonts w:ascii="Courier New" w:hAnsi="Courier New" w:cs="Courier New"/>
                <w:sz w:val="16"/>
                <w:szCs w:val="16"/>
              </w:rPr>
            </w:pPr>
            <w:r>
              <w:rPr>
                <w:rFonts w:ascii="Courier New" w:hAnsi="Courier New" w:cs="Courier New"/>
                <w:sz w:val="16"/>
                <w:szCs w:val="16"/>
              </w:rPr>
              <w:t>175 Highland Ave.,</w:t>
            </w:r>
          </w:p>
          <w:p w:rsidR="005B06B3" w:rsidRDefault="005B06B3" w:rsidP="00706E43">
            <w:pPr>
              <w:rPr>
                <w:rFonts w:ascii="Courier New" w:hAnsi="Courier New" w:cs="Courier New"/>
                <w:sz w:val="16"/>
                <w:szCs w:val="16"/>
              </w:rPr>
            </w:pPr>
            <w:r>
              <w:rPr>
                <w:rFonts w:ascii="Courier New" w:hAnsi="Courier New" w:cs="Courier New"/>
                <w:sz w:val="16"/>
                <w:szCs w:val="16"/>
              </w:rPr>
              <w:t>Seekonk, MA</w:t>
            </w:r>
          </w:p>
        </w:tc>
        <w:tc>
          <w:tcPr>
            <w:tcW w:w="1530" w:type="dxa"/>
            <w:shd w:val="clear" w:color="auto" w:fill="auto"/>
          </w:tcPr>
          <w:p w:rsidR="005B06B3" w:rsidRDefault="005B06B3" w:rsidP="00AF78E3">
            <w:pPr>
              <w:rPr>
                <w:rFonts w:ascii="Courier New" w:hAnsi="Courier New" w:cs="Courier New"/>
                <w:sz w:val="16"/>
                <w:szCs w:val="16"/>
              </w:rPr>
            </w:pPr>
            <w:r>
              <w:rPr>
                <w:rFonts w:ascii="Courier New" w:hAnsi="Courier New" w:cs="Courier New"/>
                <w:sz w:val="16"/>
                <w:szCs w:val="16"/>
              </w:rPr>
              <w:t>BJ’s Wholesale</w:t>
            </w:r>
          </w:p>
        </w:tc>
        <w:tc>
          <w:tcPr>
            <w:tcW w:w="900" w:type="dxa"/>
            <w:shd w:val="clear" w:color="auto" w:fill="auto"/>
          </w:tcPr>
          <w:p w:rsidR="005B06B3" w:rsidRDefault="005B06B3" w:rsidP="00AF78E3">
            <w:pPr>
              <w:rPr>
                <w:rFonts w:ascii="Courier New" w:hAnsi="Courier New" w:cs="Courier New"/>
                <w:sz w:val="16"/>
                <w:szCs w:val="16"/>
              </w:rPr>
            </w:pPr>
            <w:r>
              <w:rPr>
                <w:rFonts w:ascii="Courier New" w:hAnsi="Courier New" w:cs="Courier New"/>
                <w:sz w:val="16"/>
                <w:szCs w:val="16"/>
              </w:rPr>
              <w:t>109,338</w:t>
            </w:r>
          </w:p>
        </w:tc>
        <w:tc>
          <w:tcPr>
            <w:tcW w:w="1080" w:type="dxa"/>
            <w:shd w:val="clear" w:color="auto" w:fill="auto"/>
          </w:tcPr>
          <w:p w:rsidR="005B06B3" w:rsidRDefault="005B06B3" w:rsidP="00AF78E3">
            <w:pPr>
              <w:rPr>
                <w:rFonts w:ascii="Courier New" w:hAnsi="Courier New" w:cs="Courier New"/>
                <w:sz w:val="16"/>
                <w:szCs w:val="16"/>
              </w:rPr>
            </w:pPr>
            <w:r>
              <w:rPr>
                <w:rFonts w:ascii="Courier New" w:hAnsi="Courier New" w:cs="Courier New"/>
                <w:sz w:val="16"/>
                <w:szCs w:val="16"/>
              </w:rPr>
              <w:t xml:space="preserve"> 8/2012</w:t>
            </w:r>
          </w:p>
        </w:tc>
        <w:tc>
          <w:tcPr>
            <w:tcW w:w="1170" w:type="dxa"/>
          </w:tcPr>
          <w:p w:rsidR="005B06B3" w:rsidRDefault="005B06B3" w:rsidP="00AF78E3">
            <w:pPr>
              <w:rPr>
                <w:rFonts w:ascii="Courier New" w:hAnsi="Courier New" w:cs="Courier New"/>
                <w:sz w:val="16"/>
                <w:szCs w:val="16"/>
              </w:rPr>
            </w:pPr>
            <w:r>
              <w:rPr>
                <w:rFonts w:ascii="Courier New" w:hAnsi="Courier New" w:cs="Courier New"/>
                <w:sz w:val="16"/>
                <w:szCs w:val="16"/>
              </w:rPr>
              <w:t>20 years</w:t>
            </w:r>
          </w:p>
        </w:tc>
        <w:tc>
          <w:tcPr>
            <w:tcW w:w="810" w:type="dxa"/>
            <w:shd w:val="clear" w:color="auto" w:fill="auto"/>
          </w:tcPr>
          <w:p w:rsidR="005B06B3" w:rsidRDefault="005B06B3" w:rsidP="00AF78E3">
            <w:pPr>
              <w:rPr>
                <w:rFonts w:ascii="Courier New" w:hAnsi="Courier New" w:cs="Courier New"/>
                <w:sz w:val="16"/>
                <w:szCs w:val="16"/>
              </w:rPr>
            </w:pPr>
            <w:r>
              <w:rPr>
                <w:rFonts w:ascii="Courier New" w:hAnsi="Courier New" w:cs="Courier New"/>
                <w:sz w:val="16"/>
                <w:szCs w:val="16"/>
              </w:rPr>
              <w:t>$</w:t>
            </w:r>
            <w:r w:rsidR="00500B75">
              <w:rPr>
                <w:rFonts w:ascii="Courier New" w:hAnsi="Courier New" w:cs="Courier New"/>
                <w:sz w:val="16"/>
                <w:szCs w:val="16"/>
              </w:rPr>
              <w:t xml:space="preserve"> </w:t>
            </w:r>
            <w:r>
              <w:rPr>
                <w:rFonts w:ascii="Courier New" w:hAnsi="Courier New" w:cs="Courier New"/>
                <w:sz w:val="16"/>
                <w:szCs w:val="16"/>
              </w:rPr>
              <w:t>9.00</w:t>
            </w:r>
          </w:p>
        </w:tc>
        <w:tc>
          <w:tcPr>
            <w:tcW w:w="1440" w:type="dxa"/>
            <w:shd w:val="clear" w:color="auto" w:fill="auto"/>
          </w:tcPr>
          <w:p w:rsidR="005B06B3" w:rsidRDefault="005B06B3" w:rsidP="00AF78E3">
            <w:pPr>
              <w:rPr>
                <w:rFonts w:ascii="Courier New" w:hAnsi="Courier New" w:cs="Courier New"/>
                <w:sz w:val="16"/>
                <w:szCs w:val="16"/>
              </w:rPr>
            </w:pPr>
            <w:r>
              <w:rPr>
                <w:rFonts w:ascii="Courier New" w:hAnsi="Courier New" w:cs="Courier New"/>
                <w:sz w:val="16"/>
                <w:szCs w:val="16"/>
              </w:rPr>
              <w:t>Pre-existing space</w:t>
            </w:r>
          </w:p>
        </w:tc>
      </w:tr>
      <w:tr w:rsidR="00AF78E3" w:rsidRPr="00BB7775" w:rsidTr="005B06B3">
        <w:tc>
          <w:tcPr>
            <w:tcW w:w="558" w:type="dxa"/>
          </w:tcPr>
          <w:p w:rsidR="004F133D" w:rsidRPr="00706E43" w:rsidRDefault="00527A2D" w:rsidP="00706E43">
            <w:pPr>
              <w:jc w:val="center"/>
              <w:rPr>
                <w:rFonts w:ascii="Courier New" w:hAnsi="Courier New" w:cs="Courier New"/>
                <w:sz w:val="16"/>
                <w:szCs w:val="16"/>
              </w:rPr>
            </w:pPr>
            <w:r>
              <w:rPr>
                <w:rFonts w:ascii="Courier New" w:hAnsi="Courier New" w:cs="Courier New"/>
                <w:sz w:val="16"/>
                <w:szCs w:val="16"/>
              </w:rPr>
              <w:t>6</w:t>
            </w:r>
          </w:p>
        </w:tc>
        <w:tc>
          <w:tcPr>
            <w:tcW w:w="2160" w:type="dxa"/>
            <w:shd w:val="clear" w:color="auto" w:fill="auto"/>
          </w:tcPr>
          <w:p w:rsidR="00AF78E3" w:rsidRDefault="005B06B3" w:rsidP="00AF78E3">
            <w:pPr>
              <w:rPr>
                <w:rFonts w:ascii="Courier New" w:hAnsi="Courier New" w:cs="Courier New"/>
                <w:sz w:val="16"/>
                <w:szCs w:val="16"/>
              </w:rPr>
            </w:pPr>
            <w:r>
              <w:rPr>
                <w:rFonts w:ascii="Courier New" w:hAnsi="Courier New" w:cs="Courier New"/>
                <w:sz w:val="16"/>
                <w:szCs w:val="16"/>
              </w:rPr>
              <w:t>200 Stonehill Dr.</w:t>
            </w:r>
          </w:p>
          <w:p w:rsidR="005B06B3" w:rsidRPr="00706E43" w:rsidRDefault="005B06B3" w:rsidP="00AF78E3">
            <w:pPr>
              <w:rPr>
                <w:rFonts w:ascii="Courier New" w:hAnsi="Courier New" w:cs="Courier New"/>
                <w:sz w:val="16"/>
                <w:szCs w:val="16"/>
              </w:rPr>
            </w:pPr>
            <w:r>
              <w:rPr>
                <w:rFonts w:ascii="Courier New" w:hAnsi="Courier New" w:cs="Courier New"/>
                <w:sz w:val="16"/>
                <w:szCs w:val="16"/>
              </w:rPr>
              <w:t>Johnston, RI</w:t>
            </w:r>
          </w:p>
        </w:tc>
        <w:tc>
          <w:tcPr>
            <w:tcW w:w="1530" w:type="dxa"/>
            <w:shd w:val="clear" w:color="auto" w:fill="auto"/>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BJ’s Wholesale</w:t>
            </w:r>
          </w:p>
        </w:tc>
        <w:tc>
          <w:tcPr>
            <w:tcW w:w="900" w:type="dxa"/>
            <w:shd w:val="clear" w:color="auto" w:fill="auto"/>
          </w:tcPr>
          <w:p w:rsidR="004F133D" w:rsidRPr="00706E43" w:rsidRDefault="005B06B3" w:rsidP="00AF78E3">
            <w:pPr>
              <w:rPr>
                <w:rFonts w:ascii="Courier New" w:hAnsi="Courier New" w:cs="Courier New"/>
                <w:sz w:val="16"/>
                <w:szCs w:val="16"/>
              </w:rPr>
            </w:pPr>
            <w:r>
              <w:rPr>
                <w:rFonts w:ascii="Courier New" w:hAnsi="Courier New" w:cs="Courier New"/>
                <w:sz w:val="16"/>
                <w:szCs w:val="16"/>
              </w:rPr>
              <w:t>121,324</w:t>
            </w:r>
          </w:p>
        </w:tc>
        <w:tc>
          <w:tcPr>
            <w:tcW w:w="108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 xml:space="preserve"> 6/2010</w:t>
            </w:r>
          </w:p>
        </w:tc>
        <w:tc>
          <w:tcPr>
            <w:tcW w:w="1170" w:type="dxa"/>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20 years</w:t>
            </w:r>
          </w:p>
        </w:tc>
        <w:tc>
          <w:tcPr>
            <w:tcW w:w="81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$1</w:t>
            </w:r>
            <w:r w:rsidR="00500B75">
              <w:rPr>
                <w:rFonts w:ascii="Courier New" w:hAnsi="Courier New" w:cs="Courier New"/>
                <w:sz w:val="16"/>
                <w:szCs w:val="16"/>
              </w:rPr>
              <w:t>4.00</w:t>
            </w:r>
          </w:p>
        </w:tc>
        <w:tc>
          <w:tcPr>
            <w:tcW w:w="144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Build to suit</w:t>
            </w:r>
          </w:p>
        </w:tc>
      </w:tr>
      <w:tr w:rsidR="00AF78E3" w:rsidRPr="00BB7775" w:rsidTr="005B06B3">
        <w:tc>
          <w:tcPr>
            <w:tcW w:w="558" w:type="dxa"/>
          </w:tcPr>
          <w:p w:rsidR="004F133D" w:rsidRPr="00706E43" w:rsidRDefault="00527A2D" w:rsidP="00706E43">
            <w:pPr>
              <w:jc w:val="center"/>
              <w:rPr>
                <w:rFonts w:ascii="Courier New" w:hAnsi="Courier New" w:cs="Courier New"/>
                <w:sz w:val="16"/>
                <w:szCs w:val="16"/>
              </w:rPr>
            </w:pPr>
            <w:r>
              <w:rPr>
                <w:rFonts w:ascii="Courier New" w:hAnsi="Courier New" w:cs="Courier New"/>
                <w:sz w:val="16"/>
                <w:szCs w:val="16"/>
              </w:rPr>
              <w:t>7</w:t>
            </w:r>
          </w:p>
        </w:tc>
        <w:tc>
          <w:tcPr>
            <w:tcW w:w="2160" w:type="dxa"/>
            <w:shd w:val="clear" w:color="auto" w:fill="auto"/>
          </w:tcPr>
          <w:p w:rsidR="00AF78E3" w:rsidRDefault="00527A2D" w:rsidP="00706E43">
            <w:pPr>
              <w:rPr>
                <w:rFonts w:ascii="Courier New" w:hAnsi="Courier New" w:cs="Courier New"/>
                <w:sz w:val="16"/>
                <w:szCs w:val="16"/>
              </w:rPr>
            </w:pPr>
            <w:r>
              <w:rPr>
                <w:rFonts w:ascii="Courier New" w:hAnsi="Courier New" w:cs="Courier New"/>
                <w:sz w:val="16"/>
                <w:szCs w:val="16"/>
              </w:rPr>
              <w:t>200 Crown Colony,</w:t>
            </w:r>
          </w:p>
          <w:p w:rsidR="00527A2D" w:rsidRPr="00706E43" w:rsidRDefault="00527A2D" w:rsidP="00706E43">
            <w:pPr>
              <w:rPr>
                <w:rFonts w:ascii="Courier New" w:hAnsi="Courier New" w:cs="Courier New"/>
                <w:sz w:val="16"/>
                <w:szCs w:val="16"/>
              </w:rPr>
            </w:pPr>
            <w:r>
              <w:rPr>
                <w:rFonts w:ascii="Courier New" w:hAnsi="Courier New" w:cs="Courier New"/>
                <w:sz w:val="16"/>
                <w:szCs w:val="16"/>
              </w:rPr>
              <w:t>Quincy, MA</w:t>
            </w:r>
          </w:p>
        </w:tc>
        <w:tc>
          <w:tcPr>
            <w:tcW w:w="153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BJ’s Wholesale</w:t>
            </w:r>
          </w:p>
        </w:tc>
        <w:tc>
          <w:tcPr>
            <w:tcW w:w="90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 xml:space="preserve"> 84,360</w:t>
            </w:r>
          </w:p>
        </w:tc>
        <w:tc>
          <w:tcPr>
            <w:tcW w:w="108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 xml:space="preserve"> 5/2010</w:t>
            </w:r>
          </w:p>
        </w:tc>
        <w:tc>
          <w:tcPr>
            <w:tcW w:w="1170" w:type="dxa"/>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20 years</w:t>
            </w:r>
          </w:p>
        </w:tc>
        <w:tc>
          <w:tcPr>
            <w:tcW w:w="81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$2</w:t>
            </w:r>
            <w:r w:rsidR="00500B75">
              <w:rPr>
                <w:rFonts w:ascii="Courier New" w:hAnsi="Courier New" w:cs="Courier New"/>
                <w:sz w:val="16"/>
                <w:szCs w:val="16"/>
              </w:rPr>
              <w:t>1.93</w:t>
            </w:r>
          </w:p>
        </w:tc>
        <w:tc>
          <w:tcPr>
            <w:tcW w:w="1440" w:type="dxa"/>
            <w:shd w:val="clear" w:color="auto" w:fill="auto"/>
          </w:tcPr>
          <w:p w:rsidR="004F133D" w:rsidRPr="00706E43" w:rsidRDefault="00527A2D" w:rsidP="00AF78E3">
            <w:pPr>
              <w:rPr>
                <w:rFonts w:ascii="Courier New" w:hAnsi="Courier New" w:cs="Courier New"/>
                <w:sz w:val="16"/>
                <w:szCs w:val="16"/>
              </w:rPr>
            </w:pPr>
            <w:r>
              <w:rPr>
                <w:rFonts w:ascii="Courier New" w:hAnsi="Courier New" w:cs="Courier New"/>
                <w:sz w:val="16"/>
                <w:szCs w:val="16"/>
              </w:rPr>
              <w:t>Build to suit</w:t>
            </w:r>
          </w:p>
        </w:tc>
      </w:tr>
      <w:tr w:rsidR="00AF78E3" w:rsidRPr="00BB7775" w:rsidTr="005B06B3">
        <w:tc>
          <w:tcPr>
            <w:tcW w:w="558" w:type="dxa"/>
          </w:tcPr>
          <w:p w:rsidR="004F133D" w:rsidRPr="00706E43" w:rsidRDefault="00527A2D" w:rsidP="00054B7B">
            <w:pPr>
              <w:jc w:val="center"/>
              <w:rPr>
                <w:rFonts w:ascii="Courier New" w:hAnsi="Courier New" w:cs="Courier New"/>
                <w:sz w:val="16"/>
                <w:szCs w:val="16"/>
              </w:rPr>
            </w:pPr>
            <w:r>
              <w:rPr>
                <w:rFonts w:ascii="Courier New" w:hAnsi="Courier New" w:cs="Courier New"/>
                <w:sz w:val="16"/>
                <w:szCs w:val="16"/>
              </w:rPr>
              <w:t>8</w:t>
            </w:r>
          </w:p>
        </w:tc>
        <w:tc>
          <w:tcPr>
            <w:tcW w:w="2160" w:type="dxa"/>
            <w:shd w:val="clear" w:color="auto" w:fill="auto"/>
          </w:tcPr>
          <w:p w:rsidR="00AF78E3" w:rsidRDefault="00527A2D" w:rsidP="00054B7B">
            <w:pPr>
              <w:rPr>
                <w:rFonts w:ascii="Courier New" w:hAnsi="Courier New" w:cs="Courier New"/>
                <w:sz w:val="16"/>
                <w:szCs w:val="16"/>
              </w:rPr>
            </w:pPr>
            <w:r>
              <w:rPr>
                <w:rFonts w:ascii="Courier New" w:hAnsi="Courier New" w:cs="Courier New"/>
                <w:sz w:val="16"/>
                <w:szCs w:val="16"/>
              </w:rPr>
              <w:t>Highland Commons,</w:t>
            </w:r>
          </w:p>
          <w:p w:rsidR="00527A2D" w:rsidRPr="00706E43" w:rsidRDefault="00527A2D" w:rsidP="00054B7B">
            <w:pPr>
              <w:rPr>
                <w:rFonts w:ascii="Courier New" w:hAnsi="Courier New" w:cs="Courier New"/>
                <w:sz w:val="16"/>
                <w:szCs w:val="16"/>
              </w:rPr>
            </w:pPr>
            <w:r>
              <w:rPr>
                <w:rFonts w:ascii="Courier New" w:hAnsi="Courier New" w:cs="Courier New"/>
                <w:sz w:val="16"/>
                <w:szCs w:val="16"/>
              </w:rPr>
              <w:t>Hudson, MA</w:t>
            </w:r>
          </w:p>
        </w:tc>
        <w:tc>
          <w:tcPr>
            <w:tcW w:w="1530" w:type="dxa"/>
            <w:shd w:val="clear" w:color="auto" w:fill="auto"/>
          </w:tcPr>
          <w:p w:rsidR="004F133D" w:rsidRPr="00706E43" w:rsidRDefault="00527A2D" w:rsidP="00054B7B">
            <w:pPr>
              <w:rPr>
                <w:rFonts w:ascii="Courier New" w:hAnsi="Courier New" w:cs="Courier New"/>
                <w:sz w:val="16"/>
                <w:szCs w:val="16"/>
              </w:rPr>
            </w:pPr>
            <w:r>
              <w:rPr>
                <w:rFonts w:ascii="Courier New" w:hAnsi="Courier New" w:cs="Courier New"/>
                <w:sz w:val="16"/>
                <w:szCs w:val="16"/>
              </w:rPr>
              <w:t>BJ’s Wholesale</w:t>
            </w:r>
          </w:p>
        </w:tc>
        <w:tc>
          <w:tcPr>
            <w:tcW w:w="900" w:type="dxa"/>
            <w:shd w:val="clear" w:color="auto" w:fill="auto"/>
          </w:tcPr>
          <w:p w:rsidR="004F133D" w:rsidRPr="00706E43" w:rsidRDefault="00527A2D" w:rsidP="00054B7B">
            <w:pPr>
              <w:rPr>
                <w:rFonts w:ascii="Courier New" w:hAnsi="Courier New" w:cs="Courier New"/>
                <w:sz w:val="16"/>
                <w:szCs w:val="16"/>
              </w:rPr>
            </w:pPr>
            <w:r>
              <w:rPr>
                <w:rFonts w:ascii="Courier New" w:hAnsi="Courier New" w:cs="Courier New"/>
                <w:sz w:val="16"/>
                <w:szCs w:val="16"/>
              </w:rPr>
              <w:t>117,924</w:t>
            </w:r>
          </w:p>
        </w:tc>
        <w:tc>
          <w:tcPr>
            <w:tcW w:w="1080" w:type="dxa"/>
            <w:shd w:val="clear" w:color="auto" w:fill="auto"/>
          </w:tcPr>
          <w:p w:rsidR="004F133D" w:rsidRPr="00706E43" w:rsidRDefault="00527A2D" w:rsidP="00054B7B">
            <w:pPr>
              <w:rPr>
                <w:rFonts w:ascii="Courier New" w:hAnsi="Courier New" w:cs="Courier New"/>
                <w:sz w:val="16"/>
                <w:szCs w:val="16"/>
              </w:rPr>
            </w:pPr>
            <w:r>
              <w:rPr>
                <w:rFonts w:ascii="Courier New" w:hAnsi="Courier New" w:cs="Courier New"/>
                <w:sz w:val="16"/>
                <w:szCs w:val="16"/>
              </w:rPr>
              <w:t>12/2010</w:t>
            </w:r>
          </w:p>
        </w:tc>
        <w:tc>
          <w:tcPr>
            <w:tcW w:w="1170" w:type="dxa"/>
          </w:tcPr>
          <w:p w:rsidR="004F133D" w:rsidRPr="00706E43" w:rsidRDefault="00527A2D" w:rsidP="00054B7B">
            <w:pPr>
              <w:rPr>
                <w:rFonts w:ascii="Courier New" w:hAnsi="Courier New" w:cs="Courier New"/>
                <w:sz w:val="16"/>
                <w:szCs w:val="16"/>
              </w:rPr>
            </w:pPr>
            <w:r>
              <w:rPr>
                <w:rFonts w:ascii="Courier New" w:hAnsi="Courier New" w:cs="Courier New"/>
                <w:sz w:val="16"/>
                <w:szCs w:val="16"/>
              </w:rPr>
              <w:t>20 years</w:t>
            </w:r>
          </w:p>
        </w:tc>
        <w:tc>
          <w:tcPr>
            <w:tcW w:w="810" w:type="dxa"/>
            <w:shd w:val="clear" w:color="auto" w:fill="auto"/>
          </w:tcPr>
          <w:p w:rsidR="004F133D" w:rsidRPr="00706E43" w:rsidRDefault="00527A2D" w:rsidP="00054B7B">
            <w:pPr>
              <w:rPr>
                <w:rFonts w:ascii="Courier New" w:hAnsi="Courier New" w:cs="Courier New"/>
                <w:sz w:val="16"/>
                <w:szCs w:val="16"/>
              </w:rPr>
            </w:pPr>
            <w:r>
              <w:rPr>
                <w:rFonts w:ascii="Courier New" w:hAnsi="Courier New" w:cs="Courier New"/>
                <w:sz w:val="16"/>
                <w:szCs w:val="16"/>
              </w:rPr>
              <w:t>$1</w:t>
            </w:r>
            <w:r w:rsidR="00500B75">
              <w:rPr>
                <w:rFonts w:ascii="Courier New" w:hAnsi="Courier New" w:cs="Courier New"/>
                <w:sz w:val="16"/>
                <w:szCs w:val="16"/>
              </w:rPr>
              <w:t>2.00</w:t>
            </w:r>
          </w:p>
        </w:tc>
        <w:tc>
          <w:tcPr>
            <w:tcW w:w="1440" w:type="dxa"/>
            <w:shd w:val="clear" w:color="auto" w:fill="auto"/>
          </w:tcPr>
          <w:p w:rsidR="004F133D" w:rsidRPr="00706E43" w:rsidRDefault="00527A2D" w:rsidP="00054B7B">
            <w:pPr>
              <w:rPr>
                <w:rFonts w:ascii="Courier New" w:hAnsi="Courier New" w:cs="Courier New"/>
                <w:sz w:val="16"/>
                <w:szCs w:val="16"/>
              </w:rPr>
            </w:pPr>
            <w:r>
              <w:rPr>
                <w:rFonts w:ascii="Courier New" w:hAnsi="Courier New" w:cs="Courier New"/>
                <w:sz w:val="16"/>
                <w:szCs w:val="16"/>
              </w:rPr>
              <w:t>Build to suit</w:t>
            </w:r>
          </w:p>
        </w:tc>
      </w:tr>
    </w:tbl>
    <w:p w:rsidR="001C44D4" w:rsidRDefault="001C44D4" w:rsidP="00054B7B">
      <w:pPr>
        <w:jc w:val="both"/>
        <w:rPr>
          <w:rFonts w:ascii="Courier New" w:hAnsi="Courier New" w:cs="Courier New"/>
        </w:rPr>
      </w:pPr>
    </w:p>
    <w:p w:rsidR="004E1EF2" w:rsidRDefault="00FB6A04" w:rsidP="00DD6352">
      <w:pPr>
        <w:spacing w:line="480" w:lineRule="auto"/>
        <w:ind w:firstLine="720"/>
        <w:jc w:val="both"/>
        <w:rPr>
          <w:rFonts w:ascii="Courier New" w:hAnsi="Courier New" w:cs="Courier New"/>
        </w:rPr>
      </w:pPr>
      <w:r>
        <w:rPr>
          <w:rFonts w:ascii="Courier New" w:hAnsi="Courier New" w:cs="Courier New"/>
        </w:rPr>
        <w:t xml:space="preserve">Mr. Shuka testified that comparable </w:t>
      </w:r>
      <w:r w:rsidR="00D401E6">
        <w:rPr>
          <w:rFonts w:ascii="Courier New" w:hAnsi="Courier New" w:cs="Courier New"/>
        </w:rPr>
        <w:t xml:space="preserve">numbers </w:t>
      </w:r>
      <w:r w:rsidR="001E4271">
        <w:rPr>
          <w:rFonts w:ascii="Courier New" w:hAnsi="Courier New" w:cs="Courier New"/>
        </w:rPr>
        <w:t>1</w:t>
      </w:r>
      <w:r w:rsidR="00D401E6">
        <w:rPr>
          <w:rFonts w:ascii="Courier New" w:hAnsi="Courier New" w:cs="Courier New"/>
        </w:rPr>
        <w:t xml:space="preserve"> a</w:t>
      </w:r>
      <w:r>
        <w:rPr>
          <w:rFonts w:ascii="Courier New" w:hAnsi="Courier New" w:cs="Courier New"/>
        </w:rPr>
        <w:t xml:space="preserve">nd </w:t>
      </w:r>
      <w:r w:rsidR="001E4271">
        <w:rPr>
          <w:rFonts w:ascii="Courier New" w:hAnsi="Courier New" w:cs="Courier New"/>
        </w:rPr>
        <w:t>2</w:t>
      </w:r>
      <w:r w:rsidR="00D401E6">
        <w:rPr>
          <w:rFonts w:ascii="Courier New" w:hAnsi="Courier New" w:cs="Courier New"/>
        </w:rPr>
        <w:t>,</w:t>
      </w:r>
      <w:r>
        <w:rPr>
          <w:rFonts w:ascii="Courier New" w:hAnsi="Courier New" w:cs="Courier New"/>
        </w:rPr>
        <w:t xml:space="preserve"> which represent</w:t>
      </w:r>
      <w:r w:rsidR="006A7D24">
        <w:rPr>
          <w:rFonts w:ascii="Courier New" w:hAnsi="Courier New" w:cs="Courier New"/>
        </w:rPr>
        <w:t>ed</w:t>
      </w:r>
      <w:r>
        <w:rPr>
          <w:rFonts w:ascii="Courier New" w:hAnsi="Courier New" w:cs="Courier New"/>
        </w:rPr>
        <w:t xml:space="preserve"> the low end of the range, are inferior to the subject property in terms of size and physical characteristic</w:t>
      </w:r>
      <w:r w:rsidR="008F1513">
        <w:rPr>
          <w:rFonts w:ascii="Courier New" w:hAnsi="Courier New" w:cs="Courier New"/>
        </w:rPr>
        <w:t>s.</w:t>
      </w:r>
      <w:r w:rsidR="00DD6352">
        <w:rPr>
          <w:rFonts w:ascii="Courier New" w:hAnsi="Courier New" w:cs="Courier New"/>
        </w:rPr>
        <w:br w:type="page"/>
      </w:r>
      <w:r w:rsidR="00D37F26">
        <w:rPr>
          <w:rFonts w:ascii="Courier New" w:hAnsi="Courier New" w:cs="Courier New"/>
        </w:rPr>
        <w:lastRenderedPageBreak/>
        <w:t xml:space="preserve">He also maintained that </w:t>
      </w:r>
      <w:r w:rsidR="00E8146F">
        <w:rPr>
          <w:rFonts w:ascii="Courier New" w:hAnsi="Courier New" w:cs="Courier New"/>
        </w:rPr>
        <w:t>c</w:t>
      </w:r>
      <w:r w:rsidR="006A7D24">
        <w:rPr>
          <w:rFonts w:ascii="Courier New" w:hAnsi="Courier New" w:cs="Courier New"/>
        </w:rPr>
        <w:t xml:space="preserve">omparable </w:t>
      </w:r>
      <w:r w:rsidR="00D401E6">
        <w:rPr>
          <w:rFonts w:ascii="Courier New" w:hAnsi="Courier New" w:cs="Courier New"/>
        </w:rPr>
        <w:t>number</w:t>
      </w:r>
      <w:r w:rsidR="008F1513">
        <w:rPr>
          <w:rFonts w:ascii="Courier New" w:hAnsi="Courier New" w:cs="Courier New"/>
        </w:rPr>
        <w:t xml:space="preserve"> </w:t>
      </w:r>
      <w:r w:rsidR="001E4271">
        <w:rPr>
          <w:rFonts w:ascii="Courier New" w:hAnsi="Courier New" w:cs="Courier New"/>
        </w:rPr>
        <w:t>7</w:t>
      </w:r>
      <w:r w:rsidR="006A7D24">
        <w:rPr>
          <w:rFonts w:ascii="Courier New" w:hAnsi="Courier New" w:cs="Courier New"/>
        </w:rPr>
        <w:t xml:space="preserve">, </w:t>
      </w:r>
      <w:r>
        <w:rPr>
          <w:rFonts w:ascii="Courier New" w:hAnsi="Courier New" w:cs="Courier New"/>
        </w:rPr>
        <w:t>which is at the high end of the range</w:t>
      </w:r>
      <w:r w:rsidR="006A7D24">
        <w:rPr>
          <w:rFonts w:ascii="Courier New" w:hAnsi="Courier New" w:cs="Courier New"/>
        </w:rPr>
        <w:t xml:space="preserve"> at $21.93 per square foot</w:t>
      </w:r>
      <w:r>
        <w:rPr>
          <w:rFonts w:ascii="Courier New" w:hAnsi="Courier New" w:cs="Courier New"/>
        </w:rPr>
        <w:t xml:space="preserve">, </w:t>
      </w:r>
      <w:r w:rsidR="00F61859">
        <w:rPr>
          <w:rFonts w:ascii="Courier New" w:hAnsi="Courier New" w:cs="Courier New"/>
        </w:rPr>
        <w:t>was an outlier</w:t>
      </w:r>
      <w:r>
        <w:rPr>
          <w:rFonts w:ascii="Courier New" w:hAnsi="Courier New" w:cs="Courier New"/>
        </w:rPr>
        <w:t xml:space="preserve">.  </w:t>
      </w:r>
      <w:r w:rsidR="006A7D24">
        <w:rPr>
          <w:rFonts w:ascii="Courier New" w:hAnsi="Courier New" w:cs="Courier New"/>
        </w:rPr>
        <w:t xml:space="preserve">The remaining comparables, </w:t>
      </w:r>
      <w:r w:rsidR="00663724">
        <w:rPr>
          <w:rFonts w:ascii="Courier New" w:hAnsi="Courier New" w:cs="Courier New"/>
        </w:rPr>
        <w:t>he noted, indicated a mu</w:t>
      </w:r>
      <w:r w:rsidR="006A7D24">
        <w:rPr>
          <w:rFonts w:ascii="Courier New" w:hAnsi="Courier New" w:cs="Courier New"/>
        </w:rPr>
        <w:t xml:space="preserve">ch tighter rental range of $9.00 to $14.00 per square foot.  </w:t>
      </w:r>
      <w:r w:rsidR="00233A91">
        <w:rPr>
          <w:rFonts w:ascii="Courier New" w:hAnsi="Courier New" w:cs="Courier New"/>
        </w:rPr>
        <w:t xml:space="preserve">Considering </w:t>
      </w:r>
      <w:r w:rsidR="00B72484">
        <w:rPr>
          <w:rFonts w:ascii="Courier New" w:hAnsi="Courier New" w:cs="Courier New"/>
        </w:rPr>
        <w:t xml:space="preserve">what he reported as </w:t>
      </w:r>
      <w:r w:rsidR="00233A91">
        <w:rPr>
          <w:rFonts w:ascii="Courier New" w:hAnsi="Courier New" w:cs="Courier New"/>
        </w:rPr>
        <w:t xml:space="preserve">all of the </w:t>
      </w:r>
      <w:r w:rsidR="00B72484">
        <w:rPr>
          <w:rFonts w:ascii="Courier New" w:hAnsi="Courier New" w:cs="Courier New"/>
        </w:rPr>
        <w:t xml:space="preserve">relevant </w:t>
      </w:r>
      <w:r w:rsidR="00233A91">
        <w:rPr>
          <w:rFonts w:ascii="Courier New" w:hAnsi="Courier New" w:cs="Courier New"/>
        </w:rPr>
        <w:t>fact</w:t>
      </w:r>
      <w:r w:rsidR="00176484">
        <w:rPr>
          <w:rFonts w:ascii="Courier New" w:hAnsi="Courier New" w:cs="Courier New"/>
        </w:rPr>
        <w:t>or</w:t>
      </w:r>
      <w:r w:rsidR="00233A91">
        <w:rPr>
          <w:rFonts w:ascii="Courier New" w:hAnsi="Courier New" w:cs="Courier New"/>
        </w:rPr>
        <w:t xml:space="preserve">s, Mr. </w:t>
      </w:r>
      <w:r w:rsidR="007E3F2E">
        <w:rPr>
          <w:rFonts w:ascii="Courier New" w:hAnsi="Courier New" w:cs="Courier New"/>
        </w:rPr>
        <w:t>Shuka</w:t>
      </w:r>
      <w:r w:rsidR="00233A91">
        <w:rPr>
          <w:rFonts w:ascii="Courier New" w:hAnsi="Courier New" w:cs="Courier New"/>
        </w:rPr>
        <w:t xml:space="preserve"> determined that a </w:t>
      </w:r>
      <w:r w:rsidR="008759ED">
        <w:rPr>
          <w:rFonts w:ascii="Courier New" w:hAnsi="Courier New" w:cs="Courier New"/>
        </w:rPr>
        <w:t xml:space="preserve">stabilized </w:t>
      </w:r>
      <w:r w:rsidR="00233A91">
        <w:rPr>
          <w:rFonts w:ascii="Courier New" w:hAnsi="Courier New" w:cs="Courier New"/>
        </w:rPr>
        <w:t>fair market rent of $1</w:t>
      </w:r>
      <w:r w:rsidR="00851088">
        <w:rPr>
          <w:rFonts w:ascii="Courier New" w:hAnsi="Courier New" w:cs="Courier New"/>
        </w:rPr>
        <w:t>3</w:t>
      </w:r>
      <w:r w:rsidR="00233A91">
        <w:rPr>
          <w:rFonts w:ascii="Courier New" w:hAnsi="Courier New" w:cs="Courier New"/>
        </w:rPr>
        <w:t xml:space="preserve">.00 per square foot </w:t>
      </w:r>
      <w:r w:rsidR="009A4ADD">
        <w:rPr>
          <w:rFonts w:ascii="Courier New" w:hAnsi="Courier New" w:cs="Courier New"/>
        </w:rPr>
        <w:t xml:space="preserve">on a triple net basis </w:t>
      </w:r>
      <w:r w:rsidR="00233A91">
        <w:rPr>
          <w:rFonts w:ascii="Courier New" w:hAnsi="Courier New" w:cs="Courier New"/>
        </w:rPr>
        <w:t xml:space="preserve">was </w:t>
      </w:r>
      <w:r w:rsidR="00054B7B">
        <w:rPr>
          <w:rFonts w:ascii="Courier New" w:hAnsi="Courier New" w:cs="Courier New"/>
        </w:rPr>
        <w:t xml:space="preserve">an </w:t>
      </w:r>
      <w:r w:rsidR="00233A91">
        <w:rPr>
          <w:rFonts w:ascii="Courier New" w:hAnsi="Courier New" w:cs="Courier New"/>
        </w:rPr>
        <w:t xml:space="preserve">appropriate </w:t>
      </w:r>
      <w:r w:rsidR="00054B7B">
        <w:rPr>
          <w:rFonts w:ascii="Courier New" w:hAnsi="Courier New" w:cs="Courier New"/>
        </w:rPr>
        <w:t xml:space="preserve">rent for the subject property </w:t>
      </w:r>
      <w:r w:rsidR="00233A91">
        <w:rPr>
          <w:rFonts w:ascii="Courier New" w:hAnsi="Courier New" w:cs="Courier New"/>
        </w:rPr>
        <w:t xml:space="preserve">for </w:t>
      </w:r>
      <w:r w:rsidR="00851088">
        <w:rPr>
          <w:rFonts w:ascii="Courier New" w:hAnsi="Courier New" w:cs="Courier New"/>
        </w:rPr>
        <w:t>the fiscal years at issue.</w:t>
      </w:r>
      <w:r w:rsidR="006F5FD3">
        <w:rPr>
          <w:rFonts w:ascii="Courier New" w:hAnsi="Courier New" w:cs="Courier New"/>
        </w:rPr>
        <w:t xml:space="preserve"> </w:t>
      </w:r>
      <w:r w:rsidR="00851088">
        <w:rPr>
          <w:rFonts w:ascii="Courier New" w:hAnsi="Courier New" w:cs="Courier New"/>
        </w:rPr>
        <w:t xml:space="preserve"> </w:t>
      </w:r>
      <w:r w:rsidR="006F5FD3">
        <w:rPr>
          <w:rFonts w:ascii="Courier New" w:hAnsi="Courier New" w:cs="Courier New"/>
        </w:rPr>
        <w:t>Applying th</w:t>
      </w:r>
      <w:r w:rsidR="00851088">
        <w:rPr>
          <w:rFonts w:ascii="Courier New" w:hAnsi="Courier New" w:cs="Courier New"/>
        </w:rPr>
        <w:t>is</w:t>
      </w:r>
      <w:r w:rsidR="006F5FD3">
        <w:rPr>
          <w:rFonts w:ascii="Courier New" w:hAnsi="Courier New" w:cs="Courier New"/>
        </w:rPr>
        <w:t xml:space="preserve"> rate to the subject property’s </w:t>
      </w:r>
      <w:r w:rsidR="00851088">
        <w:rPr>
          <w:rFonts w:ascii="Courier New" w:hAnsi="Courier New" w:cs="Courier New"/>
        </w:rPr>
        <w:t>124,825</w:t>
      </w:r>
      <w:r w:rsidR="006F5FD3">
        <w:rPr>
          <w:rFonts w:ascii="Courier New" w:hAnsi="Courier New" w:cs="Courier New"/>
        </w:rPr>
        <w:t xml:space="preserve"> square feet, Mr.</w:t>
      </w:r>
      <w:r w:rsidR="00DD6352">
        <w:rPr>
          <w:rFonts w:ascii="Courier New" w:hAnsi="Courier New" w:cs="Courier New"/>
        </w:rPr>
        <w:t> </w:t>
      </w:r>
      <w:r w:rsidR="007E3F2E">
        <w:rPr>
          <w:rFonts w:ascii="Courier New" w:hAnsi="Courier New" w:cs="Courier New"/>
        </w:rPr>
        <w:t>Shuka</w:t>
      </w:r>
      <w:r w:rsidR="006F5FD3">
        <w:rPr>
          <w:rFonts w:ascii="Courier New" w:hAnsi="Courier New" w:cs="Courier New"/>
        </w:rPr>
        <w:t xml:space="preserve"> obtained </w:t>
      </w:r>
      <w:r w:rsidR="00851088">
        <w:rPr>
          <w:rFonts w:ascii="Courier New" w:hAnsi="Courier New" w:cs="Courier New"/>
        </w:rPr>
        <w:t xml:space="preserve">a </w:t>
      </w:r>
      <w:r w:rsidR="00663724">
        <w:rPr>
          <w:rFonts w:ascii="Courier New" w:hAnsi="Courier New" w:cs="Courier New"/>
        </w:rPr>
        <w:t xml:space="preserve">forecasted </w:t>
      </w:r>
      <w:r w:rsidR="006F5FD3">
        <w:rPr>
          <w:rFonts w:ascii="Courier New" w:hAnsi="Courier New" w:cs="Courier New"/>
        </w:rPr>
        <w:t xml:space="preserve">rental </w:t>
      </w:r>
      <w:r w:rsidR="00663724">
        <w:rPr>
          <w:rFonts w:ascii="Courier New" w:hAnsi="Courier New" w:cs="Courier New"/>
        </w:rPr>
        <w:t>income</w:t>
      </w:r>
      <w:r w:rsidR="006F5FD3">
        <w:rPr>
          <w:rFonts w:ascii="Courier New" w:hAnsi="Courier New" w:cs="Courier New"/>
        </w:rPr>
        <w:t xml:space="preserve"> of $</w:t>
      </w:r>
      <w:r w:rsidR="00851088">
        <w:rPr>
          <w:rFonts w:ascii="Courier New" w:hAnsi="Courier New" w:cs="Courier New"/>
        </w:rPr>
        <w:t>1,622,725 for the fiscal years at issue.</w:t>
      </w:r>
    </w:p>
    <w:p w:rsidR="00663724" w:rsidRPr="000628ED" w:rsidRDefault="00B61C93" w:rsidP="00054B7B">
      <w:pPr>
        <w:spacing w:line="480" w:lineRule="auto"/>
        <w:ind w:firstLine="720"/>
        <w:jc w:val="both"/>
        <w:rPr>
          <w:rFonts w:ascii="Courier New" w:hAnsi="Courier New" w:cs="Courier New"/>
        </w:rPr>
      </w:pPr>
      <w:r>
        <w:rPr>
          <w:rFonts w:ascii="Courier New" w:hAnsi="Courier New" w:cs="Courier New"/>
        </w:rPr>
        <w:t xml:space="preserve">Next, </w:t>
      </w:r>
      <w:r w:rsidR="00663724">
        <w:rPr>
          <w:rFonts w:ascii="Courier New" w:hAnsi="Courier New" w:cs="Courier New"/>
        </w:rPr>
        <w:t xml:space="preserve">Mr. Shuka </w:t>
      </w:r>
      <w:r w:rsidR="003223CB">
        <w:rPr>
          <w:rFonts w:ascii="Courier New" w:hAnsi="Courier New" w:cs="Courier New"/>
        </w:rPr>
        <w:t xml:space="preserve">considered </w:t>
      </w:r>
      <w:r w:rsidR="00D401E6">
        <w:rPr>
          <w:rFonts w:ascii="Courier New" w:hAnsi="Courier New" w:cs="Courier New"/>
        </w:rPr>
        <w:t>re</w:t>
      </w:r>
      <w:r w:rsidR="00BA6FDE">
        <w:rPr>
          <w:rFonts w:ascii="Courier New" w:hAnsi="Courier New" w:cs="Courier New"/>
        </w:rPr>
        <w:t>imbursement income</w:t>
      </w:r>
      <w:r w:rsidR="003223CB">
        <w:rPr>
          <w:rFonts w:ascii="Courier New" w:hAnsi="Courier New" w:cs="Courier New"/>
        </w:rPr>
        <w:t>,</w:t>
      </w:r>
      <w:r w:rsidR="00D401E6">
        <w:rPr>
          <w:rFonts w:ascii="Courier New" w:hAnsi="Courier New" w:cs="Courier New"/>
        </w:rPr>
        <w:t xml:space="preserve"> </w:t>
      </w:r>
      <w:r w:rsidR="00BA6FDE">
        <w:rPr>
          <w:rFonts w:ascii="Courier New" w:hAnsi="Courier New" w:cs="Courier New"/>
        </w:rPr>
        <w:t>noting that</w:t>
      </w:r>
      <w:r w:rsidR="00663724">
        <w:rPr>
          <w:rFonts w:ascii="Courier New" w:hAnsi="Courier New" w:cs="Courier New"/>
        </w:rPr>
        <w:t xml:space="preserve"> under the terms of a</w:t>
      </w:r>
      <w:r w:rsidR="0005405C">
        <w:rPr>
          <w:rFonts w:ascii="Courier New" w:hAnsi="Courier New" w:cs="Courier New"/>
        </w:rPr>
        <w:t xml:space="preserve"> </w:t>
      </w:r>
      <w:r w:rsidR="00663724">
        <w:rPr>
          <w:rFonts w:ascii="Courier New" w:hAnsi="Courier New" w:cs="Courier New"/>
        </w:rPr>
        <w:t>typical lease in properties similar to the subject property</w:t>
      </w:r>
      <w:r w:rsidR="00054B7B">
        <w:rPr>
          <w:rFonts w:ascii="Courier New" w:hAnsi="Courier New" w:cs="Courier New"/>
        </w:rPr>
        <w:t>,</w:t>
      </w:r>
      <w:r w:rsidR="00663724">
        <w:rPr>
          <w:rFonts w:ascii="Courier New" w:hAnsi="Courier New" w:cs="Courier New"/>
        </w:rPr>
        <w:t xml:space="preserve"> the </w:t>
      </w:r>
      <w:r w:rsidR="00054B7B">
        <w:rPr>
          <w:rFonts w:ascii="Courier New" w:hAnsi="Courier New" w:cs="Courier New"/>
        </w:rPr>
        <w:t xml:space="preserve">tenant is responsible for </w:t>
      </w:r>
      <w:r w:rsidR="00AB51B9">
        <w:rPr>
          <w:rFonts w:ascii="Courier New" w:hAnsi="Courier New" w:cs="Courier New"/>
        </w:rPr>
        <w:t>its</w:t>
      </w:r>
      <w:r w:rsidR="00E65E55">
        <w:rPr>
          <w:rFonts w:ascii="Courier New" w:hAnsi="Courier New" w:cs="Courier New"/>
        </w:rPr>
        <w:t xml:space="preserve"> </w:t>
      </w:r>
      <w:r w:rsidR="00663724">
        <w:rPr>
          <w:rFonts w:ascii="Courier New" w:hAnsi="Courier New" w:cs="Courier New"/>
        </w:rPr>
        <w:t xml:space="preserve">share of operating expenses and insurance.  </w:t>
      </w:r>
      <w:r w:rsidR="00BA6FDE">
        <w:rPr>
          <w:rFonts w:ascii="Courier New" w:hAnsi="Courier New" w:cs="Courier New"/>
        </w:rPr>
        <w:t xml:space="preserve">Based on </w:t>
      </w:r>
      <w:r w:rsidR="001D2F05">
        <w:rPr>
          <w:rFonts w:ascii="Courier New" w:hAnsi="Courier New" w:cs="Courier New"/>
        </w:rPr>
        <w:t xml:space="preserve">the 2010, 2011, and 2012 </w:t>
      </w:r>
      <w:r w:rsidR="00BA6FDE">
        <w:rPr>
          <w:rFonts w:ascii="Courier New" w:hAnsi="Courier New" w:cs="Courier New"/>
        </w:rPr>
        <w:t xml:space="preserve">surveys conducted by the </w:t>
      </w:r>
      <w:r w:rsidR="000628ED" w:rsidRPr="000628ED">
        <w:rPr>
          <w:rFonts w:ascii="Courier New" w:hAnsi="Courier New" w:cs="Courier New"/>
          <w:color w:val="333333"/>
          <w:shd w:val="clear" w:color="auto" w:fill="FFFFFF"/>
        </w:rPr>
        <w:t>Institute of Real Estate Management (</w:t>
      </w:r>
      <w:r w:rsidR="000628ED">
        <w:rPr>
          <w:rFonts w:ascii="Courier New" w:hAnsi="Courier New" w:cs="Courier New"/>
          <w:color w:val="333333"/>
          <w:shd w:val="clear" w:color="auto" w:fill="FFFFFF"/>
        </w:rPr>
        <w:t>“IREM”)</w:t>
      </w:r>
      <w:r w:rsidR="00E65E55">
        <w:rPr>
          <w:rFonts w:ascii="Courier New" w:hAnsi="Courier New" w:cs="Courier New"/>
          <w:color w:val="333333"/>
          <w:shd w:val="clear" w:color="auto" w:fill="FFFFFF"/>
        </w:rPr>
        <w:t>,</w:t>
      </w:r>
      <w:r w:rsidR="00785882">
        <w:rPr>
          <w:rFonts w:ascii="Courier New" w:hAnsi="Courier New" w:cs="Courier New"/>
          <w:color w:val="333333"/>
          <w:shd w:val="clear" w:color="auto" w:fill="FFFFFF"/>
        </w:rPr>
        <w:t xml:space="preserve"> </w:t>
      </w:r>
      <w:r w:rsidR="00BA6FDE">
        <w:rPr>
          <w:rFonts w:ascii="Courier New" w:hAnsi="Courier New" w:cs="Courier New"/>
          <w:color w:val="333333"/>
          <w:shd w:val="clear" w:color="auto" w:fill="FFFFFF"/>
        </w:rPr>
        <w:t>Mr. Shuka</w:t>
      </w:r>
      <w:r w:rsidR="00AF3473">
        <w:rPr>
          <w:rFonts w:ascii="Courier New" w:hAnsi="Courier New" w:cs="Courier New"/>
          <w:color w:val="333333"/>
          <w:shd w:val="clear" w:color="auto" w:fill="FFFFFF"/>
        </w:rPr>
        <w:t xml:space="preserve"> included reimbursement income for operating expenses and insurance</w:t>
      </w:r>
      <w:r w:rsidR="00BA6FDE">
        <w:rPr>
          <w:rFonts w:ascii="Courier New" w:hAnsi="Courier New" w:cs="Courier New"/>
          <w:color w:val="333333"/>
          <w:shd w:val="clear" w:color="auto" w:fill="FFFFFF"/>
        </w:rPr>
        <w:t>, of $376,972, $456,860, and $2</w:t>
      </w:r>
      <w:r w:rsidR="001E4271">
        <w:rPr>
          <w:rFonts w:ascii="Courier New" w:hAnsi="Courier New" w:cs="Courier New"/>
          <w:color w:val="333333"/>
          <w:shd w:val="clear" w:color="auto" w:fill="FFFFFF"/>
        </w:rPr>
        <w:t>9</w:t>
      </w:r>
      <w:r w:rsidR="00BA6FDE">
        <w:rPr>
          <w:rFonts w:ascii="Courier New" w:hAnsi="Courier New" w:cs="Courier New"/>
          <w:color w:val="333333"/>
          <w:shd w:val="clear" w:color="auto" w:fill="FFFFFF"/>
        </w:rPr>
        <w:t>8,</w:t>
      </w:r>
      <w:r w:rsidR="001E4271">
        <w:rPr>
          <w:rFonts w:ascii="Courier New" w:hAnsi="Courier New" w:cs="Courier New"/>
          <w:color w:val="333333"/>
          <w:shd w:val="clear" w:color="auto" w:fill="FFFFFF"/>
        </w:rPr>
        <w:t>332</w:t>
      </w:r>
      <w:r w:rsidR="00BA6FDE">
        <w:rPr>
          <w:rFonts w:ascii="Courier New" w:hAnsi="Courier New" w:cs="Courier New"/>
          <w:color w:val="333333"/>
          <w:shd w:val="clear" w:color="auto" w:fill="FFFFFF"/>
        </w:rPr>
        <w:t xml:space="preserve"> for fiscal year</w:t>
      </w:r>
      <w:r w:rsidR="00D401E6">
        <w:rPr>
          <w:rFonts w:ascii="Courier New" w:hAnsi="Courier New" w:cs="Courier New"/>
          <w:color w:val="333333"/>
          <w:shd w:val="clear" w:color="auto" w:fill="FFFFFF"/>
        </w:rPr>
        <w:t>s 2012, 2013</w:t>
      </w:r>
      <w:r w:rsidR="00BA6FDE">
        <w:rPr>
          <w:rFonts w:ascii="Courier New" w:hAnsi="Courier New" w:cs="Courier New"/>
          <w:color w:val="333333"/>
          <w:shd w:val="clear" w:color="auto" w:fill="FFFFFF"/>
        </w:rPr>
        <w:t>, and</w:t>
      </w:r>
      <w:r w:rsidR="00D401E6">
        <w:rPr>
          <w:rFonts w:ascii="Courier New" w:hAnsi="Courier New" w:cs="Courier New"/>
          <w:color w:val="333333"/>
          <w:shd w:val="clear" w:color="auto" w:fill="FFFFFF"/>
        </w:rPr>
        <w:t xml:space="preserve"> 2014, respectively</w:t>
      </w:r>
      <w:r w:rsidR="00BA6FDE">
        <w:rPr>
          <w:rFonts w:ascii="Courier New" w:hAnsi="Courier New" w:cs="Courier New"/>
          <w:color w:val="333333"/>
          <w:shd w:val="clear" w:color="auto" w:fill="FFFFFF"/>
        </w:rPr>
        <w:t>.</w:t>
      </w:r>
      <w:r w:rsidR="00D401E6">
        <w:rPr>
          <w:rFonts w:ascii="Courier New" w:hAnsi="Courier New" w:cs="Courier New"/>
          <w:color w:val="333333"/>
          <w:shd w:val="clear" w:color="auto" w:fill="FFFFFF"/>
        </w:rPr>
        <w:t xml:space="preserve">  Adding these figures to h</w:t>
      </w:r>
      <w:r w:rsidR="00D37F26">
        <w:rPr>
          <w:rFonts w:ascii="Courier New" w:hAnsi="Courier New" w:cs="Courier New"/>
          <w:color w:val="333333"/>
          <w:shd w:val="clear" w:color="auto" w:fill="FFFFFF"/>
        </w:rPr>
        <w:t>is projected</w:t>
      </w:r>
      <w:r w:rsidR="00D401E6">
        <w:rPr>
          <w:rFonts w:ascii="Courier New" w:hAnsi="Courier New" w:cs="Courier New"/>
          <w:color w:val="333333"/>
          <w:shd w:val="clear" w:color="auto" w:fill="FFFFFF"/>
        </w:rPr>
        <w:t xml:space="preserve"> rental figure produced potential gross income amounts of $1,999,697 for fiscal year 2012, $2,079,585 for fiscal year 2013, and $1,</w:t>
      </w:r>
      <w:r w:rsidR="001E4271">
        <w:rPr>
          <w:rFonts w:ascii="Courier New" w:hAnsi="Courier New" w:cs="Courier New"/>
          <w:color w:val="333333"/>
          <w:shd w:val="clear" w:color="auto" w:fill="FFFFFF"/>
        </w:rPr>
        <w:t>9</w:t>
      </w:r>
      <w:r w:rsidR="00F55F0B">
        <w:rPr>
          <w:rFonts w:ascii="Courier New" w:hAnsi="Courier New" w:cs="Courier New"/>
          <w:color w:val="333333"/>
          <w:shd w:val="clear" w:color="auto" w:fill="FFFFFF"/>
        </w:rPr>
        <w:t>21</w:t>
      </w:r>
      <w:r w:rsidR="00D401E6">
        <w:rPr>
          <w:rFonts w:ascii="Courier New" w:hAnsi="Courier New" w:cs="Courier New"/>
          <w:color w:val="333333"/>
          <w:shd w:val="clear" w:color="auto" w:fill="FFFFFF"/>
        </w:rPr>
        <w:t>,</w:t>
      </w:r>
      <w:r w:rsidR="00F55F0B">
        <w:rPr>
          <w:rFonts w:ascii="Courier New" w:hAnsi="Courier New" w:cs="Courier New"/>
          <w:color w:val="333333"/>
          <w:shd w:val="clear" w:color="auto" w:fill="FFFFFF"/>
        </w:rPr>
        <w:t>057</w:t>
      </w:r>
      <w:r w:rsidR="00D401E6">
        <w:rPr>
          <w:rFonts w:ascii="Courier New" w:hAnsi="Courier New" w:cs="Courier New"/>
          <w:color w:val="333333"/>
          <w:shd w:val="clear" w:color="auto" w:fill="FFFFFF"/>
        </w:rPr>
        <w:t xml:space="preserve"> for fiscal year 2014.</w:t>
      </w:r>
      <w:r w:rsidR="00BA6FDE">
        <w:rPr>
          <w:rFonts w:ascii="Courier New" w:hAnsi="Courier New" w:cs="Courier New"/>
          <w:color w:val="333333"/>
          <w:shd w:val="clear" w:color="auto" w:fill="FFFFFF"/>
        </w:rPr>
        <w:t xml:space="preserve">  </w:t>
      </w:r>
    </w:p>
    <w:p w:rsidR="008460A6" w:rsidRDefault="001E4271" w:rsidP="008E6B73">
      <w:pPr>
        <w:spacing w:line="480" w:lineRule="auto"/>
        <w:ind w:firstLine="720"/>
        <w:jc w:val="both"/>
        <w:rPr>
          <w:rFonts w:ascii="Courier New" w:hAnsi="Courier New" w:cs="Courier New"/>
        </w:rPr>
      </w:pPr>
      <w:r>
        <w:rPr>
          <w:rFonts w:ascii="Courier New" w:hAnsi="Courier New" w:cs="Courier New"/>
        </w:rPr>
        <w:lastRenderedPageBreak/>
        <w:t>The next step in Mr. Sh</w:t>
      </w:r>
      <w:r w:rsidR="00004BF6">
        <w:rPr>
          <w:rFonts w:ascii="Courier New" w:hAnsi="Courier New" w:cs="Courier New"/>
        </w:rPr>
        <w:t>huka’s analysis was the determination of vacancy and collection loss allowances.  Mr.</w:t>
      </w:r>
      <w:r w:rsidR="00DD6352">
        <w:rPr>
          <w:rFonts w:ascii="Courier New" w:hAnsi="Courier New" w:cs="Courier New"/>
        </w:rPr>
        <w:t> </w:t>
      </w:r>
      <w:r w:rsidR="00004BF6">
        <w:rPr>
          <w:rFonts w:ascii="Courier New" w:hAnsi="Courier New" w:cs="Courier New"/>
        </w:rPr>
        <w:t xml:space="preserve">Shuka noted in his appraisal report that according to the </w:t>
      </w:r>
      <w:r w:rsidR="008460A6">
        <w:rPr>
          <w:rFonts w:ascii="Courier New" w:hAnsi="Courier New" w:cs="Courier New"/>
        </w:rPr>
        <w:t>Keypo</w:t>
      </w:r>
      <w:r w:rsidR="00AB2BB8">
        <w:rPr>
          <w:rFonts w:ascii="Courier New" w:hAnsi="Courier New" w:cs="Courier New"/>
        </w:rPr>
        <w:t xml:space="preserve">int </w:t>
      </w:r>
      <w:r w:rsidR="00004BF6">
        <w:rPr>
          <w:rFonts w:ascii="Courier New" w:hAnsi="Courier New" w:cs="Courier New"/>
        </w:rPr>
        <w:t>Partners r</w:t>
      </w:r>
      <w:r w:rsidR="00AB2BB8">
        <w:rPr>
          <w:rFonts w:ascii="Courier New" w:hAnsi="Courier New" w:cs="Courier New"/>
        </w:rPr>
        <w:t>eport</w:t>
      </w:r>
      <w:r w:rsidR="00887655">
        <w:rPr>
          <w:rFonts w:ascii="Courier New" w:hAnsi="Courier New" w:cs="Courier New"/>
        </w:rPr>
        <w:t>s</w:t>
      </w:r>
      <w:r w:rsidR="008460A6">
        <w:rPr>
          <w:rFonts w:ascii="Courier New" w:hAnsi="Courier New" w:cs="Courier New"/>
        </w:rPr>
        <w:t>,</w:t>
      </w:r>
      <w:r w:rsidR="00B672A0">
        <w:rPr>
          <w:rFonts w:ascii="Courier New" w:hAnsi="Courier New" w:cs="Courier New"/>
        </w:rPr>
        <w:t xml:space="preserve"> </w:t>
      </w:r>
      <w:r>
        <w:rPr>
          <w:rFonts w:ascii="Courier New" w:hAnsi="Courier New" w:cs="Courier New"/>
        </w:rPr>
        <w:t xml:space="preserve">the </w:t>
      </w:r>
      <w:r w:rsidR="00004BF6">
        <w:rPr>
          <w:rFonts w:ascii="Courier New" w:hAnsi="Courier New" w:cs="Courier New"/>
        </w:rPr>
        <w:t>regional vacancy rate in Eastern Massachusetts decreased from 9.7% to 7.9% during the fiscal years at issue.  Further, the vacancy rate for the south market, which included Quincy, decreased from 9.2% to 8.1% during the same time period.</w:t>
      </w:r>
      <w:r w:rsidR="008E6B73">
        <w:rPr>
          <w:rFonts w:ascii="Courier New" w:hAnsi="Courier New" w:cs="Courier New"/>
        </w:rPr>
        <w:t xml:space="preserve">  Based on the reported market vacancy rates, as well as the </w:t>
      </w:r>
      <w:r w:rsidR="003223CB">
        <w:rPr>
          <w:rFonts w:ascii="Courier New" w:hAnsi="Courier New" w:cs="Courier New"/>
        </w:rPr>
        <w:t>limi</w:t>
      </w:r>
      <w:r w:rsidR="00887655">
        <w:rPr>
          <w:rFonts w:ascii="Courier New" w:hAnsi="Courier New" w:cs="Courier New"/>
        </w:rPr>
        <w:t xml:space="preserve">ted market for large big-box buildings similar to the subject property, Mr. Shuka </w:t>
      </w:r>
      <w:r w:rsidR="003223CB">
        <w:rPr>
          <w:rFonts w:ascii="Courier New" w:hAnsi="Courier New" w:cs="Courier New"/>
        </w:rPr>
        <w:t xml:space="preserve">determined that a </w:t>
      </w:r>
      <w:r w:rsidR="008E6B73">
        <w:rPr>
          <w:rFonts w:ascii="Courier New" w:hAnsi="Courier New" w:cs="Courier New"/>
        </w:rPr>
        <w:t xml:space="preserve">stabilized vacancy and collection loss rate of 15% was reasonable for the fiscal </w:t>
      </w:r>
      <w:r w:rsidR="003223CB">
        <w:rPr>
          <w:rFonts w:ascii="Courier New" w:hAnsi="Courier New" w:cs="Courier New"/>
        </w:rPr>
        <w:t>years at issue</w:t>
      </w:r>
      <w:r w:rsidR="008460A6">
        <w:rPr>
          <w:rFonts w:ascii="Courier New" w:hAnsi="Courier New" w:cs="Courier New"/>
        </w:rPr>
        <w:t>.</w:t>
      </w:r>
    </w:p>
    <w:p w:rsidR="001C44D4" w:rsidRDefault="00DB4D28" w:rsidP="00A32B8C">
      <w:pPr>
        <w:spacing w:line="480" w:lineRule="auto"/>
        <w:jc w:val="both"/>
        <w:rPr>
          <w:rFonts w:ascii="Courier New" w:hAnsi="Courier New" w:cs="Courier New"/>
        </w:rPr>
      </w:pPr>
      <w:r>
        <w:rPr>
          <w:rFonts w:ascii="Courier New" w:hAnsi="Courier New" w:cs="Courier New"/>
        </w:rPr>
        <w:tab/>
      </w:r>
      <w:r w:rsidR="001B1BB4">
        <w:rPr>
          <w:rFonts w:ascii="Courier New" w:hAnsi="Courier New" w:cs="Courier New"/>
        </w:rPr>
        <w:t xml:space="preserve">Next, </w:t>
      </w:r>
      <w:r w:rsidR="00E332B8">
        <w:rPr>
          <w:rFonts w:ascii="Courier New" w:hAnsi="Courier New" w:cs="Courier New"/>
        </w:rPr>
        <w:t xml:space="preserve">Mr. Shuka determined the subject </w:t>
      </w:r>
      <w:r w:rsidR="001B1BB4">
        <w:rPr>
          <w:rFonts w:ascii="Courier New" w:hAnsi="Courier New" w:cs="Courier New"/>
        </w:rPr>
        <w:t xml:space="preserve">property’s net-operating incomes </w:t>
      </w:r>
      <w:r w:rsidR="003223CB">
        <w:rPr>
          <w:rFonts w:ascii="Courier New" w:hAnsi="Courier New" w:cs="Courier New"/>
        </w:rPr>
        <w:t>by</w:t>
      </w:r>
      <w:r w:rsidR="00E332B8">
        <w:rPr>
          <w:rFonts w:ascii="Courier New" w:hAnsi="Courier New" w:cs="Courier New"/>
        </w:rPr>
        <w:t xml:space="preserve"> deducting </w:t>
      </w:r>
      <w:r w:rsidR="00AF3473">
        <w:rPr>
          <w:rFonts w:ascii="Courier New" w:hAnsi="Courier New" w:cs="Courier New"/>
        </w:rPr>
        <w:t>expenses</w:t>
      </w:r>
      <w:r w:rsidR="001B1BB4">
        <w:rPr>
          <w:rFonts w:ascii="Courier New" w:hAnsi="Courier New" w:cs="Courier New"/>
        </w:rPr>
        <w:t>, which he divided into two categories</w:t>
      </w:r>
      <w:r w:rsidR="00054B7B">
        <w:rPr>
          <w:rFonts w:ascii="Courier New" w:hAnsi="Courier New" w:cs="Courier New"/>
        </w:rPr>
        <w:t xml:space="preserve"> -</w:t>
      </w:r>
      <w:r w:rsidR="00AF3473">
        <w:rPr>
          <w:rFonts w:ascii="Courier New" w:hAnsi="Courier New" w:cs="Courier New"/>
        </w:rPr>
        <w:t xml:space="preserve"> reimbursable expenses and unreimbursed expenses.  </w:t>
      </w:r>
      <w:r w:rsidR="00EB0B5B">
        <w:rPr>
          <w:rFonts w:ascii="Courier New" w:hAnsi="Courier New" w:cs="Courier New"/>
        </w:rPr>
        <w:t xml:space="preserve">For reimbursable expenses, </w:t>
      </w:r>
      <w:r w:rsidR="00D76D67">
        <w:rPr>
          <w:rFonts w:ascii="Courier New" w:hAnsi="Courier New" w:cs="Courier New"/>
        </w:rPr>
        <w:t xml:space="preserve">Mr. Shuka used the same figures </w:t>
      </w:r>
      <w:r w:rsidR="00075C79">
        <w:rPr>
          <w:rFonts w:ascii="Courier New" w:hAnsi="Courier New" w:cs="Courier New"/>
        </w:rPr>
        <w:t>that</w:t>
      </w:r>
      <w:r w:rsidR="00EB0B5B">
        <w:rPr>
          <w:rFonts w:ascii="Courier New" w:hAnsi="Courier New" w:cs="Courier New"/>
        </w:rPr>
        <w:t xml:space="preserve"> he reported for r</w:t>
      </w:r>
      <w:r w:rsidR="00D76D67">
        <w:rPr>
          <w:rFonts w:ascii="Courier New" w:hAnsi="Courier New" w:cs="Courier New"/>
        </w:rPr>
        <w:t xml:space="preserve">eimbursement income. </w:t>
      </w:r>
      <w:r w:rsidR="005915CA">
        <w:rPr>
          <w:rFonts w:ascii="Courier New" w:hAnsi="Courier New" w:cs="Courier New"/>
        </w:rPr>
        <w:t xml:space="preserve">For </w:t>
      </w:r>
      <w:r w:rsidR="001D2F05">
        <w:rPr>
          <w:rFonts w:ascii="Courier New" w:hAnsi="Courier New" w:cs="Courier New"/>
        </w:rPr>
        <w:t xml:space="preserve">unreimbursed </w:t>
      </w:r>
      <w:r w:rsidR="005915CA">
        <w:rPr>
          <w:rFonts w:ascii="Courier New" w:hAnsi="Courier New" w:cs="Courier New"/>
        </w:rPr>
        <w:t xml:space="preserve">expenses, </w:t>
      </w:r>
      <w:r w:rsidR="00312663">
        <w:rPr>
          <w:rFonts w:ascii="Courier New" w:hAnsi="Courier New" w:cs="Courier New"/>
        </w:rPr>
        <w:t xml:space="preserve">Mr. </w:t>
      </w:r>
      <w:r w:rsidR="007E3F2E">
        <w:rPr>
          <w:rFonts w:ascii="Courier New" w:hAnsi="Courier New" w:cs="Courier New"/>
        </w:rPr>
        <w:t>Shuka</w:t>
      </w:r>
      <w:r w:rsidR="00312663">
        <w:rPr>
          <w:rFonts w:ascii="Courier New" w:hAnsi="Courier New" w:cs="Courier New"/>
        </w:rPr>
        <w:t xml:space="preserve"> </w:t>
      </w:r>
      <w:r w:rsidR="000B376B">
        <w:rPr>
          <w:rFonts w:ascii="Courier New" w:hAnsi="Courier New" w:cs="Courier New"/>
          <w:color w:val="333333"/>
        </w:rPr>
        <w:t>allowed the follo</w:t>
      </w:r>
      <w:r w:rsidR="00B00682">
        <w:rPr>
          <w:rFonts w:ascii="Courier New" w:hAnsi="Courier New" w:cs="Courier New"/>
          <w:color w:val="333333"/>
        </w:rPr>
        <w:t xml:space="preserve">wing expenses:  </w:t>
      </w:r>
      <w:r w:rsidR="00006C09">
        <w:rPr>
          <w:rFonts w:ascii="Courier New" w:hAnsi="Courier New" w:cs="Courier New"/>
          <w:color w:val="333333"/>
        </w:rPr>
        <w:t xml:space="preserve">property management calculated at </w:t>
      </w:r>
      <w:r w:rsidR="00B00682">
        <w:rPr>
          <w:rFonts w:ascii="Courier New" w:hAnsi="Courier New" w:cs="Courier New"/>
          <w:color w:val="333333"/>
        </w:rPr>
        <w:t xml:space="preserve">3.0% of effective gross income; </w:t>
      </w:r>
      <w:r w:rsidR="00D13BCD">
        <w:rPr>
          <w:rFonts w:ascii="Courier New" w:hAnsi="Courier New" w:cs="Courier New"/>
          <w:color w:val="333333"/>
        </w:rPr>
        <w:t>replacement reserves calculated at $0.2</w:t>
      </w:r>
      <w:r w:rsidR="001D2F05">
        <w:rPr>
          <w:rFonts w:ascii="Courier New" w:hAnsi="Courier New" w:cs="Courier New"/>
          <w:color w:val="333333"/>
        </w:rPr>
        <w:t>5</w:t>
      </w:r>
      <w:r w:rsidR="00D13BCD">
        <w:rPr>
          <w:rFonts w:ascii="Courier New" w:hAnsi="Courier New" w:cs="Courier New"/>
          <w:color w:val="333333"/>
        </w:rPr>
        <w:t xml:space="preserve"> per square foot; administrative </w:t>
      </w:r>
      <w:r w:rsidR="00B72484">
        <w:rPr>
          <w:rFonts w:ascii="Courier New" w:hAnsi="Courier New" w:cs="Courier New"/>
          <w:color w:val="333333"/>
        </w:rPr>
        <w:t xml:space="preserve">costs </w:t>
      </w:r>
      <w:r w:rsidR="001D2F05">
        <w:rPr>
          <w:rFonts w:ascii="Courier New" w:hAnsi="Courier New" w:cs="Courier New"/>
          <w:color w:val="333333"/>
        </w:rPr>
        <w:t xml:space="preserve">of $10,000; leasing commissions </w:t>
      </w:r>
      <w:r w:rsidR="00D13BCD">
        <w:rPr>
          <w:rFonts w:ascii="Courier New" w:hAnsi="Courier New" w:cs="Courier New"/>
          <w:color w:val="333333"/>
        </w:rPr>
        <w:t xml:space="preserve">calculated at </w:t>
      </w:r>
      <w:r w:rsidR="001D2F05">
        <w:rPr>
          <w:rFonts w:ascii="Courier New" w:hAnsi="Courier New" w:cs="Courier New"/>
          <w:color w:val="333333"/>
        </w:rPr>
        <w:t xml:space="preserve">2.8% of </w:t>
      </w:r>
      <w:r w:rsidR="00006C09">
        <w:rPr>
          <w:rFonts w:ascii="Courier New" w:hAnsi="Courier New" w:cs="Courier New"/>
          <w:color w:val="333333"/>
        </w:rPr>
        <w:t xml:space="preserve">forecasted </w:t>
      </w:r>
      <w:r w:rsidR="001D2F05">
        <w:rPr>
          <w:rFonts w:ascii="Courier New" w:hAnsi="Courier New" w:cs="Courier New"/>
          <w:color w:val="333333"/>
        </w:rPr>
        <w:t xml:space="preserve">rental income; and tenant improvements </w:t>
      </w:r>
      <w:r w:rsidR="00006C09">
        <w:rPr>
          <w:rFonts w:ascii="Courier New" w:hAnsi="Courier New" w:cs="Courier New"/>
          <w:color w:val="333333"/>
        </w:rPr>
        <w:t xml:space="preserve">calculated at </w:t>
      </w:r>
      <w:r w:rsidR="00D13BCD">
        <w:rPr>
          <w:rFonts w:ascii="Courier New" w:hAnsi="Courier New" w:cs="Courier New"/>
          <w:color w:val="333333"/>
        </w:rPr>
        <w:t>$0.2</w:t>
      </w:r>
      <w:r w:rsidR="00006C09">
        <w:rPr>
          <w:rFonts w:ascii="Courier New" w:hAnsi="Courier New" w:cs="Courier New"/>
          <w:color w:val="333333"/>
        </w:rPr>
        <w:t>0</w:t>
      </w:r>
      <w:r w:rsidR="00D13BCD">
        <w:rPr>
          <w:rFonts w:ascii="Courier New" w:hAnsi="Courier New" w:cs="Courier New"/>
          <w:color w:val="333333"/>
        </w:rPr>
        <w:t xml:space="preserve"> per square foot.</w:t>
      </w:r>
      <w:r w:rsidR="006269CC">
        <w:rPr>
          <w:rFonts w:ascii="Courier New" w:hAnsi="Courier New" w:cs="Courier New"/>
          <w:color w:val="333333"/>
        </w:rPr>
        <w:t xml:space="preserve">  The total</w:t>
      </w:r>
      <w:r w:rsidR="00006C09">
        <w:rPr>
          <w:rFonts w:ascii="Courier New" w:hAnsi="Courier New" w:cs="Courier New"/>
          <w:color w:val="333333"/>
        </w:rPr>
        <w:t xml:space="preserve"> expense</w:t>
      </w:r>
      <w:r w:rsidR="00D76D67">
        <w:rPr>
          <w:rFonts w:ascii="Courier New" w:hAnsi="Courier New" w:cs="Courier New"/>
          <w:color w:val="333333"/>
        </w:rPr>
        <w:t>s</w:t>
      </w:r>
      <w:r w:rsidR="00006C09">
        <w:rPr>
          <w:rFonts w:ascii="Courier New" w:hAnsi="Courier New" w:cs="Courier New"/>
          <w:color w:val="333333"/>
        </w:rPr>
        <w:t xml:space="preserve"> amounted to $</w:t>
      </w:r>
      <w:r w:rsidR="00F55F0B">
        <w:rPr>
          <w:rFonts w:ascii="Courier New" w:hAnsi="Courier New" w:cs="Courier New"/>
          <w:color w:val="333333"/>
        </w:rPr>
        <w:t>539,571</w:t>
      </w:r>
      <w:r w:rsidR="00006C09">
        <w:rPr>
          <w:rFonts w:ascii="Courier New" w:hAnsi="Courier New" w:cs="Courier New"/>
          <w:color w:val="333333"/>
        </w:rPr>
        <w:t xml:space="preserve"> for fiscal year 2012, $</w:t>
      </w:r>
      <w:r w:rsidR="00F55F0B">
        <w:rPr>
          <w:rFonts w:ascii="Courier New" w:hAnsi="Courier New" w:cs="Courier New"/>
          <w:color w:val="333333"/>
        </w:rPr>
        <w:t>621,496</w:t>
      </w:r>
      <w:r w:rsidR="00006C09">
        <w:rPr>
          <w:rFonts w:ascii="Courier New" w:hAnsi="Courier New" w:cs="Courier New"/>
          <w:color w:val="333333"/>
        </w:rPr>
        <w:t xml:space="preserve"> for </w:t>
      </w:r>
      <w:r w:rsidR="00006C09">
        <w:rPr>
          <w:rFonts w:ascii="Courier New" w:hAnsi="Courier New" w:cs="Courier New"/>
          <w:color w:val="333333"/>
        </w:rPr>
        <w:lastRenderedPageBreak/>
        <w:t>fiscal year 2013, and $</w:t>
      </w:r>
      <w:r w:rsidR="00F55F0B">
        <w:rPr>
          <w:rFonts w:ascii="Courier New" w:hAnsi="Courier New" w:cs="Courier New"/>
          <w:color w:val="333333"/>
        </w:rPr>
        <w:t>458,926</w:t>
      </w:r>
      <w:r w:rsidR="00006C09">
        <w:rPr>
          <w:rFonts w:ascii="Courier New" w:hAnsi="Courier New" w:cs="Courier New"/>
          <w:color w:val="333333"/>
        </w:rPr>
        <w:t xml:space="preserve"> for fiscal year 2014</w:t>
      </w:r>
      <w:r w:rsidR="00054B7B">
        <w:rPr>
          <w:rFonts w:ascii="Courier New" w:hAnsi="Courier New" w:cs="Courier New"/>
          <w:color w:val="333333"/>
        </w:rPr>
        <w:t>, resulting in net-operating incomes of $1,160,</w:t>
      </w:r>
      <w:r w:rsidR="00F55F0B">
        <w:rPr>
          <w:rFonts w:ascii="Courier New" w:hAnsi="Courier New" w:cs="Courier New"/>
          <w:color w:val="333333"/>
        </w:rPr>
        <w:t>1</w:t>
      </w:r>
      <w:r w:rsidR="00054B7B">
        <w:rPr>
          <w:rFonts w:ascii="Courier New" w:hAnsi="Courier New" w:cs="Courier New"/>
          <w:color w:val="333333"/>
        </w:rPr>
        <w:t>71, $1,146,150, and $1,173,972, for fiscal years 2012, 2013, and 2014, respectively</w:t>
      </w:r>
      <w:r w:rsidR="00006C09">
        <w:rPr>
          <w:rFonts w:ascii="Courier New" w:hAnsi="Courier New" w:cs="Courier New"/>
          <w:color w:val="333333"/>
        </w:rPr>
        <w:t>.</w:t>
      </w:r>
      <w:r w:rsidR="00A32B8C">
        <w:rPr>
          <w:rFonts w:ascii="Courier New" w:hAnsi="Courier New" w:cs="Courier New"/>
          <w:color w:val="333333"/>
        </w:rPr>
        <w:t xml:space="preserve">  </w:t>
      </w:r>
    </w:p>
    <w:p w:rsidR="001161F2" w:rsidRDefault="001B1BB4" w:rsidP="00B2448C">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t>Mr. Shuka derived his capitalization rates from a combination of factors</w:t>
      </w:r>
      <w:r w:rsidR="00AB470B">
        <w:rPr>
          <w:rFonts w:ascii="Courier New" w:hAnsi="Courier New" w:cs="Courier New"/>
          <w:color w:val="333333"/>
          <w:shd w:val="clear" w:color="auto" w:fill="FFFFFF"/>
        </w:rPr>
        <w:t xml:space="preserve">.  First, he extracted rates from </w:t>
      </w:r>
      <w:r w:rsidR="005E00B1">
        <w:rPr>
          <w:rFonts w:ascii="Courier New" w:hAnsi="Courier New" w:cs="Courier New"/>
          <w:color w:val="333333"/>
          <w:shd w:val="clear" w:color="auto" w:fill="FFFFFF"/>
        </w:rPr>
        <w:t>sales of 18</w:t>
      </w:r>
      <w:r w:rsidR="008D4494">
        <w:rPr>
          <w:rFonts w:ascii="Courier New" w:hAnsi="Courier New" w:cs="Courier New"/>
          <w:color w:val="333333"/>
          <w:shd w:val="clear" w:color="auto" w:fill="FFFFFF"/>
        </w:rPr>
        <w:t xml:space="preserve"> </w:t>
      </w:r>
      <w:r w:rsidR="00B2448C">
        <w:rPr>
          <w:rFonts w:ascii="Courier New" w:hAnsi="Courier New" w:cs="Courier New"/>
          <w:color w:val="333333"/>
          <w:shd w:val="clear" w:color="auto" w:fill="FFFFFF"/>
        </w:rPr>
        <w:t>s</w:t>
      </w:r>
      <w:r w:rsidR="008D4494">
        <w:rPr>
          <w:rFonts w:ascii="Courier New" w:hAnsi="Courier New" w:cs="Courier New"/>
          <w:color w:val="333333"/>
          <w:shd w:val="clear" w:color="auto" w:fill="FFFFFF"/>
        </w:rPr>
        <w:t>ingle-tenant properties that occurred between February 2009 and July 2014</w:t>
      </w:r>
      <w:r w:rsidR="0026120F">
        <w:rPr>
          <w:rFonts w:ascii="Courier New" w:hAnsi="Courier New" w:cs="Courier New"/>
          <w:color w:val="333333"/>
          <w:shd w:val="clear" w:color="auto" w:fill="FFFFFF"/>
        </w:rPr>
        <w:t xml:space="preserve">.  </w:t>
      </w:r>
      <w:r w:rsidR="00054B7B">
        <w:rPr>
          <w:rFonts w:ascii="Courier New" w:hAnsi="Courier New" w:cs="Courier New"/>
          <w:color w:val="333333"/>
          <w:shd w:val="clear" w:color="auto" w:fill="FFFFFF"/>
        </w:rPr>
        <w:t>Second</w:t>
      </w:r>
      <w:r w:rsidR="0026120F">
        <w:rPr>
          <w:rFonts w:ascii="Courier New" w:hAnsi="Courier New" w:cs="Courier New"/>
          <w:color w:val="333333"/>
          <w:shd w:val="clear" w:color="auto" w:fill="FFFFFF"/>
        </w:rPr>
        <w:t>, Mr. Shuka considered the information published by RealtyRates.com for free-standing retail properties for the period 201</w:t>
      </w:r>
      <w:r w:rsidR="00511F80">
        <w:rPr>
          <w:rFonts w:ascii="Courier New" w:hAnsi="Courier New" w:cs="Courier New"/>
          <w:color w:val="333333"/>
          <w:shd w:val="clear" w:color="auto" w:fill="FFFFFF"/>
        </w:rPr>
        <w:t>1</w:t>
      </w:r>
      <w:r w:rsidR="0026120F">
        <w:rPr>
          <w:rFonts w:ascii="Courier New" w:hAnsi="Courier New" w:cs="Courier New"/>
          <w:color w:val="333333"/>
          <w:shd w:val="clear" w:color="auto" w:fill="FFFFFF"/>
        </w:rPr>
        <w:t xml:space="preserve"> through 2014, which reported </w:t>
      </w:r>
      <w:r w:rsidR="00B2448C">
        <w:rPr>
          <w:rFonts w:ascii="Courier New" w:hAnsi="Courier New" w:cs="Courier New"/>
          <w:color w:val="333333"/>
          <w:shd w:val="clear" w:color="auto" w:fill="FFFFFF"/>
        </w:rPr>
        <w:t>average capitalization rates between 10.31% and 10.69</w:t>
      </w:r>
      <w:r w:rsidR="00F61859">
        <w:rPr>
          <w:rFonts w:ascii="Courier New" w:hAnsi="Courier New" w:cs="Courier New"/>
          <w:color w:val="333333"/>
          <w:shd w:val="clear" w:color="auto" w:fill="FFFFFF"/>
        </w:rPr>
        <w:t>%</w:t>
      </w:r>
      <w:r w:rsidR="00B2448C">
        <w:rPr>
          <w:rFonts w:ascii="Courier New" w:hAnsi="Courier New" w:cs="Courier New"/>
          <w:color w:val="333333"/>
          <w:shd w:val="clear" w:color="auto" w:fill="FFFFFF"/>
        </w:rPr>
        <w:t xml:space="preserve"> during this period.  </w:t>
      </w:r>
      <w:r w:rsidR="00054B7B">
        <w:rPr>
          <w:rFonts w:ascii="Courier New" w:hAnsi="Courier New" w:cs="Courier New"/>
          <w:color w:val="333333"/>
          <w:shd w:val="clear" w:color="auto" w:fill="FFFFFF"/>
        </w:rPr>
        <w:t xml:space="preserve">Lastly, Mr. Shuka </w:t>
      </w:r>
      <w:r w:rsidR="00511F80">
        <w:rPr>
          <w:rFonts w:ascii="Courier New" w:hAnsi="Courier New" w:cs="Courier New"/>
          <w:color w:val="333333"/>
          <w:shd w:val="clear" w:color="auto" w:fill="FFFFFF"/>
        </w:rPr>
        <w:t>employed a band-of-investment technique</w:t>
      </w:r>
      <w:r w:rsidR="00AB470B">
        <w:rPr>
          <w:rFonts w:ascii="Courier New" w:hAnsi="Courier New" w:cs="Courier New"/>
          <w:color w:val="333333"/>
          <w:shd w:val="clear" w:color="auto" w:fill="FFFFFF"/>
        </w:rPr>
        <w:t xml:space="preserve">, which </w:t>
      </w:r>
      <w:r w:rsidR="001161F2">
        <w:rPr>
          <w:rFonts w:ascii="Courier New" w:hAnsi="Courier New" w:cs="Courier New"/>
          <w:color w:val="333333"/>
          <w:shd w:val="clear" w:color="auto" w:fill="FFFFFF"/>
        </w:rPr>
        <w:t>resulted in sug</w:t>
      </w:r>
      <w:r w:rsidR="00AB470B">
        <w:rPr>
          <w:rFonts w:ascii="Courier New" w:hAnsi="Courier New" w:cs="Courier New"/>
          <w:color w:val="333333"/>
          <w:shd w:val="clear" w:color="auto" w:fill="FFFFFF"/>
        </w:rPr>
        <w:t>gested capitalization rates of 9</w:t>
      </w:r>
      <w:r w:rsidR="001161F2">
        <w:rPr>
          <w:rFonts w:ascii="Courier New" w:hAnsi="Courier New" w:cs="Courier New"/>
          <w:color w:val="333333"/>
          <w:shd w:val="clear" w:color="auto" w:fill="FFFFFF"/>
        </w:rPr>
        <w:t>.83% for fiscal year 2012, 9.63% for fiscal year 2013, and 9.46% for fiscal year 2014.</w:t>
      </w:r>
    </w:p>
    <w:p w:rsidR="00DD6352" w:rsidRDefault="006269CC" w:rsidP="00006BD0">
      <w:pPr>
        <w:spacing w:line="480" w:lineRule="auto"/>
        <w:ind w:firstLine="720"/>
        <w:jc w:val="both"/>
        <w:rPr>
          <w:rFonts w:ascii="Courier New" w:hAnsi="Courier New" w:cs="Courier New"/>
          <w:color w:val="333333"/>
          <w:shd w:val="clear" w:color="auto" w:fill="FFFFFF"/>
        </w:rPr>
      </w:pPr>
      <w:r w:rsidRPr="00006BD0">
        <w:rPr>
          <w:rFonts w:ascii="Courier New" w:hAnsi="Courier New" w:cs="Courier New"/>
          <w:color w:val="333333"/>
          <w:shd w:val="clear" w:color="auto" w:fill="FFFFFF"/>
        </w:rPr>
        <w:t xml:space="preserve">Relying </w:t>
      </w:r>
      <w:r w:rsidR="00006BD0" w:rsidRPr="00006BD0">
        <w:rPr>
          <w:rFonts w:ascii="Courier New" w:hAnsi="Courier New" w:cs="Courier New"/>
          <w:color w:val="333333"/>
          <w:shd w:val="clear" w:color="auto" w:fill="FFFFFF"/>
        </w:rPr>
        <w:t>on th</w:t>
      </w:r>
      <w:r w:rsidR="00AB470B">
        <w:rPr>
          <w:rFonts w:ascii="Courier New" w:hAnsi="Courier New" w:cs="Courier New"/>
          <w:color w:val="333333"/>
          <w:shd w:val="clear" w:color="auto" w:fill="FFFFFF"/>
        </w:rPr>
        <w:t xml:space="preserve">is information, </w:t>
      </w:r>
      <w:r w:rsidR="00006BD0" w:rsidRPr="00006BD0">
        <w:rPr>
          <w:rFonts w:ascii="Courier New" w:hAnsi="Courier New" w:cs="Courier New"/>
          <w:color w:val="333333"/>
          <w:shd w:val="clear" w:color="auto" w:fill="FFFFFF"/>
        </w:rPr>
        <w:t xml:space="preserve">Mr. Shuka selected a </w:t>
      </w:r>
      <w:r w:rsidR="00AB470B">
        <w:rPr>
          <w:rFonts w:ascii="Courier New" w:hAnsi="Courier New" w:cs="Courier New"/>
          <w:color w:val="333333"/>
          <w:shd w:val="clear" w:color="auto" w:fill="FFFFFF"/>
        </w:rPr>
        <w:t xml:space="preserve">stabilized </w:t>
      </w:r>
      <w:r w:rsidR="00006BD0" w:rsidRPr="00006BD0">
        <w:rPr>
          <w:rFonts w:ascii="Courier New" w:hAnsi="Courier New" w:cs="Courier New"/>
          <w:color w:val="333333"/>
          <w:shd w:val="clear" w:color="auto" w:fill="FFFFFF"/>
        </w:rPr>
        <w:t xml:space="preserve">base capitalization rate of 10% for the fiscal years at issue.  </w:t>
      </w:r>
      <w:r w:rsidR="00054B7B">
        <w:rPr>
          <w:rFonts w:ascii="Courier New" w:hAnsi="Courier New" w:cs="Courier New"/>
          <w:color w:val="333333"/>
          <w:shd w:val="clear" w:color="auto" w:fill="FFFFFF"/>
        </w:rPr>
        <w:t>Because Mr. Shuka did not include any tax payments from tenants in his reimbursements, he only</w:t>
      </w:r>
      <w:r w:rsidR="00006BD0" w:rsidRPr="00006BD0">
        <w:rPr>
          <w:rFonts w:ascii="Courier New" w:hAnsi="Courier New" w:cs="Courier New"/>
          <w:color w:val="333333"/>
          <w:shd w:val="clear" w:color="auto" w:fill="FFFFFF"/>
        </w:rPr>
        <w:t xml:space="preserve"> added </w:t>
      </w:r>
      <w:r w:rsidR="00054B7B">
        <w:rPr>
          <w:rFonts w:ascii="Courier New" w:hAnsi="Courier New" w:cs="Courier New"/>
          <w:color w:val="333333"/>
          <w:shd w:val="clear" w:color="auto" w:fill="FFFFFF"/>
        </w:rPr>
        <w:t>a prorat</w:t>
      </w:r>
      <w:r w:rsidR="00075C79">
        <w:rPr>
          <w:rFonts w:ascii="Courier New" w:hAnsi="Courier New" w:cs="Courier New"/>
          <w:color w:val="333333"/>
          <w:shd w:val="clear" w:color="auto" w:fill="FFFFFF"/>
        </w:rPr>
        <w:t>ed</w:t>
      </w:r>
      <w:r w:rsidR="00054B7B">
        <w:rPr>
          <w:rFonts w:ascii="Courier New" w:hAnsi="Courier New" w:cs="Courier New"/>
          <w:color w:val="333333"/>
          <w:shd w:val="clear" w:color="auto" w:fill="FFFFFF"/>
        </w:rPr>
        <w:t xml:space="preserve"> </w:t>
      </w:r>
      <w:r w:rsidR="00006BD0" w:rsidRPr="00006BD0">
        <w:rPr>
          <w:rFonts w:ascii="Courier New" w:hAnsi="Courier New" w:cs="Courier New"/>
          <w:color w:val="333333"/>
          <w:shd w:val="clear" w:color="auto" w:fill="FFFFFF"/>
        </w:rPr>
        <w:t xml:space="preserve">tax factor </w:t>
      </w:r>
      <w:r w:rsidR="00AB51B9">
        <w:rPr>
          <w:rFonts w:ascii="Courier New" w:hAnsi="Courier New" w:cs="Courier New"/>
          <w:color w:val="333333"/>
          <w:shd w:val="clear" w:color="auto" w:fill="FFFFFF"/>
        </w:rPr>
        <w:t xml:space="preserve">based on his vacancy rate </w:t>
      </w:r>
      <w:r w:rsidR="00006BD0" w:rsidRPr="00006BD0">
        <w:rPr>
          <w:rFonts w:ascii="Courier New" w:hAnsi="Courier New" w:cs="Courier New"/>
          <w:color w:val="333333"/>
          <w:shd w:val="clear" w:color="auto" w:fill="FFFFFF"/>
        </w:rPr>
        <w:t>to arrive at his overall capitalization rates of 10.4299% for fiscal year 2012, 10.4592</w:t>
      </w:r>
      <w:r w:rsidR="00F61859">
        <w:rPr>
          <w:rFonts w:ascii="Courier New" w:hAnsi="Courier New" w:cs="Courier New"/>
          <w:color w:val="333333"/>
          <w:shd w:val="clear" w:color="auto" w:fill="FFFFFF"/>
        </w:rPr>
        <w:t>%</w:t>
      </w:r>
      <w:r w:rsidR="00006BD0" w:rsidRPr="00006BD0">
        <w:rPr>
          <w:rFonts w:ascii="Courier New" w:hAnsi="Courier New" w:cs="Courier New"/>
          <w:color w:val="333333"/>
          <w:shd w:val="clear" w:color="auto" w:fill="FFFFFF"/>
        </w:rPr>
        <w:t xml:space="preserve"> for fiscal year 2013, and 10.4685% for fiscal year 2014.</w:t>
      </w:r>
    </w:p>
    <w:p w:rsidR="00DD6352" w:rsidRDefault="00006BD0" w:rsidP="00DD6352">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lastRenderedPageBreak/>
        <w:t>Mr. Shuka’s income-capitalization analyses are reproduced in the following tables.</w:t>
      </w:r>
      <w:r w:rsidR="00C805A0">
        <w:rPr>
          <w:rStyle w:val="FootnoteReference"/>
          <w:rFonts w:ascii="Courier New" w:hAnsi="Courier New" w:cs="Courier New"/>
          <w:color w:val="333333"/>
          <w:shd w:val="clear" w:color="auto" w:fill="FFFFFF"/>
        </w:rPr>
        <w:footnoteReference w:id="5"/>
      </w:r>
    </w:p>
    <w:p w:rsidR="00B6071D" w:rsidRPr="00B6071D" w:rsidRDefault="005C5052" w:rsidP="00DD6352">
      <w:pPr>
        <w:spacing w:line="480" w:lineRule="auto"/>
        <w:ind w:left="2880" w:firstLine="720"/>
        <w:jc w:val="both"/>
        <w:rPr>
          <w:rFonts w:ascii="Courier New" w:hAnsi="Courier New" w:cs="Courier New"/>
          <w:b/>
        </w:rPr>
      </w:pPr>
      <w:r>
        <w:rPr>
          <w:rFonts w:ascii="Courier New" w:hAnsi="Courier New" w:cs="Courier New"/>
          <w:b/>
        </w:rPr>
        <w:t>Fiscal Year 2012</w:t>
      </w:r>
    </w:p>
    <w:tbl>
      <w:tblPr>
        <w:tblW w:w="9325"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45"/>
        <w:gridCol w:w="90"/>
        <w:gridCol w:w="180"/>
        <w:gridCol w:w="720"/>
        <w:gridCol w:w="2520"/>
        <w:gridCol w:w="2070"/>
      </w:tblGrid>
      <w:tr w:rsidR="006E22DC" w:rsidRPr="00BC33F3" w:rsidTr="00956947">
        <w:trPr>
          <w:tblCellSpacing w:w="15" w:type="dxa"/>
        </w:trPr>
        <w:tc>
          <w:tcPr>
            <w:tcW w:w="3700" w:type="dxa"/>
            <w:hideMark/>
          </w:tcPr>
          <w:p w:rsidR="006E22DC" w:rsidRPr="00BC33F3" w:rsidRDefault="006E22DC" w:rsidP="00F030A8">
            <w:pPr>
              <w:jc w:val="center"/>
              <w:rPr>
                <w:rFonts w:ascii="Courier New" w:hAnsi="Courier New" w:cs="Courier New"/>
                <w:b/>
                <w:bCs/>
                <w:color w:val="333333"/>
                <w:sz w:val="20"/>
                <w:szCs w:val="20"/>
              </w:rPr>
            </w:pPr>
          </w:p>
        </w:tc>
        <w:tc>
          <w:tcPr>
            <w:tcW w:w="240" w:type="dxa"/>
            <w:gridSpan w:val="2"/>
            <w:hideMark/>
          </w:tcPr>
          <w:p w:rsidR="006E22DC" w:rsidRPr="00BC33F3" w:rsidRDefault="006E22DC" w:rsidP="00F030A8">
            <w:pPr>
              <w:jc w:val="center"/>
              <w:rPr>
                <w:rFonts w:ascii="Courier New" w:hAnsi="Courier New" w:cs="Courier New"/>
                <w:sz w:val="20"/>
                <w:szCs w:val="20"/>
              </w:rPr>
            </w:pPr>
          </w:p>
        </w:tc>
        <w:tc>
          <w:tcPr>
            <w:tcW w:w="3210" w:type="dxa"/>
            <w:gridSpan w:val="2"/>
          </w:tcPr>
          <w:p w:rsidR="006E22DC" w:rsidRPr="00BC33F3" w:rsidRDefault="006E22DC" w:rsidP="00F030A8">
            <w:pPr>
              <w:jc w:val="center"/>
              <w:rPr>
                <w:rFonts w:ascii="Courier New" w:hAnsi="Courier New" w:cs="Courier New"/>
                <w:b/>
                <w:sz w:val="20"/>
                <w:szCs w:val="20"/>
              </w:rPr>
            </w:pPr>
          </w:p>
        </w:tc>
        <w:tc>
          <w:tcPr>
            <w:tcW w:w="2025" w:type="dxa"/>
            <w:hideMark/>
          </w:tcPr>
          <w:p w:rsidR="006E22DC" w:rsidRPr="00BC33F3" w:rsidRDefault="006E22DC" w:rsidP="00054B7B">
            <w:pPr>
              <w:rPr>
                <w:rFonts w:ascii="Courier New" w:hAnsi="Courier New" w:cs="Courier New"/>
                <w:b/>
                <w:sz w:val="20"/>
                <w:szCs w:val="20"/>
              </w:rPr>
            </w:pPr>
          </w:p>
        </w:tc>
      </w:tr>
      <w:tr w:rsidR="006E22DC" w:rsidRPr="00A706CA" w:rsidTr="00956947">
        <w:trPr>
          <w:tblCellSpacing w:w="15" w:type="dxa"/>
        </w:trPr>
        <w:tc>
          <w:tcPr>
            <w:tcW w:w="3700" w:type="dxa"/>
            <w:hideMark/>
          </w:tcPr>
          <w:p w:rsidR="006E22DC" w:rsidRPr="00A706CA" w:rsidRDefault="006E22DC" w:rsidP="004B0D8E">
            <w:pPr>
              <w:rPr>
                <w:rFonts w:ascii="Courier New" w:hAnsi="Courier New" w:cs="Courier New"/>
                <w:b/>
                <w:bCs/>
                <w:color w:val="333333"/>
                <w:sz w:val="20"/>
                <w:szCs w:val="20"/>
              </w:rPr>
            </w:pPr>
            <w:r w:rsidRPr="00A706CA">
              <w:rPr>
                <w:rFonts w:ascii="Courier New" w:hAnsi="Courier New" w:cs="Courier New"/>
                <w:b/>
                <w:bCs/>
                <w:color w:val="333333"/>
                <w:sz w:val="20"/>
                <w:szCs w:val="20"/>
              </w:rPr>
              <w:t>INCOME</w:t>
            </w:r>
          </w:p>
        </w:tc>
        <w:tc>
          <w:tcPr>
            <w:tcW w:w="240" w:type="dxa"/>
            <w:gridSpan w:val="2"/>
            <w:hideMark/>
          </w:tcPr>
          <w:p w:rsidR="006E22DC" w:rsidRPr="00A706CA" w:rsidRDefault="006E22DC">
            <w:pPr>
              <w:jc w:val="center"/>
              <w:rPr>
                <w:rFonts w:ascii="Courier New" w:hAnsi="Courier New" w:cs="Courier New"/>
                <w:b/>
                <w:bCs/>
                <w:color w:val="333333"/>
                <w:sz w:val="20"/>
                <w:szCs w:val="20"/>
              </w:rPr>
            </w:pPr>
          </w:p>
        </w:tc>
        <w:tc>
          <w:tcPr>
            <w:tcW w:w="3210" w:type="dxa"/>
            <w:gridSpan w:val="2"/>
          </w:tcPr>
          <w:p w:rsidR="006E22DC" w:rsidRPr="00A706CA" w:rsidRDefault="006E22DC">
            <w:pPr>
              <w:jc w:val="center"/>
              <w:rPr>
                <w:rFonts w:ascii="Courier New" w:hAnsi="Courier New" w:cs="Courier New"/>
                <w:b/>
                <w:bCs/>
                <w:color w:val="333333"/>
                <w:sz w:val="20"/>
                <w:szCs w:val="20"/>
              </w:rPr>
            </w:pPr>
          </w:p>
        </w:tc>
        <w:tc>
          <w:tcPr>
            <w:tcW w:w="2025" w:type="dxa"/>
            <w:hideMark/>
          </w:tcPr>
          <w:p w:rsidR="006E22DC" w:rsidRPr="00A706CA" w:rsidRDefault="006E22DC" w:rsidP="004B0D8E">
            <w:pPr>
              <w:rPr>
                <w:rFonts w:ascii="Courier New" w:hAnsi="Courier New" w:cs="Courier New"/>
                <w:b/>
                <w:bCs/>
                <w:color w:val="333333"/>
                <w:sz w:val="20"/>
                <w:szCs w:val="20"/>
              </w:rPr>
            </w:pPr>
          </w:p>
        </w:tc>
      </w:tr>
      <w:tr w:rsidR="006E22DC" w:rsidRPr="00A706CA" w:rsidTr="00956947">
        <w:trPr>
          <w:tblCellSpacing w:w="15" w:type="dxa"/>
        </w:trPr>
        <w:tc>
          <w:tcPr>
            <w:tcW w:w="3700" w:type="dxa"/>
          </w:tcPr>
          <w:p w:rsidR="006E22DC" w:rsidRPr="00A706CA" w:rsidRDefault="006E22DC" w:rsidP="004B0D8E">
            <w:pPr>
              <w:rPr>
                <w:rFonts w:ascii="Courier New" w:hAnsi="Courier New" w:cs="Courier New"/>
                <w:bCs/>
                <w:color w:val="333333"/>
                <w:sz w:val="20"/>
                <w:szCs w:val="20"/>
              </w:rPr>
            </w:pPr>
            <w:r w:rsidRPr="00A706CA">
              <w:rPr>
                <w:rFonts w:ascii="Courier New" w:hAnsi="Courier New" w:cs="Courier New"/>
                <w:bCs/>
                <w:color w:val="333333"/>
                <w:sz w:val="20"/>
                <w:szCs w:val="20"/>
              </w:rPr>
              <w:t>Building area</w:t>
            </w:r>
          </w:p>
        </w:tc>
        <w:tc>
          <w:tcPr>
            <w:tcW w:w="240" w:type="dxa"/>
            <w:gridSpan w:val="2"/>
          </w:tcPr>
          <w:p w:rsidR="006E22DC" w:rsidRPr="00A706CA" w:rsidRDefault="006E22DC" w:rsidP="004B0D8E">
            <w:pPr>
              <w:jc w:val="center"/>
              <w:rPr>
                <w:rFonts w:ascii="Courier New" w:hAnsi="Courier New" w:cs="Courier New"/>
                <w:bCs/>
                <w:color w:val="333333"/>
                <w:sz w:val="20"/>
                <w:szCs w:val="20"/>
              </w:rPr>
            </w:pPr>
          </w:p>
        </w:tc>
        <w:tc>
          <w:tcPr>
            <w:tcW w:w="3210" w:type="dxa"/>
            <w:gridSpan w:val="2"/>
          </w:tcPr>
          <w:p w:rsidR="006E22DC" w:rsidRPr="00A706CA" w:rsidRDefault="00756D70" w:rsidP="00970B32">
            <w:pPr>
              <w:jc w:val="right"/>
              <w:rPr>
                <w:rFonts w:ascii="Courier New" w:hAnsi="Courier New" w:cs="Courier New"/>
                <w:b/>
                <w:bCs/>
                <w:color w:val="333333"/>
                <w:sz w:val="20"/>
                <w:szCs w:val="20"/>
              </w:rPr>
            </w:pPr>
            <w:r>
              <w:rPr>
                <w:rFonts w:ascii="Courier New" w:hAnsi="Courier New" w:cs="Courier New"/>
                <w:bCs/>
                <w:color w:val="333333"/>
                <w:sz w:val="20"/>
                <w:szCs w:val="20"/>
              </w:rPr>
              <w:t>124,825</w:t>
            </w:r>
            <w:r w:rsidR="00970B32">
              <w:rPr>
                <w:rFonts w:ascii="Courier New" w:hAnsi="Courier New" w:cs="Courier New"/>
                <w:bCs/>
                <w:color w:val="333333"/>
                <w:sz w:val="20"/>
                <w:szCs w:val="20"/>
              </w:rPr>
              <w:t xml:space="preserve"> sf</w:t>
            </w:r>
          </w:p>
        </w:tc>
        <w:tc>
          <w:tcPr>
            <w:tcW w:w="2025" w:type="dxa"/>
          </w:tcPr>
          <w:p w:rsidR="006E22DC" w:rsidRPr="00A706CA" w:rsidRDefault="006E22DC" w:rsidP="006E22DC">
            <w:pPr>
              <w:jc w:val="right"/>
              <w:rPr>
                <w:rFonts w:ascii="Courier New" w:hAnsi="Courier New" w:cs="Courier New"/>
                <w:b/>
                <w:bCs/>
                <w:color w:val="333333"/>
                <w:sz w:val="20"/>
                <w:szCs w:val="20"/>
              </w:rPr>
            </w:pPr>
          </w:p>
        </w:tc>
      </w:tr>
      <w:tr w:rsidR="006E22DC" w:rsidRPr="00A706CA" w:rsidTr="00956947">
        <w:trPr>
          <w:tblCellSpacing w:w="15" w:type="dxa"/>
        </w:trPr>
        <w:tc>
          <w:tcPr>
            <w:tcW w:w="3700" w:type="dxa"/>
            <w:hideMark/>
          </w:tcPr>
          <w:p w:rsidR="006E22DC" w:rsidRPr="00A706CA" w:rsidRDefault="006E22DC">
            <w:pPr>
              <w:rPr>
                <w:rFonts w:ascii="Courier New" w:hAnsi="Courier New" w:cs="Courier New"/>
                <w:color w:val="333333"/>
                <w:sz w:val="20"/>
                <w:szCs w:val="20"/>
              </w:rPr>
            </w:pPr>
            <w:r w:rsidRPr="00A706CA">
              <w:rPr>
                <w:rFonts w:ascii="Courier New" w:hAnsi="Courier New" w:cs="Courier New"/>
                <w:color w:val="333333"/>
                <w:sz w:val="20"/>
                <w:szCs w:val="20"/>
              </w:rPr>
              <w:t>Market Rent</w:t>
            </w:r>
            <w:r>
              <w:rPr>
                <w:rFonts w:ascii="Courier New" w:hAnsi="Courier New" w:cs="Courier New"/>
                <w:color w:val="333333"/>
                <w:sz w:val="20"/>
                <w:szCs w:val="20"/>
              </w:rPr>
              <w:t xml:space="preserve"> (psf)</w:t>
            </w:r>
          </w:p>
        </w:tc>
        <w:tc>
          <w:tcPr>
            <w:tcW w:w="3480" w:type="dxa"/>
            <w:gridSpan w:val="4"/>
          </w:tcPr>
          <w:p w:rsidR="006E22DC" w:rsidRPr="00A706CA" w:rsidRDefault="00756D70" w:rsidP="006861AC">
            <w:pPr>
              <w:jc w:val="right"/>
              <w:rPr>
                <w:rFonts w:ascii="Courier New" w:hAnsi="Courier New" w:cs="Courier New"/>
                <w:color w:val="333333"/>
                <w:sz w:val="20"/>
                <w:szCs w:val="20"/>
              </w:rPr>
            </w:pPr>
            <w:r>
              <w:rPr>
                <w:rFonts w:ascii="Courier New" w:hAnsi="Courier New" w:cs="Courier New"/>
                <w:color w:val="333333"/>
                <w:sz w:val="20"/>
                <w:szCs w:val="20"/>
              </w:rPr>
              <w:t>$13.00 psf</w:t>
            </w:r>
          </w:p>
        </w:tc>
        <w:tc>
          <w:tcPr>
            <w:tcW w:w="2025" w:type="dxa"/>
            <w:hideMark/>
          </w:tcPr>
          <w:p w:rsidR="00756D70" w:rsidRPr="00A706CA" w:rsidRDefault="00756D70" w:rsidP="00756D70">
            <w:pPr>
              <w:jc w:val="right"/>
              <w:rPr>
                <w:rFonts w:ascii="Courier New" w:hAnsi="Courier New" w:cs="Courier New"/>
                <w:color w:val="333333"/>
                <w:sz w:val="20"/>
                <w:szCs w:val="20"/>
              </w:rPr>
            </w:pPr>
            <w:r>
              <w:rPr>
                <w:rFonts w:ascii="Courier New" w:hAnsi="Courier New" w:cs="Courier New"/>
                <w:color w:val="333333"/>
                <w:sz w:val="20"/>
                <w:szCs w:val="20"/>
              </w:rPr>
              <w:t>$1,622,725</w:t>
            </w:r>
          </w:p>
        </w:tc>
      </w:tr>
      <w:tr w:rsidR="00756D70" w:rsidRPr="00A706CA" w:rsidTr="00956947">
        <w:trPr>
          <w:tblCellSpacing w:w="15" w:type="dxa"/>
        </w:trPr>
        <w:tc>
          <w:tcPr>
            <w:tcW w:w="3700" w:type="dxa"/>
          </w:tcPr>
          <w:p w:rsidR="00756D70" w:rsidRPr="00A706CA" w:rsidRDefault="00756D70">
            <w:pPr>
              <w:rPr>
                <w:rFonts w:ascii="Courier New" w:hAnsi="Courier New" w:cs="Courier New"/>
                <w:color w:val="333333"/>
                <w:sz w:val="20"/>
                <w:szCs w:val="20"/>
              </w:rPr>
            </w:pPr>
            <w:r>
              <w:rPr>
                <w:rFonts w:ascii="Courier New" w:hAnsi="Courier New" w:cs="Courier New"/>
                <w:color w:val="333333"/>
                <w:sz w:val="20"/>
                <w:szCs w:val="20"/>
              </w:rPr>
              <w:t>Reimbursement Income</w:t>
            </w:r>
          </w:p>
        </w:tc>
        <w:tc>
          <w:tcPr>
            <w:tcW w:w="3480" w:type="dxa"/>
            <w:gridSpan w:val="4"/>
          </w:tcPr>
          <w:p w:rsidR="00756D70" w:rsidRPr="00A706CA" w:rsidRDefault="00756D70" w:rsidP="006861AC">
            <w:pPr>
              <w:jc w:val="right"/>
              <w:rPr>
                <w:rFonts w:ascii="Courier New" w:hAnsi="Courier New" w:cs="Courier New"/>
                <w:color w:val="333333"/>
                <w:sz w:val="20"/>
                <w:szCs w:val="20"/>
              </w:rPr>
            </w:pPr>
          </w:p>
        </w:tc>
        <w:tc>
          <w:tcPr>
            <w:tcW w:w="2025" w:type="dxa"/>
          </w:tcPr>
          <w:p w:rsidR="00756D70" w:rsidRDefault="00D76D67" w:rsidP="00CC30AD">
            <w:pPr>
              <w:jc w:val="right"/>
              <w:rPr>
                <w:rFonts w:ascii="Courier New" w:hAnsi="Courier New" w:cs="Courier New"/>
                <w:color w:val="333333"/>
                <w:sz w:val="20"/>
                <w:szCs w:val="20"/>
              </w:rPr>
            </w:pPr>
            <w:r>
              <w:rPr>
                <w:rFonts w:ascii="Courier New" w:hAnsi="Courier New" w:cs="Courier New"/>
                <w:color w:val="333333"/>
                <w:sz w:val="20"/>
                <w:szCs w:val="20"/>
              </w:rPr>
              <w:t>$376,972</w:t>
            </w:r>
          </w:p>
        </w:tc>
      </w:tr>
      <w:tr w:rsidR="00956947" w:rsidRPr="00A706CA" w:rsidTr="00956947">
        <w:trPr>
          <w:tblCellSpacing w:w="15" w:type="dxa"/>
        </w:trPr>
        <w:tc>
          <w:tcPr>
            <w:tcW w:w="3700" w:type="dxa"/>
          </w:tcPr>
          <w:p w:rsidR="00956947" w:rsidRPr="00143137" w:rsidRDefault="00143137" w:rsidP="000B376B">
            <w:pPr>
              <w:rPr>
                <w:rFonts w:ascii="Courier New" w:hAnsi="Courier New" w:cs="Courier New"/>
                <w:b/>
                <w:color w:val="333333"/>
                <w:sz w:val="20"/>
                <w:szCs w:val="20"/>
              </w:rPr>
            </w:pPr>
            <w:r>
              <w:rPr>
                <w:rFonts w:ascii="Courier New" w:hAnsi="Courier New" w:cs="Courier New"/>
                <w:b/>
                <w:color w:val="333333"/>
                <w:sz w:val="20"/>
                <w:szCs w:val="20"/>
              </w:rPr>
              <w:t>Potential Gross Income</w:t>
            </w:r>
          </w:p>
        </w:tc>
        <w:tc>
          <w:tcPr>
            <w:tcW w:w="60" w:type="dxa"/>
          </w:tcPr>
          <w:p w:rsidR="00956947" w:rsidRPr="000B376B" w:rsidRDefault="00956947">
            <w:pPr>
              <w:jc w:val="right"/>
              <w:rPr>
                <w:rFonts w:ascii="Courier New" w:hAnsi="Courier New" w:cs="Courier New"/>
                <w:b/>
                <w:color w:val="333333"/>
                <w:sz w:val="20"/>
                <w:szCs w:val="20"/>
              </w:rPr>
            </w:pPr>
          </w:p>
        </w:tc>
        <w:tc>
          <w:tcPr>
            <w:tcW w:w="3390" w:type="dxa"/>
            <w:gridSpan w:val="3"/>
          </w:tcPr>
          <w:p w:rsidR="00956947" w:rsidRPr="000B376B" w:rsidRDefault="00956947">
            <w:pPr>
              <w:jc w:val="right"/>
              <w:rPr>
                <w:rFonts w:ascii="Courier New" w:hAnsi="Courier New" w:cs="Courier New"/>
                <w:b/>
                <w:color w:val="333333"/>
                <w:sz w:val="20"/>
                <w:szCs w:val="20"/>
              </w:rPr>
            </w:pPr>
          </w:p>
        </w:tc>
        <w:tc>
          <w:tcPr>
            <w:tcW w:w="2025" w:type="dxa"/>
          </w:tcPr>
          <w:p w:rsidR="00956947" w:rsidRPr="00143137" w:rsidRDefault="00143137" w:rsidP="00956947">
            <w:pPr>
              <w:jc w:val="right"/>
              <w:rPr>
                <w:rFonts w:ascii="Courier New" w:hAnsi="Courier New" w:cs="Courier New"/>
                <w:b/>
                <w:color w:val="333333"/>
                <w:sz w:val="20"/>
                <w:szCs w:val="20"/>
              </w:rPr>
            </w:pPr>
            <w:r w:rsidRPr="00143137">
              <w:rPr>
                <w:rFonts w:ascii="Courier New" w:hAnsi="Courier New" w:cs="Courier New"/>
                <w:b/>
                <w:color w:val="333333"/>
                <w:sz w:val="20"/>
                <w:szCs w:val="20"/>
              </w:rPr>
              <w:t>$1,999,697</w:t>
            </w:r>
          </w:p>
        </w:tc>
      </w:tr>
      <w:tr w:rsidR="006E22DC" w:rsidRPr="00A706CA" w:rsidTr="00956947">
        <w:trPr>
          <w:tblCellSpacing w:w="15" w:type="dxa"/>
        </w:trPr>
        <w:tc>
          <w:tcPr>
            <w:tcW w:w="3700" w:type="dxa"/>
          </w:tcPr>
          <w:p w:rsidR="006E22DC" w:rsidRPr="00A706CA" w:rsidRDefault="006E22DC">
            <w:pPr>
              <w:rPr>
                <w:rFonts w:ascii="Courier New" w:hAnsi="Courier New" w:cs="Courier New"/>
                <w:color w:val="333333"/>
                <w:sz w:val="20"/>
                <w:szCs w:val="20"/>
              </w:rPr>
            </w:pPr>
            <w:r>
              <w:rPr>
                <w:rFonts w:ascii="Courier New" w:hAnsi="Courier New" w:cs="Courier New"/>
                <w:color w:val="333333"/>
                <w:sz w:val="20"/>
                <w:szCs w:val="20"/>
              </w:rPr>
              <w:t xml:space="preserve">  Less Vacancy</w:t>
            </w:r>
          </w:p>
        </w:tc>
        <w:tc>
          <w:tcPr>
            <w:tcW w:w="60" w:type="dxa"/>
          </w:tcPr>
          <w:p w:rsidR="006E22DC" w:rsidRPr="00A706CA" w:rsidRDefault="006E22DC">
            <w:pPr>
              <w:jc w:val="right"/>
              <w:rPr>
                <w:rFonts w:ascii="Courier New" w:hAnsi="Courier New" w:cs="Courier New"/>
                <w:color w:val="333333"/>
                <w:sz w:val="20"/>
                <w:szCs w:val="20"/>
              </w:rPr>
            </w:pPr>
          </w:p>
        </w:tc>
        <w:tc>
          <w:tcPr>
            <w:tcW w:w="3390" w:type="dxa"/>
            <w:gridSpan w:val="3"/>
          </w:tcPr>
          <w:p w:rsidR="006E22DC" w:rsidRPr="00A706CA" w:rsidRDefault="00756D70">
            <w:pPr>
              <w:jc w:val="right"/>
              <w:rPr>
                <w:rFonts w:ascii="Courier New" w:hAnsi="Courier New" w:cs="Courier New"/>
                <w:color w:val="333333"/>
                <w:sz w:val="20"/>
                <w:szCs w:val="20"/>
              </w:rPr>
            </w:pPr>
            <w:r>
              <w:rPr>
                <w:rFonts w:ascii="Courier New" w:hAnsi="Courier New" w:cs="Courier New"/>
                <w:color w:val="333333"/>
                <w:sz w:val="20"/>
                <w:szCs w:val="20"/>
              </w:rPr>
              <w:t>15</w:t>
            </w:r>
            <w:r w:rsidR="006E22DC">
              <w:rPr>
                <w:rFonts w:ascii="Courier New" w:hAnsi="Courier New" w:cs="Courier New"/>
                <w:color w:val="333333"/>
                <w:sz w:val="20"/>
                <w:szCs w:val="20"/>
              </w:rPr>
              <w:t>%</w:t>
            </w:r>
          </w:p>
        </w:tc>
        <w:tc>
          <w:tcPr>
            <w:tcW w:w="2025" w:type="dxa"/>
          </w:tcPr>
          <w:p w:rsidR="006E22DC" w:rsidRDefault="00B6071D" w:rsidP="00756D70">
            <w:pPr>
              <w:jc w:val="right"/>
              <w:rPr>
                <w:rFonts w:ascii="Courier New" w:hAnsi="Courier New" w:cs="Courier New"/>
                <w:color w:val="333333"/>
                <w:sz w:val="20"/>
                <w:szCs w:val="20"/>
              </w:rPr>
            </w:pPr>
            <w:r>
              <w:rPr>
                <w:rFonts w:ascii="Courier New" w:hAnsi="Courier New" w:cs="Courier New"/>
                <w:color w:val="333333"/>
                <w:sz w:val="20"/>
                <w:szCs w:val="20"/>
              </w:rPr>
              <w:t>(</w:t>
            </w:r>
            <w:r w:rsidR="006E22DC">
              <w:rPr>
                <w:rFonts w:ascii="Courier New" w:hAnsi="Courier New" w:cs="Courier New"/>
                <w:color w:val="333333"/>
                <w:sz w:val="20"/>
                <w:szCs w:val="20"/>
              </w:rPr>
              <w:t>$2</w:t>
            </w:r>
            <w:r w:rsidR="00CC30AD">
              <w:rPr>
                <w:rFonts w:ascii="Courier New" w:hAnsi="Courier New" w:cs="Courier New"/>
                <w:color w:val="333333"/>
                <w:sz w:val="20"/>
                <w:szCs w:val="20"/>
              </w:rPr>
              <w:t>99,954</w:t>
            </w:r>
            <w:r>
              <w:rPr>
                <w:rFonts w:ascii="Courier New" w:hAnsi="Courier New" w:cs="Courier New"/>
                <w:color w:val="333333"/>
                <w:sz w:val="20"/>
                <w:szCs w:val="20"/>
              </w:rPr>
              <w:t>)</w:t>
            </w:r>
          </w:p>
        </w:tc>
      </w:tr>
      <w:tr w:rsidR="006E22DC" w:rsidRPr="00A16D37" w:rsidTr="00956947">
        <w:trPr>
          <w:tblCellSpacing w:w="15" w:type="dxa"/>
        </w:trPr>
        <w:tc>
          <w:tcPr>
            <w:tcW w:w="3700" w:type="dxa"/>
          </w:tcPr>
          <w:p w:rsidR="006E22DC" w:rsidRPr="006E22DC" w:rsidRDefault="006E22DC" w:rsidP="00F030A8">
            <w:pPr>
              <w:rPr>
                <w:rFonts w:ascii="Courier New" w:hAnsi="Courier New" w:cs="Courier New"/>
                <w:b/>
                <w:color w:val="333333"/>
                <w:sz w:val="20"/>
                <w:szCs w:val="20"/>
              </w:rPr>
            </w:pPr>
            <w:r w:rsidRPr="006E22DC">
              <w:rPr>
                <w:rFonts w:ascii="Courier New" w:hAnsi="Courier New" w:cs="Courier New"/>
                <w:b/>
                <w:color w:val="333333"/>
                <w:sz w:val="20"/>
                <w:szCs w:val="20"/>
              </w:rPr>
              <w:t>Effective Gross Income</w:t>
            </w:r>
            <w:r w:rsidR="00956947">
              <w:rPr>
                <w:rFonts w:ascii="Courier New" w:hAnsi="Courier New" w:cs="Courier New"/>
                <w:b/>
                <w:color w:val="333333"/>
                <w:sz w:val="20"/>
                <w:szCs w:val="20"/>
              </w:rPr>
              <w:t xml:space="preserve"> (“EGI”)</w:t>
            </w:r>
          </w:p>
        </w:tc>
        <w:tc>
          <w:tcPr>
            <w:tcW w:w="60" w:type="dxa"/>
          </w:tcPr>
          <w:p w:rsidR="006E22DC" w:rsidRPr="00A16D37" w:rsidRDefault="006E22DC">
            <w:pPr>
              <w:jc w:val="right"/>
              <w:rPr>
                <w:rFonts w:ascii="Courier New" w:hAnsi="Courier New" w:cs="Courier New"/>
                <w:b/>
                <w:color w:val="333333"/>
                <w:sz w:val="20"/>
                <w:szCs w:val="20"/>
              </w:rPr>
            </w:pPr>
          </w:p>
        </w:tc>
        <w:tc>
          <w:tcPr>
            <w:tcW w:w="3390" w:type="dxa"/>
            <w:gridSpan w:val="3"/>
          </w:tcPr>
          <w:p w:rsidR="006E22DC" w:rsidRPr="00A16D37" w:rsidRDefault="006E22DC">
            <w:pPr>
              <w:jc w:val="right"/>
              <w:rPr>
                <w:rFonts w:ascii="Courier New" w:hAnsi="Courier New" w:cs="Courier New"/>
                <w:b/>
                <w:color w:val="333333"/>
                <w:sz w:val="20"/>
                <w:szCs w:val="20"/>
              </w:rPr>
            </w:pPr>
          </w:p>
        </w:tc>
        <w:tc>
          <w:tcPr>
            <w:tcW w:w="2025" w:type="dxa"/>
          </w:tcPr>
          <w:p w:rsidR="006E22DC" w:rsidRPr="00A16D37" w:rsidRDefault="006E22DC">
            <w:pPr>
              <w:jc w:val="right"/>
              <w:rPr>
                <w:rFonts w:ascii="Courier New" w:hAnsi="Courier New" w:cs="Courier New"/>
                <w:b/>
                <w:color w:val="333333"/>
                <w:sz w:val="20"/>
                <w:szCs w:val="20"/>
              </w:rPr>
            </w:pPr>
            <w:r>
              <w:rPr>
                <w:rFonts w:ascii="Courier New" w:hAnsi="Courier New" w:cs="Courier New"/>
                <w:b/>
                <w:color w:val="333333"/>
                <w:sz w:val="20"/>
                <w:szCs w:val="20"/>
              </w:rPr>
              <w:t>$</w:t>
            </w:r>
            <w:r w:rsidR="00CC30AD">
              <w:rPr>
                <w:rFonts w:ascii="Courier New" w:hAnsi="Courier New" w:cs="Courier New"/>
                <w:b/>
                <w:color w:val="333333"/>
                <w:sz w:val="20"/>
                <w:szCs w:val="20"/>
              </w:rPr>
              <w:t>1,699,742</w:t>
            </w:r>
          </w:p>
        </w:tc>
      </w:tr>
      <w:tr w:rsidR="006E22DC" w:rsidRPr="00A706CA" w:rsidTr="00956947">
        <w:trPr>
          <w:tblCellSpacing w:w="15" w:type="dxa"/>
        </w:trPr>
        <w:tc>
          <w:tcPr>
            <w:tcW w:w="3700" w:type="dxa"/>
          </w:tcPr>
          <w:p w:rsidR="006E22DC" w:rsidRPr="00A706CA" w:rsidRDefault="006E22DC">
            <w:pPr>
              <w:rPr>
                <w:rFonts w:ascii="Courier New" w:hAnsi="Courier New" w:cs="Courier New"/>
                <w:color w:val="333333"/>
                <w:sz w:val="20"/>
                <w:szCs w:val="20"/>
              </w:rPr>
            </w:pPr>
          </w:p>
        </w:tc>
        <w:tc>
          <w:tcPr>
            <w:tcW w:w="60" w:type="dxa"/>
          </w:tcPr>
          <w:p w:rsidR="006E22DC" w:rsidRPr="00A706CA" w:rsidRDefault="006E22DC">
            <w:pPr>
              <w:rPr>
                <w:rFonts w:ascii="Courier New" w:hAnsi="Courier New" w:cs="Courier New"/>
                <w:sz w:val="20"/>
                <w:szCs w:val="20"/>
              </w:rPr>
            </w:pPr>
          </w:p>
        </w:tc>
        <w:tc>
          <w:tcPr>
            <w:tcW w:w="3390" w:type="dxa"/>
            <w:gridSpan w:val="3"/>
          </w:tcPr>
          <w:p w:rsidR="006E22DC" w:rsidRPr="00A706CA" w:rsidRDefault="006E22DC">
            <w:pPr>
              <w:rPr>
                <w:rFonts w:ascii="Courier New" w:hAnsi="Courier New" w:cs="Courier New"/>
                <w:sz w:val="20"/>
                <w:szCs w:val="20"/>
              </w:rPr>
            </w:pPr>
          </w:p>
        </w:tc>
        <w:tc>
          <w:tcPr>
            <w:tcW w:w="2025" w:type="dxa"/>
          </w:tcPr>
          <w:p w:rsidR="006E22DC" w:rsidRPr="00A706CA" w:rsidRDefault="006E22DC">
            <w:pPr>
              <w:rPr>
                <w:rFonts w:ascii="Courier New" w:hAnsi="Courier New" w:cs="Courier New"/>
                <w:sz w:val="20"/>
                <w:szCs w:val="20"/>
              </w:rPr>
            </w:pPr>
          </w:p>
        </w:tc>
      </w:tr>
      <w:tr w:rsidR="006E22DC" w:rsidRPr="00A706CA" w:rsidTr="006E22DC">
        <w:trPr>
          <w:tblCellSpacing w:w="15" w:type="dxa"/>
        </w:trPr>
        <w:tc>
          <w:tcPr>
            <w:tcW w:w="7210" w:type="dxa"/>
            <w:gridSpan w:val="5"/>
          </w:tcPr>
          <w:p w:rsidR="006E22DC" w:rsidRPr="006E22DC" w:rsidRDefault="00B6071D" w:rsidP="007B363D">
            <w:pPr>
              <w:rPr>
                <w:rFonts w:ascii="Courier New" w:hAnsi="Courier New" w:cs="Courier New"/>
                <w:b/>
                <w:color w:val="333333"/>
                <w:sz w:val="20"/>
                <w:szCs w:val="20"/>
              </w:rPr>
            </w:pPr>
            <w:r>
              <w:rPr>
                <w:rFonts w:ascii="Courier New" w:hAnsi="Courier New" w:cs="Courier New"/>
                <w:b/>
                <w:color w:val="333333"/>
                <w:sz w:val="20"/>
                <w:szCs w:val="20"/>
              </w:rPr>
              <w:t>EXPENSE</w:t>
            </w:r>
            <w:r w:rsidR="00143137">
              <w:rPr>
                <w:rFonts w:ascii="Courier New" w:hAnsi="Courier New" w:cs="Courier New"/>
                <w:b/>
                <w:color w:val="333333"/>
                <w:sz w:val="20"/>
                <w:szCs w:val="20"/>
              </w:rPr>
              <w:t>S</w:t>
            </w:r>
          </w:p>
        </w:tc>
        <w:tc>
          <w:tcPr>
            <w:tcW w:w="2025" w:type="dxa"/>
          </w:tcPr>
          <w:p w:rsidR="006E22DC" w:rsidRPr="00A706CA" w:rsidRDefault="006E22DC">
            <w:pPr>
              <w:jc w:val="right"/>
              <w:rPr>
                <w:rFonts w:ascii="Courier New" w:hAnsi="Courier New" w:cs="Courier New"/>
                <w:color w:val="333333"/>
                <w:sz w:val="20"/>
                <w:szCs w:val="20"/>
              </w:rPr>
            </w:pPr>
          </w:p>
        </w:tc>
      </w:tr>
      <w:tr w:rsidR="000A579C" w:rsidRPr="00A706CA" w:rsidTr="006E22DC">
        <w:trPr>
          <w:tblCellSpacing w:w="15" w:type="dxa"/>
        </w:trPr>
        <w:tc>
          <w:tcPr>
            <w:tcW w:w="7210" w:type="dxa"/>
            <w:gridSpan w:val="5"/>
          </w:tcPr>
          <w:p w:rsidR="000A579C" w:rsidRPr="000A579C" w:rsidRDefault="000A579C" w:rsidP="007B363D">
            <w:pPr>
              <w:rPr>
                <w:rFonts w:ascii="Courier New" w:hAnsi="Courier New" w:cs="Courier New"/>
                <w:color w:val="333333"/>
                <w:sz w:val="20"/>
                <w:szCs w:val="20"/>
              </w:rPr>
            </w:pPr>
            <w:r w:rsidRPr="000A579C">
              <w:rPr>
                <w:rFonts w:ascii="Courier New" w:hAnsi="Courier New" w:cs="Courier New"/>
                <w:color w:val="333333"/>
                <w:sz w:val="20"/>
                <w:szCs w:val="20"/>
              </w:rPr>
              <w:t xml:space="preserve">  Reimbursable Expenses</w:t>
            </w:r>
          </w:p>
        </w:tc>
        <w:tc>
          <w:tcPr>
            <w:tcW w:w="2025" w:type="dxa"/>
          </w:tcPr>
          <w:p w:rsidR="000A579C" w:rsidRPr="00A706CA" w:rsidRDefault="000A579C">
            <w:pPr>
              <w:jc w:val="right"/>
              <w:rPr>
                <w:rFonts w:ascii="Courier New" w:hAnsi="Courier New" w:cs="Courier New"/>
                <w:color w:val="333333"/>
                <w:sz w:val="20"/>
                <w:szCs w:val="20"/>
              </w:rPr>
            </w:pPr>
          </w:p>
        </w:tc>
      </w:tr>
      <w:tr w:rsidR="000A579C" w:rsidRPr="00A706CA" w:rsidTr="006E22DC">
        <w:trPr>
          <w:tblCellSpacing w:w="15" w:type="dxa"/>
        </w:trPr>
        <w:tc>
          <w:tcPr>
            <w:tcW w:w="7210" w:type="dxa"/>
            <w:gridSpan w:val="5"/>
          </w:tcPr>
          <w:p w:rsidR="000A579C" w:rsidRPr="000A579C" w:rsidRDefault="000A579C" w:rsidP="007B363D">
            <w:pPr>
              <w:rPr>
                <w:rFonts w:ascii="Courier New" w:hAnsi="Courier New" w:cs="Courier New"/>
                <w:color w:val="333333"/>
                <w:sz w:val="20"/>
                <w:szCs w:val="20"/>
              </w:rPr>
            </w:pPr>
            <w:r w:rsidRPr="000A579C">
              <w:rPr>
                <w:rFonts w:ascii="Courier New" w:hAnsi="Courier New" w:cs="Courier New"/>
                <w:color w:val="333333"/>
                <w:sz w:val="20"/>
                <w:szCs w:val="20"/>
              </w:rPr>
              <w:t xml:space="preserve">    Operating Expenses</w:t>
            </w:r>
            <w:r w:rsidR="008255EF">
              <w:rPr>
                <w:rFonts w:ascii="Courier New" w:hAnsi="Courier New" w:cs="Courier New"/>
                <w:color w:val="333333"/>
                <w:sz w:val="20"/>
                <w:szCs w:val="20"/>
              </w:rPr>
              <w:t xml:space="preserve">                            $2.82 psf</w:t>
            </w:r>
          </w:p>
        </w:tc>
        <w:tc>
          <w:tcPr>
            <w:tcW w:w="2025" w:type="dxa"/>
          </w:tcPr>
          <w:p w:rsidR="000A579C" w:rsidRPr="00A706CA" w:rsidRDefault="000A579C" w:rsidP="000A579C">
            <w:pPr>
              <w:jc w:val="right"/>
              <w:rPr>
                <w:rFonts w:ascii="Courier New" w:hAnsi="Courier New" w:cs="Courier New"/>
                <w:color w:val="333333"/>
                <w:sz w:val="20"/>
                <w:szCs w:val="20"/>
              </w:rPr>
            </w:pPr>
            <w:r>
              <w:rPr>
                <w:rFonts w:ascii="Courier New" w:hAnsi="Courier New" w:cs="Courier New"/>
                <w:color w:val="333333"/>
                <w:sz w:val="20"/>
                <w:szCs w:val="20"/>
              </w:rPr>
              <w:t>$  352,007</w:t>
            </w:r>
          </w:p>
        </w:tc>
      </w:tr>
      <w:tr w:rsidR="000A579C" w:rsidRPr="00A706CA" w:rsidTr="006E22DC">
        <w:trPr>
          <w:tblCellSpacing w:w="15" w:type="dxa"/>
        </w:trPr>
        <w:tc>
          <w:tcPr>
            <w:tcW w:w="7210" w:type="dxa"/>
            <w:gridSpan w:val="5"/>
          </w:tcPr>
          <w:p w:rsidR="000A579C" w:rsidRPr="000A579C" w:rsidRDefault="000A579C" w:rsidP="007B363D">
            <w:pPr>
              <w:rPr>
                <w:rFonts w:ascii="Courier New" w:hAnsi="Courier New" w:cs="Courier New"/>
                <w:color w:val="333333"/>
                <w:sz w:val="20"/>
                <w:szCs w:val="20"/>
              </w:rPr>
            </w:pPr>
            <w:r w:rsidRPr="000A579C">
              <w:rPr>
                <w:rFonts w:ascii="Courier New" w:hAnsi="Courier New" w:cs="Courier New"/>
                <w:color w:val="333333"/>
                <w:sz w:val="20"/>
                <w:szCs w:val="20"/>
              </w:rPr>
              <w:t xml:space="preserve">    Insurance</w:t>
            </w:r>
            <w:r w:rsidR="008255EF">
              <w:rPr>
                <w:rFonts w:ascii="Courier New" w:hAnsi="Courier New" w:cs="Courier New"/>
                <w:color w:val="333333"/>
                <w:sz w:val="20"/>
                <w:szCs w:val="20"/>
              </w:rPr>
              <w:t xml:space="preserve">                                     $0.20 psf</w:t>
            </w:r>
          </w:p>
        </w:tc>
        <w:tc>
          <w:tcPr>
            <w:tcW w:w="2025" w:type="dxa"/>
          </w:tcPr>
          <w:p w:rsidR="000A579C" w:rsidRDefault="000A579C" w:rsidP="000A579C">
            <w:pPr>
              <w:jc w:val="right"/>
              <w:rPr>
                <w:rFonts w:ascii="Courier New" w:hAnsi="Courier New" w:cs="Courier New"/>
                <w:color w:val="333333"/>
                <w:sz w:val="20"/>
                <w:szCs w:val="20"/>
              </w:rPr>
            </w:pPr>
            <w:r>
              <w:rPr>
                <w:rFonts w:ascii="Courier New" w:hAnsi="Courier New" w:cs="Courier New"/>
                <w:color w:val="333333"/>
                <w:sz w:val="20"/>
                <w:szCs w:val="20"/>
              </w:rPr>
              <w:t>$   24,965</w:t>
            </w:r>
          </w:p>
        </w:tc>
      </w:tr>
      <w:tr w:rsidR="000A579C" w:rsidRPr="00A706CA" w:rsidTr="006E22DC">
        <w:trPr>
          <w:tblCellSpacing w:w="15" w:type="dxa"/>
        </w:trPr>
        <w:tc>
          <w:tcPr>
            <w:tcW w:w="7210" w:type="dxa"/>
            <w:gridSpan w:val="5"/>
          </w:tcPr>
          <w:p w:rsidR="000A579C" w:rsidRPr="000A579C" w:rsidRDefault="000A579C" w:rsidP="000A579C">
            <w:pPr>
              <w:rPr>
                <w:rFonts w:ascii="Courier New" w:hAnsi="Courier New" w:cs="Courier New"/>
                <w:color w:val="333333"/>
                <w:sz w:val="20"/>
                <w:szCs w:val="20"/>
              </w:rPr>
            </w:pPr>
            <w:r>
              <w:rPr>
                <w:rFonts w:ascii="Courier New" w:hAnsi="Courier New" w:cs="Courier New"/>
                <w:color w:val="333333"/>
                <w:sz w:val="20"/>
                <w:szCs w:val="20"/>
              </w:rPr>
              <w:t xml:space="preserve">  Non-Reimbursable Expenses</w:t>
            </w:r>
          </w:p>
        </w:tc>
        <w:tc>
          <w:tcPr>
            <w:tcW w:w="2025" w:type="dxa"/>
          </w:tcPr>
          <w:p w:rsidR="000A579C" w:rsidRDefault="000A579C" w:rsidP="000A579C">
            <w:pPr>
              <w:jc w:val="right"/>
              <w:rPr>
                <w:rFonts w:ascii="Courier New" w:hAnsi="Courier New" w:cs="Courier New"/>
                <w:color w:val="333333"/>
                <w:sz w:val="20"/>
                <w:szCs w:val="20"/>
              </w:rPr>
            </w:pPr>
          </w:p>
        </w:tc>
      </w:tr>
      <w:tr w:rsidR="00970B32" w:rsidRPr="00A706CA" w:rsidTr="000A579C">
        <w:trPr>
          <w:tblCellSpacing w:w="15" w:type="dxa"/>
        </w:trPr>
        <w:tc>
          <w:tcPr>
            <w:tcW w:w="3700" w:type="dxa"/>
            <w:hideMark/>
          </w:tcPr>
          <w:p w:rsidR="00970B32" w:rsidRPr="00A706CA" w:rsidRDefault="00970B32" w:rsidP="00CC30AD">
            <w:pPr>
              <w:rPr>
                <w:rFonts w:ascii="Courier New" w:hAnsi="Courier New" w:cs="Courier New"/>
                <w:color w:val="333333"/>
                <w:sz w:val="20"/>
                <w:szCs w:val="20"/>
              </w:rPr>
            </w:pPr>
            <w:r>
              <w:rPr>
                <w:rFonts w:ascii="Courier New" w:hAnsi="Courier New" w:cs="Courier New"/>
                <w:color w:val="333333"/>
                <w:sz w:val="20"/>
                <w:szCs w:val="20"/>
              </w:rPr>
              <w:t xml:space="preserve">  </w:t>
            </w:r>
            <w:r w:rsidR="000A579C">
              <w:rPr>
                <w:rFonts w:ascii="Courier New" w:hAnsi="Courier New" w:cs="Courier New"/>
                <w:color w:val="333333"/>
                <w:sz w:val="20"/>
                <w:szCs w:val="20"/>
              </w:rPr>
              <w:t xml:space="preserve">  </w:t>
            </w:r>
            <w:r w:rsidR="00CC30AD">
              <w:rPr>
                <w:rFonts w:ascii="Courier New" w:hAnsi="Courier New" w:cs="Courier New"/>
                <w:color w:val="333333"/>
                <w:sz w:val="20"/>
                <w:szCs w:val="20"/>
              </w:rPr>
              <w:t>Management</w:t>
            </w:r>
          </w:p>
        </w:tc>
        <w:tc>
          <w:tcPr>
            <w:tcW w:w="960" w:type="dxa"/>
            <w:gridSpan w:val="3"/>
            <w:hideMark/>
          </w:tcPr>
          <w:p w:rsidR="00970B32" w:rsidRPr="00A706CA" w:rsidRDefault="00970B32" w:rsidP="00956947">
            <w:pPr>
              <w:rPr>
                <w:rFonts w:ascii="Courier New" w:hAnsi="Courier New" w:cs="Courier New"/>
                <w:sz w:val="20"/>
                <w:szCs w:val="20"/>
              </w:rPr>
            </w:pPr>
          </w:p>
        </w:tc>
        <w:tc>
          <w:tcPr>
            <w:tcW w:w="2490" w:type="dxa"/>
            <w:hideMark/>
          </w:tcPr>
          <w:p w:rsidR="00970B32" w:rsidRPr="00A706CA" w:rsidRDefault="00956947" w:rsidP="006E22DC">
            <w:pPr>
              <w:jc w:val="right"/>
              <w:rPr>
                <w:rFonts w:ascii="Courier New" w:hAnsi="Courier New" w:cs="Courier New"/>
                <w:sz w:val="20"/>
                <w:szCs w:val="20"/>
              </w:rPr>
            </w:pPr>
            <w:r>
              <w:rPr>
                <w:rFonts w:ascii="Courier New" w:hAnsi="Courier New" w:cs="Courier New"/>
                <w:sz w:val="20"/>
                <w:szCs w:val="20"/>
              </w:rPr>
              <w:t>3% of EGI</w:t>
            </w:r>
          </w:p>
        </w:tc>
        <w:tc>
          <w:tcPr>
            <w:tcW w:w="2025" w:type="dxa"/>
            <w:hideMark/>
          </w:tcPr>
          <w:p w:rsidR="00970B32" w:rsidRPr="007B363D" w:rsidRDefault="00CC30AD" w:rsidP="00F030A8">
            <w:pPr>
              <w:jc w:val="right"/>
              <w:rPr>
                <w:rFonts w:ascii="Courier New" w:hAnsi="Courier New" w:cs="Courier New"/>
                <w:sz w:val="20"/>
                <w:szCs w:val="20"/>
              </w:rPr>
            </w:pPr>
            <w:r>
              <w:rPr>
                <w:rFonts w:ascii="Courier New" w:hAnsi="Courier New" w:cs="Courier New"/>
                <w:sz w:val="20"/>
                <w:szCs w:val="20"/>
              </w:rPr>
              <w:t>$   50,992</w:t>
            </w:r>
          </w:p>
        </w:tc>
      </w:tr>
      <w:tr w:rsidR="00970B32" w:rsidRPr="00A706CA" w:rsidTr="000A579C">
        <w:trPr>
          <w:tblCellSpacing w:w="15" w:type="dxa"/>
        </w:trPr>
        <w:tc>
          <w:tcPr>
            <w:tcW w:w="3700" w:type="dxa"/>
            <w:hideMark/>
          </w:tcPr>
          <w:p w:rsidR="00970B32" w:rsidRPr="00A706CA" w:rsidRDefault="00CC30AD">
            <w:pPr>
              <w:rPr>
                <w:rFonts w:ascii="Courier New" w:hAnsi="Courier New" w:cs="Courier New"/>
                <w:color w:val="333333"/>
                <w:sz w:val="20"/>
                <w:szCs w:val="20"/>
              </w:rPr>
            </w:pPr>
            <w:r>
              <w:rPr>
                <w:rFonts w:ascii="Courier New" w:hAnsi="Courier New" w:cs="Courier New"/>
                <w:color w:val="333333"/>
                <w:sz w:val="20"/>
                <w:szCs w:val="20"/>
              </w:rPr>
              <w:t xml:space="preserve"> </w:t>
            </w:r>
            <w:r w:rsidR="00956947">
              <w:rPr>
                <w:rFonts w:ascii="Courier New" w:hAnsi="Courier New" w:cs="Courier New"/>
                <w:color w:val="333333"/>
                <w:sz w:val="20"/>
                <w:szCs w:val="20"/>
              </w:rPr>
              <w:t xml:space="preserve"> </w:t>
            </w:r>
            <w:r w:rsidR="000A579C">
              <w:rPr>
                <w:rFonts w:ascii="Courier New" w:hAnsi="Courier New" w:cs="Courier New"/>
                <w:color w:val="333333"/>
                <w:sz w:val="20"/>
                <w:szCs w:val="20"/>
              </w:rPr>
              <w:t xml:space="preserve">  </w:t>
            </w:r>
            <w:r>
              <w:rPr>
                <w:rFonts w:ascii="Courier New" w:hAnsi="Courier New" w:cs="Courier New"/>
                <w:color w:val="333333"/>
                <w:sz w:val="20"/>
                <w:szCs w:val="20"/>
              </w:rPr>
              <w:t>Reserves</w:t>
            </w:r>
            <w:r w:rsidR="00956947">
              <w:rPr>
                <w:rFonts w:ascii="Courier New" w:hAnsi="Courier New" w:cs="Courier New"/>
                <w:color w:val="333333"/>
                <w:sz w:val="20"/>
                <w:szCs w:val="20"/>
              </w:rPr>
              <w:t xml:space="preserve"> for Replacement</w:t>
            </w:r>
          </w:p>
        </w:tc>
        <w:tc>
          <w:tcPr>
            <w:tcW w:w="960" w:type="dxa"/>
            <w:gridSpan w:val="3"/>
            <w:hideMark/>
          </w:tcPr>
          <w:p w:rsidR="00970B32" w:rsidRPr="00A706CA" w:rsidRDefault="00970B32" w:rsidP="00263C25">
            <w:pPr>
              <w:jc w:val="right"/>
              <w:rPr>
                <w:rFonts w:ascii="Courier New" w:hAnsi="Courier New" w:cs="Courier New"/>
                <w:sz w:val="20"/>
                <w:szCs w:val="20"/>
              </w:rPr>
            </w:pPr>
          </w:p>
        </w:tc>
        <w:tc>
          <w:tcPr>
            <w:tcW w:w="2490" w:type="dxa"/>
            <w:hideMark/>
          </w:tcPr>
          <w:p w:rsidR="00970B32" w:rsidRPr="00A706CA" w:rsidRDefault="00956947" w:rsidP="00FF02FC">
            <w:pPr>
              <w:jc w:val="right"/>
              <w:rPr>
                <w:rFonts w:ascii="Courier New" w:hAnsi="Courier New" w:cs="Courier New"/>
                <w:sz w:val="20"/>
                <w:szCs w:val="20"/>
              </w:rPr>
            </w:pPr>
            <w:r>
              <w:rPr>
                <w:rFonts w:ascii="Courier New" w:hAnsi="Courier New" w:cs="Courier New"/>
                <w:sz w:val="20"/>
                <w:szCs w:val="20"/>
              </w:rPr>
              <w:t>$0.25 psf</w:t>
            </w:r>
          </w:p>
        </w:tc>
        <w:tc>
          <w:tcPr>
            <w:tcW w:w="2025" w:type="dxa"/>
            <w:hideMark/>
          </w:tcPr>
          <w:p w:rsidR="00970B32" w:rsidRPr="00A706CA" w:rsidRDefault="00CC30AD" w:rsidP="00FF02FC">
            <w:pPr>
              <w:jc w:val="right"/>
              <w:rPr>
                <w:rFonts w:ascii="Courier New" w:hAnsi="Courier New" w:cs="Courier New"/>
                <w:sz w:val="20"/>
                <w:szCs w:val="20"/>
              </w:rPr>
            </w:pPr>
            <w:r>
              <w:rPr>
                <w:rFonts w:ascii="Courier New" w:hAnsi="Courier New" w:cs="Courier New"/>
                <w:sz w:val="20"/>
                <w:szCs w:val="20"/>
              </w:rPr>
              <w:t>$   31,206</w:t>
            </w:r>
          </w:p>
        </w:tc>
      </w:tr>
      <w:tr w:rsidR="00970B32" w:rsidRPr="00A706CA" w:rsidTr="000A579C">
        <w:trPr>
          <w:tblCellSpacing w:w="15" w:type="dxa"/>
        </w:trPr>
        <w:tc>
          <w:tcPr>
            <w:tcW w:w="3700" w:type="dxa"/>
            <w:hideMark/>
          </w:tcPr>
          <w:p w:rsidR="00970B32" w:rsidRPr="00A706CA" w:rsidRDefault="00CC30AD">
            <w:pPr>
              <w:rPr>
                <w:rFonts w:ascii="Courier New" w:hAnsi="Courier New" w:cs="Courier New"/>
                <w:color w:val="333333"/>
                <w:sz w:val="20"/>
                <w:szCs w:val="20"/>
              </w:rPr>
            </w:pPr>
            <w:r>
              <w:rPr>
                <w:rFonts w:ascii="Courier New" w:hAnsi="Courier New" w:cs="Courier New"/>
                <w:color w:val="333333"/>
                <w:sz w:val="20"/>
                <w:szCs w:val="20"/>
              </w:rPr>
              <w:t xml:space="preserve">  </w:t>
            </w:r>
            <w:r w:rsidR="000A579C">
              <w:rPr>
                <w:rFonts w:ascii="Courier New" w:hAnsi="Courier New" w:cs="Courier New"/>
                <w:color w:val="333333"/>
                <w:sz w:val="20"/>
                <w:szCs w:val="20"/>
              </w:rPr>
              <w:t xml:space="preserve">  </w:t>
            </w:r>
            <w:r>
              <w:rPr>
                <w:rFonts w:ascii="Courier New" w:hAnsi="Courier New" w:cs="Courier New"/>
                <w:color w:val="333333"/>
                <w:sz w:val="20"/>
                <w:szCs w:val="20"/>
              </w:rPr>
              <w:t>Administrative</w:t>
            </w:r>
          </w:p>
        </w:tc>
        <w:tc>
          <w:tcPr>
            <w:tcW w:w="960" w:type="dxa"/>
            <w:gridSpan w:val="3"/>
            <w:hideMark/>
          </w:tcPr>
          <w:p w:rsidR="00970B32" w:rsidRPr="00A706CA" w:rsidRDefault="00970B32" w:rsidP="00263C25">
            <w:pPr>
              <w:jc w:val="right"/>
              <w:rPr>
                <w:rFonts w:ascii="Courier New" w:hAnsi="Courier New" w:cs="Courier New"/>
                <w:sz w:val="20"/>
                <w:szCs w:val="20"/>
              </w:rPr>
            </w:pPr>
          </w:p>
        </w:tc>
        <w:tc>
          <w:tcPr>
            <w:tcW w:w="2490" w:type="dxa"/>
            <w:hideMark/>
          </w:tcPr>
          <w:p w:rsidR="00970B32" w:rsidRPr="00A706CA" w:rsidRDefault="00970B32" w:rsidP="00FF02FC">
            <w:pPr>
              <w:jc w:val="right"/>
              <w:rPr>
                <w:rFonts w:ascii="Courier New" w:hAnsi="Courier New" w:cs="Courier New"/>
                <w:sz w:val="20"/>
                <w:szCs w:val="20"/>
              </w:rPr>
            </w:pPr>
          </w:p>
        </w:tc>
        <w:tc>
          <w:tcPr>
            <w:tcW w:w="2025" w:type="dxa"/>
            <w:hideMark/>
          </w:tcPr>
          <w:p w:rsidR="00970B32" w:rsidRPr="00A706CA" w:rsidRDefault="00CC30AD" w:rsidP="00FF02FC">
            <w:pPr>
              <w:jc w:val="right"/>
              <w:rPr>
                <w:rFonts w:ascii="Courier New" w:hAnsi="Courier New" w:cs="Courier New"/>
                <w:sz w:val="20"/>
                <w:szCs w:val="20"/>
              </w:rPr>
            </w:pPr>
            <w:r>
              <w:rPr>
                <w:rFonts w:ascii="Courier New" w:hAnsi="Courier New" w:cs="Courier New"/>
                <w:sz w:val="20"/>
                <w:szCs w:val="20"/>
              </w:rPr>
              <w:t>$   10,000</w:t>
            </w:r>
          </w:p>
        </w:tc>
      </w:tr>
      <w:tr w:rsidR="00CC30AD" w:rsidRPr="00A706CA" w:rsidTr="000A579C">
        <w:trPr>
          <w:tblCellSpacing w:w="15" w:type="dxa"/>
        </w:trPr>
        <w:tc>
          <w:tcPr>
            <w:tcW w:w="3700" w:type="dxa"/>
          </w:tcPr>
          <w:p w:rsidR="00CC30AD" w:rsidRDefault="00CC30AD">
            <w:pPr>
              <w:rPr>
                <w:rFonts w:ascii="Courier New" w:hAnsi="Courier New" w:cs="Courier New"/>
                <w:color w:val="333333"/>
                <w:sz w:val="20"/>
                <w:szCs w:val="20"/>
              </w:rPr>
            </w:pPr>
            <w:r>
              <w:rPr>
                <w:rFonts w:ascii="Courier New" w:hAnsi="Courier New" w:cs="Courier New"/>
                <w:color w:val="333333"/>
                <w:sz w:val="20"/>
                <w:szCs w:val="20"/>
              </w:rPr>
              <w:t xml:space="preserve">  </w:t>
            </w:r>
            <w:r w:rsidR="000A579C">
              <w:rPr>
                <w:rFonts w:ascii="Courier New" w:hAnsi="Courier New" w:cs="Courier New"/>
                <w:color w:val="333333"/>
                <w:sz w:val="20"/>
                <w:szCs w:val="20"/>
              </w:rPr>
              <w:t xml:space="preserve">  </w:t>
            </w:r>
            <w:r>
              <w:rPr>
                <w:rFonts w:ascii="Courier New" w:hAnsi="Courier New" w:cs="Courier New"/>
                <w:color w:val="333333"/>
                <w:sz w:val="20"/>
                <w:szCs w:val="20"/>
              </w:rPr>
              <w:t>Lease Commissions</w:t>
            </w:r>
          </w:p>
        </w:tc>
        <w:tc>
          <w:tcPr>
            <w:tcW w:w="960" w:type="dxa"/>
            <w:gridSpan w:val="3"/>
          </w:tcPr>
          <w:p w:rsidR="00CC30AD" w:rsidRDefault="00CC30AD" w:rsidP="00263C25">
            <w:pPr>
              <w:jc w:val="right"/>
              <w:rPr>
                <w:rFonts w:ascii="Courier New" w:hAnsi="Courier New" w:cs="Courier New"/>
                <w:sz w:val="20"/>
                <w:szCs w:val="20"/>
              </w:rPr>
            </w:pPr>
          </w:p>
        </w:tc>
        <w:tc>
          <w:tcPr>
            <w:tcW w:w="2490" w:type="dxa"/>
          </w:tcPr>
          <w:p w:rsidR="00CC30AD" w:rsidRDefault="00956947" w:rsidP="00FF02FC">
            <w:pPr>
              <w:jc w:val="right"/>
              <w:rPr>
                <w:rFonts w:ascii="Courier New" w:hAnsi="Courier New" w:cs="Courier New"/>
                <w:sz w:val="20"/>
                <w:szCs w:val="20"/>
              </w:rPr>
            </w:pPr>
            <w:r>
              <w:rPr>
                <w:rFonts w:ascii="Courier New" w:hAnsi="Courier New" w:cs="Courier New"/>
                <w:sz w:val="20"/>
                <w:szCs w:val="20"/>
              </w:rPr>
              <w:t xml:space="preserve">2.8% of market rent </w:t>
            </w:r>
          </w:p>
        </w:tc>
        <w:tc>
          <w:tcPr>
            <w:tcW w:w="2025" w:type="dxa"/>
          </w:tcPr>
          <w:p w:rsidR="00CC30AD" w:rsidRDefault="00CC30AD" w:rsidP="00CC30AD">
            <w:pPr>
              <w:jc w:val="right"/>
              <w:rPr>
                <w:rFonts w:ascii="Courier New" w:hAnsi="Courier New" w:cs="Courier New"/>
                <w:sz w:val="20"/>
                <w:szCs w:val="20"/>
              </w:rPr>
            </w:pPr>
            <w:r>
              <w:rPr>
                <w:rFonts w:ascii="Courier New" w:hAnsi="Courier New" w:cs="Courier New"/>
                <w:sz w:val="20"/>
                <w:szCs w:val="20"/>
              </w:rPr>
              <w:t>$   45,436</w:t>
            </w:r>
          </w:p>
        </w:tc>
      </w:tr>
      <w:tr w:rsidR="00970B32" w:rsidRPr="00A706CA" w:rsidTr="000A579C">
        <w:trPr>
          <w:tblCellSpacing w:w="15" w:type="dxa"/>
        </w:trPr>
        <w:tc>
          <w:tcPr>
            <w:tcW w:w="3700" w:type="dxa"/>
          </w:tcPr>
          <w:p w:rsidR="00970B32" w:rsidRDefault="00CC30AD">
            <w:pPr>
              <w:rPr>
                <w:rFonts w:ascii="Courier New" w:hAnsi="Courier New" w:cs="Courier New"/>
                <w:color w:val="333333"/>
                <w:sz w:val="20"/>
                <w:szCs w:val="20"/>
              </w:rPr>
            </w:pPr>
            <w:r>
              <w:rPr>
                <w:rFonts w:ascii="Courier New" w:hAnsi="Courier New" w:cs="Courier New"/>
                <w:color w:val="333333"/>
                <w:sz w:val="20"/>
                <w:szCs w:val="20"/>
              </w:rPr>
              <w:t xml:space="preserve">  </w:t>
            </w:r>
            <w:r w:rsidR="000A579C">
              <w:rPr>
                <w:rFonts w:ascii="Courier New" w:hAnsi="Courier New" w:cs="Courier New"/>
                <w:color w:val="333333"/>
                <w:sz w:val="20"/>
                <w:szCs w:val="20"/>
              </w:rPr>
              <w:t xml:space="preserve">  </w:t>
            </w:r>
            <w:r>
              <w:rPr>
                <w:rFonts w:ascii="Courier New" w:hAnsi="Courier New" w:cs="Courier New"/>
                <w:color w:val="333333"/>
                <w:sz w:val="20"/>
                <w:szCs w:val="20"/>
              </w:rPr>
              <w:t>Tenant Improvements</w:t>
            </w:r>
          </w:p>
        </w:tc>
        <w:tc>
          <w:tcPr>
            <w:tcW w:w="960" w:type="dxa"/>
            <w:gridSpan w:val="3"/>
          </w:tcPr>
          <w:p w:rsidR="00970B32" w:rsidRPr="00A706CA" w:rsidRDefault="00970B32">
            <w:pPr>
              <w:rPr>
                <w:rFonts w:ascii="Courier New" w:hAnsi="Courier New" w:cs="Courier New"/>
                <w:sz w:val="20"/>
                <w:szCs w:val="20"/>
              </w:rPr>
            </w:pPr>
          </w:p>
        </w:tc>
        <w:tc>
          <w:tcPr>
            <w:tcW w:w="2490" w:type="dxa"/>
          </w:tcPr>
          <w:p w:rsidR="00970B32" w:rsidRPr="00A706CA" w:rsidRDefault="00970B32" w:rsidP="00FF02FC">
            <w:pPr>
              <w:jc w:val="right"/>
              <w:rPr>
                <w:rFonts w:ascii="Courier New" w:hAnsi="Courier New" w:cs="Courier New"/>
                <w:sz w:val="20"/>
                <w:szCs w:val="20"/>
              </w:rPr>
            </w:pPr>
            <w:r>
              <w:rPr>
                <w:rFonts w:ascii="Courier New" w:hAnsi="Courier New" w:cs="Courier New"/>
                <w:sz w:val="20"/>
                <w:szCs w:val="20"/>
              </w:rPr>
              <w:t>$0.2</w:t>
            </w:r>
            <w:r w:rsidR="00956947">
              <w:rPr>
                <w:rFonts w:ascii="Courier New" w:hAnsi="Courier New" w:cs="Courier New"/>
                <w:sz w:val="20"/>
                <w:szCs w:val="20"/>
              </w:rPr>
              <w:t>0 psf</w:t>
            </w:r>
          </w:p>
        </w:tc>
        <w:tc>
          <w:tcPr>
            <w:tcW w:w="2025" w:type="dxa"/>
          </w:tcPr>
          <w:p w:rsidR="00970B32" w:rsidRPr="00A706CA" w:rsidRDefault="00CC30AD" w:rsidP="00CC30AD">
            <w:pPr>
              <w:jc w:val="right"/>
              <w:rPr>
                <w:rFonts w:ascii="Courier New" w:hAnsi="Courier New" w:cs="Courier New"/>
                <w:sz w:val="20"/>
                <w:szCs w:val="20"/>
              </w:rPr>
            </w:pPr>
            <w:r>
              <w:rPr>
                <w:rFonts w:ascii="Courier New" w:hAnsi="Courier New" w:cs="Courier New"/>
                <w:sz w:val="20"/>
                <w:szCs w:val="20"/>
              </w:rPr>
              <w:t>$   24,965</w:t>
            </w:r>
          </w:p>
        </w:tc>
      </w:tr>
      <w:tr w:rsidR="00970B32" w:rsidRPr="00CC30AD" w:rsidTr="000A579C">
        <w:trPr>
          <w:tblCellSpacing w:w="15" w:type="dxa"/>
        </w:trPr>
        <w:tc>
          <w:tcPr>
            <w:tcW w:w="3700" w:type="dxa"/>
          </w:tcPr>
          <w:p w:rsidR="00970B32" w:rsidRPr="00CC30AD" w:rsidRDefault="00970B32">
            <w:pPr>
              <w:rPr>
                <w:rFonts w:ascii="Courier New" w:hAnsi="Courier New" w:cs="Courier New"/>
                <w:b/>
                <w:color w:val="333333"/>
                <w:sz w:val="20"/>
                <w:szCs w:val="20"/>
              </w:rPr>
            </w:pPr>
            <w:r w:rsidRPr="00CC30AD">
              <w:rPr>
                <w:rFonts w:ascii="Courier New" w:hAnsi="Courier New" w:cs="Courier New"/>
                <w:b/>
                <w:color w:val="333333"/>
                <w:sz w:val="20"/>
                <w:szCs w:val="20"/>
              </w:rPr>
              <w:t xml:space="preserve"> Total Operating Expense</w:t>
            </w:r>
          </w:p>
        </w:tc>
        <w:tc>
          <w:tcPr>
            <w:tcW w:w="960" w:type="dxa"/>
            <w:gridSpan w:val="3"/>
          </w:tcPr>
          <w:p w:rsidR="00970B32" w:rsidRPr="00CC30AD" w:rsidRDefault="00970B32">
            <w:pPr>
              <w:rPr>
                <w:rFonts w:ascii="Courier New" w:hAnsi="Courier New" w:cs="Courier New"/>
                <w:b/>
                <w:sz w:val="20"/>
                <w:szCs w:val="20"/>
              </w:rPr>
            </w:pPr>
          </w:p>
        </w:tc>
        <w:tc>
          <w:tcPr>
            <w:tcW w:w="2490" w:type="dxa"/>
          </w:tcPr>
          <w:p w:rsidR="00970B32" w:rsidRPr="00CC30AD" w:rsidRDefault="00970B32" w:rsidP="00FF02FC">
            <w:pPr>
              <w:jc w:val="right"/>
              <w:rPr>
                <w:rFonts w:ascii="Courier New" w:hAnsi="Courier New" w:cs="Courier New"/>
                <w:b/>
                <w:sz w:val="20"/>
                <w:szCs w:val="20"/>
              </w:rPr>
            </w:pPr>
          </w:p>
        </w:tc>
        <w:tc>
          <w:tcPr>
            <w:tcW w:w="2025" w:type="dxa"/>
          </w:tcPr>
          <w:p w:rsidR="00970B32" w:rsidRPr="00CC30AD" w:rsidRDefault="00CC30AD" w:rsidP="00956947">
            <w:pPr>
              <w:jc w:val="right"/>
              <w:rPr>
                <w:rFonts w:ascii="Courier New" w:hAnsi="Courier New" w:cs="Courier New"/>
                <w:b/>
                <w:sz w:val="20"/>
                <w:szCs w:val="20"/>
              </w:rPr>
            </w:pPr>
            <w:r>
              <w:rPr>
                <w:rFonts w:ascii="Courier New" w:hAnsi="Courier New" w:cs="Courier New"/>
                <w:b/>
                <w:sz w:val="20"/>
                <w:szCs w:val="20"/>
              </w:rPr>
              <w:t xml:space="preserve">$  </w:t>
            </w:r>
            <w:r w:rsidR="00956947">
              <w:rPr>
                <w:rFonts w:ascii="Courier New" w:hAnsi="Courier New" w:cs="Courier New"/>
                <w:b/>
                <w:sz w:val="20"/>
                <w:szCs w:val="20"/>
              </w:rPr>
              <w:t>539,571</w:t>
            </w:r>
          </w:p>
        </w:tc>
      </w:tr>
      <w:tr w:rsidR="00970B32" w:rsidRPr="00A706CA" w:rsidTr="000A579C">
        <w:trPr>
          <w:tblCellSpacing w:w="15" w:type="dxa"/>
        </w:trPr>
        <w:tc>
          <w:tcPr>
            <w:tcW w:w="3700" w:type="dxa"/>
          </w:tcPr>
          <w:p w:rsidR="00970B32" w:rsidRDefault="00970B32">
            <w:pPr>
              <w:rPr>
                <w:rFonts w:ascii="Courier New" w:hAnsi="Courier New" w:cs="Courier New"/>
                <w:color w:val="333333"/>
                <w:sz w:val="20"/>
                <w:szCs w:val="20"/>
              </w:rPr>
            </w:pPr>
          </w:p>
        </w:tc>
        <w:tc>
          <w:tcPr>
            <w:tcW w:w="960" w:type="dxa"/>
            <w:gridSpan w:val="3"/>
          </w:tcPr>
          <w:p w:rsidR="00970B32" w:rsidRPr="00A706CA" w:rsidRDefault="00970B32">
            <w:pPr>
              <w:rPr>
                <w:rFonts w:ascii="Courier New" w:hAnsi="Courier New" w:cs="Courier New"/>
                <w:sz w:val="20"/>
                <w:szCs w:val="20"/>
              </w:rPr>
            </w:pPr>
          </w:p>
        </w:tc>
        <w:tc>
          <w:tcPr>
            <w:tcW w:w="2490" w:type="dxa"/>
          </w:tcPr>
          <w:p w:rsidR="00970B32" w:rsidRDefault="00970B32" w:rsidP="00FF02FC">
            <w:pPr>
              <w:jc w:val="right"/>
              <w:rPr>
                <w:rFonts w:ascii="Courier New" w:hAnsi="Courier New" w:cs="Courier New"/>
                <w:sz w:val="20"/>
                <w:szCs w:val="20"/>
              </w:rPr>
            </w:pPr>
          </w:p>
        </w:tc>
        <w:tc>
          <w:tcPr>
            <w:tcW w:w="2025" w:type="dxa"/>
          </w:tcPr>
          <w:p w:rsidR="00970B32" w:rsidRPr="00B6071D" w:rsidRDefault="00970B32" w:rsidP="00FF02FC">
            <w:pPr>
              <w:jc w:val="right"/>
              <w:rPr>
                <w:rFonts w:ascii="Courier New" w:hAnsi="Courier New" w:cs="Courier New"/>
                <w:b/>
                <w:sz w:val="20"/>
                <w:szCs w:val="20"/>
              </w:rPr>
            </w:pPr>
          </w:p>
        </w:tc>
      </w:tr>
      <w:tr w:rsidR="00970B32" w:rsidRPr="00A16D37" w:rsidTr="00970B32">
        <w:trPr>
          <w:tblCellSpacing w:w="15" w:type="dxa"/>
        </w:trPr>
        <w:tc>
          <w:tcPr>
            <w:tcW w:w="4690" w:type="dxa"/>
            <w:gridSpan w:val="4"/>
            <w:hideMark/>
          </w:tcPr>
          <w:p w:rsidR="00970B32" w:rsidRPr="00A16D37" w:rsidRDefault="00970B32">
            <w:pPr>
              <w:rPr>
                <w:rFonts w:ascii="Courier New" w:hAnsi="Courier New" w:cs="Courier New"/>
                <w:b/>
                <w:color w:val="333333"/>
                <w:sz w:val="20"/>
                <w:szCs w:val="20"/>
              </w:rPr>
            </w:pPr>
            <w:r w:rsidRPr="00A16D37">
              <w:rPr>
                <w:rFonts w:ascii="Courier New" w:hAnsi="Courier New" w:cs="Courier New"/>
                <w:b/>
                <w:color w:val="333333"/>
                <w:sz w:val="20"/>
                <w:szCs w:val="20"/>
              </w:rPr>
              <w:t>Net-Operating Income:</w:t>
            </w:r>
          </w:p>
        </w:tc>
        <w:tc>
          <w:tcPr>
            <w:tcW w:w="2490" w:type="dxa"/>
            <w:hideMark/>
          </w:tcPr>
          <w:p w:rsidR="00970B32" w:rsidRPr="00A16D37" w:rsidRDefault="00970B32">
            <w:pPr>
              <w:jc w:val="right"/>
              <w:rPr>
                <w:rFonts w:ascii="Courier New" w:hAnsi="Courier New" w:cs="Courier New"/>
                <w:b/>
                <w:color w:val="333333"/>
                <w:sz w:val="20"/>
                <w:szCs w:val="20"/>
              </w:rPr>
            </w:pPr>
          </w:p>
        </w:tc>
        <w:tc>
          <w:tcPr>
            <w:tcW w:w="2025" w:type="dxa"/>
            <w:hideMark/>
          </w:tcPr>
          <w:p w:rsidR="00970B32" w:rsidRPr="00A16D37" w:rsidRDefault="00CC30AD" w:rsidP="00CC30AD">
            <w:pPr>
              <w:jc w:val="right"/>
              <w:rPr>
                <w:rFonts w:ascii="Courier New" w:hAnsi="Courier New" w:cs="Courier New"/>
                <w:b/>
                <w:color w:val="333333"/>
                <w:sz w:val="20"/>
                <w:szCs w:val="20"/>
              </w:rPr>
            </w:pPr>
            <w:r>
              <w:rPr>
                <w:rFonts w:ascii="Courier New" w:hAnsi="Courier New" w:cs="Courier New"/>
                <w:b/>
                <w:color w:val="333333"/>
                <w:sz w:val="20"/>
                <w:szCs w:val="20"/>
              </w:rPr>
              <w:t>$1,160,171</w:t>
            </w:r>
          </w:p>
        </w:tc>
      </w:tr>
      <w:tr w:rsidR="00970B32" w:rsidRPr="00A706CA" w:rsidTr="00970B32">
        <w:trPr>
          <w:tblCellSpacing w:w="15" w:type="dxa"/>
        </w:trPr>
        <w:tc>
          <w:tcPr>
            <w:tcW w:w="4690" w:type="dxa"/>
            <w:gridSpan w:val="4"/>
          </w:tcPr>
          <w:p w:rsidR="00970B32" w:rsidRPr="00A706CA" w:rsidRDefault="00970B32">
            <w:pPr>
              <w:rPr>
                <w:rFonts w:ascii="Courier New" w:hAnsi="Courier New" w:cs="Courier New"/>
                <w:color w:val="333333"/>
                <w:sz w:val="20"/>
                <w:szCs w:val="20"/>
              </w:rPr>
            </w:pPr>
          </w:p>
        </w:tc>
        <w:tc>
          <w:tcPr>
            <w:tcW w:w="2490" w:type="dxa"/>
          </w:tcPr>
          <w:p w:rsidR="00970B32" w:rsidRPr="00A706CA" w:rsidRDefault="00970B32">
            <w:pPr>
              <w:jc w:val="right"/>
              <w:rPr>
                <w:rFonts w:ascii="Courier New" w:hAnsi="Courier New" w:cs="Courier New"/>
                <w:color w:val="333333"/>
                <w:sz w:val="20"/>
                <w:szCs w:val="20"/>
              </w:rPr>
            </w:pPr>
          </w:p>
        </w:tc>
        <w:tc>
          <w:tcPr>
            <w:tcW w:w="2025" w:type="dxa"/>
          </w:tcPr>
          <w:p w:rsidR="00970B32" w:rsidRDefault="00970B32">
            <w:pPr>
              <w:jc w:val="right"/>
              <w:rPr>
                <w:rFonts w:ascii="Courier New" w:hAnsi="Courier New" w:cs="Courier New"/>
                <w:color w:val="333333"/>
                <w:sz w:val="20"/>
                <w:szCs w:val="20"/>
              </w:rPr>
            </w:pPr>
          </w:p>
        </w:tc>
      </w:tr>
      <w:tr w:rsidR="00970B32" w:rsidRPr="00A706CA" w:rsidTr="00970B32">
        <w:trPr>
          <w:tblCellSpacing w:w="15" w:type="dxa"/>
        </w:trPr>
        <w:tc>
          <w:tcPr>
            <w:tcW w:w="4690" w:type="dxa"/>
            <w:gridSpan w:val="4"/>
          </w:tcPr>
          <w:p w:rsidR="00970B32" w:rsidRDefault="00970B32">
            <w:pPr>
              <w:rPr>
                <w:rFonts w:ascii="Courier New" w:hAnsi="Courier New" w:cs="Courier New"/>
                <w:color w:val="333333"/>
                <w:sz w:val="20"/>
                <w:szCs w:val="20"/>
              </w:rPr>
            </w:pPr>
            <w:r>
              <w:rPr>
                <w:rFonts w:ascii="Courier New" w:hAnsi="Courier New" w:cs="Courier New"/>
                <w:color w:val="333333"/>
                <w:sz w:val="20"/>
                <w:szCs w:val="20"/>
              </w:rPr>
              <w:t>Base Rate</w:t>
            </w:r>
          </w:p>
          <w:p w:rsidR="00970B32" w:rsidRDefault="00970B32">
            <w:pPr>
              <w:rPr>
                <w:rFonts w:ascii="Courier New" w:hAnsi="Courier New" w:cs="Courier New"/>
                <w:color w:val="333333"/>
                <w:sz w:val="20"/>
                <w:szCs w:val="20"/>
              </w:rPr>
            </w:pPr>
            <w:r>
              <w:rPr>
                <w:rFonts w:ascii="Courier New" w:hAnsi="Courier New" w:cs="Courier New"/>
                <w:color w:val="333333"/>
                <w:sz w:val="20"/>
                <w:szCs w:val="20"/>
              </w:rPr>
              <w:t>Tax Factor (owner’s share)</w:t>
            </w:r>
          </w:p>
          <w:p w:rsidR="00970B32" w:rsidRPr="00A706CA" w:rsidRDefault="00970B32">
            <w:pPr>
              <w:rPr>
                <w:rFonts w:ascii="Courier New" w:hAnsi="Courier New" w:cs="Courier New"/>
                <w:color w:val="333333"/>
                <w:sz w:val="20"/>
                <w:szCs w:val="20"/>
              </w:rPr>
            </w:pPr>
            <w:r>
              <w:rPr>
                <w:rFonts w:ascii="Courier New" w:hAnsi="Courier New" w:cs="Courier New"/>
                <w:color w:val="333333"/>
                <w:sz w:val="20"/>
                <w:szCs w:val="20"/>
              </w:rPr>
              <w:t>Overall Capitalization Rate</w:t>
            </w:r>
          </w:p>
        </w:tc>
        <w:tc>
          <w:tcPr>
            <w:tcW w:w="2490" w:type="dxa"/>
          </w:tcPr>
          <w:p w:rsidR="00970B32" w:rsidRDefault="00970B32">
            <w:pPr>
              <w:jc w:val="right"/>
              <w:rPr>
                <w:rFonts w:ascii="Courier New" w:hAnsi="Courier New" w:cs="Courier New"/>
                <w:color w:val="333333"/>
                <w:sz w:val="20"/>
                <w:szCs w:val="20"/>
              </w:rPr>
            </w:pPr>
          </w:p>
          <w:p w:rsidR="00970B32" w:rsidRPr="00A706CA" w:rsidRDefault="00143137" w:rsidP="00143137">
            <w:pPr>
              <w:jc w:val="right"/>
              <w:rPr>
                <w:rFonts w:ascii="Courier New" w:hAnsi="Courier New" w:cs="Courier New"/>
                <w:color w:val="333333"/>
                <w:sz w:val="20"/>
                <w:szCs w:val="20"/>
              </w:rPr>
            </w:pPr>
            <w:r>
              <w:rPr>
                <w:rFonts w:ascii="Courier New" w:hAnsi="Courier New" w:cs="Courier New"/>
                <w:color w:val="333333"/>
                <w:sz w:val="20"/>
                <w:szCs w:val="20"/>
              </w:rPr>
              <w:t>2.866% * 15%</w:t>
            </w:r>
          </w:p>
        </w:tc>
        <w:tc>
          <w:tcPr>
            <w:tcW w:w="2025" w:type="dxa"/>
          </w:tcPr>
          <w:p w:rsidR="00970B32" w:rsidRDefault="00143137">
            <w:pPr>
              <w:jc w:val="right"/>
              <w:rPr>
                <w:rFonts w:ascii="Courier New" w:hAnsi="Courier New" w:cs="Courier New"/>
                <w:color w:val="333333"/>
                <w:sz w:val="20"/>
                <w:szCs w:val="20"/>
              </w:rPr>
            </w:pPr>
            <w:r>
              <w:rPr>
                <w:rFonts w:ascii="Courier New" w:hAnsi="Courier New" w:cs="Courier New"/>
                <w:color w:val="333333"/>
                <w:sz w:val="20"/>
                <w:szCs w:val="20"/>
              </w:rPr>
              <w:t>10</w:t>
            </w:r>
            <w:r w:rsidR="00AB470B">
              <w:rPr>
                <w:rFonts w:ascii="Courier New" w:hAnsi="Courier New" w:cs="Courier New"/>
                <w:color w:val="333333"/>
                <w:sz w:val="20"/>
                <w:szCs w:val="20"/>
              </w:rPr>
              <w:t>.00%</w:t>
            </w:r>
          </w:p>
          <w:p w:rsidR="00970B32" w:rsidRDefault="00143137">
            <w:pPr>
              <w:jc w:val="right"/>
              <w:rPr>
                <w:rFonts w:ascii="Courier New" w:hAnsi="Courier New" w:cs="Courier New"/>
                <w:color w:val="333333"/>
                <w:sz w:val="20"/>
                <w:szCs w:val="20"/>
              </w:rPr>
            </w:pPr>
            <w:r>
              <w:rPr>
                <w:rFonts w:ascii="Courier New" w:hAnsi="Courier New" w:cs="Courier New"/>
                <w:color w:val="333333"/>
                <w:sz w:val="20"/>
                <w:szCs w:val="20"/>
              </w:rPr>
              <w:t>0.4299</w:t>
            </w:r>
            <w:r w:rsidR="00970B32">
              <w:rPr>
                <w:rFonts w:ascii="Courier New" w:hAnsi="Courier New" w:cs="Courier New"/>
                <w:color w:val="333333"/>
                <w:sz w:val="20"/>
                <w:szCs w:val="20"/>
              </w:rPr>
              <w:t>%</w:t>
            </w:r>
          </w:p>
          <w:p w:rsidR="00970B32" w:rsidRDefault="00143137" w:rsidP="00143137">
            <w:pPr>
              <w:jc w:val="right"/>
              <w:rPr>
                <w:rFonts w:ascii="Courier New" w:hAnsi="Courier New" w:cs="Courier New"/>
                <w:color w:val="333333"/>
                <w:sz w:val="20"/>
                <w:szCs w:val="20"/>
              </w:rPr>
            </w:pPr>
            <w:r>
              <w:rPr>
                <w:rFonts w:ascii="Courier New" w:hAnsi="Courier New" w:cs="Courier New"/>
                <w:color w:val="333333"/>
                <w:sz w:val="20"/>
                <w:szCs w:val="20"/>
              </w:rPr>
              <w:t>10.4299</w:t>
            </w:r>
            <w:r w:rsidR="00970B32">
              <w:rPr>
                <w:rFonts w:ascii="Courier New" w:hAnsi="Courier New" w:cs="Courier New"/>
                <w:color w:val="333333"/>
                <w:sz w:val="20"/>
                <w:szCs w:val="20"/>
              </w:rPr>
              <w:t>%</w:t>
            </w:r>
          </w:p>
        </w:tc>
      </w:tr>
      <w:tr w:rsidR="00970B32" w:rsidRPr="00B6071D" w:rsidTr="00970B32">
        <w:trPr>
          <w:tblCellSpacing w:w="15" w:type="dxa"/>
        </w:trPr>
        <w:tc>
          <w:tcPr>
            <w:tcW w:w="4690" w:type="dxa"/>
            <w:gridSpan w:val="4"/>
          </w:tcPr>
          <w:p w:rsidR="00970B32" w:rsidRPr="00B6071D" w:rsidRDefault="00970B32">
            <w:pPr>
              <w:rPr>
                <w:rFonts w:ascii="Courier New" w:hAnsi="Courier New" w:cs="Courier New"/>
                <w:b/>
                <w:color w:val="333333"/>
                <w:sz w:val="20"/>
                <w:szCs w:val="20"/>
              </w:rPr>
            </w:pPr>
            <w:r w:rsidRPr="00B6071D">
              <w:rPr>
                <w:rFonts w:ascii="Courier New" w:hAnsi="Courier New" w:cs="Courier New"/>
                <w:b/>
                <w:color w:val="333333"/>
                <w:sz w:val="20"/>
                <w:szCs w:val="20"/>
              </w:rPr>
              <w:t>Capitalized Value</w:t>
            </w:r>
          </w:p>
        </w:tc>
        <w:tc>
          <w:tcPr>
            <w:tcW w:w="2490" w:type="dxa"/>
          </w:tcPr>
          <w:p w:rsidR="00970B32" w:rsidRPr="00B6071D" w:rsidRDefault="00970B32">
            <w:pPr>
              <w:jc w:val="right"/>
              <w:rPr>
                <w:rFonts w:ascii="Courier New" w:hAnsi="Courier New" w:cs="Courier New"/>
                <w:b/>
                <w:color w:val="333333"/>
                <w:sz w:val="20"/>
                <w:szCs w:val="20"/>
              </w:rPr>
            </w:pPr>
          </w:p>
        </w:tc>
        <w:tc>
          <w:tcPr>
            <w:tcW w:w="2025" w:type="dxa"/>
          </w:tcPr>
          <w:p w:rsidR="00970B32" w:rsidRPr="00B6071D" w:rsidRDefault="00143137">
            <w:pPr>
              <w:jc w:val="right"/>
              <w:rPr>
                <w:rFonts w:ascii="Courier New" w:hAnsi="Courier New" w:cs="Courier New"/>
                <w:b/>
                <w:color w:val="333333"/>
                <w:sz w:val="20"/>
                <w:szCs w:val="20"/>
              </w:rPr>
            </w:pPr>
            <w:r>
              <w:rPr>
                <w:rFonts w:ascii="Courier New" w:hAnsi="Courier New" w:cs="Courier New"/>
                <w:b/>
                <w:color w:val="333333"/>
                <w:sz w:val="20"/>
                <w:szCs w:val="20"/>
              </w:rPr>
              <w:t>$11,123.508</w:t>
            </w:r>
          </w:p>
        </w:tc>
      </w:tr>
      <w:tr w:rsidR="00970B32" w:rsidRPr="00A706CA" w:rsidTr="00970B32">
        <w:trPr>
          <w:tblCellSpacing w:w="15" w:type="dxa"/>
        </w:trPr>
        <w:tc>
          <w:tcPr>
            <w:tcW w:w="4690" w:type="dxa"/>
            <w:gridSpan w:val="4"/>
          </w:tcPr>
          <w:p w:rsidR="00970B32" w:rsidRDefault="00970B32">
            <w:pPr>
              <w:rPr>
                <w:rFonts w:ascii="Courier New" w:hAnsi="Courier New" w:cs="Courier New"/>
                <w:color w:val="333333"/>
                <w:sz w:val="20"/>
                <w:szCs w:val="20"/>
              </w:rPr>
            </w:pPr>
          </w:p>
        </w:tc>
        <w:tc>
          <w:tcPr>
            <w:tcW w:w="2490" w:type="dxa"/>
          </w:tcPr>
          <w:p w:rsidR="00970B32" w:rsidRDefault="00970B32">
            <w:pPr>
              <w:jc w:val="right"/>
              <w:rPr>
                <w:rFonts w:ascii="Courier New" w:hAnsi="Courier New" w:cs="Courier New"/>
                <w:color w:val="333333"/>
                <w:sz w:val="20"/>
                <w:szCs w:val="20"/>
              </w:rPr>
            </w:pPr>
          </w:p>
        </w:tc>
        <w:tc>
          <w:tcPr>
            <w:tcW w:w="2025" w:type="dxa"/>
          </w:tcPr>
          <w:p w:rsidR="00970B32" w:rsidRDefault="00970B32">
            <w:pPr>
              <w:jc w:val="right"/>
              <w:rPr>
                <w:rFonts w:ascii="Courier New" w:hAnsi="Courier New" w:cs="Courier New"/>
                <w:color w:val="333333"/>
                <w:sz w:val="20"/>
                <w:szCs w:val="20"/>
              </w:rPr>
            </w:pPr>
          </w:p>
        </w:tc>
      </w:tr>
      <w:tr w:rsidR="00970B32" w:rsidRPr="00B6071D" w:rsidTr="00970B32">
        <w:trPr>
          <w:tblCellSpacing w:w="15" w:type="dxa"/>
        </w:trPr>
        <w:tc>
          <w:tcPr>
            <w:tcW w:w="4690" w:type="dxa"/>
            <w:gridSpan w:val="4"/>
          </w:tcPr>
          <w:p w:rsidR="00970B32" w:rsidRPr="00B6071D" w:rsidRDefault="00970B32">
            <w:pPr>
              <w:rPr>
                <w:rFonts w:ascii="Courier New" w:hAnsi="Courier New" w:cs="Courier New"/>
                <w:b/>
                <w:color w:val="333333"/>
                <w:sz w:val="20"/>
                <w:szCs w:val="20"/>
              </w:rPr>
            </w:pPr>
            <w:r w:rsidRPr="00B6071D">
              <w:rPr>
                <w:rFonts w:ascii="Courier New" w:hAnsi="Courier New" w:cs="Courier New"/>
                <w:b/>
                <w:color w:val="333333"/>
                <w:sz w:val="20"/>
                <w:szCs w:val="20"/>
              </w:rPr>
              <w:t>Rounded Fair Cash Value</w:t>
            </w:r>
          </w:p>
        </w:tc>
        <w:tc>
          <w:tcPr>
            <w:tcW w:w="2490" w:type="dxa"/>
          </w:tcPr>
          <w:p w:rsidR="00970B32" w:rsidRPr="00B6071D" w:rsidRDefault="00970B32">
            <w:pPr>
              <w:jc w:val="right"/>
              <w:rPr>
                <w:rFonts w:ascii="Courier New" w:hAnsi="Courier New" w:cs="Courier New"/>
                <w:b/>
                <w:color w:val="333333"/>
                <w:sz w:val="20"/>
                <w:szCs w:val="20"/>
              </w:rPr>
            </w:pPr>
          </w:p>
        </w:tc>
        <w:tc>
          <w:tcPr>
            <w:tcW w:w="2025" w:type="dxa"/>
          </w:tcPr>
          <w:p w:rsidR="00970B32" w:rsidRPr="00B6071D" w:rsidRDefault="00143137">
            <w:pPr>
              <w:jc w:val="right"/>
              <w:rPr>
                <w:rFonts w:ascii="Courier New" w:hAnsi="Courier New" w:cs="Courier New"/>
                <w:b/>
                <w:color w:val="333333"/>
                <w:sz w:val="20"/>
                <w:szCs w:val="20"/>
              </w:rPr>
            </w:pPr>
            <w:r>
              <w:rPr>
                <w:rFonts w:ascii="Courier New" w:hAnsi="Courier New" w:cs="Courier New"/>
                <w:b/>
                <w:color w:val="333333"/>
                <w:sz w:val="20"/>
                <w:szCs w:val="20"/>
              </w:rPr>
              <w:t>$11,125,000</w:t>
            </w:r>
          </w:p>
        </w:tc>
      </w:tr>
    </w:tbl>
    <w:p w:rsidR="00970B32" w:rsidRDefault="00970B32" w:rsidP="00B6071D">
      <w:pPr>
        <w:spacing w:line="480" w:lineRule="auto"/>
        <w:jc w:val="center"/>
        <w:rPr>
          <w:rFonts w:ascii="Courier New" w:hAnsi="Courier New" w:cs="Courier New"/>
          <w:b/>
          <w:color w:val="000000"/>
        </w:rPr>
      </w:pPr>
    </w:p>
    <w:p w:rsidR="00B6071D" w:rsidRDefault="00F55F0B" w:rsidP="00B6071D">
      <w:pPr>
        <w:spacing w:line="480" w:lineRule="auto"/>
        <w:jc w:val="center"/>
        <w:rPr>
          <w:rFonts w:ascii="Courier New" w:hAnsi="Courier New" w:cs="Courier New"/>
          <w:b/>
          <w:color w:val="000000"/>
        </w:rPr>
      </w:pPr>
      <w:r>
        <w:rPr>
          <w:rFonts w:ascii="Courier New" w:hAnsi="Courier New" w:cs="Courier New"/>
          <w:b/>
          <w:color w:val="000000"/>
        </w:rPr>
        <w:br w:type="page"/>
      </w:r>
      <w:r w:rsidR="00970B32">
        <w:rPr>
          <w:rFonts w:ascii="Courier New" w:hAnsi="Courier New" w:cs="Courier New"/>
          <w:b/>
          <w:color w:val="000000"/>
        </w:rPr>
        <w:lastRenderedPageBreak/>
        <w:t>F</w:t>
      </w:r>
      <w:r w:rsidR="00B6071D" w:rsidRPr="00B6071D">
        <w:rPr>
          <w:rFonts w:ascii="Courier New" w:hAnsi="Courier New" w:cs="Courier New"/>
          <w:b/>
          <w:color w:val="000000"/>
        </w:rPr>
        <w:t>iscal Year</w:t>
      </w:r>
      <w:r w:rsidR="00143137">
        <w:rPr>
          <w:rFonts w:ascii="Courier New" w:hAnsi="Courier New" w:cs="Courier New"/>
          <w:b/>
          <w:color w:val="000000"/>
        </w:rPr>
        <w:t xml:space="preserve"> 2013</w:t>
      </w:r>
    </w:p>
    <w:tbl>
      <w:tblPr>
        <w:tblW w:w="9325"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45"/>
        <w:gridCol w:w="90"/>
        <w:gridCol w:w="180"/>
        <w:gridCol w:w="720"/>
        <w:gridCol w:w="2520"/>
        <w:gridCol w:w="2070"/>
      </w:tblGrid>
      <w:tr w:rsidR="00143137" w:rsidRPr="00BC33F3" w:rsidTr="00DD6FF2">
        <w:trPr>
          <w:tblCellSpacing w:w="15" w:type="dxa"/>
        </w:trPr>
        <w:tc>
          <w:tcPr>
            <w:tcW w:w="3700" w:type="dxa"/>
            <w:hideMark/>
          </w:tcPr>
          <w:p w:rsidR="00143137" w:rsidRPr="00BC33F3" w:rsidRDefault="00143137" w:rsidP="00DD6FF2">
            <w:pPr>
              <w:jc w:val="center"/>
              <w:rPr>
                <w:rFonts w:ascii="Courier New" w:hAnsi="Courier New" w:cs="Courier New"/>
                <w:b/>
                <w:bCs/>
                <w:color w:val="333333"/>
                <w:sz w:val="20"/>
                <w:szCs w:val="20"/>
              </w:rPr>
            </w:pPr>
          </w:p>
        </w:tc>
        <w:tc>
          <w:tcPr>
            <w:tcW w:w="240" w:type="dxa"/>
            <w:gridSpan w:val="2"/>
            <w:hideMark/>
          </w:tcPr>
          <w:p w:rsidR="00143137" w:rsidRPr="00BC33F3" w:rsidRDefault="00143137" w:rsidP="00DD6FF2">
            <w:pPr>
              <w:jc w:val="center"/>
              <w:rPr>
                <w:rFonts w:ascii="Courier New" w:hAnsi="Courier New" w:cs="Courier New"/>
                <w:sz w:val="20"/>
                <w:szCs w:val="20"/>
              </w:rPr>
            </w:pPr>
          </w:p>
        </w:tc>
        <w:tc>
          <w:tcPr>
            <w:tcW w:w="3210" w:type="dxa"/>
            <w:gridSpan w:val="2"/>
          </w:tcPr>
          <w:p w:rsidR="00143137" w:rsidRPr="00BC33F3" w:rsidRDefault="00143137" w:rsidP="00DD6FF2">
            <w:pPr>
              <w:jc w:val="center"/>
              <w:rPr>
                <w:rFonts w:ascii="Courier New" w:hAnsi="Courier New" w:cs="Courier New"/>
                <w:b/>
                <w:sz w:val="20"/>
                <w:szCs w:val="20"/>
              </w:rPr>
            </w:pPr>
          </w:p>
        </w:tc>
        <w:tc>
          <w:tcPr>
            <w:tcW w:w="2025" w:type="dxa"/>
            <w:hideMark/>
          </w:tcPr>
          <w:p w:rsidR="00143137" w:rsidRPr="00BC33F3" w:rsidRDefault="00143137" w:rsidP="00DD6FF2">
            <w:pPr>
              <w:jc w:val="center"/>
              <w:rPr>
                <w:rFonts w:ascii="Courier New" w:hAnsi="Courier New" w:cs="Courier New"/>
                <w:b/>
                <w:sz w:val="20"/>
                <w:szCs w:val="20"/>
              </w:rPr>
            </w:pPr>
          </w:p>
        </w:tc>
      </w:tr>
      <w:tr w:rsidR="00143137" w:rsidRPr="00A706CA" w:rsidTr="00DD6FF2">
        <w:trPr>
          <w:tblCellSpacing w:w="15" w:type="dxa"/>
        </w:trPr>
        <w:tc>
          <w:tcPr>
            <w:tcW w:w="3700" w:type="dxa"/>
            <w:hideMark/>
          </w:tcPr>
          <w:p w:rsidR="00143137" w:rsidRPr="00A706CA" w:rsidRDefault="00143137" w:rsidP="00DD6FF2">
            <w:pPr>
              <w:rPr>
                <w:rFonts w:ascii="Courier New" w:hAnsi="Courier New" w:cs="Courier New"/>
                <w:b/>
                <w:bCs/>
                <w:color w:val="333333"/>
                <w:sz w:val="20"/>
                <w:szCs w:val="20"/>
              </w:rPr>
            </w:pPr>
            <w:r w:rsidRPr="00A706CA">
              <w:rPr>
                <w:rFonts w:ascii="Courier New" w:hAnsi="Courier New" w:cs="Courier New"/>
                <w:b/>
                <w:bCs/>
                <w:color w:val="333333"/>
                <w:sz w:val="20"/>
                <w:szCs w:val="20"/>
              </w:rPr>
              <w:t>INCOME</w:t>
            </w:r>
          </w:p>
        </w:tc>
        <w:tc>
          <w:tcPr>
            <w:tcW w:w="240" w:type="dxa"/>
            <w:gridSpan w:val="2"/>
            <w:hideMark/>
          </w:tcPr>
          <w:p w:rsidR="00143137" w:rsidRPr="00A706CA" w:rsidRDefault="00143137" w:rsidP="00DD6FF2">
            <w:pPr>
              <w:jc w:val="center"/>
              <w:rPr>
                <w:rFonts w:ascii="Courier New" w:hAnsi="Courier New" w:cs="Courier New"/>
                <w:b/>
                <w:bCs/>
                <w:color w:val="333333"/>
                <w:sz w:val="20"/>
                <w:szCs w:val="20"/>
              </w:rPr>
            </w:pPr>
          </w:p>
        </w:tc>
        <w:tc>
          <w:tcPr>
            <w:tcW w:w="3210" w:type="dxa"/>
            <w:gridSpan w:val="2"/>
          </w:tcPr>
          <w:p w:rsidR="00143137" w:rsidRPr="00A706CA" w:rsidRDefault="00143137" w:rsidP="00DD6FF2">
            <w:pPr>
              <w:jc w:val="center"/>
              <w:rPr>
                <w:rFonts w:ascii="Courier New" w:hAnsi="Courier New" w:cs="Courier New"/>
                <w:b/>
                <w:bCs/>
                <w:color w:val="333333"/>
                <w:sz w:val="20"/>
                <w:szCs w:val="20"/>
              </w:rPr>
            </w:pPr>
          </w:p>
        </w:tc>
        <w:tc>
          <w:tcPr>
            <w:tcW w:w="2025" w:type="dxa"/>
            <w:hideMark/>
          </w:tcPr>
          <w:p w:rsidR="00143137" w:rsidRPr="00A706CA" w:rsidRDefault="00143137" w:rsidP="00DD6FF2">
            <w:pPr>
              <w:rPr>
                <w:rFonts w:ascii="Courier New" w:hAnsi="Courier New" w:cs="Courier New"/>
                <w:b/>
                <w:bCs/>
                <w:color w:val="333333"/>
                <w:sz w:val="20"/>
                <w:szCs w:val="20"/>
              </w:rPr>
            </w:pP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bCs/>
                <w:color w:val="333333"/>
                <w:sz w:val="20"/>
                <w:szCs w:val="20"/>
              </w:rPr>
            </w:pPr>
            <w:r w:rsidRPr="00A706CA">
              <w:rPr>
                <w:rFonts w:ascii="Courier New" w:hAnsi="Courier New" w:cs="Courier New"/>
                <w:bCs/>
                <w:color w:val="333333"/>
                <w:sz w:val="20"/>
                <w:szCs w:val="20"/>
              </w:rPr>
              <w:t>Building area</w:t>
            </w:r>
          </w:p>
        </w:tc>
        <w:tc>
          <w:tcPr>
            <w:tcW w:w="240" w:type="dxa"/>
            <w:gridSpan w:val="2"/>
          </w:tcPr>
          <w:p w:rsidR="00143137" w:rsidRPr="00A706CA" w:rsidRDefault="00143137" w:rsidP="00DD6FF2">
            <w:pPr>
              <w:jc w:val="center"/>
              <w:rPr>
                <w:rFonts w:ascii="Courier New" w:hAnsi="Courier New" w:cs="Courier New"/>
                <w:bCs/>
                <w:color w:val="333333"/>
                <w:sz w:val="20"/>
                <w:szCs w:val="20"/>
              </w:rPr>
            </w:pPr>
          </w:p>
        </w:tc>
        <w:tc>
          <w:tcPr>
            <w:tcW w:w="3210" w:type="dxa"/>
            <w:gridSpan w:val="2"/>
          </w:tcPr>
          <w:p w:rsidR="00143137" w:rsidRPr="00A706CA" w:rsidRDefault="00143137" w:rsidP="00DD6FF2">
            <w:pPr>
              <w:jc w:val="right"/>
              <w:rPr>
                <w:rFonts w:ascii="Courier New" w:hAnsi="Courier New" w:cs="Courier New"/>
                <w:b/>
                <w:bCs/>
                <w:color w:val="333333"/>
                <w:sz w:val="20"/>
                <w:szCs w:val="20"/>
              </w:rPr>
            </w:pPr>
            <w:r>
              <w:rPr>
                <w:rFonts w:ascii="Courier New" w:hAnsi="Courier New" w:cs="Courier New"/>
                <w:bCs/>
                <w:color w:val="333333"/>
                <w:sz w:val="20"/>
                <w:szCs w:val="20"/>
              </w:rPr>
              <w:t>124,825 sf</w:t>
            </w:r>
          </w:p>
        </w:tc>
        <w:tc>
          <w:tcPr>
            <w:tcW w:w="2025" w:type="dxa"/>
          </w:tcPr>
          <w:p w:rsidR="00143137" w:rsidRPr="00A706CA" w:rsidRDefault="00143137" w:rsidP="00DD6FF2">
            <w:pPr>
              <w:jc w:val="right"/>
              <w:rPr>
                <w:rFonts w:ascii="Courier New" w:hAnsi="Courier New" w:cs="Courier New"/>
                <w:b/>
                <w:bCs/>
                <w:color w:val="333333"/>
                <w:sz w:val="20"/>
                <w:szCs w:val="20"/>
              </w:rPr>
            </w:pPr>
          </w:p>
        </w:tc>
      </w:tr>
      <w:tr w:rsidR="00143137" w:rsidRPr="00A706CA" w:rsidTr="00DD6FF2">
        <w:trPr>
          <w:tblCellSpacing w:w="15" w:type="dxa"/>
        </w:trPr>
        <w:tc>
          <w:tcPr>
            <w:tcW w:w="3700" w:type="dxa"/>
            <w:hideMark/>
          </w:tcPr>
          <w:p w:rsidR="00143137" w:rsidRPr="00A706CA" w:rsidRDefault="00143137" w:rsidP="00DD6FF2">
            <w:pPr>
              <w:rPr>
                <w:rFonts w:ascii="Courier New" w:hAnsi="Courier New" w:cs="Courier New"/>
                <w:color w:val="333333"/>
                <w:sz w:val="20"/>
                <w:szCs w:val="20"/>
              </w:rPr>
            </w:pPr>
            <w:r w:rsidRPr="00A706CA">
              <w:rPr>
                <w:rFonts w:ascii="Courier New" w:hAnsi="Courier New" w:cs="Courier New"/>
                <w:color w:val="333333"/>
                <w:sz w:val="20"/>
                <w:szCs w:val="20"/>
              </w:rPr>
              <w:t>Market Rent</w:t>
            </w:r>
            <w:r>
              <w:rPr>
                <w:rFonts w:ascii="Courier New" w:hAnsi="Courier New" w:cs="Courier New"/>
                <w:color w:val="333333"/>
                <w:sz w:val="20"/>
                <w:szCs w:val="20"/>
              </w:rPr>
              <w:t xml:space="preserve"> (psf)</w:t>
            </w:r>
          </w:p>
        </w:tc>
        <w:tc>
          <w:tcPr>
            <w:tcW w:w="3480" w:type="dxa"/>
            <w:gridSpan w:val="4"/>
          </w:tcPr>
          <w:p w:rsidR="00143137" w:rsidRPr="00A706CA"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$13.00 psf</w:t>
            </w:r>
          </w:p>
        </w:tc>
        <w:tc>
          <w:tcPr>
            <w:tcW w:w="2025" w:type="dxa"/>
            <w:hideMark/>
          </w:tcPr>
          <w:p w:rsidR="00143137" w:rsidRPr="00A706CA"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$1,622,725</w:t>
            </w: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Reimbursement Income</w:t>
            </w:r>
          </w:p>
        </w:tc>
        <w:tc>
          <w:tcPr>
            <w:tcW w:w="3480" w:type="dxa"/>
            <w:gridSpan w:val="4"/>
          </w:tcPr>
          <w:p w:rsidR="00143137" w:rsidRPr="00A706CA" w:rsidRDefault="00143137" w:rsidP="00DD6FF2">
            <w:pPr>
              <w:jc w:val="right"/>
              <w:rPr>
                <w:rFonts w:ascii="Courier New" w:hAnsi="Courier New" w:cs="Courier New"/>
                <w:color w:val="333333"/>
                <w:sz w:val="20"/>
                <w:szCs w:val="20"/>
              </w:rPr>
            </w:pPr>
          </w:p>
        </w:tc>
        <w:tc>
          <w:tcPr>
            <w:tcW w:w="2025" w:type="dxa"/>
          </w:tcPr>
          <w:p w:rsidR="00D76D67" w:rsidRDefault="00D76D67" w:rsidP="00D76D67">
            <w:pPr>
              <w:jc w:val="right"/>
              <w:rPr>
                <w:rFonts w:ascii="Courier New" w:hAnsi="Courier New" w:cs="Courier New"/>
                <w:color w:val="333333"/>
                <w:sz w:val="20"/>
                <w:szCs w:val="20"/>
              </w:rPr>
            </w:pPr>
            <w:r>
              <w:rPr>
                <w:rFonts w:ascii="Courier New" w:hAnsi="Courier New" w:cs="Courier New"/>
                <w:color w:val="333333"/>
                <w:sz w:val="20"/>
                <w:szCs w:val="20"/>
              </w:rPr>
              <w:t>$  456,860</w:t>
            </w:r>
          </w:p>
        </w:tc>
      </w:tr>
      <w:tr w:rsidR="00143137" w:rsidRPr="00A706CA" w:rsidTr="00DD6FF2">
        <w:trPr>
          <w:tblCellSpacing w:w="15" w:type="dxa"/>
        </w:trPr>
        <w:tc>
          <w:tcPr>
            <w:tcW w:w="3700" w:type="dxa"/>
          </w:tcPr>
          <w:p w:rsidR="00143137" w:rsidRPr="00143137" w:rsidRDefault="00143137" w:rsidP="00DD6FF2">
            <w:pPr>
              <w:rPr>
                <w:rFonts w:ascii="Courier New" w:hAnsi="Courier New" w:cs="Courier New"/>
                <w:b/>
                <w:color w:val="333333"/>
                <w:sz w:val="20"/>
                <w:szCs w:val="20"/>
              </w:rPr>
            </w:pPr>
            <w:r>
              <w:rPr>
                <w:rFonts w:ascii="Courier New" w:hAnsi="Courier New" w:cs="Courier New"/>
                <w:b/>
                <w:color w:val="333333"/>
                <w:sz w:val="20"/>
                <w:szCs w:val="20"/>
              </w:rPr>
              <w:t>Potential Gross Income</w:t>
            </w:r>
          </w:p>
        </w:tc>
        <w:tc>
          <w:tcPr>
            <w:tcW w:w="60" w:type="dxa"/>
          </w:tcPr>
          <w:p w:rsidR="00143137" w:rsidRPr="000B376B" w:rsidRDefault="00143137" w:rsidP="00DD6FF2">
            <w:pPr>
              <w:jc w:val="right"/>
              <w:rPr>
                <w:rFonts w:ascii="Courier New" w:hAnsi="Courier New" w:cs="Courier New"/>
                <w:b/>
                <w:color w:val="333333"/>
                <w:sz w:val="20"/>
                <w:szCs w:val="20"/>
              </w:rPr>
            </w:pPr>
          </w:p>
        </w:tc>
        <w:tc>
          <w:tcPr>
            <w:tcW w:w="3390" w:type="dxa"/>
            <w:gridSpan w:val="3"/>
          </w:tcPr>
          <w:p w:rsidR="00143137" w:rsidRPr="000B376B" w:rsidRDefault="00143137" w:rsidP="00DD6FF2">
            <w:pPr>
              <w:jc w:val="right"/>
              <w:rPr>
                <w:rFonts w:ascii="Courier New" w:hAnsi="Courier New" w:cs="Courier New"/>
                <w:b/>
                <w:color w:val="333333"/>
                <w:sz w:val="20"/>
                <w:szCs w:val="20"/>
              </w:rPr>
            </w:pPr>
          </w:p>
        </w:tc>
        <w:tc>
          <w:tcPr>
            <w:tcW w:w="2025" w:type="dxa"/>
          </w:tcPr>
          <w:p w:rsidR="00143137" w:rsidRPr="00143137" w:rsidRDefault="00143137" w:rsidP="00DD6FF2">
            <w:pPr>
              <w:jc w:val="right"/>
              <w:rPr>
                <w:rFonts w:ascii="Courier New" w:hAnsi="Courier New" w:cs="Courier New"/>
                <w:b/>
                <w:color w:val="333333"/>
                <w:sz w:val="20"/>
                <w:szCs w:val="20"/>
              </w:rPr>
            </w:pPr>
            <w:r w:rsidRPr="00143137">
              <w:rPr>
                <w:rFonts w:ascii="Courier New" w:hAnsi="Courier New" w:cs="Courier New"/>
                <w:b/>
                <w:color w:val="333333"/>
                <w:sz w:val="20"/>
                <w:szCs w:val="20"/>
              </w:rPr>
              <w:t>$</w:t>
            </w:r>
            <w:r>
              <w:rPr>
                <w:rFonts w:ascii="Courier New" w:hAnsi="Courier New" w:cs="Courier New"/>
                <w:b/>
                <w:color w:val="333333"/>
                <w:sz w:val="20"/>
                <w:szCs w:val="20"/>
              </w:rPr>
              <w:t>2,079,585</w:t>
            </w: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Less Vacancy</w:t>
            </w:r>
          </w:p>
        </w:tc>
        <w:tc>
          <w:tcPr>
            <w:tcW w:w="60" w:type="dxa"/>
          </w:tcPr>
          <w:p w:rsidR="00143137" w:rsidRPr="00A706CA" w:rsidRDefault="00143137" w:rsidP="00DD6FF2">
            <w:pPr>
              <w:jc w:val="right"/>
              <w:rPr>
                <w:rFonts w:ascii="Courier New" w:hAnsi="Courier New" w:cs="Courier New"/>
                <w:color w:val="333333"/>
                <w:sz w:val="20"/>
                <w:szCs w:val="20"/>
              </w:rPr>
            </w:pPr>
          </w:p>
        </w:tc>
        <w:tc>
          <w:tcPr>
            <w:tcW w:w="3390" w:type="dxa"/>
            <w:gridSpan w:val="3"/>
          </w:tcPr>
          <w:p w:rsidR="00143137" w:rsidRPr="00A706CA"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15%</w:t>
            </w:r>
          </w:p>
        </w:tc>
        <w:tc>
          <w:tcPr>
            <w:tcW w:w="2025" w:type="dxa"/>
          </w:tcPr>
          <w:p w:rsidR="00143137"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($311,938)</w:t>
            </w:r>
          </w:p>
        </w:tc>
      </w:tr>
      <w:tr w:rsidR="00143137" w:rsidRPr="00A16D37" w:rsidTr="00DD6FF2">
        <w:trPr>
          <w:tblCellSpacing w:w="15" w:type="dxa"/>
        </w:trPr>
        <w:tc>
          <w:tcPr>
            <w:tcW w:w="3700" w:type="dxa"/>
          </w:tcPr>
          <w:p w:rsidR="00143137" w:rsidRPr="006E22DC" w:rsidRDefault="00143137" w:rsidP="00DD6FF2">
            <w:pPr>
              <w:rPr>
                <w:rFonts w:ascii="Courier New" w:hAnsi="Courier New" w:cs="Courier New"/>
                <w:b/>
                <w:color w:val="333333"/>
                <w:sz w:val="20"/>
                <w:szCs w:val="20"/>
              </w:rPr>
            </w:pPr>
            <w:r w:rsidRPr="006E22DC">
              <w:rPr>
                <w:rFonts w:ascii="Courier New" w:hAnsi="Courier New" w:cs="Courier New"/>
                <w:b/>
                <w:color w:val="333333"/>
                <w:sz w:val="20"/>
                <w:szCs w:val="20"/>
              </w:rPr>
              <w:t>Effective Gross Income</w:t>
            </w:r>
            <w:r>
              <w:rPr>
                <w:rFonts w:ascii="Courier New" w:hAnsi="Courier New" w:cs="Courier New"/>
                <w:b/>
                <w:color w:val="333333"/>
                <w:sz w:val="20"/>
                <w:szCs w:val="20"/>
              </w:rPr>
              <w:t xml:space="preserve"> (“EGI”)</w:t>
            </w:r>
          </w:p>
        </w:tc>
        <w:tc>
          <w:tcPr>
            <w:tcW w:w="60" w:type="dxa"/>
          </w:tcPr>
          <w:p w:rsidR="00143137" w:rsidRPr="00A16D37" w:rsidRDefault="00143137" w:rsidP="00DD6FF2">
            <w:pPr>
              <w:jc w:val="right"/>
              <w:rPr>
                <w:rFonts w:ascii="Courier New" w:hAnsi="Courier New" w:cs="Courier New"/>
                <w:b/>
                <w:color w:val="333333"/>
                <w:sz w:val="20"/>
                <w:szCs w:val="20"/>
              </w:rPr>
            </w:pPr>
          </w:p>
        </w:tc>
        <w:tc>
          <w:tcPr>
            <w:tcW w:w="3390" w:type="dxa"/>
            <w:gridSpan w:val="3"/>
          </w:tcPr>
          <w:p w:rsidR="00143137" w:rsidRPr="00A16D37" w:rsidRDefault="00143137" w:rsidP="00DD6FF2">
            <w:pPr>
              <w:jc w:val="right"/>
              <w:rPr>
                <w:rFonts w:ascii="Courier New" w:hAnsi="Courier New" w:cs="Courier New"/>
                <w:b/>
                <w:color w:val="333333"/>
                <w:sz w:val="20"/>
                <w:szCs w:val="20"/>
              </w:rPr>
            </w:pPr>
          </w:p>
        </w:tc>
        <w:tc>
          <w:tcPr>
            <w:tcW w:w="2025" w:type="dxa"/>
          </w:tcPr>
          <w:p w:rsidR="00143137" w:rsidRPr="00A16D37"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$1,767,647</w:t>
            </w: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color w:val="333333"/>
                <w:sz w:val="20"/>
                <w:szCs w:val="20"/>
              </w:rPr>
            </w:pPr>
          </w:p>
        </w:tc>
        <w:tc>
          <w:tcPr>
            <w:tcW w:w="60" w:type="dxa"/>
          </w:tcPr>
          <w:p w:rsidR="00143137" w:rsidRPr="00A706CA" w:rsidRDefault="00143137" w:rsidP="00DD6FF2">
            <w:pPr>
              <w:rPr>
                <w:rFonts w:ascii="Courier New" w:hAnsi="Courier New" w:cs="Courier New"/>
                <w:sz w:val="20"/>
                <w:szCs w:val="20"/>
              </w:rPr>
            </w:pPr>
          </w:p>
        </w:tc>
        <w:tc>
          <w:tcPr>
            <w:tcW w:w="3390" w:type="dxa"/>
            <w:gridSpan w:val="3"/>
          </w:tcPr>
          <w:p w:rsidR="00143137" w:rsidRPr="00A706CA" w:rsidRDefault="00143137" w:rsidP="00DD6FF2">
            <w:pPr>
              <w:rPr>
                <w:rFonts w:ascii="Courier New" w:hAnsi="Courier New" w:cs="Courier New"/>
                <w:sz w:val="20"/>
                <w:szCs w:val="20"/>
              </w:rPr>
            </w:pPr>
          </w:p>
        </w:tc>
        <w:tc>
          <w:tcPr>
            <w:tcW w:w="2025" w:type="dxa"/>
          </w:tcPr>
          <w:p w:rsidR="00143137" w:rsidRPr="00A706CA" w:rsidRDefault="00143137" w:rsidP="00DD6FF2">
            <w:pPr>
              <w:rPr>
                <w:rFonts w:ascii="Courier New" w:hAnsi="Courier New" w:cs="Courier New"/>
                <w:sz w:val="20"/>
                <w:szCs w:val="20"/>
              </w:rPr>
            </w:pPr>
          </w:p>
        </w:tc>
      </w:tr>
      <w:tr w:rsidR="00143137" w:rsidRPr="00A706CA" w:rsidTr="00DD6FF2">
        <w:trPr>
          <w:tblCellSpacing w:w="15" w:type="dxa"/>
        </w:trPr>
        <w:tc>
          <w:tcPr>
            <w:tcW w:w="7210" w:type="dxa"/>
            <w:gridSpan w:val="5"/>
          </w:tcPr>
          <w:p w:rsidR="00143137" w:rsidRPr="006E22DC" w:rsidRDefault="00143137" w:rsidP="00DD6FF2">
            <w:pPr>
              <w:rPr>
                <w:rFonts w:ascii="Courier New" w:hAnsi="Courier New" w:cs="Courier New"/>
                <w:b/>
                <w:color w:val="333333"/>
                <w:sz w:val="20"/>
                <w:szCs w:val="20"/>
              </w:rPr>
            </w:pPr>
            <w:r>
              <w:rPr>
                <w:rFonts w:ascii="Courier New" w:hAnsi="Courier New" w:cs="Courier New"/>
                <w:b/>
                <w:color w:val="333333"/>
                <w:sz w:val="20"/>
                <w:szCs w:val="20"/>
              </w:rPr>
              <w:t>EXPENSES</w:t>
            </w:r>
          </w:p>
        </w:tc>
        <w:tc>
          <w:tcPr>
            <w:tcW w:w="2025" w:type="dxa"/>
          </w:tcPr>
          <w:p w:rsidR="00143137" w:rsidRPr="00A706CA" w:rsidRDefault="00143137" w:rsidP="00DD6FF2">
            <w:pPr>
              <w:jc w:val="right"/>
              <w:rPr>
                <w:rFonts w:ascii="Courier New" w:hAnsi="Courier New" w:cs="Courier New"/>
                <w:color w:val="333333"/>
                <w:sz w:val="20"/>
                <w:szCs w:val="20"/>
              </w:rPr>
            </w:pPr>
          </w:p>
        </w:tc>
      </w:tr>
      <w:tr w:rsidR="000A579C" w:rsidRPr="00A706CA" w:rsidTr="00DD6FF2">
        <w:trPr>
          <w:tblCellSpacing w:w="15" w:type="dxa"/>
        </w:trPr>
        <w:tc>
          <w:tcPr>
            <w:tcW w:w="7210" w:type="dxa"/>
            <w:gridSpan w:val="5"/>
          </w:tcPr>
          <w:p w:rsidR="000A579C" w:rsidRPr="00F55F0B" w:rsidRDefault="000A579C" w:rsidP="00DD6FF2">
            <w:pPr>
              <w:rPr>
                <w:rFonts w:ascii="Courier New" w:hAnsi="Courier New" w:cs="Courier New"/>
                <w:color w:val="333333"/>
                <w:sz w:val="20"/>
                <w:szCs w:val="20"/>
              </w:rPr>
            </w:pPr>
            <w:r>
              <w:rPr>
                <w:rFonts w:ascii="Courier New" w:hAnsi="Courier New" w:cs="Courier New"/>
                <w:b/>
                <w:color w:val="333333"/>
                <w:sz w:val="20"/>
                <w:szCs w:val="20"/>
              </w:rPr>
              <w:t xml:space="preserve">  </w:t>
            </w:r>
            <w:r w:rsidRPr="00F55F0B">
              <w:rPr>
                <w:rFonts w:ascii="Courier New" w:hAnsi="Courier New" w:cs="Courier New"/>
                <w:color w:val="333333"/>
                <w:sz w:val="20"/>
                <w:szCs w:val="20"/>
              </w:rPr>
              <w:t>Reimbursable expenses</w:t>
            </w:r>
          </w:p>
        </w:tc>
        <w:tc>
          <w:tcPr>
            <w:tcW w:w="2025" w:type="dxa"/>
          </w:tcPr>
          <w:p w:rsidR="000A579C" w:rsidRPr="00A706CA" w:rsidRDefault="000A579C" w:rsidP="00DD6FF2">
            <w:pPr>
              <w:jc w:val="right"/>
              <w:rPr>
                <w:rFonts w:ascii="Courier New" w:hAnsi="Courier New" w:cs="Courier New"/>
                <w:color w:val="333333"/>
                <w:sz w:val="20"/>
                <w:szCs w:val="20"/>
              </w:rPr>
            </w:pPr>
          </w:p>
        </w:tc>
      </w:tr>
      <w:tr w:rsidR="008255EF" w:rsidRPr="00A706CA" w:rsidTr="00DD6FF2">
        <w:trPr>
          <w:tblCellSpacing w:w="15" w:type="dxa"/>
        </w:trPr>
        <w:tc>
          <w:tcPr>
            <w:tcW w:w="7210" w:type="dxa"/>
            <w:gridSpan w:val="5"/>
          </w:tcPr>
          <w:p w:rsidR="008255EF" w:rsidRPr="008255EF" w:rsidRDefault="008255EF" w:rsidP="00DD6FF2">
            <w:pPr>
              <w:rPr>
                <w:rFonts w:ascii="Courier New" w:hAnsi="Courier New" w:cs="Courier New"/>
                <w:color w:val="333333"/>
                <w:sz w:val="20"/>
                <w:szCs w:val="20"/>
              </w:rPr>
            </w:pPr>
            <w:r>
              <w:rPr>
                <w:rFonts w:ascii="Courier New" w:hAnsi="Courier New" w:cs="Courier New"/>
                <w:b/>
                <w:color w:val="333333"/>
                <w:sz w:val="20"/>
                <w:szCs w:val="20"/>
              </w:rPr>
              <w:t xml:space="preserve">    </w:t>
            </w:r>
            <w:r w:rsidRPr="008255EF">
              <w:rPr>
                <w:rFonts w:ascii="Courier New" w:hAnsi="Courier New" w:cs="Courier New"/>
                <w:color w:val="333333"/>
                <w:sz w:val="20"/>
                <w:szCs w:val="20"/>
              </w:rPr>
              <w:t xml:space="preserve">Operating expenses   </w:t>
            </w:r>
            <w:r>
              <w:rPr>
                <w:rFonts w:ascii="Courier New" w:hAnsi="Courier New" w:cs="Courier New"/>
                <w:color w:val="333333"/>
                <w:sz w:val="20"/>
                <w:szCs w:val="20"/>
              </w:rPr>
              <w:t xml:space="preserve">                         </w:t>
            </w:r>
            <w:r w:rsidRPr="008255EF">
              <w:rPr>
                <w:rFonts w:ascii="Courier New" w:hAnsi="Courier New" w:cs="Courier New"/>
                <w:color w:val="333333"/>
                <w:sz w:val="20"/>
                <w:szCs w:val="20"/>
              </w:rPr>
              <w:t>$3.45 psf</w:t>
            </w:r>
          </w:p>
        </w:tc>
        <w:tc>
          <w:tcPr>
            <w:tcW w:w="2025" w:type="dxa"/>
          </w:tcPr>
          <w:p w:rsidR="008255EF" w:rsidRPr="00A706CA" w:rsidRDefault="008255EF" w:rsidP="00DD6FF2">
            <w:pPr>
              <w:jc w:val="right"/>
              <w:rPr>
                <w:rFonts w:ascii="Courier New" w:hAnsi="Courier New" w:cs="Courier New"/>
                <w:color w:val="333333"/>
                <w:sz w:val="20"/>
                <w:szCs w:val="20"/>
              </w:rPr>
            </w:pPr>
            <w:r>
              <w:rPr>
                <w:rFonts w:ascii="Courier New" w:hAnsi="Courier New" w:cs="Courier New"/>
                <w:color w:val="333333"/>
                <w:sz w:val="20"/>
                <w:szCs w:val="20"/>
              </w:rPr>
              <w:t>$  430,646</w:t>
            </w:r>
          </w:p>
        </w:tc>
      </w:tr>
      <w:tr w:rsidR="008255EF" w:rsidRPr="00A706CA" w:rsidTr="00DD6FF2">
        <w:trPr>
          <w:tblCellSpacing w:w="15" w:type="dxa"/>
        </w:trPr>
        <w:tc>
          <w:tcPr>
            <w:tcW w:w="7210" w:type="dxa"/>
            <w:gridSpan w:val="5"/>
          </w:tcPr>
          <w:p w:rsidR="008255EF" w:rsidRPr="008255EF" w:rsidRDefault="008255EF" w:rsidP="00DD6FF2">
            <w:pPr>
              <w:rPr>
                <w:rFonts w:ascii="Courier New" w:hAnsi="Courier New" w:cs="Courier New"/>
                <w:color w:val="333333"/>
                <w:sz w:val="20"/>
                <w:szCs w:val="20"/>
              </w:rPr>
            </w:pPr>
            <w:r>
              <w:rPr>
                <w:rFonts w:ascii="Courier New" w:hAnsi="Courier New" w:cs="Courier New"/>
                <w:b/>
                <w:color w:val="333333"/>
                <w:sz w:val="20"/>
                <w:szCs w:val="20"/>
              </w:rPr>
              <w:t xml:space="preserve">    </w:t>
            </w:r>
            <w:r w:rsidRPr="008255EF">
              <w:rPr>
                <w:rFonts w:ascii="Courier New" w:hAnsi="Courier New" w:cs="Courier New"/>
                <w:color w:val="333333"/>
                <w:sz w:val="20"/>
                <w:szCs w:val="20"/>
              </w:rPr>
              <w:t xml:space="preserve">Insurance            </w:t>
            </w:r>
            <w:r>
              <w:rPr>
                <w:rFonts w:ascii="Courier New" w:hAnsi="Courier New" w:cs="Courier New"/>
                <w:color w:val="333333"/>
                <w:sz w:val="20"/>
                <w:szCs w:val="20"/>
              </w:rPr>
              <w:t xml:space="preserve">                         </w:t>
            </w:r>
            <w:r w:rsidRPr="008255EF">
              <w:rPr>
                <w:rFonts w:ascii="Courier New" w:hAnsi="Courier New" w:cs="Courier New"/>
                <w:color w:val="333333"/>
                <w:sz w:val="20"/>
                <w:szCs w:val="20"/>
              </w:rPr>
              <w:t>$0.21 psf</w:t>
            </w:r>
          </w:p>
        </w:tc>
        <w:tc>
          <w:tcPr>
            <w:tcW w:w="2025" w:type="dxa"/>
          </w:tcPr>
          <w:p w:rsidR="008255EF" w:rsidRDefault="008255EF" w:rsidP="00DD6FF2">
            <w:pPr>
              <w:jc w:val="right"/>
              <w:rPr>
                <w:rFonts w:ascii="Courier New" w:hAnsi="Courier New" w:cs="Courier New"/>
                <w:color w:val="333333"/>
                <w:sz w:val="20"/>
                <w:szCs w:val="20"/>
              </w:rPr>
            </w:pPr>
            <w:r>
              <w:rPr>
                <w:rFonts w:ascii="Courier New" w:hAnsi="Courier New" w:cs="Courier New"/>
                <w:color w:val="333333"/>
                <w:sz w:val="20"/>
                <w:szCs w:val="20"/>
              </w:rPr>
              <w:t>$   26,213</w:t>
            </w:r>
          </w:p>
        </w:tc>
      </w:tr>
      <w:tr w:rsidR="000A579C" w:rsidRPr="00A706CA" w:rsidTr="00DD6FF2">
        <w:trPr>
          <w:tblCellSpacing w:w="15" w:type="dxa"/>
        </w:trPr>
        <w:tc>
          <w:tcPr>
            <w:tcW w:w="7210" w:type="dxa"/>
            <w:gridSpan w:val="5"/>
          </w:tcPr>
          <w:p w:rsidR="000A579C" w:rsidRPr="00F55F0B" w:rsidRDefault="008255EF" w:rsidP="008255EF">
            <w:pPr>
              <w:rPr>
                <w:rFonts w:ascii="Courier New" w:hAnsi="Courier New" w:cs="Courier New"/>
                <w:color w:val="333333"/>
                <w:sz w:val="20"/>
                <w:szCs w:val="20"/>
              </w:rPr>
            </w:pPr>
            <w:r>
              <w:rPr>
                <w:rFonts w:ascii="Courier New" w:hAnsi="Courier New" w:cs="Courier New"/>
                <w:b/>
                <w:color w:val="333333"/>
                <w:sz w:val="20"/>
                <w:szCs w:val="20"/>
              </w:rPr>
              <w:t xml:space="preserve">  </w:t>
            </w:r>
            <w:r w:rsidRPr="00F55F0B">
              <w:rPr>
                <w:rFonts w:ascii="Courier New" w:hAnsi="Courier New" w:cs="Courier New"/>
                <w:color w:val="333333"/>
                <w:sz w:val="20"/>
                <w:szCs w:val="20"/>
              </w:rPr>
              <w:t>Non-Reimbursable expenses</w:t>
            </w:r>
          </w:p>
        </w:tc>
        <w:tc>
          <w:tcPr>
            <w:tcW w:w="2025" w:type="dxa"/>
          </w:tcPr>
          <w:p w:rsidR="000A579C" w:rsidRPr="00A706CA" w:rsidRDefault="000A579C" w:rsidP="00DD6FF2">
            <w:pPr>
              <w:jc w:val="right"/>
              <w:rPr>
                <w:rFonts w:ascii="Courier New" w:hAnsi="Courier New" w:cs="Courier New"/>
                <w:color w:val="333333"/>
                <w:sz w:val="20"/>
                <w:szCs w:val="20"/>
              </w:rPr>
            </w:pPr>
          </w:p>
        </w:tc>
      </w:tr>
      <w:tr w:rsidR="00143137" w:rsidRPr="00A706CA" w:rsidTr="00F55F0B">
        <w:trPr>
          <w:tblCellSpacing w:w="15" w:type="dxa"/>
        </w:trPr>
        <w:tc>
          <w:tcPr>
            <w:tcW w:w="3700" w:type="dxa"/>
            <w:hideMark/>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F55F0B">
              <w:rPr>
                <w:rFonts w:ascii="Courier New" w:hAnsi="Courier New" w:cs="Courier New"/>
                <w:color w:val="333333"/>
                <w:sz w:val="20"/>
                <w:szCs w:val="20"/>
              </w:rPr>
              <w:t xml:space="preserve">  </w:t>
            </w:r>
            <w:r>
              <w:rPr>
                <w:rFonts w:ascii="Courier New" w:hAnsi="Courier New" w:cs="Courier New"/>
                <w:color w:val="333333"/>
                <w:sz w:val="20"/>
                <w:szCs w:val="20"/>
              </w:rPr>
              <w:t>Management</w:t>
            </w:r>
          </w:p>
        </w:tc>
        <w:tc>
          <w:tcPr>
            <w:tcW w:w="960" w:type="dxa"/>
            <w:gridSpan w:val="3"/>
            <w:hideMark/>
          </w:tcPr>
          <w:p w:rsidR="00143137" w:rsidRPr="00A706CA" w:rsidRDefault="00143137" w:rsidP="00DD6FF2">
            <w:pPr>
              <w:rPr>
                <w:rFonts w:ascii="Courier New" w:hAnsi="Courier New" w:cs="Courier New"/>
                <w:sz w:val="20"/>
                <w:szCs w:val="20"/>
              </w:rPr>
            </w:pPr>
          </w:p>
        </w:tc>
        <w:tc>
          <w:tcPr>
            <w:tcW w:w="2490"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3% of EGI</w:t>
            </w:r>
          </w:p>
        </w:tc>
        <w:tc>
          <w:tcPr>
            <w:tcW w:w="2025" w:type="dxa"/>
            <w:hideMark/>
          </w:tcPr>
          <w:p w:rsidR="00143137" w:rsidRPr="007B363D" w:rsidRDefault="00143137" w:rsidP="00DD6FF2">
            <w:pPr>
              <w:jc w:val="right"/>
              <w:rPr>
                <w:rFonts w:ascii="Courier New" w:hAnsi="Courier New" w:cs="Courier New"/>
                <w:sz w:val="20"/>
                <w:szCs w:val="20"/>
              </w:rPr>
            </w:pPr>
            <w:r>
              <w:rPr>
                <w:rFonts w:ascii="Courier New" w:hAnsi="Courier New" w:cs="Courier New"/>
                <w:sz w:val="20"/>
                <w:szCs w:val="20"/>
              </w:rPr>
              <w:t>$   53,029</w:t>
            </w:r>
          </w:p>
        </w:tc>
      </w:tr>
      <w:tr w:rsidR="00143137" w:rsidRPr="00A706CA" w:rsidTr="00F55F0B">
        <w:trPr>
          <w:tblCellSpacing w:w="15" w:type="dxa"/>
        </w:trPr>
        <w:tc>
          <w:tcPr>
            <w:tcW w:w="3700" w:type="dxa"/>
            <w:hideMark/>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F55F0B">
              <w:rPr>
                <w:rFonts w:ascii="Courier New" w:hAnsi="Courier New" w:cs="Courier New"/>
                <w:color w:val="333333"/>
                <w:sz w:val="20"/>
                <w:szCs w:val="20"/>
              </w:rPr>
              <w:t xml:space="preserve">  </w:t>
            </w:r>
            <w:r>
              <w:rPr>
                <w:rFonts w:ascii="Courier New" w:hAnsi="Courier New" w:cs="Courier New"/>
                <w:color w:val="333333"/>
                <w:sz w:val="20"/>
                <w:szCs w:val="20"/>
              </w:rPr>
              <w:t>Reserves for Replacement</w:t>
            </w:r>
          </w:p>
        </w:tc>
        <w:tc>
          <w:tcPr>
            <w:tcW w:w="960" w:type="dxa"/>
            <w:gridSpan w:val="3"/>
            <w:hideMark/>
          </w:tcPr>
          <w:p w:rsidR="00143137" w:rsidRPr="00A706CA" w:rsidRDefault="00143137" w:rsidP="00DD6FF2">
            <w:pPr>
              <w:jc w:val="right"/>
              <w:rPr>
                <w:rFonts w:ascii="Courier New" w:hAnsi="Courier New" w:cs="Courier New"/>
                <w:sz w:val="20"/>
                <w:szCs w:val="20"/>
              </w:rPr>
            </w:pPr>
          </w:p>
        </w:tc>
        <w:tc>
          <w:tcPr>
            <w:tcW w:w="2490"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$0.25 psf</w:t>
            </w:r>
          </w:p>
        </w:tc>
        <w:tc>
          <w:tcPr>
            <w:tcW w:w="2025"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   31,206</w:t>
            </w:r>
          </w:p>
        </w:tc>
      </w:tr>
      <w:tr w:rsidR="00143137" w:rsidRPr="00A706CA" w:rsidTr="00F55F0B">
        <w:trPr>
          <w:tblCellSpacing w:w="15" w:type="dxa"/>
        </w:trPr>
        <w:tc>
          <w:tcPr>
            <w:tcW w:w="3700" w:type="dxa"/>
            <w:hideMark/>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F55F0B">
              <w:rPr>
                <w:rFonts w:ascii="Courier New" w:hAnsi="Courier New" w:cs="Courier New"/>
                <w:color w:val="333333"/>
                <w:sz w:val="20"/>
                <w:szCs w:val="20"/>
              </w:rPr>
              <w:t xml:space="preserve">  </w:t>
            </w:r>
            <w:r>
              <w:rPr>
                <w:rFonts w:ascii="Courier New" w:hAnsi="Courier New" w:cs="Courier New"/>
                <w:color w:val="333333"/>
                <w:sz w:val="20"/>
                <w:szCs w:val="20"/>
              </w:rPr>
              <w:t>Administrative</w:t>
            </w:r>
          </w:p>
        </w:tc>
        <w:tc>
          <w:tcPr>
            <w:tcW w:w="960" w:type="dxa"/>
            <w:gridSpan w:val="3"/>
            <w:hideMark/>
          </w:tcPr>
          <w:p w:rsidR="00143137" w:rsidRPr="00A706CA" w:rsidRDefault="00143137" w:rsidP="00DD6FF2">
            <w:pPr>
              <w:jc w:val="right"/>
              <w:rPr>
                <w:rFonts w:ascii="Courier New" w:hAnsi="Courier New" w:cs="Courier New"/>
                <w:sz w:val="20"/>
                <w:szCs w:val="20"/>
              </w:rPr>
            </w:pPr>
          </w:p>
        </w:tc>
        <w:tc>
          <w:tcPr>
            <w:tcW w:w="2490" w:type="dxa"/>
            <w:hideMark/>
          </w:tcPr>
          <w:p w:rsidR="00143137" w:rsidRPr="00A706CA" w:rsidRDefault="00143137" w:rsidP="00DD6FF2">
            <w:pPr>
              <w:jc w:val="right"/>
              <w:rPr>
                <w:rFonts w:ascii="Courier New" w:hAnsi="Courier New" w:cs="Courier New"/>
                <w:sz w:val="20"/>
                <w:szCs w:val="20"/>
              </w:rPr>
            </w:pPr>
          </w:p>
        </w:tc>
        <w:tc>
          <w:tcPr>
            <w:tcW w:w="2025"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   10,000</w:t>
            </w:r>
          </w:p>
        </w:tc>
      </w:tr>
      <w:tr w:rsidR="00143137" w:rsidRPr="00A706CA" w:rsidTr="00F55F0B">
        <w:trPr>
          <w:tblCellSpacing w:w="15" w:type="dxa"/>
        </w:trPr>
        <w:tc>
          <w:tcPr>
            <w:tcW w:w="3700" w:type="dxa"/>
          </w:tcPr>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F55F0B">
              <w:rPr>
                <w:rFonts w:ascii="Courier New" w:hAnsi="Courier New" w:cs="Courier New"/>
                <w:color w:val="333333"/>
                <w:sz w:val="20"/>
                <w:szCs w:val="20"/>
              </w:rPr>
              <w:t xml:space="preserve">  </w:t>
            </w:r>
            <w:r>
              <w:rPr>
                <w:rFonts w:ascii="Courier New" w:hAnsi="Courier New" w:cs="Courier New"/>
                <w:color w:val="333333"/>
                <w:sz w:val="20"/>
                <w:szCs w:val="20"/>
              </w:rPr>
              <w:t>Lease Commissions</w:t>
            </w:r>
          </w:p>
        </w:tc>
        <w:tc>
          <w:tcPr>
            <w:tcW w:w="960" w:type="dxa"/>
            <w:gridSpan w:val="3"/>
          </w:tcPr>
          <w:p w:rsidR="00143137" w:rsidRDefault="00143137" w:rsidP="00DD6FF2">
            <w:pPr>
              <w:jc w:val="right"/>
              <w:rPr>
                <w:rFonts w:ascii="Courier New" w:hAnsi="Courier New" w:cs="Courier New"/>
                <w:sz w:val="20"/>
                <w:szCs w:val="20"/>
              </w:rPr>
            </w:pPr>
          </w:p>
        </w:tc>
        <w:tc>
          <w:tcPr>
            <w:tcW w:w="2490" w:type="dxa"/>
          </w:tcPr>
          <w:p w:rsidR="00143137" w:rsidRDefault="00143137" w:rsidP="00DD6FF2">
            <w:pPr>
              <w:jc w:val="right"/>
              <w:rPr>
                <w:rFonts w:ascii="Courier New" w:hAnsi="Courier New" w:cs="Courier New"/>
                <w:sz w:val="20"/>
                <w:szCs w:val="20"/>
              </w:rPr>
            </w:pPr>
            <w:r>
              <w:rPr>
                <w:rFonts w:ascii="Courier New" w:hAnsi="Courier New" w:cs="Courier New"/>
                <w:sz w:val="20"/>
                <w:szCs w:val="20"/>
              </w:rPr>
              <w:t xml:space="preserve">2.8% of market rent </w:t>
            </w:r>
          </w:p>
        </w:tc>
        <w:tc>
          <w:tcPr>
            <w:tcW w:w="2025" w:type="dxa"/>
          </w:tcPr>
          <w:p w:rsidR="00143137" w:rsidRDefault="00143137" w:rsidP="00DD6FF2">
            <w:pPr>
              <w:jc w:val="right"/>
              <w:rPr>
                <w:rFonts w:ascii="Courier New" w:hAnsi="Courier New" w:cs="Courier New"/>
                <w:sz w:val="20"/>
                <w:szCs w:val="20"/>
              </w:rPr>
            </w:pPr>
            <w:r>
              <w:rPr>
                <w:rFonts w:ascii="Courier New" w:hAnsi="Courier New" w:cs="Courier New"/>
                <w:sz w:val="20"/>
                <w:szCs w:val="20"/>
              </w:rPr>
              <w:t>$   45,436</w:t>
            </w:r>
          </w:p>
        </w:tc>
      </w:tr>
      <w:tr w:rsidR="00143137" w:rsidRPr="00A706CA" w:rsidTr="00F55F0B">
        <w:trPr>
          <w:tblCellSpacing w:w="15" w:type="dxa"/>
        </w:trPr>
        <w:tc>
          <w:tcPr>
            <w:tcW w:w="3700" w:type="dxa"/>
          </w:tcPr>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F55F0B">
              <w:rPr>
                <w:rFonts w:ascii="Courier New" w:hAnsi="Courier New" w:cs="Courier New"/>
                <w:color w:val="333333"/>
                <w:sz w:val="20"/>
                <w:szCs w:val="20"/>
              </w:rPr>
              <w:t xml:space="preserve">  </w:t>
            </w:r>
            <w:r>
              <w:rPr>
                <w:rFonts w:ascii="Courier New" w:hAnsi="Courier New" w:cs="Courier New"/>
                <w:color w:val="333333"/>
                <w:sz w:val="20"/>
                <w:szCs w:val="20"/>
              </w:rPr>
              <w:t>Tenant Improvements</w:t>
            </w:r>
          </w:p>
        </w:tc>
        <w:tc>
          <w:tcPr>
            <w:tcW w:w="960" w:type="dxa"/>
            <w:gridSpan w:val="3"/>
          </w:tcPr>
          <w:p w:rsidR="00143137" w:rsidRPr="00A706CA" w:rsidRDefault="00143137" w:rsidP="00DD6FF2">
            <w:pPr>
              <w:rPr>
                <w:rFonts w:ascii="Courier New" w:hAnsi="Courier New" w:cs="Courier New"/>
                <w:sz w:val="20"/>
                <w:szCs w:val="20"/>
              </w:rPr>
            </w:pPr>
          </w:p>
        </w:tc>
        <w:tc>
          <w:tcPr>
            <w:tcW w:w="2490" w:type="dxa"/>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$0.20 psf</w:t>
            </w:r>
          </w:p>
        </w:tc>
        <w:tc>
          <w:tcPr>
            <w:tcW w:w="2025" w:type="dxa"/>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   24,965</w:t>
            </w:r>
          </w:p>
        </w:tc>
      </w:tr>
      <w:tr w:rsidR="00143137" w:rsidRPr="00CC30AD" w:rsidTr="00F55F0B">
        <w:trPr>
          <w:tblCellSpacing w:w="15" w:type="dxa"/>
        </w:trPr>
        <w:tc>
          <w:tcPr>
            <w:tcW w:w="3700" w:type="dxa"/>
          </w:tcPr>
          <w:p w:rsidR="00143137" w:rsidRPr="00CC30AD" w:rsidRDefault="00143137" w:rsidP="00DD6FF2">
            <w:pPr>
              <w:rPr>
                <w:rFonts w:ascii="Courier New" w:hAnsi="Courier New" w:cs="Courier New"/>
                <w:b/>
                <w:color w:val="333333"/>
                <w:sz w:val="20"/>
                <w:szCs w:val="20"/>
              </w:rPr>
            </w:pPr>
            <w:r w:rsidRPr="00CC30AD">
              <w:rPr>
                <w:rFonts w:ascii="Courier New" w:hAnsi="Courier New" w:cs="Courier New"/>
                <w:b/>
                <w:color w:val="333333"/>
                <w:sz w:val="20"/>
                <w:szCs w:val="20"/>
              </w:rPr>
              <w:t xml:space="preserve"> Total Operating Expense</w:t>
            </w:r>
          </w:p>
        </w:tc>
        <w:tc>
          <w:tcPr>
            <w:tcW w:w="960" w:type="dxa"/>
            <w:gridSpan w:val="3"/>
          </w:tcPr>
          <w:p w:rsidR="00143137" w:rsidRPr="00CC30AD" w:rsidRDefault="00143137" w:rsidP="00DD6FF2">
            <w:pPr>
              <w:rPr>
                <w:rFonts w:ascii="Courier New" w:hAnsi="Courier New" w:cs="Courier New"/>
                <w:b/>
                <w:sz w:val="20"/>
                <w:szCs w:val="20"/>
              </w:rPr>
            </w:pPr>
          </w:p>
        </w:tc>
        <w:tc>
          <w:tcPr>
            <w:tcW w:w="2490" w:type="dxa"/>
          </w:tcPr>
          <w:p w:rsidR="00143137" w:rsidRPr="00CC30AD" w:rsidRDefault="00143137" w:rsidP="00DD6FF2">
            <w:pPr>
              <w:jc w:val="right"/>
              <w:rPr>
                <w:rFonts w:ascii="Courier New" w:hAnsi="Courier New" w:cs="Courier New"/>
                <w:b/>
                <w:sz w:val="20"/>
                <w:szCs w:val="20"/>
              </w:rPr>
            </w:pPr>
          </w:p>
        </w:tc>
        <w:tc>
          <w:tcPr>
            <w:tcW w:w="2025" w:type="dxa"/>
          </w:tcPr>
          <w:p w:rsidR="00143137" w:rsidRPr="00CC30AD" w:rsidRDefault="00143137" w:rsidP="00DD6FF2">
            <w:pPr>
              <w:jc w:val="right"/>
              <w:rPr>
                <w:rFonts w:ascii="Courier New" w:hAnsi="Courier New" w:cs="Courier New"/>
                <w:b/>
                <w:sz w:val="20"/>
                <w:szCs w:val="20"/>
              </w:rPr>
            </w:pPr>
            <w:r>
              <w:rPr>
                <w:rFonts w:ascii="Courier New" w:hAnsi="Courier New" w:cs="Courier New"/>
                <w:b/>
                <w:sz w:val="20"/>
                <w:szCs w:val="20"/>
              </w:rPr>
              <w:t xml:space="preserve">$  </w:t>
            </w:r>
            <w:r w:rsidR="00CD3F94">
              <w:rPr>
                <w:rFonts w:ascii="Courier New" w:hAnsi="Courier New" w:cs="Courier New"/>
                <w:b/>
                <w:sz w:val="20"/>
                <w:szCs w:val="20"/>
              </w:rPr>
              <w:t>621,496</w:t>
            </w:r>
          </w:p>
        </w:tc>
      </w:tr>
      <w:tr w:rsidR="00143137" w:rsidRPr="00A706CA" w:rsidTr="00F55F0B">
        <w:trPr>
          <w:tblCellSpacing w:w="15" w:type="dxa"/>
        </w:trPr>
        <w:tc>
          <w:tcPr>
            <w:tcW w:w="3700" w:type="dxa"/>
          </w:tcPr>
          <w:p w:rsidR="00143137" w:rsidRDefault="00143137" w:rsidP="00DD6FF2">
            <w:pPr>
              <w:rPr>
                <w:rFonts w:ascii="Courier New" w:hAnsi="Courier New" w:cs="Courier New"/>
                <w:color w:val="333333"/>
                <w:sz w:val="20"/>
                <w:szCs w:val="20"/>
              </w:rPr>
            </w:pPr>
          </w:p>
        </w:tc>
        <w:tc>
          <w:tcPr>
            <w:tcW w:w="960" w:type="dxa"/>
            <w:gridSpan w:val="3"/>
          </w:tcPr>
          <w:p w:rsidR="00143137" w:rsidRPr="00A706CA" w:rsidRDefault="00143137" w:rsidP="00DD6FF2">
            <w:pPr>
              <w:rPr>
                <w:rFonts w:ascii="Courier New" w:hAnsi="Courier New" w:cs="Courier New"/>
                <w:sz w:val="20"/>
                <w:szCs w:val="20"/>
              </w:rPr>
            </w:pPr>
          </w:p>
        </w:tc>
        <w:tc>
          <w:tcPr>
            <w:tcW w:w="2490" w:type="dxa"/>
          </w:tcPr>
          <w:p w:rsidR="00143137" w:rsidRDefault="00143137" w:rsidP="00DD6FF2">
            <w:pPr>
              <w:jc w:val="right"/>
              <w:rPr>
                <w:rFonts w:ascii="Courier New" w:hAnsi="Courier New" w:cs="Courier New"/>
                <w:sz w:val="20"/>
                <w:szCs w:val="20"/>
              </w:rPr>
            </w:pPr>
          </w:p>
        </w:tc>
        <w:tc>
          <w:tcPr>
            <w:tcW w:w="2025" w:type="dxa"/>
          </w:tcPr>
          <w:p w:rsidR="00143137" w:rsidRPr="00B6071D" w:rsidRDefault="00143137" w:rsidP="00DD6FF2">
            <w:pPr>
              <w:jc w:val="right"/>
              <w:rPr>
                <w:rFonts w:ascii="Courier New" w:hAnsi="Courier New" w:cs="Courier New"/>
                <w:b/>
                <w:sz w:val="20"/>
                <w:szCs w:val="20"/>
              </w:rPr>
            </w:pPr>
          </w:p>
        </w:tc>
      </w:tr>
      <w:tr w:rsidR="00143137" w:rsidRPr="00A16D37" w:rsidTr="00DD6FF2">
        <w:trPr>
          <w:tblCellSpacing w:w="15" w:type="dxa"/>
        </w:trPr>
        <w:tc>
          <w:tcPr>
            <w:tcW w:w="4690" w:type="dxa"/>
            <w:gridSpan w:val="4"/>
            <w:hideMark/>
          </w:tcPr>
          <w:p w:rsidR="00143137" w:rsidRPr="00A16D37" w:rsidRDefault="00143137" w:rsidP="00DD6FF2">
            <w:pPr>
              <w:rPr>
                <w:rFonts w:ascii="Courier New" w:hAnsi="Courier New" w:cs="Courier New"/>
                <w:b/>
                <w:color w:val="333333"/>
                <w:sz w:val="20"/>
                <w:szCs w:val="20"/>
              </w:rPr>
            </w:pPr>
            <w:r w:rsidRPr="00A16D37">
              <w:rPr>
                <w:rFonts w:ascii="Courier New" w:hAnsi="Courier New" w:cs="Courier New"/>
                <w:b/>
                <w:color w:val="333333"/>
                <w:sz w:val="20"/>
                <w:szCs w:val="20"/>
              </w:rPr>
              <w:t>Net-Operating Income:</w:t>
            </w:r>
          </w:p>
        </w:tc>
        <w:tc>
          <w:tcPr>
            <w:tcW w:w="2490" w:type="dxa"/>
            <w:hideMark/>
          </w:tcPr>
          <w:p w:rsidR="00143137" w:rsidRPr="00A16D37" w:rsidRDefault="00143137" w:rsidP="00DD6FF2">
            <w:pPr>
              <w:jc w:val="right"/>
              <w:rPr>
                <w:rFonts w:ascii="Courier New" w:hAnsi="Courier New" w:cs="Courier New"/>
                <w:b/>
                <w:color w:val="333333"/>
                <w:sz w:val="20"/>
                <w:szCs w:val="20"/>
              </w:rPr>
            </w:pPr>
          </w:p>
        </w:tc>
        <w:tc>
          <w:tcPr>
            <w:tcW w:w="2025" w:type="dxa"/>
            <w:hideMark/>
          </w:tcPr>
          <w:p w:rsidR="00143137" w:rsidRPr="00A16D37"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w:t>
            </w:r>
            <w:r w:rsidR="00CD3F94">
              <w:rPr>
                <w:rFonts w:ascii="Courier New" w:hAnsi="Courier New" w:cs="Courier New"/>
                <w:b/>
                <w:color w:val="333333"/>
                <w:sz w:val="20"/>
                <w:szCs w:val="20"/>
              </w:rPr>
              <w:t>1,146,150</w:t>
            </w:r>
          </w:p>
        </w:tc>
      </w:tr>
      <w:tr w:rsidR="00143137" w:rsidRPr="00A706CA" w:rsidTr="00DD6FF2">
        <w:trPr>
          <w:tblCellSpacing w:w="15" w:type="dxa"/>
        </w:trPr>
        <w:tc>
          <w:tcPr>
            <w:tcW w:w="4690" w:type="dxa"/>
            <w:gridSpan w:val="4"/>
          </w:tcPr>
          <w:p w:rsidR="00143137" w:rsidRPr="00A706CA" w:rsidRDefault="00143137" w:rsidP="00DD6FF2">
            <w:pPr>
              <w:rPr>
                <w:rFonts w:ascii="Courier New" w:hAnsi="Courier New" w:cs="Courier New"/>
                <w:color w:val="333333"/>
                <w:sz w:val="20"/>
                <w:szCs w:val="20"/>
              </w:rPr>
            </w:pPr>
          </w:p>
        </w:tc>
        <w:tc>
          <w:tcPr>
            <w:tcW w:w="2490" w:type="dxa"/>
          </w:tcPr>
          <w:p w:rsidR="00143137" w:rsidRPr="00A706CA" w:rsidRDefault="00143137" w:rsidP="00DD6FF2">
            <w:pPr>
              <w:jc w:val="right"/>
              <w:rPr>
                <w:rFonts w:ascii="Courier New" w:hAnsi="Courier New" w:cs="Courier New"/>
                <w:color w:val="333333"/>
                <w:sz w:val="20"/>
                <w:szCs w:val="20"/>
              </w:rPr>
            </w:pPr>
          </w:p>
        </w:tc>
        <w:tc>
          <w:tcPr>
            <w:tcW w:w="2025" w:type="dxa"/>
          </w:tcPr>
          <w:p w:rsidR="00143137" w:rsidRDefault="00143137" w:rsidP="00DD6FF2">
            <w:pPr>
              <w:jc w:val="right"/>
              <w:rPr>
                <w:rFonts w:ascii="Courier New" w:hAnsi="Courier New" w:cs="Courier New"/>
                <w:color w:val="333333"/>
                <w:sz w:val="20"/>
                <w:szCs w:val="20"/>
              </w:rPr>
            </w:pPr>
          </w:p>
        </w:tc>
      </w:tr>
      <w:tr w:rsidR="00143137" w:rsidRPr="00A706CA" w:rsidTr="00DD6FF2">
        <w:trPr>
          <w:tblCellSpacing w:w="15" w:type="dxa"/>
        </w:trPr>
        <w:tc>
          <w:tcPr>
            <w:tcW w:w="4690" w:type="dxa"/>
            <w:gridSpan w:val="4"/>
          </w:tcPr>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Base Rate</w:t>
            </w:r>
          </w:p>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Tax Factor (owner’s share)</w:t>
            </w:r>
          </w:p>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Overall Capitalization Rate</w:t>
            </w:r>
          </w:p>
        </w:tc>
        <w:tc>
          <w:tcPr>
            <w:tcW w:w="2490" w:type="dxa"/>
          </w:tcPr>
          <w:p w:rsidR="00143137" w:rsidRDefault="00143137" w:rsidP="00DD6FF2">
            <w:pPr>
              <w:jc w:val="right"/>
              <w:rPr>
                <w:rFonts w:ascii="Courier New" w:hAnsi="Courier New" w:cs="Courier New"/>
                <w:color w:val="333333"/>
                <w:sz w:val="20"/>
                <w:szCs w:val="20"/>
              </w:rPr>
            </w:pPr>
          </w:p>
          <w:p w:rsidR="00143137" w:rsidRPr="00A706CA" w:rsidRDefault="00CD3F94" w:rsidP="00DD6FF2">
            <w:pPr>
              <w:jc w:val="right"/>
              <w:rPr>
                <w:rFonts w:ascii="Courier New" w:hAnsi="Courier New" w:cs="Courier New"/>
                <w:color w:val="333333"/>
                <w:sz w:val="20"/>
                <w:szCs w:val="20"/>
              </w:rPr>
            </w:pPr>
            <w:r>
              <w:rPr>
                <w:rFonts w:ascii="Courier New" w:hAnsi="Courier New" w:cs="Courier New"/>
                <w:color w:val="333333"/>
                <w:sz w:val="20"/>
                <w:szCs w:val="20"/>
              </w:rPr>
              <w:t>3.061</w:t>
            </w:r>
            <w:r w:rsidR="00143137">
              <w:rPr>
                <w:rFonts w:ascii="Courier New" w:hAnsi="Courier New" w:cs="Courier New"/>
                <w:color w:val="333333"/>
                <w:sz w:val="20"/>
                <w:szCs w:val="20"/>
              </w:rPr>
              <w:t>% * 15%</w:t>
            </w:r>
          </w:p>
        </w:tc>
        <w:tc>
          <w:tcPr>
            <w:tcW w:w="2025" w:type="dxa"/>
          </w:tcPr>
          <w:p w:rsidR="00143137"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10.00%</w:t>
            </w:r>
          </w:p>
          <w:p w:rsidR="00143137"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0.</w:t>
            </w:r>
            <w:r w:rsidR="00CD3F94">
              <w:rPr>
                <w:rFonts w:ascii="Courier New" w:hAnsi="Courier New" w:cs="Courier New"/>
                <w:color w:val="333333"/>
                <w:sz w:val="20"/>
                <w:szCs w:val="20"/>
              </w:rPr>
              <w:t>4592</w:t>
            </w:r>
            <w:r>
              <w:rPr>
                <w:rFonts w:ascii="Courier New" w:hAnsi="Courier New" w:cs="Courier New"/>
                <w:color w:val="333333"/>
                <w:sz w:val="20"/>
                <w:szCs w:val="20"/>
              </w:rPr>
              <w:t>%</w:t>
            </w:r>
          </w:p>
          <w:p w:rsidR="00143137" w:rsidRDefault="00CD3F94" w:rsidP="00DD6FF2">
            <w:pPr>
              <w:jc w:val="right"/>
              <w:rPr>
                <w:rFonts w:ascii="Courier New" w:hAnsi="Courier New" w:cs="Courier New"/>
                <w:color w:val="333333"/>
                <w:sz w:val="20"/>
                <w:szCs w:val="20"/>
              </w:rPr>
            </w:pPr>
            <w:r>
              <w:rPr>
                <w:rFonts w:ascii="Courier New" w:hAnsi="Courier New" w:cs="Courier New"/>
                <w:color w:val="333333"/>
                <w:sz w:val="20"/>
                <w:szCs w:val="20"/>
              </w:rPr>
              <w:t>10.4592</w:t>
            </w:r>
            <w:r w:rsidR="00143137">
              <w:rPr>
                <w:rFonts w:ascii="Courier New" w:hAnsi="Courier New" w:cs="Courier New"/>
                <w:color w:val="333333"/>
                <w:sz w:val="20"/>
                <w:szCs w:val="20"/>
              </w:rPr>
              <w:t>%</w:t>
            </w:r>
          </w:p>
        </w:tc>
      </w:tr>
      <w:tr w:rsidR="00143137" w:rsidRPr="00B6071D" w:rsidTr="00DD6FF2">
        <w:trPr>
          <w:tblCellSpacing w:w="15" w:type="dxa"/>
        </w:trPr>
        <w:tc>
          <w:tcPr>
            <w:tcW w:w="4690" w:type="dxa"/>
            <w:gridSpan w:val="4"/>
          </w:tcPr>
          <w:p w:rsidR="00143137" w:rsidRPr="00B6071D" w:rsidRDefault="00143137" w:rsidP="00DD6FF2">
            <w:pPr>
              <w:rPr>
                <w:rFonts w:ascii="Courier New" w:hAnsi="Courier New" w:cs="Courier New"/>
                <w:b/>
                <w:color w:val="333333"/>
                <w:sz w:val="20"/>
                <w:szCs w:val="20"/>
              </w:rPr>
            </w:pPr>
            <w:r w:rsidRPr="00B6071D">
              <w:rPr>
                <w:rFonts w:ascii="Courier New" w:hAnsi="Courier New" w:cs="Courier New"/>
                <w:b/>
                <w:color w:val="333333"/>
                <w:sz w:val="20"/>
                <w:szCs w:val="20"/>
              </w:rPr>
              <w:t>Capitalized Value</w:t>
            </w:r>
          </w:p>
        </w:tc>
        <w:tc>
          <w:tcPr>
            <w:tcW w:w="2490" w:type="dxa"/>
          </w:tcPr>
          <w:p w:rsidR="00143137" w:rsidRPr="00B6071D" w:rsidRDefault="00143137" w:rsidP="00DD6FF2">
            <w:pPr>
              <w:jc w:val="right"/>
              <w:rPr>
                <w:rFonts w:ascii="Courier New" w:hAnsi="Courier New" w:cs="Courier New"/>
                <w:b/>
                <w:color w:val="333333"/>
                <w:sz w:val="20"/>
                <w:szCs w:val="20"/>
              </w:rPr>
            </w:pPr>
          </w:p>
        </w:tc>
        <w:tc>
          <w:tcPr>
            <w:tcW w:w="2025" w:type="dxa"/>
          </w:tcPr>
          <w:p w:rsidR="00143137" w:rsidRPr="00B6071D"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$1</w:t>
            </w:r>
            <w:r w:rsidR="00CD3F94">
              <w:rPr>
                <w:rFonts w:ascii="Courier New" w:hAnsi="Courier New" w:cs="Courier New"/>
                <w:b/>
                <w:color w:val="333333"/>
                <w:sz w:val="20"/>
                <w:szCs w:val="20"/>
              </w:rPr>
              <w:t>0,958,351</w:t>
            </w:r>
          </w:p>
        </w:tc>
      </w:tr>
      <w:tr w:rsidR="00143137" w:rsidRPr="00A706CA" w:rsidTr="00DD6FF2">
        <w:trPr>
          <w:tblCellSpacing w:w="15" w:type="dxa"/>
        </w:trPr>
        <w:tc>
          <w:tcPr>
            <w:tcW w:w="4690" w:type="dxa"/>
            <w:gridSpan w:val="4"/>
          </w:tcPr>
          <w:p w:rsidR="00143137" w:rsidRDefault="00143137" w:rsidP="00DD6FF2">
            <w:pPr>
              <w:rPr>
                <w:rFonts w:ascii="Courier New" w:hAnsi="Courier New" w:cs="Courier New"/>
                <w:color w:val="333333"/>
                <w:sz w:val="20"/>
                <w:szCs w:val="20"/>
              </w:rPr>
            </w:pPr>
          </w:p>
        </w:tc>
        <w:tc>
          <w:tcPr>
            <w:tcW w:w="2490" w:type="dxa"/>
          </w:tcPr>
          <w:p w:rsidR="00143137" w:rsidRDefault="00143137" w:rsidP="00DD6FF2">
            <w:pPr>
              <w:jc w:val="right"/>
              <w:rPr>
                <w:rFonts w:ascii="Courier New" w:hAnsi="Courier New" w:cs="Courier New"/>
                <w:color w:val="333333"/>
                <w:sz w:val="20"/>
                <w:szCs w:val="20"/>
              </w:rPr>
            </w:pPr>
          </w:p>
        </w:tc>
        <w:tc>
          <w:tcPr>
            <w:tcW w:w="2025" w:type="dxa"/>
          </w:tcPr>
          <w:p w:rsidR="00143137" w:rsidRDefault="00143137" w:rsidP="00DD6FF2">
            <w:pPr>
              <w:jc w:val="right"/>
              <w:rPr>
                <w:rFonts w:ascii="Courier New" w:hAnsi="Courier New" w:cs="Courier New"/>
                <w:color w:val="333333"/>
                <w:sz w:val="20"/>
                <w:szCs w:val="20"/>
              </w:rPr>
            </w:pPr>
          </w:p>
        </w:tc>
      </w:tr>
      <w:tr w:rsidR="00143137" w:rsidRPr="00B6071D" w:rsidTr="00DD6FF2">
        <w:trPr>
          <w:tblCellSpacing w:w="15" w:type="dxa"/>
        </w:trPr>
        <w:tc>
          <w:tcPr>
            <w:tcW w:w="4690" w:type="dxa"/>
            <w:gridSpan w:val="4"/>
          </w:tcPr>
          <w:p w:rsidR="00143137" w:rsidRPr="00B6071D" w:rsidRDefault="00143137" w:rsidP="00DD6FF2">
            <w:pPr>
              <w:rPr>
                <w:rFonts w:ascii="Courier New" w:hAnsi="Courier New" w:cs="Courier New"/>
                <w:b/>
                <w:color w:val="333333"/>
                <w:sz w:val="20"/>
                <w:szCs w:val="20"/>
              </w:rPr>
            </w:pPr>
            <w:r w:rsidRPr="00B6071D">
              <w:rPr>
                <w:rFonts w:ascii="Courier New" w:hAnsi="Courier New" w:cs="Courier New"/>
                <w:b/>
                <w:color w:val="333333"/>
                <w:sz w:val="20"/>
                <w:szCs w:val="20"/>
              </w:rPr>
              <w:t>Rounded Fair Cash Value</w:t>
            </w:r>
          </w:p>
        </w:tc>
        <w:tc>
          <w:tcPr>
            <w:tcW w:w="2490" w:type="dxa"/>
          </w:tcPr>
          <w:p w:rsidR="00143137" w:rsidRPr="00B6071D" w:rsidRDefault="00143137" w:rsidP="00DD6FF2">
            <w:pPr>
              <w:jc w:val="right"/>
              <w:rPr>
                <w:rFonts w:ascii="Courier New" w:hAnsi="Courier New" w:cs="Courier New"/>
                <w:b/>
                <w:color w:val="333333"/>
                <w:sz w:val="20"/>
                <w:szCs w:val="20"/>
              </w:rPr>
            </w:pPr>
          </w:p>
        </w:tc>
        <w:tc>
          <w:tcPr>
            <w:tcW w:w="2025" w:type="dxa"/>
          </w:tcPr>
          <w:p w:rsidR="00143137" w:rsidRPr="00B6071D"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$1</w:t>
            </w:r>
            <w:r w:rsidR="00CD3F94">
              <w:rPr>
                <w:rFonts w:ascii="Courier New" w:hAnsi="Courier New" w:cs="Courier New"/>
                <w:b/>
                <w:color w:val="333333"/>
                <w:sz w:val="20"/>
                <w:szCs w:val="20"/>
              </w:rPr>
              <w:t>0,950,000</w:t>
            </w:r>
          </w:p>
        </w:tc>
      </w:tr>
    </w:tbl>
    <w:p w:rsidR="00143137" w:rsidRDefault="00143137" w:rsidP="00B6071D">
      <w:pPr>
        <w:spacing w:line="480" w:lineRule="auto"/>
        <w:jc w:val="center"/>
        <w:rPr>
          <w:rFonts w:ascii="Courier New" w:hAnsi="Courier New" w:cs="Courier New"/>
          <w:b/>
          <w:color w:val="000000"/>
        </w:rPr>
      </w:pPr>
    </w:p>
    <w:p w:rsidR="00143137" w:rsidRDefault="00143137" w:rsidP="00143137">
      <w:pPr>
        <w:spacing w:line="480" w:lineRule="auto"/>
        <w:jc w:val="center"/>
        <w:rPr>
          <w:rFonts w:ascii="Courier New" w:hAnsi="Courier New" w:cs="Courier New"/>
          <w:b/>
          <w:color w:val="000000"/>
        </w:rPr>
      </w:pPr>
      <w:r>
        <w:rPr>
          <w:rFonts w:ascii="Courier New" w:hAnsi="Courier New" w:cs="Courier New"/>
          <w:b/>
          <w:color w:val="000000"/>
        </w:rPr>
        <w:br w:type="page"/>
      </w:r>
      <w:r>
        <w:rPr>
          <w:rFonts w:ascii="Courier New" w:hAnsi="Courier New" w:cs="Courier New"/>
          <w:b/>
          <w:color w:val="000000"/>
        </w:rPr>
        <w:lastRenderedPageBreak/>
        <w:t>F</w:t>
      </w:r>
      <w:r w:rsidRPr="00B6071D">
        <w:rPr>
          <w:rFonts w:ascii="Courier New" w:hAnsi="Courier New" w:cs="Courier New"/>
          <w:b/>
          <w:color w:val="000000"/>
        </w:rPr>
        <w:t>iscal Year</w:t>
      </w:r>
      <w:r>
        <w:rPr>
          <w:rFonts w:ascii="Courier New" w:hAnsi="Courier New" w:cs="Courier New"/>
          <w:b/>
          <w:color w:val="000000"/>
        </w:rPr>
        <w:t xml:space="preserve"> 2014</w:t>
      </w:r>
    </w:p>
    <w:tbl>
      <w:tblPr>
        <w:tblW w:w="9325"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45"/>
        <w:gridCol w:w="90"/>
        <w:gridCol w:w="180"/>
        <w:gridCol w:w="720"/>
        <w:gridCol w:w="2520"/>
        <w:gridCol w:w="2070"/>
      </w:tblGrid>
      <w:tr w:rsidR="00143137" w:rsidRPr="00BC33F3" w:rsidTr="00DD6FF2">
        <w:trPr>
          <w:tblCellSpacing w:w="15" w:type="dxa"/>
        </w:trPr>
        <w:tc>
          <w:tcPr>
            <w:tcW w:w="3700" w:type="dxa"/>
            <w:hideMark/>
          </w:tcPr>
          <w:p w:rsidR="00143137" w:rsidRPr="00BC33F3" w:rsidRDefault="00143137" w:rsidP="00DD6FF2">
            <w:pPr>
              <w:jc w:val="center"/>
              <w:rPr>
                <w:rFonts w:ascii="Courier New" w:hAnsi="Courier New" w:cs="Courier New"/>
                <w:b/>
                <w:bCs/>
                <w:color w:val="333333"/>
                <w:sz w:val="20"/>
                <w:szCs w:val="20"/>
              </w:rPr>
            </w:pPr>
          </w:p>
        </w:tc>
        <w:tc>
          <w:tcPr>
            <w:tcW w:w="240" w:type="dxa"/>
            <w:gridSpan w:val="2"/>
            <w:hideMark/>
          </w:tcPr>
          <w:p w:rsidR="00143137" w:rsidRPr="00BC33F3" w:rsidRDefault="00143137" w:rsidP="00DD6FF2">
            <w:pPr>
              <w:jc w:val="center"/>
              <w:rPr>
                <w:rFonts w:ascii="Courier New" w:hAnsi="Courier New" w:cs="Courier New"/>
                <w:sz w:val="20"/>
                <w:szCs w:val="20"/>
              </w:rPr>
            </w:pPr>
          </w:p>
        </w:tc>
        <w:tc>
          <w:tcPr>
            <w:tcW w:w="3210" w:type="dxa"/>
            <w:gridSpan w:val="2"/>
          </w:tcPr>
          <w:p w:rsidR="00143137" w:rsidRPr="00BC33F3" w:rsidRDefault="00143137" w:rsidP="00DD6FF2">
            <w:pPr>
              <w:jc w:val="center"/>
              <w:rPr>
                <w:rFonts w:ascii="Courier New" w:hAnsi="Courier New" w:cs="Courier New"/>
                <w:b/>
                <w:sz w:val="20"/>
                <w:szCs w:val="20"/>
              </w:rPr>
            </w:pPr>
          </w:p>
        </w:tc>
        <w:tc>
          <w:tcPr>
            <w:tcW w:w="2025" w:type="dxa"/>
            <w:hideMark/>
          </w:tcPr>
          <w:p w:rsidR="00143137" w:rsidRPr="00BC33F3" w:rsidRDefault="00143137" w:rsidP="00DD6FF2">
            <w:pPr>
              <w:jc w:val="center"/>
              <w:rPr>
                <w:rFonts w:ascii="Courier New" w:hAnsi="Courier New" w:cs="Courier New"/>
                <w:b/>
                <w:sz w:val="20"/>
                <w:szCs w:val="20"/>
              </w:rPr>
            </w:pPr>
          </w:p>
        </w:tc>
      </w:tr>
      <w:tr w:rsidR="00143137" w:rsidRPr="00A706CA" w:rsidTr="00DD6FF2">
        <w:trPr>
          <w:tblCellSpacing w:w="15" w:type="dxa"/>
        </w:trPr>
        <w:tc>
          <w:tcPr>
            <w:tcW w:w="3700" w:type="dxa"/>
            <w:hideMark/>
          </w:tcPr>
          <w:p w:rsidR="00143137" w:rsidRPr="00A706CA" w:rsidRDefault="00143137" w:rsidP="00DD6FF2">
            <w:pPr>
              <w:rPr>
                <w:rFonts w:ascii="Courier New" w:hAnsi="Courier New" w:cs="Courier New"/>
                <w:b/>
                <w:bCs/>
                <w:color w:val="333333"/>
                <w:sz w:val="20"/>
                <w:szCs w:val="20"/>
              </w:rPr>
            </w:pPr>
            <w:r w:rsidRPr="00A706CA">
              <w:rPr>
                <w:rFonts w:ascii="Courier New" w:hAnsi="Courier New" w:cs="Courier New"/>
                <w:b/>
                <w:bCs/>
                <w:color w:val="333333"/>
                <w:sz w:val="20"/>
                <w:szCs w:val="20"/>
              </w:rPr>
              <w:t>INCOME</w:t>
            </w:r>
          </w:p>
        </w:tc>
        <w:tc>
          <w:tcPr>
            <w:tcW w:w="240" w:type="dxa"/>
            <w:gridSpan w:val="2"/>
            <w:hideMark/>
          </w:tcPr>
          <w:p w:rsidR="00143137" w:rsidRPr="00A706CA" w:rsidRDefault="00143137" w:rsidP="00DD6FF2">
            <w:pPr>
              <w:jc w:val="center"/>
              <w:rPr>
                <w:rFonts w:ascii="Courier New" w:hAnsi="Courier New" w:cs="Courier New"/>
                <w:b/>
                <w:bCs/>
                <w:color w:val="333333"/>
                <w:sz w:val="20"/>
                <w:szCs w:val="20"/>
              </w:rPr>
            </w:pPr>
          </w:p>
        </w:tc>
        <w:tc>
          <w:tcPr>
            <w:tcW w:w="3210" w:type="dxa"/>
            <w:gridSpan w:val="2"/>
          </w:tcPr>
          <w:p w:rsidR="00143137" w:rsidRPr="00A706CA" w:rsidRDefault="00143137" w:rsidP="00DD6FF2">
            <w:pPr>
              <w:jc w:val="center"/>
              <w:rPr>
                <w:rFonts w:ascii="Courier New" w:hAnsi="Courier New" w:cs="Courier New"/>
                <w:b/>
                <w:bCs/>
                <w:color w:val="333333"/>
                <w:sz w:val="20"/>
                <w:szCs w:val="20"/>
              </w:rPr>
            </w:pPr>
          </w:p>
        </w:tc>
        <w:tc>
          <w:tcPr>
            <w:tcW w:w="2025" w:type="dxa"/>
            <w:hideMark/>
          </w:tcPr>
          <w:p w:rsidR="00143137" w:rsidRPr="00A706CA" w:rsidRDefault="00143137" w:rsidP="00DD6FF2">
            <w:pPr>
              <w:rPr>
                <w:rFonts w:ascii="Courier New" w:hAnsi="Courier New" w:cs="Courier New"/>
                <w:b/>
                <w:bCs/>
                <w:color w:val="333333"/>
                <w:sz w:val="20"/>
                <w:szCs w:val="20"/>
              </w:rPr>
            </w:pP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bCs/>
                <w:color w:val="333333"/>
                <w:sz w:val="20"/>
                <w:szCs w:val="20"/>
              </w:rPr>
            </w:pPr>
            <w:r w:rsidRPr="00A706CA">
              <w:rPr>
                <w:rFonts w:ascii="Courier New" w:hAnsi="Courier New" w:cs="Courier New"/>
                <w:bCs/>
                <w:color w:val="333333"/>
                <w:sz w:val="20"/>
                <w:szCs w:val="20"/>
              </w:rPr>
              <w:t>Building area</w:t>
            </w:r>
          </w:p>
        </w:tc>
        <w:tc>
          <w:tcPr>
            <w:tcW w:w="240" w:type="dxa"/>
            <w:gridSpan w:val="2"/>
          </w:tcPr>
          <w:p w:rsidR="00143137" w:rsidRPr="00A706CA" w:rsidRDefault="00143137" w:rsidP="00DD6FF2">
            <w:pPr>
              <w:jc w:val="center"/>
              <w:rPr>
                <w:rFonts w:ascii="Courier New" w:hAnsi="Courier New" w:cs="Courier New"/>
                <w:bCs/>
                <w:color w:val="333333"/>
                <w:sz w:val="20"/>
                <w:szCs w:val="20"/>
              </w:rPr>
            </w:pPr>
          </w:p>
        </w:tc>
        <w:tc>
          <w:tcPr>
            <w:tcW w:w="3210" w:type="dxa"/>
            <w:gridSpan w:val="2"/>
          </w:tcPr>
          <w:p w:rsidR="00143137" w:rsidRPr="00A706CA" w:rsidRDefault="00143137" w:rsidP="00DD6FF2">
            <w:pPr>
              <w:jc w:val="right"/>
              <w:rPr>
                <w:rFonts w:ascii="Courier New" w:hAnsi="Courier New" w:cs="Courier New"/>
                <w:b/>
                <w:bCs/>
                <w:color w:val="333333"/>
                <w:sz w:val="20"/>
                <w:szCs w:val="20"/>
              </w:rPr>
            </w:pPr>
            <w:r>
              <w:rPr>
                <w:rFonts w:ascii="Courier New" w:hAnsi="Courier New" w:cs="Courier New"/>
                <w:bCs/>
                <w:color w:val="333333"/>
                <w:sz w:val="20"/>
                <w:szCs w:val="20"/>
              </w:rPr>
              <w:t>124,825 sf</w:t>
            </w:r>
          </w:p>
        </w:tc>
        <w:tc>
          <w:tcPr>
            <w:tcW w:w="2025" w:type="dxa"/>
          </w:tcPr>
          <w:p w:rsidR="00143137" w:rsidRPr="00A706CA" w:rsidRDefault="00143137" w:rsidP="00DD6FF2">
            <w:pPr>
              <w:jc w:val="right"/>
              <w:rPr>
                <w:rFonts w:ascii="Courier New" w:hAnsi="Courier New" w:cs="Courier New"/>
                <w:b/>
                <w:bCs/>
                <w:color w:val="333333"/>
                <w:sz w:val="20"/>
                <w:szCs w:val="20"/>
              </w:rPr>
            </w:pPr>
          </w:p>
        </w:tc>
      </w:tr>
      <w:tr w:rsidR="00143137" w:rsidRPr="00A706CA" w:rsidTr="00DD6FF2">
        <w:trPr>
          <w:tblCellSpacing w:w="15" w:type="dxa"/>
        </w:trPr>
        <w:tc>
          <w:tcPr>
            <w:tcW w:w="3700" w:type="dxa"/>
            <w:hideMark/>
          </w:tcPr>
          <w:p w:rsidR="00143137" w:rsidRPr="00A706CA" w:rsidRDefault="00054B7B" w:rsidP="00DD6FF2">
            <w:pPr>
              <w:rPr>
                <w:rFonts w:ascii="Courier New" w:hAnsi="Courier New" w:cs="Courier New"/>
                <w:color w:val="333333"/>
                <w:sz w:val="20"/>
                <w:szCs w:val="20"/>
              </w:rPr>
            </w:pPr>
            <w:r>
              <w:rPr>
                <w:rFonts w:ascii="Courier New" w:hAnsi="Courier New" w:cs="Courier New"/>
                <w:color w:val="333333"/>
                <w:sz w:val="20"/>
                <w:szCs w:val="20"/>
              </w:rPr>
              <w:t>7</w:t>
            </w:r>
            <w:r w:rsidR="00143137" w:rsidRPr="00A706CA">
              <w:rPr>
                <w:rFonts w:ascii="Courier New" w:hAnsi="Courier New" w:cs="Courier New"/>
                <w:color w:val="333333"/>
                <w:sz w:val="20"/>
                <w:szCs w:val="20"/>
              </w:rPr>
              <w:t>Market Rent</w:t>
            </w:r>
            <w:r w:rsidR="00143137">
              <w:rPr>
                <w:rFonts w:ascii="Courier New" w:hAnsi="Courier New" w:cs="Courier New"/>
                <w:color w:val="333333"/>
                <w:sz w:val="20"/>
                <w:szCs w:val="20"/>
              </w:rPr>
              <w:t xml:space="preserve"> (psf)</w:t>
            </w:r>
          </w:p>
        </w:tc>
        <w:tc>
          <w:tcPr>
            <w:tcW w:w="3480" w:type="dxa"/>
            <w:gridSpan w:val="4"/>
          </w:tcPr>
          <w:p w:rsidR="00143137" w:rsidRPr="00A706CA"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$13.00 psf</w:t>
            </w:r>
          </w:p>
        </w:tc>
        <w:tc>
          <w:tcPr>
            <w:tcW w:w="2025" w:type="dxa"/>
            <w:hideMark/>
          </w:tcPr>
          <w:p w:rsidR="00143137" w:rsidRPr="00A706CA"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$1,622,725</w:t>
            </w: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Reimbursement Income</w:t>
            </w:r>
          </w:p>
        </w:tc>
        <w:tc>
          <w:tcPr>
            <w:tcW w:w="3480" w:type="dxa"/>
            <w:gridSpan w:val="4"/>
          </w:tcPr>
          <w:p w:rsidR="00143137" w:rsidRPr="00A706CA" w:rsidRDefault="00143137" w:rsidP="00DD6FF2">
            <w:pPr>
              <w:jc w:val="right"/>
              <w:rPr>
                <w:rFonts w:ascii="Courier New" w:hAnsi="Courier New" w:cs="Courier New"/>
                <w:color w:val="333333"/>
                <w:sz w:val="20"/>
                <w:szCs w:val="20"/>
              </w:rPr>
            </w:pPr>
          </w:p>
        </w:tc>
        <w:tc>
          <w:tcPr>
            <w:tcW w:w="2025" w:type="dxa"/>
          </w:tcPr>
          <w:p w:rsidR="00143137" w:rsidRDefault="008255EF" w:rsidP="00DD6FF2">
            <w:pPr>
              <w:jc w:val="right"/>
              <w:rPr>
                <w:rFonts w:ascii="Courier New" w:hAnsi="Courier New" w:cs="Courier New"/>
                <w:color w:val="333333"/>
                <w:sz w:val="20"/>
                <w:szCs w:val="20"/>
              </w:rPr>
            </w:pPr>
            <w:r>
              <w:rPr>
                <w:rFonts w:ascii="Courier New" w:hAnsi="Courier New" w:cs="Courier New"/>
                <w:color w:val="333333"/>
                <w:sz w:val="20"/>
                <w:szCs w:val="20"/>
              </w:rPr>
              <w:t>$  298,332</w:t>
            </w:r>
          </w:p>
        </w:tc>
      </w:tr>
      <w:tr w:rsidR="00143137" w:rsidRPr="00A706CA" w:rsidTr="00DD6FF2">
        <w:trPr>
          <w:tblCellSpacing w:w="15" w:type="dxa"/>
        </w:trPr>
        <w:tc>
          <w:tcPr>
            <w:tcW w:w="3700" w:type="dxa"/>
          </w:tcPr>
          <w:p w:rsidR="00143137" w:rsidRPr="00143137" w:rsidRDefault="00143137" w:rsidP="00DD6FF2">
            <w:pPr>
              <w:rPr>
                <w:rFonts w:ascii="Courier New" w:hAnsi="Courier New" w:cs="Courier New"/>
                <w:b/>
                <w:color w:val="333333"/>
                <w:sz w:val="20"/>
                <w:szCs w:val="20"/>
              </w:rPr>
            </w:pPr>
            <w:r>
              <w:rPr>
                <w:rFonts w:ascii="Courier New" w:hAnsi="Courier New" w:cs="Courier New"/>
                <w:b/>
                <w:color w:val="333333"/>
                <w:sz w:val="20"/>
                <w:szCs w:val="20"/>
              </w:rPr>
              <w:t>Potential Gross Income</w:t>
            </w:r>
          </w:p>
        </w:tc>
        <w:tc>
          <w:tcPr>
            <w:tcW w:w="60" w:type="dxa"/>
          </w:tcPr>
          <w:p w:rsidR="00143137" w:rsidRPr="000B376B" w:rsidRDefault="00143137" w:rsidP="00DD6FF2">
            <w:pPr>
              <w:jc w:val="right"/>
              <w:rPr>
                <w:rFonts w:ascii="Courier New" w:hAnsi="Courier New" w:cs="Courier New"/>
                <w:b/>
                <w:color w:val="333333"/>
                <w:sz w:val="20"/>
                <w:szCs w:val="20"/>
              </w:rPr>
            </w:pPr>
          </w:p>
        </w:tc>
        <w:tc>
          <w:tcPr>
            <w:tcW w:w="3390" w:type="dxa"/>
            <w:gridSpan w:val="3"/>
          </w:tcPr>
          <w:p w:rsidR="00143137" w:rsidRPr="000B376B" w:rsidRDefault="00143137" w:rsidP="00DD6FF2">
            <w:pPr>
              <w:jc w:val="right"/>
              <w:rPr>
                <w:rFonts w:ascii="Courier New" w:hAnsi="Courier New" w:cs="Courier New"/>
                <w:b/>
                <w:color w:val="333333"/>
                <w:sz w:val="20"/>
                <w:szCs w:val="20"/>
              </w:rPr>
            </w:pPr>
          </w:p>
        </w:tc>
        <w:tc>
          <w:tcPr>
            <w:tcW w:w="2025" w:type="dxa"/>
          </w:tcPr>
          <w:p w:rsidR="00143137" w:rsidRPr="00143137" w:rsidRDefault="00143137" w:rsidP="00DD6FF2">
            <w:pPr>
              <w:jc w:val="right"/>
              <w:rPr>
                <w:rFonts w:ascii="Courier New" w:hAnsi="Courier New" w:cs="Courier New"/>
                <w:b/>
                <w:color w:val="333333"/>
                <w:sz w:val="20"/>
                <w:szCs w:val="20"/>
              </w:rPr>
            </w:pPr>
            <w:r w:rsidRPr="00143137">
              <w:rPr>
                <w:rFonts w:ascii="Courier New" w:hAnsi="Courier New" w:cs="Courier New"/>
                <w:b/>
                <w:color w:val="333333"/>
                <w:sz w:val="20"/>
                <w:szCs w:val="20"/>
              </w:rPr>
              <w:t>$1,</w:t>
            </w:r>
            <w:r w:rsidR="00CD3F94">
              <w:rPr>
                <w:rFonts w:ascii="Courier New" w:hAnsi="Courier New" w:cs="Courier New"/>
                <w:b/>
                <w:color w:val="333333"/>
                <w:sz w:val="20"/>
                <w:szCs w:val="20"/>
              </w:rPr>
              <w:t>921,057</w:t>
            </w: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Less Vacancy</w:t>
            </w:r>
          </w:p>
        </w:tc>
        <w:tc>
          <w:tcPr>
            <w:tcW w:w="60" w:type="dxa"/>
          </w:tcPr>
          <w:p w:rsidR="00143137" w:rsidRPr="00A706CA" w:rsidRDefault="00143137" w:rsidP="00DD6FF2">
            <w:pPr>
              <w:jc w:val="right"/>
              <w:rPr>
                <w:rFonts w:ascii="Courier New" w:hAnsi="Courier New" w:cs="Courier New"/>
                <w:color w:val="333333"/>
                <w:sz w:val="20"/>
                <w:szCs w:val="20"/>
              </w:rPr>
            </w:pPr>
          </w:p>
        </w:tc>
        <w:tc>
          <w:tcPr>
            <w:tcW w:w="3390" w:type="dxa"/>
            <w:gridSpan w:val="3"/>
          </w:tcPr>
          <w:p w:rsidR="00143137" w:rsidRPr="00A706CA"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15%</w:t>
            </w:r>
          </w:p>
        </w:tc>
        <w:tc>
          <w:tcPr>
            <w:tcW w:w="2025" w:type="dxa"/>
          </w:tcPr>
          <w:p w:rsidR="00143137"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w:t>
            </w:r>
            <w:r w:rsidR="00CD3F94">
              <w:rPr>
                <w:rFonts w:ascii="Courier New" w:hAnsi="Courier New" w:cs="Courier New"/>
                <w:color w:val="333333"/>
                <w:sz w:val="20"/>
                <w:szCs w:val="20"/>
              </w:rPr>
              <w:t>$288,159</w:t>
            </w:r>
            <w:r>
              <w:rPr>
                <w:rFonts w:ascii="Courier New" w:hAnsi="Courier New" w:cs="Courier New"/>
                <w:color w:val="333333"/>
                <w:sz w:val="20"/>
                <w:szCs w:val="20"/>
              </w:rPr>
              <w:t>)</w:t>
            </w:r>
          </w:p>
        </w:tc>
      </w:tr>
      <w:tr w:rsidR="00143137" w:rsidRPr="00A16D37" w:rsidTr="00DD6FF2">
        <w:trPr>
          <w:tblCellSpacing w:w="15" w:type="dxa"/>
        </w:trPr>
        <w:tc>
          <w:tcPr>
            <w:tcW w:w="3700" w:type="dxa"/>
          </w:tcPr>
          <w:p w:rsidR="00143137" w:rsidRPr="006E22DC" w:rsidRDefault="00143137" w:rsidP="00DD6FF2">
            <w:pPr>
              <w:rPr>
                <w:rFonts w:ascii="Courier New" w:hAnsi="Courier New" w:cs="Courier New"/>
                <w:b/>
                <w:color w:val="333333"/>
                <w:sz w:val="20"/>
                <w:szCs w:val="20"/>
              </w:rPr>
            </w:pPr>
            <w:r w:rsidRPr="006E22DC">
              <w:rPr>
                <w:rFonts w:ascii="Courier New" w:hAnsi="Courier New" w:cs="Courier New"/>
                <w:b/>
                <w:color w:val="333333"/>
                <w:sz w:val="20"/>
                <w:szCs w:val="20"/>
              </w:rPr>
              <w:t>Effective Gross Income</w:t>
            </w:r>
            <w:r>
              <w:rPr>
                <w:rFonts w:ascii="Courier New" w:hAnsi="Courier New" w:cs="Courier New"/>
                <w:b/>
                <w:color w:val="333333"/>
                <w:sz w:val="20"/>
                <w:szCs w:val="20"/>
              </w:rPr>
              <w:t xml:space="preserve"> (“EGI”)</w:t>
            </w:r>
          </w:p>
        </w:tc>
        <w:tc>
          <w:tcPr>
            <w:tcW w:w="60" w:type="dxa"/>
          </w:tcPr>
          <w:p w:rsidR="00143137" w:rsidRPr="00A16D37" w:rsidRDefault="00143137" w:rsidP="00DD6FF2">
            <w:pPr>
              <w:jc w:val="right"/>
              <w:rPr>
                <w:rFonts w:ascii="Courier New" w:hAnsi="Courier New" w:cs="Courier New"/>
                <w:b/>
                <w:color w:val="333333"/>
                <w:sz w:val="20"/>
                <w:szCs w:val="20"/>
              </w:rPr>
            </w:pPr>
          </w:p>
        </w:tc>
        <w:tc>
          <w:tcPr>
            <w:tcW w:w="3390" w:type="dxa"/>
            <w:gridSpan w:val="3"/>
          </w:tcPr>
          <w:p w:rsidR="00143137" w:rsidRPr="00A16D37" w:rsidRDefault="00143137" w:rsidP="00DD6FF2">
            <w:pPr>
              <w:jc w:val="right"/>
              <w:rPr>
                <w:rFonts w:ascii="Courier New" w:hAnsi="Courier New" w:cs="Courier New"/>
                <w:b/>
                <w:color w:val="333333"/>
                <w:sz w:val="20"/>
                <w:szCs w:val="20"/>
              </w:rPr>
            </w:pPr>
          </w:p>
        </w:tc>
        <w:tc>
          <w:tcPr>
            <w:tcW w:w="2025" w:type="dxa"/>
          </w:tcPr>
          <w:p w:rsidR="00143137" w:rsidRPr="00A16D37"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$1,</w:t>
            </w:r>
            <w:r w:rsidR="00C805A0">
              <w:rPr>
                <w:rFonts w:ascii="Courier New" w:hAnsi="Courier New" w:cs="Courier New"/>
                <w:b/>
                <w:color w:val="333333"/>
                <w:sz w:val="20"/>
                <w:szCs w:val="20"/>
              </w:rPr>
              <w:t>632,</w:t>
            </w:r>
            <w:r w:rsidR="00CD3F94">
              <w:rPr>
                <w:rFonts w:ascii="Courier New" w:hAnsi="Courier New" w:cs="Courier New"/>
                <w:b/>
                <w:color w:val="333333"/>
                <w:sz w:val="20"/>
                <w:szCs w:val="20"/>
              </w:rPr>
              <w:t>898</w:t>
            </w:r>
          </w:p>
        </w:tc>
      </w:tr>
      <w:tr w:rsidR="00143137" w:rsidRPr="00A706CA" w:rsidTr="00DD6FF2">
        <w:trPr>
          <w:tblCellSpacing w:w="15" w:type="dxa"/>
        </w:trPr>
        <w:tc>
          <w:tcPr>
            <w:tcW w:w="3700" w:type="dxa"/>
          </w:tcPr>
          <w:p w:rsidR="00143137" w:rsidRPr="00A706CA" w:rsidRDefault="00143137" w:rsidP="00DD6FF2">
            <w:pPr>
              <w:rPr>
                <w:rFonts w:ascii="Courier New" w:hAnsi="Courier New" w:cs="Courier New"/>
                <w:color w:val="333333"/>
                <w:sz w:val="20"/>
                <w:szCs w:val="20"/>
              </w:rPr>
            </w:pPr>
          </w:p>
        </w:tc>
        <w:tc>
          <w:tcPr>
            <w:tcW w:w="60" w:type="dxa"/>
          </w:tcPr>
          <w:p w:rsidR="00143137" w:rsidRPr="00A706CA" w:rsidRDefault="00143137" w:rsidP="00DD6FF2">
            <w:pPr>
              <w:rPr>
                <w:rFonts w:ascii="Courier New" w:hAnsi="Courier New" w:cs="Courier New"/>
                <w:sz w:val="20"/>
                <w:szCs w:val="20"/>
              </w:rPr>
            </w:pPr>
          </w:p>
        </w:tc>
        <w:tc>
          <w:tcPr>
            <w:tcW w:w="3390" w:type="dxa"/>
            <w:gridSpan w:val="3"/>
          </w:tcPr>
          <w:p w:rsidR="00143137" w:rsidRPr="00A706CA" w:rsidRDefault="00143137" w:rsidP="00DD6FF2">
            <w:pPr>
              <w:rPr>
                <w:rFonts w:ascii="Courier New" w:hAnsi="Courier New" w:cs="Courier New"/>
                <w:sz w:val="20"/>
                <w:szCs w:val="20"/>
              </w:rPr>
            </w:pPr>
          </w:p>
        </w:tc>
        <w:tc>
          <w:tcPr>
            <w:tcW w:w="2025" w:type="dxa"/>
          </w:tcPr>
          <w:p w:rsidR="00143137" w:rsidRPr="00A706CA" w:rsidRDefault="00143137" w:rsidP="00DD6FF2">
            <w:pPr>
              <w:rPr>
                <w:rFonts w:ascii="Courier New" w:hAnsi="Courier New" w:cs="Courier New"/>
                <w:sz w:val="20"/>
                <w:szCs w:val="20"/>
              </w:rPr>
            </w:pPr>
          </w:p>
        </w:tc>
      </w:tr>
      <w:tr w:rsidR="00143137" w:rsidRPr="00A706CA" w:rsidTr="00DD6FF2">
        <w:trPr>
          <w:tblCellSpacing w:w="15" w:type="dxa"/>
        </w:trPr>
        <w:tc>
          <w:tcPr>
            <w:tcW w:w="7210" w:type="dxa"/>
            <w:gridSpan w:val="5"/>
          </w:tcPr>
          <w:p w:rsidR="00143137" w:rsidRPr="006E22DC" w:rsidRDefault="00143137" w:rsidP="00DD6FF2">
            <w:pPr>
              <w:rPr>
                <w:rFonts w:ascii="Courier New" w:hAnsi="Courier New" w:cs="Courier New"/>
                <w:b/>
                <w:color w:val="333333"/>
                <w:sz w:val="20"/>
                <w:szCs w:val="20"/>
              </w:rPr>
            </w:pPr>
            <w:r>
              <w:rPr>
                <w:rFonts w:ascii="Courier New" w:hAnsi="Courier New" w:cs="Courier New"/>
                <w:b/>
                <w:color w:val="333333"/>
                <w:sz w:val="20"/>
                <w:szCs w:val="20"/>
              </w:rPr>
              <w:t>EXPENSES</w:t>
            </w:r>
          </w:p>
        </w:tc>
        <w:tc>
          <w:tcPr>
            <w:tcW w:w="2025" w:type="dxa"/>
          </w:tcPr>
          <w:p w:rsidR="00143137" w:rsidRPr="00A706CA" w:rsidRDefault="00143137" w:rsidP="00DD6FF2">
            <w:pPr>
              <w:jc w:val="right"/>
              <w:rPr>
                <w:rFonts w:ascii="Courier New" w:hAnsi="Courier New" w:cs="Courier New"/>
                <w:color w:val="333333"/>
                <w:sz w:val="20"/>
                <w:szCs w:val="20"/>
              </w:rPr>
            </w:pPr>
          </w:p>
        </w:tc>
      </w:tr>
      <w:tr w:rsidR="008255EF" w:rsidRPr="00A706CA" w:rsidTr="00DD6FF2">
        <w:trPr>
          <w:tblCellSpacing w:w="15" w:type="dxa"/>
        </w:trPr>
        <w:tc>
          <w:tcPr>
            <w:tcW w:w="7210" w:type="dxa"/>
            <w:gridSpan w:val="5"/>
          </w:tcPr>
          <w:p w:rsidR="008255EF" w:rsidRPr="00F55F0B" w:rsidRDefault="008255EF" w:rsidP="00DD6FF2">
            <w:pPr>
              <w:rPr>
                <w:rFonts w:ascii="Courier New" w:hAnsi="Courier New" w:cs="Courier New"/>
                <w:color w:val="333333"/>
                <w:sz w:val="20"/>
                <w:szCs w:val="20"/>
              </w:rPr>
            </w:pPr>
            <w:r w:rsidRPr="00F55F0B">
              <w:rPr>
                <w:rFonts w:ascii="Courier New" w:hAnsi="Courier New" w:cs="Courier New"/>
                <w:color w:val="333333"/>
                <w:sz w:val="20"/>
                <w:szCs w:val="20"/>
              </w:rPr>
              <w:t xml:space="preserve">  Reimbursable expenses</w:t>
            </w:r>
          </w:p>
        </w:tc>
        <w:tc>
          <w:tcPr>
            <w:tcW w:w="2025" w:type="dxa"/>
          </w:tcPr>
          <w:p w:rsidR="008255EF" w:rsidRPr="00A706CA" w:rsidRDefault="008255EF" w:rsidP="00DD6FF2">
            <w:pPr>
              <w:jc w:val="right"/>
              <w:rPr>
                <w:rFonts w:ascii="Courier New" w:hAnsi="Courier New" w:cs="Courier New"/>
                <w:color w:val="333333"/>
                <w:sz w:val="20"/>
                <w:szCs w:val="20"/>
              </w:rPr>
            </w:pPr>
          </w:p>
        </w:tc>
      </w:tr>
      <w:tr w:rsidR="008255EF" w:rsidRPr="00A706CA" w:rsidTr="00DD6FF2">
        <w:trPr>
          <w:tblCellSpacing w:w="15" w:type="dxa"/>
        </w:trPr>
        <w:tc>
          <w:tcPr>
            <w:tcW w:w="7210" w:type="dxa"/>
            <w:gridSpan w:val="5"/>
          </w:tcPr>
          <w:p w:rsidR="008255EF" w:rsidRPr="008255EF" w:rsidRDefault="008255EF" w:rsidP="00DD6FF2">
            <w:pPr>
              <w:rPr>
                <w:rFonts w:ascii="Courier New" w:hAnsi="Courier New" w:cs="Courier New"/>
                <w:color w:val="333333"/>
                <w:sz w:val="20"/>
                <w:szCs w:val="20"/>
              </w:rPr>
            </w:pPr>
            <w:r>
              <w:rPr>
                <w:rFonts w:ascii="Courier New" w:hAnsi="Courier New" w:cs="Courier New"/>
                <w:b/>
                <w:color w:val="333333"/>
                <w:sz w:val="20"/>
                <w:szCs w:val="20"/>
              </w:rPr>
              <w:t xml:space="preserve">    </w:t>
            </w:r>
            <w:r>
              <w:rPr>
                <w:rFonts w:ascii="Courier New" w:hAnsi="Courier New" w:cs="Courier New"/>
                <w:color w:val="333333"/>
                <w:sz w:val="20"/>
                <w:szCs w:val="20"/>
              </w:rPr>
              <w:t>Operating expenses                            $2.17 psf</w:t>
            </w:r>
          </w:p>
        </w:tc>
        <w:tc>
          <w:tcPr>
            <w:tcW w:w="2025" w:type="dxa"/>
          </w:tcPr>
          <w:p w:rsidR="008255EF" w:rsidRPr="00A706CA" w:rsidRDefault="008255EF" w:rsidP="00DD6FF2">
            <w:pPr>
              <w:jc w:val="right"/>
              <w:rPr>
                <w:rFonts w:ascii="Courier New" w:hAnsi="Courier New" w:cs="Courier New"/>
                <w:color w:val="333333"/>
                <w:sz w:val="20"/>
                <w:szCs w:val="20"/>
              </w:rPr>
            </w:pPr>
            <w:r>
              <w:rPr>
                <w:rFonts w:ascii="Courier New" w:hAnsi="Courier New" w:cs="Courier New"/>
                <w:color w:val="333333"/>
                <w:sz w:val="20"/>
                <w:szCs w:val="20"/>
              </w:rPr>
              <w:t>$  270,870</w:t>
            </w:r>
          </w:p>
        </w:tc>
      </w:tr>
      <w:tr w:rsidR="008255EF" w:rsidRPr="00A706CA" w:rsidTr="00DD6FF2">
        <w:trPr>
          <w:tblCellSpacing w:w="15" w:type="dxa"/>
        </w:trPr>
        <w:tc>
          <w:tcPr>
            <w:tcW w:w="7210" w:type="dxa"/>
            <w:gridSpan w:val="5"/>
          </w:tcPr>
          <w:p w:rsidR="008255EF" w:rsidRPr="008255EF" w:rsidRDefault="008255EF" w:rsidP="00DD6FF2">
            <w:pPr>
              <w:rPr>
                <w:rFonts w:ascii="Courier New" w:hAnsi="Courier New" w:cs="Courier New"/>
                <w:color w:val="333333"/>
                <w:sz w:val="20"/>
                <w:szCs w:val="20"/>
              </w:rPr>
            </w:pPr>
            <w:r>
              <w:rPr>
                <w:rFonts w:ascii="Courier New" w:hAnsi="Courier New" w:cs="Courier New"/>
                <w:b/>
                <w:color w:val="333333"/>
                <w:sz w:val="20"/>
                <w:szCs w:val="20"/>
              </w:rPr>
              <w:t xml:space="preserve">    </w:t>
            </w:r>
            <w:r>
              <w:rPr>
                <w:rFonts w:ascii="Courier New" w:hAnsi="Courier New" w:cs="Courier New"/>
                <w:color w:val="333333"/>
                <w:sz w:val="20"/>
                <w:szCs w:val="20"/>
              </w:rPr>
              <w:t>Insurance                                     $0.22 psf</w:t>
            </w:r>
          </w:p>
        </w:tc>
        <w:tc>
          <w:tcPr>
            <w:tcW w:w="2025" w:type="dxa"/>
          </w:tcPr>
          <w:p w:rsidR="008255EF" w:rsidRDefault="008255EF" w:rsidP="00DD6FF2">
            <w:pPr>
              <w:jc w:val="right"/>
              <w:rPr>
                <w:rFonts w:ascii="Courier New" w:hAnsi="Courier New" w:cs="Courier New"/>
                <w:color w:val="333333"/>
                <w:sz w:val="20"/>
                <w:szCs w:val="20"/>
              </w:rPr>
            </w:pPr>
            <w:r>
              <w:rPr>
                <w:rFonts w:ascii="Courier New" w:hAnsi="Courier New" w:cs="Courier New"/>
                <w:color w:val="333333"/>
                <w:sz w:val="20"/>
                <w:szCs w:val="20"/>
              </w:rPr>
              <w:t>$   27,462</w:t>
            </w:r>
          </w:p>
        </w:tc>
      </w:tr>
      <w:tr w:rsidR="008255EF" w:rsidRPr="00A706CA" w:rsidTr="00DD6FF2">
        <w:trPr>
          <w:tblCellSpacing w:w="15" w:type="dxa"/>
        </w:trPr>
        <w:tc>
          <w:tcPr>
            <w:tcW w:w="7210" w:type="dxa"/>
            <w:gridSpan w:val="5"/>
          </w:tcPr>
          <w:p w:rsidR="008255EF" w:rsidRPr="00F55F0B" w:rsidRDefault="008255EF" w:rsidP="00DD6FF2">
            <w:pPr>
              <w:rPr>
                <w:rFonts w:ascii="Courier New" w:hAnsi="Courier New" w:cs="Courier New"/>
                <w:color w:val="333333"/>
                <w:sz w:val="20"/>
                <w:szCs w:val="20"/>
              </w:rPr>
            </w:pPr>
            <w:r w:rsidRPr="00F55F0B">
              <w:rPr>
                <w:rFonts w:ascii="Courier New" w:hAnsi="Courier New" w:cs="Courier New"/>
                <w:color w:val="333333"/>
                <w:sz w:val="20"/>
                <w:szCs w:val="20"/>
              </w:rPr>
              <w:t xml:space="preserve">  Non-Reimbursable expenses</w:t>
            </w:r>
          </w:p>
        </w:tc>
        <w:tc>
          <w:tcPr>
            <w:tcW w:w="2025" w:type="dxa"/>
          </w:tcPr>
          <w:p w:rsidR="008255EF" w:rsidRPr="00F55F0B" w:rsidRDefault="008255EF" w:rsidP="00DD6FF2">
            <w:pPr>
              <w:jc w:val="right"/>
              <w:rPr>
                <w:rFonts w:ascii="Courier New" w:hAnsi="Courier New" w:cs="Courier New"/>
                <w:color w:val="333333"/>
                <w:sz w:val="20"/>
                <w:szCs w:val="20"/>
              </w:rPr>
            </w:pPr>
          </w:p>
        </w:tc>
      </w:tr>
      <w:tr w:rsidR="00143137" w:rsidRPr="00A706CA" w:rsidTr="00C805A0">
        <w:trPr>
          <w:tblCellSpacing w:w="15" w:type="dxa"/>
        </w:trPr>
        <w:tc>
          <w:tcPr>
            <w:tcW w:w="3970" w:type="dxa"/>
            <w:gridSpan w:val="3"/>
            <w:hideMark/>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F55F0B">
              <w:rPr>
                <w:rFonts w:ascii="Courier New" w:hAnsi="Courier New" w:cs="Courier New"/>
                <w:color w:val="333333"/>
                <w:sz w:val="20"/>
                <w:szCs w:val="20"/>
              </w:rPr>
              <w:t xml:space="preserve">  </w:t>
            </w:r>
            <w:r>
              <w:rPr>
                <w:rFonts w:ascii="Courier New" w:hAnsi="Courier New" w:cs="Courier New"/>
                <w:color w:val="333333"/>
                <w:sz w:val="20"/>
                <w:szCs w:val="20"/>
              </w:rPr>
              <w:t>Management</w:t>
            </w:r>
          </w:p>
        </w:tc>
        <w:tc>
          <w:tcPr>
            <w:tcW w:w="690" w:type="dxa"/>
            <w:hideMark/>
          </w:tcPr>
          <w:p w:rsidR="00143137" w:rsidRPr="00A706CA" w:rsidRDefault="00143137" w:rsidP="00DD6FF2">
            <w:pPr>
              <w:rPr>
                <w:rFonts w:ascii="Courier New" w:hAnsi="Courier New" w:cs="Courier New"/>
                <w:sz w:val="20"/>
                <w:szCs w:val="20"/>
              </w:rPr>
            </w:pPr>
          </w:p>
        </w:tc>
        <w:tc>
          <w:tcPr>
            <w:tcW w:w="2490"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3% of EGI</w:t>
            </w:r>
          </w:p>
        </w:tc>
        <w:tc>
          <w:tcPr>
            <w:tcW w:w="2025" w:type="dxa"/>
            <w:hideMark/>
          </w:tcPr>
          <w:p w:rsidR="00143137" w:rsidRPr="007B363D" w:rsidRDefault="00143137" w:rsidP="00DD6FF2">
            <w:pPr>
              <w:jc w:val="right"/>
              <w:rPr>
                <w:rFonts w:ascii="Courier New" w:hAnsi="Courier New" w:cs="Courier New"/>
                <w:sz w:val="20"/>
                <w:szCs w:val="20"/>
              </w:rPr>
            </w:pPr>
            <w:r>
              <w:rPr>
                <w:rFonts w:ascii="Courier New" w:hAnsi="Courier New" w:cs="Courier New"/>
                <w:sz w:val="20"/>
                <w:szCs w:val="20"/>
              </w:rPr>
              <w:t xml:space="preserve">$   </w:t>
            </w:r>
            <w:r w:rsidR="00CD3F94">
              <w:rPr>
                <w:rFonts w:ascii="Courier New" w:hAnsi="Courier New" w:cs="Courier New"/>
                <w:sz w:val="20"/>
                <w:szCs w:val="20"/>
              </w:rPr>
              <w:t>48,987</w:t>
            </w:r>
          </w:p>
        </w:tc>
      </w:tr>
      <w:tr w:rsidR="00143137" w:rsidRPr="00A706CA" w:rsidTr="00C805A0">
        <w:trPr>
          <w:tblCellSpacing w:w="15" w:type="dxa"/>
        </w:trPr>
        <w:tc>
          <w:tcPr>
            <w:tcW w:w="3970" w:type="dxa"/>
            <w:gridSpan w:val="3"/>
            <w:hideMark/>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F55F0B">
              <w:rPr>
                <w:rFonts w:ascii="Courier New" w:hAnsi="Courier New" w:cs="Courier New"/>
                <w:color w:val="333333"/>
                <w:sz w:val="20"/>
                <w:szCs w:val="20"/>
              </w:rPr>
              <w:t xml:space="preserve">  </w:t>
            </w:r>
            <w:r>
              <w:rPr>
                <w:rFonts w:ascii="Courier New" w:hAnsi="Courier New" w:cs="Courier New"/>
                <w:color w:val="333333"/>
                <w:sz w:val="20"/>
                <w:szCs w:val="20"/>
              </w:rPr>
              <w:t>Reserves for Replacement</w:t>
            </w:r>
          </w:p>
        </w:tc>
        <w:tc>
          <w:tcPr>
            <w:tcW w:w="690" w:type="dxa"/>
            <w:hideMark/>
          </w:tcPr>
          <w:p w:rsidR="00143137" w:rsidRPr="00A706CA" w:rsidRDefault="00143137" w:rsidP="00DD6FF2">
            <w:pPr>
              <w:jc w:val="right"/>
              <w:rPr>
                <w:rFonts w:ascii="Courier New" w:hAnsi="Courier New" w:cs="Courier New"/>
                <w:sz w:val="20"/>
                <w:szCs w:val="20"/>
              </w:rPr>
            </w:pPr>
          </w:p>
        </w:tc>
        <w:tc>
          <w:tcPr>
            <w:tcW w:w="2490"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$0.25 psf</w:t>
            </w:r>
          </w:p>
        </w:tc>
        <w:tc>
          <w:tcPr>
            <w:tcW w:w="2025"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   31,206</w:t>
            </w:r>
          </w:p>
        </w:tc>
      </w:tr>
      <w:tr w:rsidR="00143137" w:rsidRPr="00A706CA" w:rsidTr="00C805A0">
        <w:trPr>
          <w:tblCellSpacing w:w="15" w:type="dxa"/>
        </w:trPr>
        <w:tc>
          <w:tcPr>
            <w:tcW w:w="3970" w:type="dxa"/>
            <w:gridSpan w:val="3"/>
            <w:hideMark/>
          </w:tcPr>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C805A0">
              <w:rPr>
                <w:rFonts w:ascii="Courier New" w:hAnsi="Courier New" w:cs="Courier New"/>
                <w:color w:val="333333"/>
                <w:sz w:val="20"/>
                <w:szCs w:val="20"/>
              </w:rPr>
              <w:t xml:space="preserve">  </w:t>
            </w:r>
            <w:r>
              <w:rPr>
                <w:rFonts w:ascii="Courier New" w:hAnsi="Courier New" w:cs="Courier New"/>
                <w:color w:val="333333"/>
                <w:sz w:val="20"/>
                <w:szCs w:val="20"/>
              </w:rPr>
              <w:t>Administrative</w:t>
            </w:r>
          </w:p>
        </w:tc>
        <w:tc>
          <w:tcPr>
            <w:tcW w:w="690" w:type="dxa"/>
            <w:hideMark/>
          </w:tcPr>
          <w:p w:rsidR="00143137" w:rsidRPr="00A706CA" w:rsidRDefault="00143137" w:rsidP="00DD6FF2">
            <w:pPr>
              <w:jc w:val="right"/>
              <w:rPr>
                <w:rFonts w:ascii="Courier New" w:hAnsi="Courier New" w:cs="Courier New"/>
                <w:sz w:val="20"/>
                <w:szCs w:val="20"/>
              </w:rPr>
            </w:pPr>
          </w:p>
        </w:tc>
        <w:tc>
          <w:tcPr>
            <w:tcW w:w="2490" w:type="dxa"/>
            <w:hideMark/>
          </w:tcPr>
          <w:p w:rsidR="00143137" w:rsidRPr="00A706CA" w:rsidRDefault="00143137" w:rsidP="00DD6FF2">
            <w:pPr>
              <w:jc w:val="right"/>
              <w:rPr>
                <w:rFonts w:ascii="Courier New" w:hAnsi="Courier New" w:cs="Courier New"/>
                <w:sz w:val="20"/>
                <w:szCs w:val="20"/>
              </w:rPr>
            </w:pPr>
          </w:p>
        </w:tc>
        <w:tc>
          <w:tcPr>
            <w:tcW w:w="2025" w:type="dxa"/>
            <w:hideMark/>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   10,000</w:t>
            </w:r>
          </w:p>
        </w:tc>
      </w:tr>
      <w:tr w:rsidR="00143137" w:rsidRPr="00A706CA" w:rsidTr="00C805A0">
        <w:trPr>
          <w:tblCellSpacing w:w="15" w:type="dxa"/>
        </w:trPr>
        <w:tc>
          <w:tcPr>
            <w:tcW w:w="3970" w:type="dxa"/>
            <w:gridSpan w:val="3"/>
          </w:tcPr>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C805A0">
              <w:rPr>
                <w:rFonts w:ascii="Courier New" w:hAnsi="Courier New" w:cs="Courier New"/>
                <w:color w:val="333333"/>
                <w:sz w:val="20"/>
                <w:szCs w:val="20"/>
              </w:rPr>
              <w:t xml:space="preserve">  </w:t>
            </w:r>
            <w:r>
              <w:rPr>
                <w:rFonts w:ascii="Courier New" w:hAnsi="Courier New" w:cs="Courier New"/>
                <w:color w:val="333333"/>
                <w:sz w:val="20"/>
                <w:szCs w:val="20"/>
              </w:rPr>
              <w:t>Lease Commissions</w:t>
            </w:r>
          </w:p>
        </w:tc>
        <w:tc>
          <w:tcPr>
            <w:tcW w:w="690" w:type="dxa"/>
          </w:tcPr>
          <w:p w:rsidR="00143137" w:rsidRDefault="00143137" w:rsidP="00DD6FF2">
            <w:pPr>
              <w:jc w:val="right"/>
              <w:rPr>
                <w:rFonts w:ascii="Courier New" w:hAnsi="Courier New" w:cs="Courier New"/>
                <w:sz w:val="20"/>
                <w:szCs w:val="20"/>
              </w:rPr>
            </w:pPr>
          </w:p>
        </w:tc>
        <w:tc>
          <w:tcPr>
            <w:tcW w:w="2490" w:type="dxa"/>
          </w:tcPr>
          <w:p w:rsidR="00143137" w:rsidRDefault="00143137" w:rsidP="00DD6FF2">
            <w:pPr>
              <w:jc w:val="right"/>
              <w:rPr>
                <w:rFonts w:ascii="Courier New" w:hAnsi="Courier New" w:cs="Courier New"/>
                <w:sz w:val="20"/>
                <w:szCs w:val="20"/>
              </w:rPr>
            </w:pPr>
            <w:r>
              <w:rPr>
                <w:rFonts w:ascii="Courier New" w:hAnsi="Courier New" w:cs="Courier New"/>
                <w:sz w:val="20"/>
                <w:szCs w:val="20"/>
              </w:rPr>
              <w:t xml:space="preserve">2.8% of market rent </w:t>
            </w:r>
          </w:p>
        </w:tc>
        <w:tc>
          <w:tcPr>
            <w:tcW w:w="2025" w:type="dxa"/>
          </w:tcPr>
          <w:p w:rsidR="00143137" w:rsidRDefault="00143137" w:rsidP="00DD6FF2">
            <w:pPr>
              <w:jc w:val="right"/>
              <w:rPr>
                <w:rFonts w:ascii="Courier New" w:hAnsi="Courier New" w:cs="Courier New"/>
                <w:sz w:val="20"/>
                <w:szCs w:val="20"/>
              </w:rPr>
            </w:pPr>
            <w:r>
              <w:rPr>
                <w:rFonts w:ascii="Courier New" w:hAnsi="Courier New" w:cs="Courier New"/>
                <w:sz w:val="20"/>
                <w:szCs w:val="20"/>
              </w:rPr>
              <w:t>$   45,436</w:t>
            </w:r>
          </w:p>
        </w:tc>
      </w:tr>
      <w:tr w:rsidR="00143137" w:rsidRPr="00A706CA" w:rsidTr="00C805A0">
        <w:trPr>
          <w:tblCellSpacing w:w="15" w:type="dxa"/>
        </w:trPr>
        <w:tc>
          <w:tcPr>
            <w:tcW w:w="3970" w:type="dxa"/>
            <w:gridSpan w:val="3"/>
          </w:tcPr>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 xml:space="preserve">  </w:t>
            </w:r>
            <w:r w:rsidR="00C805A0">
              <w:rPr>
                <w:rFonts w:ascii="Courier New" w:hAnsi="Courier New" w:cs="Courier New"/>
                <w:color w:val="333333"/>
                <w:sz w:val="20"/>
                <w:szCs w:val="20"/>
              </w:rPr>
              <w:t xml:space="preserve">  </w:t>
            </w:r>
            <w:r>
              <w:rPr>
                <w:rFonts w:ascii="Courier New" w:hAnsi="Courier New" w:cs="Courier New"/>
                <w:color w:val="333333"/>
                <w:sz w:val="20"/>
                <w:szCs w:val="20"/>
              </w:rPr>
              <w:t>Tenant Improvements</w:t>
            </w:r>
          </w:p>
        </w:tc>
        <w:tc>
          <w:tcPr>
            <w:tcW w:w="690" w:type="dxa"/>
          </w:tcPr>
          <w:p w:rsidR="00143137" w:rsidRPr="00A706CA" w:rsidRDefault="00143137" w:rsidP="00DD6FF2">
            <w:pPr>
              <w:rPr>
                <w:rFonts w:ascii="Courier New" w:hAnsi="Courier New" w:cs="Courier New"/>
                <w:sz w:val="20"/>
                <w:szCs w:val="20"/>
              </w:rPr>
            </w:pPr>
          </w:p>
        </w:tc>
        <w:tc>
          <w:tcPr>
            <w:tcW w:w="2490" w:type="dxa"/>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$0.20 psf</w:t>
            </w:r>
          </w:p>
        </w:tc>
        <w:tc>
          <w:tcPr>
            <w:tcW w:w="2025" w:type="dxa"/>
          </w:tcPr>
          <w:p w:rsidR="00143137" w:rsidRPr="00A706CA" w:rsidRDefault="00143137" w:rsidP="00DD6FF2">
            <w:pPr>
              <w:jc w:val="right"/>
              <w:rPr>
                <w:rFonts w:ascii="Courier New" w:hAnsi="Courier New" w:cs="Courier New"/>
                <w:sz w:val="20"/>
                <w:szCs w:val="20"/>
              </w:rPr>
            </w:pPr>
            <w:r>
              <w:rPr>
                <w:rFonts w:ascii="Courier New" w:hAnsi="Courier New" w:cs="Courier New"/>
                <w:sz w:val="20"/>
                <w:szCs w:val="20"/>
              </w:rPr>
              <w:t>$   24,965</w:t>
            </w:r>
          </w:p>
        </w:tc>
      </w:tr>
      <w:tr w:rsidR="00143137" w:rsidRPr="00CC30AD" w:rsidTr="00C805A0">
        <w:trPr>
          <w:tblCellSpacing w:w="15" w:type="dxa"/>
        </w:trPr>
        <w:tc>
          <w:tcPr>
            <w:tcW w:w="3970" w:type="dxa"/>
            <w:gridSpan w:val="3"/>
          </w:tcPr>
          <w:p w:rsidR="00143137" w:rsidRPr="00CC30AD" w:rsidRDefault="00143137" w:rsidP="00DD6FF2">
            <w:pPr>
              <w:rPr>
                <w:rFonts w:ascii="Courier New" w:hAnsi="Courier New" w:cs="Courier New"/>
                <w:b/>
                <w:color w:val="333333"/>
                <w:sz w:val="20"/>
                <w:szCs w:val="20"/>
              </w:rPr>
            </w:pPr>
            <w:r w:rsidRPr="00CC30AD">
              <w:rPr>
                <w:rFonts w:ascii="Courier New" w:hAnsi="Courier New" w:cs="Courier New"/>
                <w:b/>
                <w:color w:val="333333"/>
                <w:sz w:val="20"/>
                <w:szCs w:val="20"/>
              </w:rPr>
              <w:t xml:space="preserve"> Total Operating Expense</w:t>
            </w:r>
          </w:p>
        </w:tc>
        <w:tc>
          <w:tcPr>
            <w:tcW w:w="690" w:type="dxa"/>
          </w:tcPr>
          <w:p w:rsidR="00143137" w:rsidRPr="00CC30AD" w:rsidRDefault="00143137" w:rsidP="00DD6FF2">
            <w:pPr>
              <w:rPr>
                <w:rFonts w:ascii="Courier New" w:hAnsi="Courier New" w:cs="Courier New"/>
                <w:b/>
                <w:sz w:val="20"/>
                <w:szCs w:val="20"/>
              </w:rPr>
            </w:pPr>
          </w:p>
        </w:tc>
        <w:tc>
          <w:tcPr>
            <w:tcW w:w="2490" w:type="dxa"/>
          </w:tcPr>
          <w:p w:rsidR="00143137" w:rsidRPr="00CC30AD" w:rsidRDefault="00143137" w:rsidP="00DD6FF2">
            <w:pPr>
              <w:jc w:val="right"/>
              <w:rPr>
                <w:rFonts w:ascii="Courier New" w:hAnsi="Courier New" w:cs="Courier New"/>
                <w:b/>
                <w:sz w:val="20"/>
                <w:szCs w:val="20"/>
              </w:rPr>
            </w:pPr>
          </w:p>
        </w:tc>
        <w:tc>
          <w:tcPr>
            <w:tcW w:w="2025" w:type="dxa"/>
          </w:tcPr>
          <w:p w:rsidR="00143137" w:rsidRPr="00CC30AD" w:rsidRDefault="00143137" w:rsidP="00DD6FF2">
            <w:pPr>
              <w:jc w:val="right"/>
              <w:rPr>
                <w:rFonts w:ascii="Courier New" w:hAnsi="Courier New" w:cs="Courier New"/>
                <w:b/>
                <w:sz w:val="20"/>
                <w:szCs w:val="20"/>
              </w:rPr>
            </w:pPr>
            <w:r>
              <w:rPr>
                <w:rFonts w:ascii="Courier New" w:hAnsi="Courier New" w:cs="Courier New"/>
                <w:b/>
                <w:sz w:val="20"/>
                <w:szCs w:val="20"/>
              </w:rPr>
              <w:t xml:space="preserve">$  </w:t>
            </w:r>
            <w:r w:rsidR="00CD3F94">
              <w:rPr>
                <w:rFonts w:ascii="Courier New" w:hAnsi="Courier New" w:cs="Courier New"/>
                <w:b/>
                <w:sz w:val="20"/>
                <w:szCs w:val="20"/>
              </w:rPr>
              <w:t>458,926</w:t>
            </w:r>
          </w:p>
        </w:tc>
      </w:tr>
      <w:tr w:rsidR="00143137" w:rsidRPr="00A706CA" w:rsidTr="00C805A0">
        <w:trPr>
          <w:tblCellSpacing w:w="15" w:type="dxa"/>
        </w:trPr>
        <w:tc>
          <w:tcPr>
            <w:tcW w:w="3970" w:type="dxa"/>
            <w:gridSpan w:val="3"/>
          </w:tcPr>
          <w:p w:rsidR="00143137" w:rsidRDefault="00143137" w:rsidP="00DD6FF2">
            <w:pPr>
              <w:rPr>
                <w:rFonts w:ascii="Courier New" w:hAnsi="Courier New" w:cs="Courier New"/>
                <w:color w:val="333333"/>
                <w:sz w:val="20"/>
                <w:szCs w:val="20"/>
              </w:rPr>
            </w:pPr>
          </w:p>
        </w:tc>
        <w:tc>
          <w:tcPr>
            <w:tcW w:w="690" w:type="dxa"/>
          </w:tcPr>
          <w:p w:rsidR="00143137" w:rsidRPr="00A706CA" w:rsidRDefault="00143137" w:rsidP="00DD6FF2">
            <w:pPr>
              <w:rPr>
                <w:rFonts w:ascii="Courier New" w:hAnsi="Courier New" w:cs="Courier New"/>
                <w:sz w:val="20"/>
                <w:szCs w:val="20"/>
              </w:rPr>
            </w:pPr>
          </w:p>
        </w:tc>
        <w:tc>
          <w:tcPr>
            <w:tcW w:w="2490" w:type="dxa"/>
          </w:tcPr>
          <w:p w:rsidR="00143137" w:rsidRDefault="00143137" w:rsidP="00DD6FF2">
            <w:pPr>
              <w:jc w:val="right"/>
              <w:rPr>
                <w:rFonts w:ascii="Courier New" w:hAnsi="Courier New" w:cs="Courier New"/>
                <w:sz w:val="20"/>
                <w:szCs w:val="20"/>
              </w:rPr>
            </w:pPr>
          </w:p>
        </w:tc>
        <w:tc>
          <w:tcPr>
            <w:tcW w:w="2025" w:type="dxa"/>
          </w:tcPr>
          <w:p w:rsidR="00143137" w:rsidRPr="00B6071D" w:rsidRDefault="00143137" w:rsidP="00DD6FF2">
            <w:pPr>
              <w:jc w:val="right"/>
              <w:rPr>
                <w:rFonts w:ascii="Courier New" w:hAnsi="Courier New" w:cs="Courier New"/>
                <w:b/>
                <w:sz w:val="20"/>
                <w:szCs w:val="20"/>
              </w:rPr>
            </w:pPr>
          </w:p>
        </w:tc>
      </w:tr>
      <w:tr w:rsidR="00143137" w:rsidRPr="00A16D37" w:rsidTr="00DD6FF2">
        <w:trPr>
          <w:tblCellSpacing w:w="15" w:type="dxa"/>
        </w:trPr>
        <w:tc>
          <w:tcPr>
            <w:tcW w:w="4690" w:type="dxa"/>
            <w:gridSpan w:val="4"/>
            <w:hideMark/>
          </w:tcPr>
          <w:p w:rsidR="00143137" w:rsidRPr="00A16D37" w:rsidRDefault="00143137" w:rsidP="00DD6FF2">
            <w:pPr>
              <w:rPr>
                <w:rFonts w:ascii="Courier New" w:hAnsi="Courier New" w:cs="Courier New"/>
                <w:b/>
                <w:color w:val="333333"/>
                <w:sz w:val="20"/>
                <w:szCs w:val="20"/>
              </w:rPr>
            </w:pPr>
            <w:r w:rsidRPr="00A16D37">
              <w:rPr>
                <w:rFonts w:ascii="Courier New" w:hAnsi="Courier New" w:cs="Courier New"/>
                <w:b/>
                <w:color w:val="333333"/>
                <w:sz w:val="20"/>
                <w:szCs w:val="20"/>
              </w:rPr>
              <w:t>Net-Operating Income:</w:t>
            </w:r>
          </w:p>
        </w:tc>
        <w:tc>
          <w:tcPr>
            <w:tcW w:w="2490" w:type="dxa"/>
            <w:hideMark/>
          </w:tcPr>
          <w:p w:rsidR="00143137" w:rsidRPr="00A16D37" w:rsidRDefault="00143137" w:rsidP="00DD6FF2">
            <w:pPr>
              <w:jc w:val="right"/>
              <w:rPr>
                <w:rFonts w:ascii="Courier New" w:hAnsi="Courier New" w:cs="Courier New"/>
                <w:b/>
                <w:color w:val="333333"/>
                <w:sz w:val="20"/>
                <w:szCs w:val="20"/>
              </w:rPr>
            </w:pPr>
          </w:p>
        </w:tc>
        <w:tc>
          <w:tcPr>
            <w:tcW w:w="2025" w:type="dxa"/>
            <w:hideMark/>
          </w:tcPr>
          <w:p w:rsidR="00143137" w:rsidRPr="00A16D37"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$1,</w:t>
            </w:r>
            <w:r w:rsidR="00CD3F94">
              <w:rPr>
                <w:rFonts w:ascii="Courier New" w:hAnsi="Courier New" w:cs="Courier New"/>
                <w:b/>
                <w:color w:val="333333"/>
                <w:sz w:val="20"/>
                <w:szCs w:val="20"/>
              </w:rPr>
              <w:t>173,972</w:t>
            </w:r>
          </w:p>
        </w:tc>
      </w:tr>
      <w:tr w:rsidR="00143137" w:rsidRPr="00A706CA" w:rsidTr="00DD6FF2">
        <w:trPr>
          <w:tblCellSpacing w:w="15" w:type="dxa"/>
        </w:trPr>
        <w:tc>
          <w:tcPr>
            <w:tcW w:w="4690" w:type="dxa"/>
            <w:gridSpan w:val="4"/>
          </w:tcPr>
          <w:p w:rsidR="00143137" w:rsidRPr="00A706CA" w:rsidRDefault="00143137" w:rsidP="00DD6FF2">
            <w:pPr>
              <w:rPr>
                <w:rFonts w:ascii="Courier New" w:hAnsi="Courier New" w:cs="Courier New"/>
                <w:color w:val="333333"/>
                <w:sz w:val="20"/>
                <w:szCs w:val="20"/>
              </w:rPr>
            </w:pPr>
          </w:p>
        </w:tc>
        <w:tc>
          <w:tcPr>
            <w:tcW w:w="2490" w:type="dxa"/>
          </w:tcPr>
          <w:p w:rsidR="00143137" w:rsidRPr="00A706CA" w:rsidRDefault="00143137" w:rsidP="00DD6FF2">
            <w:pPr>
              <w:jc w:val="right"/>
              <w:rPr>
                <w:rFonts w:ascii="Courier New" w:hAnsi="Courier New" w:cs="Courier New"/>
                <w:color w:val="333333"/>
                <w:sz w:val="20"/>
                <w:szCs w:val="20"/>
              </w:rPr>
            </w:pPr>
          </w:p>
        </w:tc>
        <w:tc>
          <w:tcPr>
            <w:tcW w:w="2025" w:type="dxa"/>
          </w:tcPr>
          <w:p w:rsidR="00143137" w:rsidRDefault="00143137" w:rsidP="00DD6FF2">
            <w:pPr>
              <w:jc w:val="right"/>
              <w:rPr>
                <w:rFonts w:ascii="Courier New" w:hAnsi="Courier New" w:cs="Courier New"/>
                <w:color w:val="333333"/>
                <w:sz w:val="20"/>
                <w:szCs w:val="20"/>
              </w:rPr>
            </w:pPr>
          </w:p>
        </w:tc>
      </w:tr>
      <w:tr w:rsidR="00143137" w:rsidRPr="00A706CA" w:rsidTr="00DD6FF2">
        <w:trPr>
          <w:tblCellSpacing w:w="15" w:type="dxa"/>
        </w:trPr>
        <w:tc>
          <w:tcPr>
            <w:tcW w:w="4690" w:type="dxa"/>
            <w:gridSpan w:val="4"/>
          </w:tcPr>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Base Rate</w:t>
            </w:r>
          </w:p>
          <w:p w:rsidR="00143137" w:rsidRDefault="00143137" w:rsidP="00DD6FF2">
            <w:pPr>
              <w:rPr>
                <w:rFonts w:ascii="Courier New" w:hAnsi="Courier New" w:cs="Courier New"/>
                <w:color w:val="333333"/>
                <w:sz w:val="20"/>
                <w:szCs w:val="20"/>
              </w:rPr>
            </w:pPr>
            <w:r>
              <w:rPr>
                <w:rFonts w:ascii="Courier New" w:hAnsi="Courier New" w:cs="Courier New"/>
                <w:color w:val="333333"/>
                <w:sz w:val="20"/>
                <w:szCs w:val="20"/>
              </w:rPr>
              <w:t>Tax Factor (owner’s share)</w:t>
            </w:r>
          </w:p>
          <w:p w:rsidR="00143137" w:rsidRPr="00A706CA" w:rsidRDefault="00143137" w:rsidP="00DD6FF2">
            <w:pPr>
              <w:rPr>
                <w:rFonts w:ascii="Courier New" w:hAnsi="Courier New" w:cs="Courier New"/>
                <w:color w:val="333333"/>
                <w:sz w:val="20"/>
                <w:szCs w:val="20"/>
              </w:rPr>
            </w:pPr>
            <w:r>
              <w:rPr>
                <w:rFonts w:ascii="Courier New" w:hAnsi="Courier New" w:cs="Courier New"/>
                <w:color w:val="333333"/>
                <w:sz w:val="20"/>
                <w:szCs w:val="20"/>
              </w:rPr>
              <w:t>Overall Capitalization Rate</w:t>
            </w:r>
          </w:p>
        </w:tc>
        <w:tc>
          <w:tcPr>
            <w:tcW w:w="2490" w:type="dxa"/>
          </w:tcPr>
          <w:p w:rsidR="00143137" w:rsidRDefault="00143137" w:rsidP="00DD6FF2">
            <w:pPr>
              <w:jc w:val="right"/>
              <w:rPr>
                <w:rFonts w:ascii="Courier New" w:hAnsi="Courier New" w:cs="Courier New"/>
                <w:color w:val="333333"/>
                <w:sz w:val="20"/>
                <w:szCs w:val="20"/>
              </w:rPr>
            </w:pPr>
          </w:p>
          <w:p w:rsidR="00143137" w:rsidRPr="00A706CA" w:rsidRDefault="00CD3F94" w:rsidP="00DD6FF2">
            <w:pPr>
              <w:jc w:val="right"/>
              <w:rPr>
                <w:rFonts w:ascii="Courier New" w:hAnsi="Courier New" w:cs="Courier New"/>
                <w:color w:val="333333"/>
                <w:sz w:val="20"/>
                <w:szCs w:val="20"/>
              </w:rPr>
            </w:pPr>
            <w:r>
              <w:rPr>
                <w:rFonts w:ascii="Courier New" w:hAnsi="Courier New" w:cs="Courier New"/>
                <w:color w:val="333333"/>
                <w:sz w:val="20"/>
                <w:szCs w:val="20"/>
              </w:rPr>
              <w:t>3.123</w:t>
            </w:r>
            <w:r w:rsidR="00143137">
              <w:rPr>
                <w:rFonts w:ascii="Courier New" w:hAnsi="Courier New" w:cs="Courier New"/>
                <w:color w:val="333333"/>
                <w:sz w:val="20"/>
                <w:szCs w:val="20"/>
              </w:rPr>
              <w:t>% * 15%</w:t>
            </w:r>
          </w:p>
        </w:tc>
        <w:tc>
          <w:tcPr>
            <w:tcW w:w="2025" w:type="dxa"/>
          </w:tcPr>
          <w:p w:rsidR="00143137"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10.00%</w:t>
            </w:r>
          </w:p>
          <w:p w:rsidR="00143137" w:rsidRDefault="00143137" w:rsidP="00DD6FF2">
            <w:pPr>
              <w:jc w:val="right"/>
              <w:rPr>
                <w:rFonts w:ascii="Courier New" w:hAnsi="Courier New" w:cs="Courier New"/>
                <w:color w:val="333333"/>
                <w:sz w:val="20"/>
                <w:szCs w:val="20"/>
              </w:rPr>
            </w:pPr>
            <w:r>
              <w:rPr>
                <w:rFonts w:ascii="Courier New" w:hAnsi="Courier New" w:cs="Courier New"/>
                <w:color w:val="333333"/>
                <w:sz w:val="20"/>
                <w:szCs w:val="20"/>
              </w:rPr>
              <w:t>0.</w:t>
            </w:r>
            <w:r w:rsidR="00CD3F94">
              <w:rPr>
                <w:rFonts w:ascii="Courier New" w:hAnsi="Courier New" w:cs="Courier New"/>
                <w:color w:val="333333"/>
                <w:sz w:val="20"/>
                <w:szCs w:val="20"/>
              </w:rPr>
              <w:t>4685</w:t>
            </w:r>
            <w:r>
              <w:rPr>
                <w:rFonts w:ascii="Courier New" w:hAnsi="Courier New" w:cs="Courier New"/>
                <w:color w:val="333333"/>
                <w:sz w:val="20"/>
                <w:szCs w:val="20"/>
              </w:rPr>
              <w:t>%</w:t>
            </w:r>
          </w:p>
          <w:p w:rsidR="00143137" w:rsidRDefault="00CD3F94" w:rsidP="00DD6FF2">
            <w:pPr>
              <w:jc w:val="right"/>
              <w:rPr>
                <w:rFonts w:ascii="Courier New" w:hAnsi="Courier New" w:cs="Courier New"/>
                <w:color w:val="333333"/>
                <w:sz w:val="20"/>
                <w:szCs w:val="20"/>
              </w:rPr>
            </w:pPr>
            <w:r>
              <w:rPr>
                <w:rFonts w:ascii="Courier New" w:hAnsi="Courier New" w:cs="Courier New"/>
                <w:color w:val="333333"/>
                <w:sz w:val="20"/>
                <w:szCs w:val="20"/>
              </w:rPr>
              <w:t>10.4685</w:t>
            </w:r>
            <w:r w:rsidR="00143137">
              <w:rPr>
                <w:rFonts w:ascii="Courier New" w:hAnsi="Courier New" w:cs="Courier New"/>
                <w:color w:val="333333"/>
                <w:sz w:val="20"/>
                <w:szCs w:val="20"/>
              </w:rPr>
              <w:t>%</w:t>
            </w:r>
          </w:p>
        </w:tc>
      </w:tr>
      <w:tr w:rsidR="00143137" w:rsidRPr="00B6071D" w:rsidTr="00DD6FF2">
        <w:trPr>
          <w:tblCellSpacing w:w="15" w:type="dxa"/>
        </w:trPr>
        <w:tc>
          <w:tcPr>
            <w:tcW w:w="4690" w:type="dxa"/>
            <w:gridSpan w:val="4"/>
          </w:tcPr>
          <w:p w:rsidR="00143137" w:rsidRPr="00B6071D" w:rsidRDefault="00143137" w:rsidP="00DD6FF2">
            <w:pPr>
              <w:rPr>
                <w:rFonts w:ascii="Courier New" w:hAnsi="Courier New" w:cs="Courier New"/>
                <w:b/>
                <w:color w:val="333333"/>
                <w:sz w:val="20"/>
                <w:szCs w:val="20"/>
              </w:rPr>
            </w:pPr>
            <w:r w:rsidRPr="00B6071D">
              <w:rPr>
                <w:rFonts w:ascii="Courier New" w:hAnsi="Courier New" w:cs="Courier New"/>
                <w:b/>
                <w:color w:val="333333"/>
                <w:sz w:val="20"/>
                <w:szCs w:val="20"/>
              </w:rPr>
              <w:t>Capitalized Value</w:t>
            </w:r>
          </w:p>
        </w:tc>
        <w:tc>
          <w:tcPr>
            <w:tcW w:w="2490" w:type="dxa"/>
          </w:tcPr>
          <w:p w:rsidR="00143137" w:rsidRPr="00B6071D" w:rsidRDefault="00143137" w:rsidP="00DD6FF2">
            <w:pPr>
              <w:jc w:val="right"/>
              <w:rPr>
                <w:rFonts w:ascii="Courier New" w:hAnsi="Courier New" w:cs="Courier New"/>
                <w:b/>
                <w:color w:val="333333"/>
                <w:sz w:val="20"/>
                <w:szCs w:val="20"/>
              </w:rPr>
            </w:pPr>
          </w:p>
        </w:tc>
        <w:tc>
          <w:tcPr>
            <w:tcW w:w="2025" w:type="dxa"/>
          </w:tcPr>
          <w:p w:rsidR="00143137" w:rsidRPr="00B6071D"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$11,123.508</w:t>
            </w:r>
          </w:p>
        </w:tc>
      </w:tr>
      <w:tr w:rsidR="00143137" w:rsidRPr="00A706CA" w:rsidTr="00DD6FF2">
        <w:trPr>
          <w:tblCellSpacing w:w="15" w:type="dxa"/>
        </w:trPr>
        <w:tc>
          <w:tcPr>
            <w:tcW w:w="4690" w:type="dxa"/>
            <w:gridSpan w:val="4"/>
          </w:tcPr>
          <w:p w:rsidR="00143137" w:rsidRDefault="00143137" w:rsidP="00DD6FF2">
            <w:pPr>
              <w:rPr>
                <w:rFonts w:ascii="Courier New" w:hAnsi="Courier New" w:cs="Courier New"/>
                <w:color w:val="333333"/>
                <w:sz w:val="20"/>
                <w:szCs w:val="20"/>
              </w:rPr>
            </w:pPr>
          </w:p>
        </w:tc>
        <w:tc>
          <w:tcPr>
            <w:tcW w:w="2490" w:type="dxa"/>
          </w:tcPr>
          <w:p w:rsidR="00143137" w:rsidRDefault="00143137" w:rsidP="00DD6FF2">
            <w:pPr>
              <w:jc w:val="right"/>
              <w:rPr>
                <w:rFonts w:ascii="Courier New" w:hAnsi="Courier New" w:cs="Courier New"/>
                <w:color w:val="333333"/>
                <w:sz w:val="20"/>
                <w:szCs w:val="20"/>
              </w:rPr>
            </w:pPr>
          </w:p>
        </w:tc>
        <w:tc>
          <w:tcPr>
            <w:tcW w:w="2025" w:type="dxa"/>
          </w:tcPr>
          <w:p w:rsidR="00143137" w:rsidRDefault="00143137" w:rsidP="00DD6FF2">
            <w:pPr>
              <w:jc w:val="right"/>
              <w:rPr>
                <w:rFonts w:ascii="Courier New" w:hAnsi="Courier New" w:cs="Courier New"/>
                <w:color w:val="333333"/>
                <w:sz w:val="20"/>
                <w:szCs w:val="20"/>
              </w:rPr>
            </w:pPr>
          </w:p>
        </w:tc>
      </w:tr>
      <w:tr w:rsidR="00143137" w:rsidRPr="00B6071D" w:rsidTr="00DD6FF2">
        <w:trPr>
          <w:tblCellSpacing w:w="15" w:type="dxa"/>
        </w:trPr>
        <w:tc>
          <w:tcPr>
            <w:tcW w:w="4690" w:type="dxa"/>
            <w:gridSpan w:val="4"/>
          </w:tcPr>
          <w:p w:rsidR="00143137" w:rsidRPr="00B6071D" w:rsidRDefault="00143137" w:rsidP="00DD6FF2">
            <w:pPr>
              <w:rPr>
                <w:rFonts w:ascii="Courier New" w:hAnsi="Courier New" w:cs="Courier New"/>
                <w:b/>
                <w:color w:val="333333"/>
                <w:sz w:val="20"/>
                <w:szCs w:val="20"/>
              </w:rPr>
            </w:pPr>
            <w:r w:rsidRPr="00B6071D">
              <w:rPr>
                <w:rFonts w:ascii="Courier New" w:hAnsi="Courier New" w:cs="Courier New"/>
                <w:b/>
                <w:color w:val="333333"/>
                <w:sz w:val="20"/>
                <w:szCs w:val="20"/>
              </w:rPr>
              <w:t>Rounded Fair Cash Value</w:t>
            </w:r>
          </w:p>
        </w:tc>
        <w:tc>
          <w:tcPr>
            <w:tcW w:w="2490" w:type="dxa"/>
          </w:tcPr>
          <w:p w:rsidR="00143137" w:rsidRPr="00B6071D" w:rsidRDefault="00143137" w:rsidP="00DD6FF2">
            <w:pPr>
              <w:jc w:val="right"/>
              <w:rPr>
                <w:rFonts w:ascii="Courier New" w:hAnsi="Courier New" w:cs="Courier New"/>
                <w:b/>
                <w:color w:val="333333"/>
                <w:sz w:val="20"/>
                <w:szCs w:val="20"/>
              </w:rPr>
            </w:pPr>
          </w:p>
        </w:tc>
        <w:tc>
          <w:tcPr>
            <w:tcW w:w="2025" w:type="dxa"/>
          </w:tcPr>
          <w:p w:rsidR="00143137" w:rsidRPr="00B6071D" w:rsidRDefault="00143137" w:rsidP="00DD6FF2">
            <w:pPr>
              <w:jc w:val="right"/>
              <w:rPr>
                <w:rFonts w:ascii="Courier New" w:hAnsi="Courier New" w:cs="Courier New"/>
                <w:b/>
                <w:color w:val="333333"/>
                <w:sz w:val="20"/>
                <w:szCs w:val="20"/>
              </w:rPr>
            </w:pPr>
            <w:r>
              <w:rPr>
                <w:rFonts w:ascii="Courier New" w:hAnsi="Courier New" w:cs="Courier New"/>
                <w:b/>
                <w:color w:val="333333"/>
                <w:sz w:val="20"/>
                <w:szCs w:val="20"/>
              </w:rPr>
              <w:t>$11,125,000</w:t>
            </w:r>
          </w:p>
        </w:tc>
      </w:tr>
    </w:tbl>
    <w:p w:rsidR="00B6071D" w:rsidRDefault="00B6071D" w:rsidP="00143137">
      <w:pPr>
        <w:spacing w:line="480" w:lineRule="auto"/>
        <w:jc w:val="center"/>
        <w:rPr>
          <w:rFonts w:ascii="Courier New" w:hAnsi="Courier New" w:cs="Courier New"/>
          <w:color w:val="000000"/>
        </w:rPr>
      </w:pPr>
    </w:p>
    <w:p w:rsidR="00451E1B" w:rsidRDefault="002B6B66" w:rsidP="00451E1B">
      <w:pPr>
        <w:numPr>
          <w:ilvl w:val="0"/>
          <w:numId w:val="1"/>
        </w:numPr>
        <w:spacing w:line="480" w:lineRule="auto"/>
        <w:jc w:val="both"/>
        <w:rPr>
          <w:rFonts w:ascii="Courier New" w:hAnsi="Courier New" w:cs="Courier New"/>
          <w:b/>
        </w:rPr>
      </w:pPr>
      <w:r>
        <w:rPr>
          <w:rFonts w:ascii="Courier New" w:hAnsi="Courier New" w:cs="Courier New"/>
          <w:b/>
        </w:rPr>
        <w:t xml:space="preserve">The </w:t>
      </w:r>
      <w:r w:rsidR="00631FDE">
        <w:rPr>
          <w:rFonts w:ascii="Courier New" w:hAnsi="Courier New" w:cs="Courier New"/>
          <w:b/>
        </w:rPr>
        <w:t>Appellee’s Case-in-Chief</w:t>
      </w:r>
    </w:p>
    <w:p w:rsidR="00195F7E" w:rsidRDefault="002D45D9" w:rsidP="00195F7E">
      <w:pPr>
        <w:spacing w:line="480" w:lineRule="auto"/>
        <w:ind w:firstLine="720"/>
        <w:jc w:val="both"/>
        <w:rPr>
          <w:rFonts w:ascii="Courier New" w:hAnsi="Courier New" w:cs="Courier New"/>
        </w:rPr>
      </w:pPr>
      <w:r>
        <w:rPr>
          <w:rFonts w:ascii="Courier New" w:hAnsi="Courier New" w:cs="Courier New"/>
        </w:rPr>
        <w:t xml:space="preserve">In support of their assessments, the assessors relied on the testimony </w:t>
      </w:r>
      <w:r w:rsidR="00970B32">
        <w:rPr>
          <w:rFonts w:ascii="Courier New" w:hAnsi="Courier New" w:cs="Courier New"/>
        </w:rPr>
        <w:t xml:space="preserve">of </w:t>
      </w:r>
      <w:r w:rsidR="00D4536E">
        <w:rPr>
          <w:rFonts w:ascii="Courier New" w:hAnsi="Courier New" w:cs="Courier New"/>
        </w:rPr>
        <w:t>James R.</w:t>
      </w:r>
      <w:r w:rsidR="00970B32">
        <w:rPr>
          <w:rFonts w:ascii="Courier New" w:hAnsi="Courier New" w:cs="Courier New"/>
        </w:rPr>
        <w:t xml:space="preserve"> </w:t>
      </w:r>
      <w:r w:rsidR="00D4536E">
        <w:rPr>
          <w:rFonts w:ascii="Courier New" w:hAnsi="Courier New" w:cs="Courier New"/>
        </w:rPr>
        <w:t>Johnston</w:t>
      </w:r>
      <w:r w:rsidR="00970B32">
        <w:rPr>
          <w:rFonts w:ascii="Courier New" w:hAnsi="Courier New" w:cs="Courier New"/>
        </w:rPr>
        <w:t>, a licensed real estate appraiser</w:t>
      </w:r>
      <w:r w:rsidR="00FA01FC">
        <w:rPr>
          <w:rFonts w:ascii="Courier New" w:hAnsi="Courier New" w:cs="Courier New"/>
        </w:rPr>
        <w:t>,</w:t>
      </w:r>
      <w:r w:rsidR="00970B32">
        <w:rPr>
          <w:rFonts w:ascii="Courier New" w:hAnsi="Courier New" w:cs="Courier New"/>
        </w:rPr>
        <w:t xml:space="preserve"> whom the Board qualified </w:t>
      </w:r>
      <w:r w:rsidR="00295D94">
        <w:rPr>
          <w:rFonts w:ascii="Courier New" w:hAnsi="Courier New" w:cs="Courier New"/>
        </w:rPr>
        <w:t xml:space="preserve">without objection </w:t>
      </w:r>
      <w:r w:rsidR="00970B32">
        <w:rPr>
          <w:rFonts w:ascii="Courier New" w:hAnsi="Courier New" w:cs="Courier New"/>
        </w:rPr>
        <w:t>as a</w:t>
      </w:r>
      <w:r w:rsidR="00295D94">
        <w:rPr>
          <w:rFonts w:ascii="Courier New" w:hAnsi="Courier New" w:cs="Courier New"/>
        </w:rPr>
        <w:t xml:space="preserve">n expert in the area of commercial </w:t>
      </w:r>
      <w:r w:rsidR="00970B32">
        <w:rPr>
          <w:rFonts w:ascii="Courier New" w:hAnsi="Courier New" w:cs="Courier New"/>
        </w:rPr>
        <w:t>real estate valuation</w:t>
      </w:r>
      <w:r w:rsidR="00FA01FC">
        <w:rPr>
          <w:rFonts w:ascii="Courier New" w:hAnsi="Courier New" w:cs="Courier New"/>
        </w:rPr>
        <w:t>,</w:t>
      </w:r>
      <w:r w:rsidR="00970B32">
        <w:rPr>
          <w:rFonts w:ascii="Courier New" w:hAnsi="Courier New" w:cs="Courier New"/>
        </w:rPr>
        <w:t xml:space="preserve"> and</w:t>
      </w:r>
      <w:r w:rsidR="003315E3">
        <w:rPr>
          <w:rFonts w:ascii="Courier New" w:hAnsi="Courier New" w:cs="Courier New"/>
        </w:rPr>
        <w:t xml:space="preserve"> </w:t>
      </w:r>
      <w:r w:rsidR="00FA01FC">
        <w:rPr>
          <w:rFonts w:ascii="Courier New" w:hAnsi="Courier New" w:cs="Courier New"/>
        </w:rPr>
        <w:t>his</w:t>
      </w:r>
      <w:r w:rsidR="00DF3292">
        <w:rPr>
          <w:rFonts w:ascii="Courier New" w:hAnsi="Courier New" w:cs="Courier New"/>
        </w:rPr>
        <w:t xml:space="preserve"> </w:t>
      </w:r>
      <w:r w:rsidR="00D4536E">
        <w:rPr>
          <w:rFonts w:ascii="Courier New" w:hAnsi="Courier New" w:cs="Courier New"/>
        </w:rPr>
        <w:t>summary appraisal report</w:t>
      </w:r>
      <w:r w:rsidR="00970B32">
        <w:rPr>
          <w:rFonts w:ascii="Courier New" w:hAnsi="Courier New" w:cs="Courier New"/>
        </w:rPr>
        <w:t xml:space="preserve"> for the fiscal years at issue.</w:t>
      </w:r>
    </w:p>
    <w:p w:rsidR="007C0948" w:rsidRDefault="001328AD" w:rsidP="00195F7E">
      <w:pPr>
        <w:spacing w:line="480" w:lineRule="auto"/>
        <w:ind w:firstLine="720"/>
        <w:jc w:val="both"/>
        <w:rPr>
          <w:rFonts w:ascii="Courier New" w:hAnsi="Courier New" w:cs="Courier New"/>
        </w:rPr>
      </w:pPr>
      <w:r w:rsidRPr="00682D47">
        <w:rPr>
          <w:rFonts w:ascii="Courier New" w:hAnsi="Courier New" w:cs="Courier New"/>
          <w:color w:val="333333"/>
          <w:shd w:val="clear" w:color="auto" w:fill="FFFFFF"/>
        </w:rPr>
        <w:lastRenderedPageBreak/>
        <w:t xml:space="preserve">Mr. Johnston </w:t>
      </w:r>
      <w:r w:rsidR="00195F7E">
        <w:rPr>
          <w:rFonts w:ascii="Courier New" w:hAnsi="Courier New" w:cs="Courier New"/>
          <w:color w:val="333333"/>
          <w:shd w:val="clear" w:color="auto" w:fill="FFFFFF"/>
        </w:rPr>
        <w:t>agreed with the appellant’s real estate valuation expert that the subject property’s highest-and-best use was its continued use as a retail building and that the income-ca</w:t>
      </w:r>
      <w:r w:rsidRPr="00682D47">
        <w:rPr>
          <w:rFonts w:ascii="Courier New" w:hAnsi="Courier New" w:cs="Courier New"/>
          <w:color w:val="333333"/>
          <w:shd w:val="clear" w:color="auto" w:fill="FFFFFF"/>
        </w:rPr>
        <w:t>pitalization</w:t>
      </w:r>
      <w:r w:rsidR="00C805A0">
        <w:rPr>
          <w:rFonts w:ascii="Courier New" w:hAnsi="Courier New" w:cs="Courier New"/>
          <w:color w:val="333333"/>
          <w:shd w:val="clear" w:color="auto" w:fill="FFFFFF"/>
        </w:rPr>
        <w:t xml:space="preserve"> </w:t>
      </w:r>
      <w:r w:rsidRPr="00682D47">
        <w:rPr>
          <w:rFonts w:ascii="Courier New" w:hAnsi="Courier New" w:cs="Courier New"/>
          <w:color w:val="333333"/>
          <w:shd w:val="clear" w:color="auto" w:fill="FFFFFF"/>
        </w:rPr>
        <w:t>approach</w:t>
      </w:r>
      <w:r w:rsidR="00C805A0">
        <w:rPr>
          <w:rFonts w:ascii="Courier New" w:hAnsi="Courier New" w:cs="Courier New"/>
          <w:color w:val="333333"/>
          <w:shd w:val="clear" w:color="auto" w:fill="FFFFFF"/>
        </w:rPr>
        <w:t xml:space="preserve"> </w:t>
      </w:r>
      <w:r w:rsidR="00C805A0">
        <w:rPr>
          <w:rFonts w:ascii="Courier New" w:hAnsi="Courier New" w:cs="Courier New"/>
        </w:rPr>
        <w:t xml:space="preserve">was the preferred </w:t>
      </w:r>
      <w:r w:rsidR="00497C71">
        <w:rPr>
          <w:rFonts w:ascii="Courier New" w:hAnsi="Courier New" w:cs="Courier New"/>
        </w:rPr>
        <w:t xml:space="preserve">method of </w:t>
      </w:r>
      <w:r w:rsidR="00195F7E">
        <w:rPr>
          <w:rFonts w:ascii="Courier New" w:hAnsi="Courier New" w:cs="Courier New"/>
        </w:rPr>
        <w:t xml:space="preserve">valuation </w:t>
      </w:r>
      <w:r w:rsidR="00497C71">
        <w:rPr>
          <w:rFonts w:ascii="Courier New" w:hAnsi="Courier New" w:cs="Courier New"/>
        </w:rPr>
        <w:t>to</w:t>
      </w:r>
      <w:r w:rsidR="00195F7E">
        <w:rPr>
          <w:rFonts w:ascii="Courier New" w:hAnsi="Courier New" w:cs="Courier New"/>
        </w:rPr>
        <w:t xml:space="preserve"> use under the circumstances</w:t>
      </w:r>
      <w:r w:rsidRPr="00682D47">
        <w:rPr>
          <w:rFonts w:ascii="Courier New" w:hAnsi="Courier New" w:cs="Courier New"/>
          <w:color w:val="333333"/>
          <w:shd w:val="clear" w:color="auto" w:fill="FFFFFF"/>
        </w:rPr>
        <w:t>.</w:t>
      </w:r>
      <w:r w:rsidRPr="00682D47">
        <w:rPr>
          <w:rStyle w:val="FootnoteReference"/>
          <w:rFonts w:ascii="Courier New" w:hAnsi="Courier New" w:cs="Courier New"/>
          <w:color w:val="333333"/>
          <w:shd w:val="clear" w:color="auto" w:fill="FFFFFF"/>
        </w:rPr>
        <w:footnoteReference w:id="6"/>
      </w:r>
      <w:r w:rsidR="007C0948">
        <w:rPr>
          <w:rFonts w:ascii="Courier New" w:hAnsi="Courier New" w:cs="Courier New"/>
          <w:color w:val="333333"/>
          <w:shd w:val="clear" w:color="auto" w:fill="FFFFFF"/>
        </w:rPr>
        <w:t xml:space="preserve">  </w:t>
      </w:r>
      <w:r w:rsidR="007C0948">
        <w:rPr>
          <w:rFonts w:ascii="Courier New" w:hAnsi="Courier New" w:cs="Courier New"/>
        </w:rPr>
        <w:t>Mr. </w:t>
      </w:r>
      <w:r w:rsidR="00386D6C">
        <w:rPr>
          <w:rFonts w:ascii="Courier New" w:hAnsi="Courier New" w:cs="Courier New"/>
        </w:rPr>
        <w:t>Johnston</w:t>
      </w:r>
      <w:r w:rsidR="007C0948">
        <w:rPr>
          <w:rFonts w:ascii="Courier New" w:hAnsi="Courier New" w:cs="Courier New"/>
        </w:rPr>
        <w:t xml:space="preserve"> began his analysis by reviewing leases of properties with similar sizes, configurations</w:t>
      </w:r>
      <w:r w:rsidR="00497C71">
        <w:rPr>
          <w:rFonts w:ascii="Courier New" w:hAnsi="Courier New" w:cs="Courier New"/>
        </w:rPr>
        <w:t>,</w:t>
      </w:r>
      <w:r w:rsidR="007C0948">
        <w:rPr>
          <w:rFonts w:ascii="Courier New" w:hAnsi="Courier New" w:cs="Courier New"/>
        </w:rPr>
        <w:t xml:space="preserve"> and locations to those of the subject property.</w:t>
      </w:r>
      <w:r w:rsidR="00FA01FC">
        <w:rPr>
          <w:rFonts w:ascii="Courier New" w:hAnsi="Courier New" w:cs="Courier New"/>
        </w:rPr>
        <w:t xml:space="preserve">  </w:t>
      </w:r>
      <w:r w:rsidR="007C0948">
        <w:rPr>
          <w:rFonts w:ascii="Courier New" w:hAnsi="Courier New" w:cs="Courier New"/>
        </w:rPr>
        <w:t xml:space="preserve">  Based on these factors, Mr. Johnston selected </w:t>
      </w:r>
      <w:r w:rsidR="00497C71">
        <w:rPr>
          <w:rFonts w:ascii="Courier New" w:hAnsi="Courier New" w:cs="Courier New"/>
        </w:rPr>
        <w:t>10</w:t>
      </w:r>
      <w:r w:rsidR="007C0948">
        <w:rPr>
          <w:rFonts w:ascii="Courier New" w:hAnsi="Courier New" w:cs="Courier New"/>
        </w:rPr>
        <w:t xml:space="preserve"> </w:t>
      </w:r>
      <w:r w:rsidR="00295D94">
        <w:rPr>
          <w:rFonts w:ascii="Courier New" w:hAnsi="Courier New" w:cs="Courier New"/>
        </w:rPr>
        <w:t xml:space="preserve">purportedly </w:t>
      </w:r>
      <w:r w:rsidR="007C0948">
        <w:rPr>
          <w:rFonts w:ascii="Courier New" w:hAnsi="Courier New" w:cs="Courier New"/>
        </w:rPr>
        <w:t>comparable leases which are reproduced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189"/>
        <w:gridCol w:w="2772"/>
        <w:gridCol w:w="1136"/>
        <w:gridCol w:w="865"/>
        <w:gridCol w:w="957"/>
        <w:gridCol w:w="2206"/>
      </w:tblGrid>
      <w:tr w:rsidR="005D25DE" w:rsidRPr="00386D6C" w:rsidTr="00FC747D">
        <w:tc>
          <w:tcPr>
            <w:tcW w:w="452" w:type="dxa"/>
            <w:shd w:val="clear" w:color="auto" w:fill="auto"/>
          </w:tcPr>
          <w:p w:rsidR="007C0948" w:rsidRPr="00386D6C" w:rsidRDefault="007C0948" w:rsidP="00FC747D">
            <w:pPr>
              <w:jc w:val="center"/>
              <w:rPr>
                <w:rFonts w:ascii="Courier New" w:hAnsi="Courier New" w:cs="Courier New"/>
                <w:sz w:val="18"/>
                <w:szCs w:val="18"/>
              </w:rPr>
            </w:pPr>
          </w:p>
        </w:tc>
        <w:tc>
          <w:tcPr>
            <w:tcW w:w="1084" w:type="dxa"/>
            <w:shd w:val="clear" w:color="auto" w:fill="auto"/>
          </w:tcPr>
          <w:p w:rsidR="007C0948" w:rsidRPr="00386D6C" w:rsidRDefault="007C0948" w:rsidP="00FC747D">
            <w:pPr>
              <w:jc w:val="center"/>
              <w:rPr>
                <w:rFonts w:ascii="Courier New" w:hAnsi="Courier New" w:cs="Courier New"/>
                <w:sz w:val="18"/>
                <w:szCs w:val="18"/>
              </w:rPr>
            </w:pPr>
            <w:r w:rsidRPr="00386D6C">
              <w:rPr>
                <w:rFonts w:ascii="Courier New" w:hAnsi="Courier New" w:cs="Courier New"/>
                <w:sz w:val="18"/>
                <w:szCs w:val="18"/>
              </w:rPr>
              <w:t>Tenant</w:t>
            </w:r>
          </w:p>
        </w:tc>
        <w:tc>
          <w:tcPr>
            <w:tcW w:w="2842" w:type="dxa"/>
            <w:shd w:val="clear" w:color="auto" w:fill="auto"/>
          </w:tcPr>
          <w:p w:rsidR="007C0948" w:rsidRPr="00386D6C" w:rsidRDefault="007C0948" w:rsidP="00FC747D">
            <w:pPr>
              <w:jc w:val="center"/>
              <w:rPr>
                <w:rFonts w:ascii="Courier New" w:hAnsi="Courier New" w:cs="Courier New"/>
                <w:sz w:val="18"/>
                <w:szCs w:val="18"/>
              </w:rPr>
            </w:pPr>
            <w:r w:rsidRPr="00386D6C">
              <w:rPr>
                <w:rFonts w:ascii="Courier New" w:hAnsi="Courier New" w:cs="Courier New"/>
                <w:sz w:val="18"/>
                <w:szCs w:val="18"/>
              </w:rPr>
              <w:t>Address</w:t>
            </w:r>
          </w:p>
        </w:tc>
        <w:tc>
          <w:tcPr>
            <w:tcW w:w="1145" w:type="dxa"/>
            <w:shd w:val="clear" w:color="auto" w:fill="auto"/>
          </w:tcPr>
          <w:p w:rsidR="007C0948" w:rsidRPr="00386D6C" w:rsidRDefault="007C0948" w:rsidP="00FC747D">
            <w:pPr>
              <w:jc w:val="center"/>
              <w:rPr>
                <w:rFonts w:ascii="Courier New" w:hAnsi="Courier New" w:cs="Courier New"/>
                <w:sz w:val="18"/>
                <w:szCs w:val="18"/>
              </w:rPr>
            </w:pPr>
            <w:r w:rsidRPr="00386D6C">
              <w:rPr>
                <w:rFonts w:ascii="Courier New" w:hAnsi="Courier New" w:cs="Courier New"/>
                <w:sz w:val="18"/>
                <w:szCs w:val="18"/>
              </w:rPr>
              <w:t>Bldg Area</w:t>
            </w:r>
          </w:p>
        </w:tc>
        <w:tc>
          <w:tcPr>
            <w:tcW w:w="817" w:type="dxa"/>
            <w:shd w:val="clear" w:color="auto" w:fill="auto"/>
          </w:tcPr>
          <w:p w:rsidR="007C0948" w:rsidRPr="00386D6C" w:rsidRDefault="007C0948" w:rsidP="00FC747D">
            <w:pPr>
              <w:jc w:val="center"/>
              <w:rPr>
                <w:rFonts w:ascii="Courier New" w:hAnsi="Courier New" w:cs="Courier New"/>
                <w:sz w:val="18"/>
                <w:szCs w:val="18"/>
              </w:rPr>
            </w:pPr>
            <w:r w:rsidRPr="00386D6C">
              <w:rPr>
                <w:rFonts w:ascii="Courier New" w:hAnsi="Courier New" w:cs="Courier New"/>
                <w:sz w:val="18"/>
                <w:szCs w:val="18"/>
              </w:rPr>
              <w:t>Rent PSF</w:t>
            </w:r>
          </w:p>
        </w:tc>
        <w:tc>
          <w:tcPr>
            <w:tcW w:w="968" w:type="dxa"/>
            <w:shd w:val="clear" w:color="auto" w:fill="auto"/>
          </w:tcPr>
          <w:p w:rsidR="005D25DE" w:rsidRPr="00386D6C" w:rsidRDefault="005D25DE" w:rsidP="00FC747D">
            <w:pPr>
              <w:jc w:val="center"/>
              <w:rPr>
                <w:rFonts w:ascii="Courier New" w:hAnsi="Courier New" w:cs="Courier New"/>
                <w:sz w:val="18"/>
                <w:szCs w:val="18"/>
              </w:rPr>
            </w:pPr>
            <w:r w:rsidRPr="00386D6C">
              <w:rPr>
                <w:rFonts w:ascii="Courier New" w:hAnsi="Courier New" w:cs="Courier New"/>
                <w:sz w:val="18"/>
                <w:szCs w:val="18"/>
              </w:rPr>
              <w:t>Date</w:t>
            </w:r>
          </w:p>
          <w:p w:rsidR="007C0948" w:rsidRPr="00386D6C" w:rsidRDefault="007C0948" w:rsidP="00FC747D">
            <w:pPr>
              <w:jc w:val="center"/>
              <w:rPr>
                <w:rFonts w:ascii="Courier New" w:hAnsi="Courier New" w:cs="Courier New"/>
                <w:sz w:val="18"/>
                <w:szCs w:val="18"/>
              </w:rPr>
            </w:pPr>
            <w:r w:rsidRPr="00386D6C">
              <w:rPr>
                <w:rFonts w:ascii="Courier New" w:hAnsi="Courier New" w:cs="Courier New"/>
                <w:sz w:val="18"/>
                <w:szCs w:val="18"/>
              </w:rPr>
              <w:t>Term</w:t>
            </w:r>
          </w:p>
        </w:tc>
        <w:tc>
          <w:tcPr>
            <w:tcW w:w="2268" w:type="dxa"/>
            <w:shd w:val="clear" w:color="auto" w:fill="auto"/>
          </w:tcPr>
          <w:p w:rsidR="007C0948" w:rsidRPr="00386D6C" w:rsidRDefault="007C0948" w:rsidP="00FC747D">
            <w:pPr>
              <w:jc w:val="center"/>
              <w:rPr>
                <w:rFonts w:ascii="Courier New" w:hAnsi="Courier New" w:cs="Courier New"/>
                <w:sz w:val="18"/>
                <w:szCs w:val="18"/>
              </w:rPr>
            </w:pPr>
            <w:r w:rsidRPr="00386D6C">
              <w:rPr>
                <w:rFonts w:ascii="Courier New" w:hAnsi="Courier New" w:cs="Courier New"/>
                <w:sz w:val="18"/>
                <w:szCs w:val="18"/>
              </w:rPr>
              <w:t>Comments</w:t>
            </w:r>
          </w:p>
        </w:tc>
      </w:tr>
      <w:tr w:rsidR="005D25DE" w:rsidRPr="00386D6C" w:rsidTr="00FC747D">
        <w:tc>
          <w:tcPr>
            <w:tcW w:w="452" w:type="dxa"/>
            <w:shd w:val="clear" w:color="auto" w:fill="auto"/>
          </w:tcPr>
          <w:p w:rsidR="007C0948" w:rsidRPr="00386D6C" w:rsidRDefault="005B1CA1" w:rsidP="00FC747D">
            <w:pPr>
              <w:jc w:val="both"/>
              <w:rPr>
                <w:rFonts w:ascii="Courier New" w:hAnsi="Courier New" w:cs="Courier New"/>
                <w:sz w:val="18"/>
                <w:szCs w:val="18"/>
              </w:rPr>
            </w:pPr>
            <w:r>
              <w:rPr>
                <w:rFonts w:ascii="Courier New" w:hAnsi="Courier New" w:cs="Courier New"/>
                <w:sz w:val="18"/>
                <w:szCs w:val="18"/>
              </w:rPr>
              <w:t xml:space="preserve"> </w:t>
            </w:r>
            <w:r w:rsidR="005D25DE" w:rsidRPr="00386D6C">
              <w:rPr>
                <w:rFonts w:ascii="Courier New" w:hAnsi="Courier New" w:cs="Courier New"/>
                <w:sz w:val="18"/>
                <w:szCs w:val="18"/>
              </w:rPr>
              <w:t>1</w:t>
            </w:r>
          </w:p>
        </w:tc>
        <w:tc>
          <w:tcPr>
            <w:tcW w:w="1084" w:type="dxa"/>
            <w:shd w:val="clear" w:color="auto" w:fill="auto"/>
          </w:tcPr>
          <w:p w:rsidR="007C0948" w:rsidRPr="00386D6C" w:rsidRDefault="005D25DE" w:rsidP="00FC747D">
            <w:pPr>
              <w:jc w:val="both"/>
              <w:rPr>
                <w:rFonts w:ascii="Courier New" w:hAnsi="Courier New" w:cs="Courier New"/>
                <w:sz w:val="18"/>
                <w:szCs w:val="18"/>
              </w:rPr>
            </w:pPr>
            <w:r w:rsidRPr="00386D6C">
              <w:rPr>
                <w:rFonts w:ascii="Courier New" w:hAnsi="Courier New" w:cs="Courier New"/>
                <w:sz w:val="18"/>
                <w:szCs w:val="18"/>
              </w:rPr>
              <w:t>Home Depot</w:t>
            </w:r>
          </w:p>
        </w:tc>
        <w:tc>
          <w:tcPr>
            <w:tcW w:w="2842" w:type="dxa"/>
            <w:shd w:val="clear" w:color="auto" w:fill="auto"/>
          </w:tcPr>
          <w:p w:rsidR="00386D6C" w:rsidRDefault="005D25DE" w:rsidP="00386D6C">
            <w:pPr>
              <w:jc w:val="both"/>
              <w:rPr>
                <w:rFonts w:ascii="Courier New" w:hAnsi="Courier New" w:cs="Courier New"/>
                <w:sz w:val="18"/>
                <w:szCs w:val="18"/>
              </w:rPr>
            </w:pPr>
            <w:r w:rsidRPr="00386D6C">
              <w:rPr>
                <w:rFonts w:ascii="Courier New" w:hAnsi="Courier New" w:cs="Courier New"/>
                <w:sz w:val="18"/>
                <w:szCs w:val="18"/>
              </w:rPr>
              <w:t>1453 Pleasant St</w:t>
            </w:r>
            <w:r w:rsidR="00497C71">
              <w:rPr>
                <w:rFonts w:ascii="Courier New" w:hAnsi="Courier New" w:cs="Courier New"/>
                <w:sz w:val="18"/>
                <w:szCs w:val="18"/>
              </w:rPr>
              <w:t>.,</w:t>
            </w:r>
          </w:p>
          <w:p w:rsidR="007C0948" w:rsidRPr="00386D6C" w:rsidRDefault="005D25DE" w:rsidP="00386D6C">
            <w:pPr>
              <w:jc w:val="both"/>
              <w:rPr>
                <w:rFonts w:ascii="Courier New" w:hAnsi="Courier New" w:cs="Courier New"/>
                <w:sz w:val="18"/>
                <w:szCs w:val="18"/>
              </w:rPr>
            </w:pPr>
            <w:r w:rsidRPr="00386D6C">
              <w:rPr>
                <w:rFonts w:ascii="Courier New" w:hAnsi="Courier New" w:cs="Courier New"/>
                <w:sz w:val="18"/>
                <w:szCs w:val="18"/>
              </w:rPr>
              <w:t>Bridgewater</w:t>
            </w:r>
            <w:r w:rsidR="00497C71">
              <w:rPr>
                <w:rFonts w:ascii="Courier New" w:hAnsi="Courier New" w:cs="Courier New"/>
                <w:sz w:val="18"/>
                <w:szCs w:val="18"/>
              </w:rPr>
              <w:t>, MA</w:t>
            </w:r>
          </w:p>
        </w:tc>
        <w:tc>
          <w:tcPr>
            <w:tcW w:w="1145" w:type="dxa"/>
            <w:shd w:val="clear" w:color="auto" w:fill="auto"/>
          </w:tcPr>
          <w:p w:rsidR="007C0948" w:rsidRPr="00386D6C" w:rsidRDefault="005D25DE" w:rsidP="00FC747D">
            <w:pPr>
              <w:jc w:val="both"/>
              <w:rPr>
                <w:rFonts w:ascii="Courier New" w:hAnsi="Courier New" w:cs="Courier New"/>
                <w:sz w:val="18"/>
                <w:szCs w:val="18"/>
              </w:rPr>
            </w:pPr>
            <w:r w:rsidRPr="00386D6C">
              <w:rPr>
                <w:rFonts w:ascii="Courier New" w:hAnsi="Courier New" w:cs="Courier New"/>
                <w:sz w:val="18"/>
                <w:szCs w:val="18"/>
              </w:rPr>
              <w:t>132,984</w:t>
            </w:r>
          </w:p>
        </w:tc>
        <w:tc>
          <w:tcPr>
            <w:tcW w:w="817" w:type="dxa"/>
            <w:shd w:val="clear" w:color="auto" w:fill="auto"/>
          </w:tcPr>
          <w:p w:rsidR="007C0948" w:rsidRPr="00386D6C" w:rsidRDefault="005D25DE" w:rsidP="00FC747D">
            <w:pPr>
              <w:jc w:val="both"/>
              <w:rPr>
                <w:rFonts w:ascii="Courier New" w:hAnsi="Courier New" w:cs="Courier New"/>
                <w:sz w:val="18"/>
                <w:szCs w:val="18"/>
              </w:rPr>
            </w:pPr>
            <w:r w:rsidRPr="00386D6C">
              <w:rPr>
                <w:rFonts w:ascii="Courier New" w:hAnsi="Courier New" w:cs="Courier New"/>
                <w:sz w:val="18"/>
                <w:szCs w:val="18"/>
              </w:rPr>
              <w:t>$</w:t>
            </w:r>
            <w:r w:rsidR="00386D6C">
              <w:rPr>
                <w:rFonts w:ascii="Courier New" w:hAnsi="Courier New" w:cs="Courier New"/>
                <w:sz w:val="18"/>
                <w:szCs w:val="18"/>
              </w:rPr>
              <w:t xml:space="preserve"> </w:t>
            </w:r>
            <w:r w:rsidRPr="00386D6C">
              <w:rPr>
                <w:rFonts w:ascii="Courier New" w:hAnsi="Courier New" w:cs="Courier New"/>
                <w:sz w:val="18"/>
                <w:szCs w:val="18"/>
              </w:rPr>
              <w:t>6.20</w:t>
            </w:r>
          </w:p>
        </w:tc>
        <w:tc>
          <w:tcPr>
            <w:tcW w:w="968" w:type="dxa"/>
            <w:shd w:val="clear" w:color="auto" w:fill="auto"/>
          </w:tcPr>
          <w:p w:rsidR="005D25DE" w:rsidRPr="00386D6C" w:rsidRDefault="00386D6C" w:rsidP="00386D6C">
            <w:pPr>
              <w:rPr>
                <w:rFonts w:ascii="Courier New" w:hAnsi="Courier New" w:cs="Courier New"/>
                <w:sz w:val="18"/>
                <w:szCs w:val="18"/>
              </w:rPr>
            </w:pPr>
            <w:r>
              <w:rPr>
                <w:rFonts w:ascii="Courier New" w:hAnsi="Courier New" w:cs="Courier New"/>
                <w:sz w:val="18"/>
                <w:szCs w:val="18"/>
              </w:rPr>
              <w:t xml:space="preserve"> </w:t>
            </w:r>
            <w:r w:rsidR="005D25DE" w:rsidRPr="00386D6C">
              <w:rPr>
                <w:rFonts w:ascii="Courier New" w:hAnsi="Courier New" w:cs="Courier New"/>
                <w:sz w:val="18"/>
                <w:szCs w:val="18"/>
              </w:rPr>
              <w:t>2/08</w:t>
            </w:r>
          </w:p>
          <w:p w:rsidR="007C0948" w:rsidRPr="00386D6C" w:rsidRDefault="005D25DE" w:rsidP="00386D6C">
            <w:pPr>
              <w:rPr>
                <w:rFonts w:ascii="Courier New" w:hAnsi="Courier New" w:cs="Courier New"/>
                <w:sz w:val="18"/>
                <w:szCs w:val="18"/>
              </w:rPr>
            </w:pPr>
            <w:r w:rsidRPr="00386D6C">
              <w:rPr>
                <w:rFonts w:ascii="Courier New" w:hAnsi="Courier New" w:cs="Courier New"/>
                <w:sz w:val="18"/>
                <w:szCs w:val="18"/>
              </w:rPr>
              <w:t>25 yrs</w:t>
            </w:r>
          </w:p>
        </w:tc>
        <w:tc>
          <w:tcPr>
            <w:tcW w:w="2268" w:type="dxa"/>
            <w:shd w:val="clear" w:color="auto" w:fill="auto"/>
          </w:tcPr>
          <w:p w:rsidR="007C0948" w:rsidRPr="00386D6C" w:rsidRDefault="005D25DE" w:rsidP="00386D6C">
            <w:pPr>
              <w:jc w:val="both"/>
              <w:rPr>
                <w:rFonts w:ascii="Courier New" w:hAnsi="Courier New" w:cs="Courier New"/>
                <w:sz w:val="18"/>
                <w:szCs w:val="18"/>
              </w:rPr>
            </w:pPr>
            <w:r w:rsidRPr="00386D6C">
              <w:rPr>
                <w:rFonts w:ascii="Courier New" w:hAnsi="Courier New" w:cs="Courier New"/>
                <w:sz w:val="18"/>
                <w:szCs w:val="18"/>
              </w:rPr>
              <w:t xml:space="preserve">Ground </w:t>
            </w:r>
            <w:r w:rsidR="00386D6C" w:rsidRPr="00386D6C">
              <w:rPr>
                <w:rFonts w:ascii="Courier New" w:hAnsi="Courier New" w:cs="Courier New"/>
                <w:sz w:val="18"/>
                <w:szCs w:val="18"/>
              </w:rPr>
              <w:t xml:space="preserve">Lse </w:t>
            </w:r>
            <w:r w:rsidR="00386D6C">
              <w:rPr>
                <w:rFonts w:ascii="Courier New" w:hAnsi="Courier New" w:cs="Courier New"/>
                <w:sz w:val="18"/>
                <w:szCs w:val="18"/>
              </w:rPr>
              <w:t>Land</w:t>
            </w:r>
          </w:p>
        </w:tc>
      </w:tr>
      <w:tr w:rsidR="00386D6C" w:rsidRPr="00386D6C" w:rsidTr="00FC747D">
        <w:tc>
          <w:tcPr>
            <w:tcW w:w="452" w:type="dxa"/>
            <w:shd w:val="clear" w:color="auto" w:fill="auto"/>
          </w:tcPr>
          <w:p w:rsidR="00386D6C" w:rsidRPr="00386D6C" w:rsidRDefault="005B1CA1" w:rsidP="00FC747D">
            <w:pPr>
              <w:jc w:val="both"/>
              <w:rPr>
                <w:rFonts w:ascii="Courier New" w:hAnsi="Courier New" w:cs="Courier New"/>
                <w:sz w:val="18"/>
                <w:szCs w:val="18"/>
              </w:rPr>
            </w:pPr>
            <w:r>
              <w:rPr>
                <w:rFonts w:ascii="Courier New" w:hAnsi="Courier New" w:cs="Courier New"/>
                <w:sz w:val="18"/>
                <w:szCs w:val="18"/>
              </w:rPr>
              <w:t xml:space="preserve"> </w:t>
            </w:r>
            <w:r w:rsidR="00386D6C" w:rsidRPr="00386D6C">
              <w:rPr>
                <w:rFonts w:ascii="Courier New" w:hAnsi="Courier New" w:cs="Courier New"/>
                <w:sz w:val="18"/>
                <w:szCs w:val="18"/>
              </w:rPr>
              <w:t>2</w:t>
            </w:r>
          </w:p>
        </w:tc>
        <w:tc>
          <w:tcPr>
            <w:tcW w:w="1084" w:type="dxa"/>
            <w:shd w:val="clear" w:color="auto" w:fill="auto"/>
          </w:tcPr>
          <w:p w:rsidR="00386D6C" w:rsidRPr="00386D6C" w:rsidRDefault="00386D6C" w:rsidP="00FC747D">
            <w:pPr>
              <w:jc w:val="both"/>
              <w:rPr>
                <w:rFonts w:ascii="Courier New" w:hAnsi="Courier New" w:cs="Courier New"/>
                <w:sz w:val="18"/>
                <w:szCs w:val="18"/>
              </w:rPr>
            </w:pPr>
            <w:r w:rsidRPr="00386D6C">
              <w:rPr>
                <w:rFonts w:ascii="Courier New" w:hAnsi="Courier New" w:cs="Courier New"/>
                <w:sz w:val="18"/>
                <w:szCs w:val="18"/>
              </w:rPr>
              <w:t>Lowe’s</w:t>
            </w:r>
          </w:p>
        </w:tc>
        <w:tc>
          <w:tcPr>
            <w:tcW w:w="2842" w:type="dxa"/>
            <w:shd w:val="clear" w:color="auto" w:fill="auto"/>
          </w:tcPr>
          <w:p w:rsidR="00386D6C" w:rsidRPr="00386D6C" w:rsidRDefault="00497C71" w:rsidP="00FC747D">
            <w:pPr>
              <w:jc w:val="both"/>
              <w:rPr>
                <w:rFonts w:ascii="Courier New" w:hAnsi="Courier New" w:cs="Courier New"/>
                <w:sz w:val="18"/>
                <w:szCs w:val="18"/>
              </w:rPr>
            </w:pPr>
            <w:r>
              <w:rPr>
                <w:rFonts w:ascii="Courier New" w:hAnsi="Courier New" w:cs="Courier New"/>
                <w:sz w:val="18"/>
                <w:szCs w:val="18"/>
              </w:rPr>
              <w:t>635 Huse Rd.,</w:t>
            </w:r>
          </w:p>
          <w:p w:rsidR="00386D6C" w:rsidRPr="00386D6C" w:rsidRDefault="00386D6C" w:rsidP="00FC747D">
            <w:pPr>
              <w:jc w:val="both"/>
              <w:rPr>
                <w:rFonts w:ascii="Courier New" w:hAnsi="Courier New" w:cs="Courier New"/>
                <w:sz w:val="18"/>
                <w:szCs w:val="18"/>
              </w:rPr>
            </w:pPr>
            <w:r w:rsidRPr="00386D6C">
              <w:rPr>
                <w:rFonts w:ascii="Courier New" w:hAnsi="Courier New" w:cs="Courier New"/>
                <w:sz w:val="18"/>
                <w:szCs w:val="18"/>
              </w:rPr>
              <w:t>Manchester</w:t>
            </w:r>
            <w:r>
              <w:rPr>
                <w:rFonts w:ascii="Courier New" w:hAnsi="Courier New" w:cs="Courier New"/>
                <w:sz w:val="18"/>
                <w:szCs w:val="18"/>
              </w:rPr>
              <w:t>, NH</w:t>
            </w:r>
          </w:p>
        </w:tc>
        <w:tc>
          <w:tcPr>
            <w:tcW w:w="1145" w:type="dxa"/>
            <w:shd w:val="clear" w:color="auto" w:fill="auto"/>
          </w:tcPr>
          <w:p w:rsidR="00386D6C" w:rsidRPr="00386D6C" w:rsidRDefault="00386D6C" w:rsidP="00FC747D">
            <w:pPr>
              <w:jc w:val="both"/>
              <w:rPr>
                <w:rFonts w:ascii="Courier New" w:hAnsi="Courier New" w:cs="Courier New"/>
                <w:sz w:val="18"/>
                <w:szCs w:val="18"/>
              </w:rPr>
            </w:pPr>
            <w:r>
              <w:rPr>
                <w:rFonts w:ascii="Courier New" w:hAnsi="Courier New" w:cs="Courier New"/>
                <w:sz w:val="18"/>
                <w:szCs w:val="18"/>
              </w:rPr>
              <w:t>157,626</w:t>
            </w:r>
          </w:p>
        </w:tc>
        <w:tc>
          <w:tcPr>
            <w:tcW w:w="817" w:type="dxa"/>
            <w:shd w:val="clear" w:color="auto" w:fill="auto"/>
          </w:tcPr>
          <w:p w:rsidR="00386D6C" w:rsidRPr="00386D6C" w:rsidRDefault="00386D6C" w:rsidP="00FC747D">
            <w:pPr>
              <w:jc w:val="both"/>
              <w:rPr>
                <w:rFonts w:ascii="Courier New" w:hAnsi="Courier New" w:cs="Courier New"/>
                <w:sz w:val="18"/>
                <w:szCs w:val="18"/>
              </w:rPr>
            </w:pPr>
            <w:r>
              <w:rPr>
                <w:rFonts w:ascii="Courier New" w:hAnsi="Courier New" w:cs="Courier New"/>
                <w:sz w:val="18"/>
                <w:szCs w:val="18"/>
              </w:rPr>
              <w:t>$ 8.25</w:t>
            </w:r>
          </w:p>
        </w:tc>
        <w:tc>
          <w:tcPr>
            <w:tcW w:w="968" w:type="dxa"/>
            <w:shd w:val="clear" w:color="auto" w:fill="auto"/>
          </w:tcPr>
          <w:p w:rsidR="00386D6C" w:rsidRDefault="00386D6C" w:rsidP="00386D6C">
            <w:pPr>
              <w:rPr>
                <w:rFonts w:ascii="Courier New" w:hAnsi="Courier New" w:cs="Courier New"/>
                <w:sz w:val="18"/>
                <w:szCs w:val="18"/>
              </w:rPr>
            </w:pPr>
            <w:r>
              <w:rPr>
                <w:rFonts w:ascii="Courier New" w:hAnsi="Courier New" w:cs="Courier New"/>
                <w:sz w:val="18"/>
                <w:szCs w:val="18"/>
              </w:rPr>
              <w:t xml:space="preserve"> 1/09</w:t>
            </w:r>
          </w:p>
          <w:p w:rsidR="00386D6C" w:rsidRPr="00386D6C" w:rsidRDefault="00386D6C" w:rsidP="00386D6C">
            <w:pPr>
              <w:rPr>
                <w:rFonts w:ascii="Courier New" w:hAnsi="Courier New" w:cs="Courier New"/>
                <w:sz w:val="18"/>
                <w:szCs w:val="18"/>
              </w:rPr>
            </w:pPr>
            <w:r>
              <w:rPr>
                <w:rFonts w:ascii="Courier New" w:hAnsi="Courier New" w:cs="Courier New"/>
                <w:sz w:val="18"/>
                <w:szCs w:val="18"/>
              </w:rPr>
              <w:t>20 yrs</w:t>
            </w:r>
          </w:p>
        </w:tc>
        <w:tc>
          <w:tcPr>
            <w:tcW w:w="2268" w:type="dxa"/>
            <w:shd w:val="clear" w:color="auto" w:fill="auto"/>
          </w:tcPr>
          <w:p w:rsidR="00386D6C" w:rsidRPr="00386D6C" w:rsidRDefault="00C31164" w:rsidP="00FC747D">
            <w:pPr>
              <w:jc w:val="both"/>
              <w:rPr>
                <w:rFonts w:ascii="Courier New" w:hAnsi="Courier New" w:cs="Courier New"/>
                <w:sz w:val="18"/>
                <w:szCs w:val="18"/>
              </w:rPr>
            </w:pPr>
            <w:r>
              <w:rPr>
                <w:rFonts w:ascii="Courier New" w:hAnsi="Courier New" w:cs="Courier New"/>
                <w:sz w:val="18"/>
                <w:szCs w:val="18"/>
              </w:rPr>
              <w:t>Ground Lse L</w:t>
            </w:r>
            <w:r w:rsidR="00386D6C">
              <w:rPr>
                <w:rFonts w:ascii="Courier New" w:hAnsi="Courier New" w:cs="Courier New"/>
                <w:sz w:val="18"/>
                <w:szCs w:val="18"/>
              </w:rPr>
              <w:t>and</w:t>
            </w:r>
          </w:p>
        </w:tc>
      </w:tr>
      <w:tr w:rsidR="00386D6C" w:rsidRPr="00386D6C" w:rsidTr="00FC747D">
        <w:tc>
          <w:tcPr>
            <w:tcW w:w="452" w:type="dxa"/>
            <w:shd w:val="clear" w:color="auto" w:fill="auto"/>
          </w:tcPr>
          <w:p w:rsidR="00386D6C" w:rsidRPr="00386D6C" w:rsidRDefault="005B1CA1" w:rsidP="00FC747D">
            <w:pPr>
              <w:jc w:val="both"/>
              <w:rPr>
                <w:rFonts w:ascii="Courier New" w:hAnsi="Courier New" w:cs="Courier New"/>
                <w:sz w:val="18"/>
                <w:szCs w:val="18"/>
              </w:rPr>
            </w:pPr>
            <w:r>
              <w:rPr>
                <w:rFonts w:ascii="Courier New" w:hAnsi="Courier New" w:cs="Courier New"/>
                <w:sz w:val="18"/>
                <w:szCs w:val="18"/>
              </w:rPr>
              <w:t xml:space="preserve"> </w:t>
            </w:r>
            <w:r w:rsidR="00386D6C">
              <w:rPr>
                <w:rFonts w:ascii="Courier New" w:hAnsi="Courier New" w:cs="Courier New"/>
                <w:sz w:val="18"/>
                <w:szCs w:val="18"/>
              </w:rPr>
              <w:t>3</w:t>
            </w:r>
          </w:p>
        </w:tc>
        <w:tc>
          <w:tcPr>
            <w:tcW w:w="1084" w:type="dxa"/>
            <w:shd w:val="clear" w:color="auto" w:fill="auto"/>
          </w:tcPr>
          <w:p w:rsidR="00386D6C" w:rsidRPr="00386D6C" w:rsidRDefault="00386D6C" w:rsidP="00FC747D">
            <w:pPr>
              <w:jc w:val="both"/>
              <w:rPr>
                <w:rFonts w:ascii="Courier New" w:hAnsi="Courier New" w:cs="Courier New"/>
                <w:sz w:val="18"/>
                <w:szCs w:val="18"/>
              </w:rPr>
            </w:pPr>
            <w:r>
              <w:rPr>
                <w:rFonts w:ascii="Courier New" w:hAnsi="Courier New" w:cs="Courier New"/>
                <w:sz w:val="18"/>
                <w:szCs w:val="18"/>
              </w:rPr>
              <w:t>BJ’s</w:t>
            </w:r>
            <w:r w:rsidR="00497C71">
              <w:rPr>
                <w:rFonts w:ascii="Courier New" w:hAnsi="Courier New" w:cs="Courier New"/>
                <w:sz w:val="18"/>
                <w:szCs w:val="18"/>
              </w:rPr>
              <w:t xml:space="preserve"> Wholesale</w:t>
            </w:r>
          </w:p>
        </w:tc>
        <w:tc>
          <w:tcPr>
            <w:tcW w:w="2842" w:type="dxa"/>
            <w:shd w:val="clear" w:color="auto" w:fill="auto"/>
          </w:tcPr>
          <w:p w:rsidR="00386D6C" w:rsidRDefault="00497C71" w:rsidP="00FC747D">
            <w:pPr>
              <w:jc w:val="both"/>
              <w:rPr>
                <w:rFonts w:ascii="Courier New" w:hAnsi="Courier New" w:cs="Courier New"/>
                <w:sz w:val="18"/>
                <w:szCs w:val="18"/>
              </w:rPr>
            </w:pPr>
            <w:r>
              <w:rPr>
                <w:rFonts w:ascii="Courier New" w:hAnsi="Courier New" w:cs="Courier New"/>
                <w:sz w:val="18"/>
                <w:szCs w:val="18"/>
              </w:rPr>
              <w:t>5 Ward St.,</w:t>
            </w:r>
          </w:p>
          <w:p w:rsidR="00386D6C" w:rsidRPr="00386D6C" w:rsidRDefault="00386D6C" w:rsidP="00FC747D">
            <w:pPr>
              <w:jc w:val="both"/>
              <w:rPr>
                <w:rFonts w:ascii="Courier New" w:hAnsi="Courier New" w:cs="Courier New"/>
                <w:sz w:val="18"/>
                <w:szCs w:val="18"/>
              </w:rPr>
            </w:pPr>
            <w:r>
              <w:rPr>
                <w:rFonts w:ascii="Courier New" w:hAnsi="Courier New" w:cs="Courier New"/>
                <w:sz w:val="18"/>
                <w:szCs w:val="18"/>
              </w:rPr>
              <w:t>Revere</w:t>
            </w:r>
            <w:r w:rsidR="00497C71">
              <w:rPr>
                <w:rFonts w:ascii="Courier New" w:hAnsi="Courier New" w:cs="Courier New"/>
                <w:sz w:val="18"/>
                <w:szCs w:val="18"/>
              </w:rPr>
              <w:t>, MA</w:t>
            </w:r>
          </w:p>
        </w:tc>
        <w:tc>
          <w:tcPr>
            <w:tcW w:w="1145"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120,224</w:t>
            </w:r>
          </w:p>
        </w:tc>
        <w:tc>
          <w:tcPr>
            <w:tcW w:w="817"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$ 8.90</w:t>
            </w:r>
          </w:p>
        </w:tc>
        <w:tc>
          <w:tcPr>
            <w:tcW w:w="968" w:type="dxa"/>
            <w:shd w:val="clear" w:color="auto" w:fill="auto"/>
          </w:tcPr>
          <w:p w:rsidR="00386D6C" w:rsidRDefault="00497C71" w:rsidP="00386D6C">
            <w:pPr>
              <w:rPr>
                <w:rFonts w:ascii="Courier New" w:hAnsi="Courier New" w:cs="Courier New"/>
                <w:sz w:val="18"/>
                <w:szCs w:val="18"/>
              </w:rPr>
            </w:pPr>
            <w:r>
              <w:rPr>
                <w:rFonts w:ascii="Courier New" w:hAnsi="Courier New" w:cs="Courier New"/>
                <w:sz w:val="18"/>
                <w:szCs w:val="18"/>
              </w:rPr>
              <w:t xml:space="preserve"> </w:t>
            </w:r>
            <w:r w:rsidR="00386D6C">
              <w:rPr>
                <w:rFonts w:ascii="Courier New" w:hAnsi="Courier New" w:cs="Courier New"/>
                <w:sz w:val="18"/>
                <w:szCs w:val="18"/>
              </w:rPr>
              <w:t>2009</w:t>
            </w:r>
          </w:p>
          <w:p w:rsidR="00386D6C" w:rsidRDefault="00386D6C" w:rsidP="00386D6C">
            <w:pPr>
              <w:rPr>
                <w:rFonts w:ascii="Courier New" w:hAnsi="Courier New" w:cs="Courier New"/>
                <w:sz w:val="18"/>
                <w:szCs w:val="18"/>
              </w:rPr>
            </w:pPr>
            <w:r>
              <w:rPr>
                <w:rFonts w:ascii="Courier New" w:hAnsi="Courier New" w:cs="Courier New"/>
                <w:sz w:val="18"/>
                <w:szCs w:val="18"/>
              </w:rPr>
              <w:t>15 yrs</w:t>
            </w:r>
          </w:p>
        </w:tc>
        <w:tc>
          <w:tcPr>
            <w:tcW w:w="2268"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Ground Lse Land</w:t>
            </w:r>
          </w:p>
        </w:tc>
      </w:tr>
      <w:tr w:rsidR="00386D6C" w:rsidRPr="00386D6C" w:rsidTr="00FC747D">
        <w:tc>
          <w:tcPr>
            <w:tcW w:w="452" w:type="dxa"/>
            <w:shd w:val="clear" w:color="auto" w:fill="auto"/>
          </w:tcPr>
          <w:p w:rsidR="00386D6C" w:rsidRDefault="005B1CA1" w:rsidP="00FC747D">
            <w:pPr>
              <w:jc w:val="both"/>
              <w:rPr>
                <w:rFonts w:ascii="Courier New" w:hAnsi="Courier New" w:cs="Courier New"/>
                <w:sz w:val="18"/>
                <w:szCs w:val="18"/>
              </w:rPr>
            </w:pPr>
            <w:r>
              <w:rPr>
                <w:rFonts w:ascii="Courier New" w:hAnsi="Courier New" w:cs="Courier New"/>
                <w:sz w:val="18"/>
                <w:szCs w:val="18"/>
              </w:rPr>
              <w:t xml:space="preserve"> </w:t>
            </w:r>
            <w:r w:rsidR="00386D6C">
              <w:rPr>
                <w:rFonts w:ascii="Courier New" w:hAnsi="Courier New" w:cs="Courier New"/>
                <w:sz w:val="18"/>
                <w:szCs w:val="18"/>
              </w:rPr>
              <w:t>4</w:t>
            </w:r>
          </w:p>
        </w:tc>
        <w:tc>
          <w:tcPr>
            <w:tcW w:w="1084"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Kohl</w:t>
            </w:r>
            <w:r w:rsidR="00497C71">
              <w:rPr>
                <w:rFonts w:ascii="Courier New" w:hAnsi="Courier New" w:cs="Courier New"/>
                <w:sz w:val="18"/>
                <w:szCs w:val="18"/>
              </w:rPr>
              <w:t>’</w:t>
            </w:r>
            <w:r>
              <w:rPr>
                <w:rFonts w:ascii="Courier New" w:hAnsi="Courier New" w:cs="Courier New"/>
                <w:sz w:val="18"/>
                <w:szCs w:val="18"/>
              </w:rPr>
              <w:t>s</w:t>
            </w:r>
          </w:p>
        </w:tc>
        <w:tc>
          <w:tcPr>
            <w:tcW w:w="2842"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Walpole Mall</w:t>
            </w:r>
            <w:r w:rsidR="00497C71">
              <w:rPr>
                <w:rFonts w:ascii="Courier New" w:hAnsi="Courier New" w:cs="Courier New"/>
                <w:sz w:val="18"/>
                <w:szCs w:val="18"/>
              </w:rPr>
              <w:t xml:space="preserve">, </w:t>
            </w:r>
          </w:p>
          <w:p w:rsidR="00386D6C" w:rsidRDefault="00386D6C" w:rsidP="00FC747D">
            <w:pPr>
              <w:jc w:val="both"/>
              <w:rPr>
                <w:rFonts w:ascii="Courier New" w:hAnsi="Courier New" w:cs="Courier New"/>
                <w:sz w:val="18"/>
                <w:szCs w:val="18"/>
              </w:rPr>
            </w:pPr>
            <w:r>
              <w:rPr>
                <w:rFonts w:ascii="Courier New" w:hAnsi="Courier New" w:cs="Courier New"/>
                <w:sz w:val="18"/>
                <w:szCs w:val="18"/>
              </w:rPr>
              <w:t>Walpole</w:t>
            </w:r>
            <w:r w:rsidR="00497C71">
              <w:rPr>
                <w:rFonts w:ascii="Courier New" w:hAnsi="Courier New" w:cs="Courier New"/>
                <w:sz w:val="18"/>
                <w:szCs w:val="18"/>
              </w:rPr>
              <w:t>, MA</w:t>
            </w:r>
          </w:p>
        </w:tc>
        <w:tc>
          <w:tcPr>
            <w:tcW w:w="1145"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102,445</w:t>
            </w:r>
          </w:p>
        </w:tc>
        <w:tc>
          <w:tcPr>
            <w:tcW w:w="817"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$ 9.50</w:t>
            </w:r>
          </w:p>
        </w:tc>
        <w:tc>
          <w:tcPr>
            <w:tcW w:w="968" w:type="dxa"/>
            <w:shd w:val="clear" w:color="auto" w:fill="auto"/>
          </w:tcPr>
          <w:p w:rsidR="00386D6C" w:rsidRDefault="00386D6C" w:rsidP="00386D6C">
            <w:pPr>
              <w:rPr>
                <w:rFonts w:ascii="Courier New" w:hAnsi="Courier New" w:cs="Courier New"/>
                <w:sz w:val="18"/>
                <w:szCs w:val="18"/>
              </w:rPr>
            </w:pPr>
            <w:r>
              <w:rPr>
                <w:rFonts w:ascii="Courier New" w:hAnsi="Courier New" w:cs="Courier New"/>
                <w:sz w:val="18"/>
                <w:szCs w:val="18"/>
              </w:rPr>
              <w:t xml:space="preserve"> 1/09</w:t>
            </w:r>
          </w:p>
          <w:p w:rsidR="00386D6C" w:rsidRDefault="00386D6C" w:rsidP="00386D6C">
            <w:pPr>
              <w:rPr>
                <w:rFonts w:ascii="Courier New" w:hAnsi="Courier New" w:cs="Courier New"/>
                <w:sz w:val="18"/>
                <w:szCs w:val="18"/>
              </w:rPr>
            </w:pPr>
            <w:r>
              <w:rPr>
                <w:rFonts w:ascii="Courier New" w:hAnsi="Courier New" w:cs="Courier New"/>
                <w:sz w:val="18"/>
                <w:szCs w:val="18"/>
              </w:rPr>
              <w:t>20 yrs</w:t>
            </w:r>
          </w:p>
        </w:tc>
        <w:tc>
          <w:tcPr>
            <w:tcW w:w="2268"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Renewal</w:t>
            </w:r>
          </w:p>
        </w:tc>
      </w:tr>
      <w:tr w:rsidR="00386D6C" w:rsidRPr="00386D6C" w:rsidTr="00FC747D">
        <w:tc>
          <w:tcPr>
            <w:tcW w:w="452" w:type="dxa"/>
            <w:shd w:val="clear" w:color="auto" w:fill="auto"/>
          </w:tcPr>
          <w:p w:rsidR="00386D6C" w:rsidRDefault="005B1CA1" w:rsidP="00FC747D">
            <w:pPr>
              <w:jc w:val="both"/>
              <w:rPr>
                <w:rFonts w:ascii="Courier New" w:hAnsi="Courier New" w:cs="Courier New"/>
                <w:sz w:val="18"/>
                <w:szCs w:val="18"/>
              </w:rPr>
            </w:pPr>
            <w:r>
              <w:rPr>
                <w:rFonts w:ascii="Courier New" w:hAnsi="Courier New" w:cs="Courier New"/>
                <w:sz w:val="18"/>
                <w:szCs w:val="18"/>
              </w:rPr>
              <w:t xml:space="preserve"> </w:t>
            </w:r>
            <w:r w:rsidR="00386D6C">
              <w:rPr>
                <w:rFonts w:ascii="Courier New" w:hAnsi="Courier New" w:cs="Courier New"/>
                <w:sz w:val="18"/>
                <w:szCs w:val="18"/>
              </w:rPr>
              <w:t>5</w:t>
            </w:r>
          </w:p>
        </w:tc>
        <w:tc>
          <w:tcPr>
            <w:tcW w:w="1084"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Home Depot</w:t>
            </w:r>
          </w:p>
        </w:tc>
        <w:tc>
          <w:tcPr>
            <w:tcW w:w="2842"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500 Spaulding Tpke</w:t>
            </w:r>
            <w:r w:rsidR="00497C71">
              <w:rPr>
                <w:rFonts w:ascii="Courier New" w:hAnsi="Courier New" w:cs="Courier New"/>
                <w:sz w:val="18"/>
                <w:szCs w:val="18"/>
              </w:rPr>
              <w:t>.,</w:t>
            </w:r>
          </w:p>
          <w:p w:rsidR="00386D6C" w:rsidRDefault="00386D6C" w:rsidP="00FC747D">
            <w:pPr>
              <w:jc w:val="both"/>
              <w:rPr>
                <w:rFonts w:ascii="Courier New" w:hAnsi="Courier New" w:cs="Courier New"/>
                <w:sz w:val="18"/>
                <w:szCs w:val="18"/>
              </w:rPr>
            </w:pPr>
            <w:r>
              <w:rPr>
                <w:rFonts w:ascii="Courier New" w:hAnsi="Courier New" w:cs="Courier New"/>
                <w:sz w:val="18"/>
                <w:szCs w:val="18"/>
              </w:rPr>
              <w:t>Portsmouth, NH</w:t>
            </w:r>
          </w:p>
        </w:tc>
        <w:tc>
          <w:tcPr>
            <w:tcW w:w="1145"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145,193</w:t>
            </w:r>
          </w:p>
        </w:tc>
        <w:tc>
          <w:tcPr>
            <w:tcW w:w="817"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$ 9.64</w:t>
            </w:r>
          </w:p>
        </w:tc>
        <w:tc>
          <w:tcPr>
            <w:tcW w:w="968" w:type="dxa"/>
            <w:shd w:val="clear" w:color="auto" w:fill="auto"/>
          </w:tcPr>
          <w:p w:rsidR="00386D6C" w:rsidRDefault="00386D6C" w:rsidP="00386D6C">
            <w:pPr>
              <w:rPr>
                <w:rFonts w:ascii="Courier New" w:hAnsi="Courier New" w:cs="Courier New"/>
                <w:sz w:val="18"/>
                <w:szCs w:val="18"/>
              </w:rPr>
            </w:pPr>
            <w:r>
              <w:rPr>
                <w:rFonts w:ascii="Courier New" w:hAnsi="Courier New" w:cs="Courier New"/>
                <w:sz w:val="18"/>
                <w:szCs w:val="18"/>
              </w:rPr>
              <w:t xml:space="preserve"> 7/07</w:t>
            </w:r>
          </w:p>
          <w:p w:rsidR="00386D6C" w:rsidRDefault="00386D6C" w:rsidP="00386D6C">
            <w:pPr>
              <w:rPr>
                <w:rFonts w:ascii="Courier New" w:hAnsi="Courier New" w:cs="Courier New"/>
                <w:sz w:val="18"/>
                <w:szCs w:val="18"/>
              </w:rPr>
            </w:pPr>
            <w:r>
              <w:rPr>
                <w:rFonts w:ascii="Courier New" w:hAnsi="Courier New" w:cs="Courier New"/>
                <w:sz w:val="18"/>
                <w:szCs w:val="18"/>
              </w:rPr>
              <w:t>30 yrs</w:t>
            </w:r>
          </w:p>
        </w:tc>
        <w:tc>
          <w:tcPr>
            <w:tcW w:w="2268"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Ground Lse Land</w:t>
            </w:r>
          </w:p>
          <w:p w:rsidR="00386D6C" w:rsidRDefault="00386D6C" w:rsidP="00FC747D">
            <w:pPr>
              <w:jc w:val="both"/>
              <w:rPr>
                <w:rFonts w:ascii="Courier New" w:hAnsi="Courier New" w:cs="Courier New"/>
                <w:sz w:val="18"/>
                <w:szCs w:val="18"/>
              </w:rPr>
            </w:pPr>
          </w:p>
        </w:tc>
      </w:tr>
      <w:tr w:rsidR="00386D6C" w:rsidRPr="00386D6C" w:rsidTr="00FC747D">
        <w:tc>
          <w:tcPr>
            <w:tcW w:w="452" w:type="dxa"/>
            <w:shd w:val="clear" w:color="auto" w:fill="auto"/>
          </w:tcPr>
          <w:p w:rsidR="00386D6C" w:rsidRDefault="005B1CA1" w:rsidP="00FC747D">
            <w:pPr>
              <w:jc w:val="both"/>
              <w:rPr>
                <w:rFonts w:ascii="Courier New" w:hAnsi="Courier New" w:cs="Courier New"/>
                <w:sz w:val="18"/>
                <w:szCs w:val="18"/>
              </w:rPr>
            </w:pPr>
            <w:r>
              <w:rPr>
                <w:rFonts w:ascii="Courier New" w:hAnsi="Courier New" w:cs="Courier New"/>
                <w:sz w:val="18"/>
                <w:szCs w:val="18"/>
              </w:rPr>
              <w:t xml:space="preserve"> </w:t>
            </w:r>
            <w:r w:rsidR="00386D6C">
              <w:rPr>
                <w:rFonts w:ascii="Courier New" w:hAnsi="Courier New" w:cs="Courier New"/>
                <w:sz w:val="18"/>
                <w:szCs w:val="18"/>
              </w:rPr>
              <w:t>6</w:t>
            </w:r>
          </w:p>
        </w:tc>
        <w:tc>
          <w:tcPr>
            <w:tcW w:w="1084"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BJ’</w:t>
            </w:r>
            <w:r w:rsidR="005B1CA1">
              <w:rPr>
                <w:rFonts w:ascii="Courier New" w:hAnsi="Courier New" w:cs="Courier New"/>
                <w:sz w:val="18"/>
                <w:szCs w:val="18"/>
              </w:rPr>
              <w:t>s</w:t>
            </w:r>
            <w:r w:rsidR="00497C71">
              <w:rPr>
                <w:rFonts w:ascii="Courier New" w:hAnsi="Courier New" w:cs="Courier New"/>
                <w:sz w:val="18"/>
                <w:szCs w:val="18"/>
              </w:rPr>
              <w:t xml:space="preserve"> Wholesale</w:t>
            </w:r>
          </w:p>
        </w:tc>
        <w:tc>
          <w:tcPr>
            <w:tcW w:w="2842" w:type="dxa"/>
            <w:shd w:val="clear" w:color="auto" w:fill="auto"/>
          </w:tcPr>
          <w:p w:rsidR="00386D6C" w:rsidRDefault="00497C71" w:rsidP="00FC747D">
            <w:pPr>
              <w:jc w:val="both"/>
              <w:rPr>
                <w:rFonts w:ascii="Courier New" w:hAnsi="Courier New" w:cs="Courier New"/>
                <w:sz w:val="18"/>
                <w:szCs w:val="18"/>
              </w:rPr>
            </w:pPr>
            <w:r>
              <w:rPr>
                <w:rFonts w:ascii="Courier New" w:hAnsi="Courier New" w:cs="Courier New"/>
                <w:sz w:val="18"/>
                <w:szCs w:val="18"/>
              </w:rPr>
              <w:t>25 Shelley Rd.,</w:t>
            </w:r>
            <w:r w:rsidR="00386D6C">
              <w:rPr>
                <w:rFonts w:ascii="Courier New" w:hAnsi="Courier New" w:cs="Courier New"/>
                <w:sz w:val="18"/>
                <w:szCs w:val="18"/>
              </w:rPr>
              <w:t xml:space="preserve"> </w:t>
            </w:r>
          </w:p>
          <w:p w:rsidR="00386D6C" w:rsidRDefault="00386D6C" w:rsidP="00FC747D">
            <w:pPr>
              <w:jc w:val="both"/>
              <w:rPr>
                <w:rFonts w:ascii="Courier New" w:hAnsi="Courier New" w:cs="Courier New"/>
                <w:sz w:val="18"/>
                <w:szCs w:val="18"/>
              </w:rPr>
            </w:pPr>
            <w:r>
              <w:rPr>
                <w:rFonts w:ascii="Courier New" w:hAnsi="Courier New" w:cs="Courier New"/>
                <w:sz w:val="18"/>
                <w:szCs w:val="18"/>
              </w:rPr>
              <w:t>Haverhill</w:t>
            </w:r>
            <w:r w:rsidR="00497C71">
              <w:rPr>
                <w:rFonts w:ascii="Courier New" w:hAnsi="Courier New" w:cs="Courier New"/>
                <w:sz w:val="18"/>
                <w:szCs w:val="18"/>
              </w:rPr>
              <w:t>, MA</w:t>
            </w:r>
          </w:p>
        </w:tc>
        <w:tc>
          <w:tcPr>
            <w:tcW w:w="1145"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119,598</w:t>
            </w:r>
          </w:p>
        </w:tc>
        <w:tc>
          <w:tcPr>
            <w:tcW w:w="817"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$10.75</w:t>
            </w:r>
          </w:p>
        </w:tc>
        <w:tc>
          <w:tcPr>
            <w:tcW w:w="968" w:type="dxa"/>
            <w:shd w:val="clear" w:color="auto" w:fill="auto"/>
          </w:tcPr>
          <w:p w:rsidR="00386D6C" w:rsidRDefault="00386D6C" w:rsidP="00386D6C">
            <w:pPr>
              <w:rPr>
                <w:rFonts w:ascii="Courier New" w:hAnsi="Courier New" w:cs="Courier New"/>
                <w:sz w:val="18"/>
                <w:szCs w:val="18"/>
              </w:rPr>
            </w:pPr>
            <w:r>
              <w:rPr>
                <w:rFonts w:ascii="Courier New" w:hAnsi="Courier New" w:cs="Courier New"/>
                <w:sz w:val="18"/>
                <w:szCs w:val="18"/>
              </w:rPr>
              <w:t xml:space="preserve"> 8/07</w:t>
            </w:r>
          </w:p>
          <w:p w:rsidR="00386D6C" w:rsidRDefault="00386D6C" w:rsidP="00386D6C">
            <w:pPr>
              <w:rPr>
                <w:rFonts w:ascii="Courier New" w:hAnsi="Courier New" w:cs="Courier New"/>
                <w:sz w:val="18"/>
                <w:szCs w:val="18"/>
              </w:rPr>
            </w:pPr>
            <w:r>
              <w:rPr>
                <w:rFonts w:ascii="Courier New" w:hAnsi="Courier New" w:cs="Courier New"/>
                <w:sz w:val="18"/>
                <w:szCs w:val="18"/>
              </w:rPr>
              <w:t>20 yrs</w:t>
            </w:r>
          </w:p>
        </w:tc>
        <w:tc>
          <w:tcPr>
            <w:tcW w:w="2268"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Land &amp; Bldg</w:t>
            </w:r>
          </w:p>
        </w:tc>
      </w:tr>
      <w:tr w:rsidR="00386D6C" w:rsidRPr="00386D6C" w:rsidTr="00FC747D">
        <w:tc>
          <w:tcPr>
            <w:tcW w:w="452" w:type="dxa"/>
            <w:shd w:val="clear" w:color="auto" w:fill="auto"/>
          </w:tcPr>
          <w:p w:rsidR="00386D6C" w:rsidRDefault="005B1CA1" w:rsidP="00FC747D">
            <w:pPr>
              <w:jc w:val="both"/>
              <w:rPr>
                <w:rFonts w:ascii="Courier New" w:hAnsi="Courier New" w:cs="Courier New"/>
                <w:sz w:val="18"/>
                <w:szCs w:val="18"/>
              </w:rPr>
            </w:pPr>
            <w:r>
              <w:rPr>
                <w:rFonts w:ascii="Courier New" w:hAnsi="Courier New" w:cs="Courier New"/>
                <w:sz w:val="18"/>
                <w:szCs w:val="18"/>
              </w:rPr>
              <w:t xml:space="preserve"> </w:t>
            </w:r>
            <w:r w:rsidR="00386D6C">
              <w:rPr>
                <w:rFonts w:ascii="Courier New" w:hAnsi="Courier New" w:cs="Courier New"/>
                <w:sz w:val="18"/>
                <w:szCs w:val="18"/>
              </w:rPr>
              <w:t>7</w:t>
            </w:r>
          </w:p>
        </w:tc>
        <w:tc>
          <w:tcPr>
            <w:tcW w:w="1084" w:type="dxa"/>
            <w:shd w:val="clear" w:color="auto" w:fill="auto"/>
          </w:tcPr>
          <w:p w:rsidR="00386D6C" w:rsidRDefault="00386D6C" w:rsidP="00FC747D">
            <w:pPr>
              <w:jc w:val="both"/>
              <w:rPr>
                <w:rFonts w:ascii="Courier New" w:hAnsi="Courier New" w:cs="Courier New"/>
                <w:sz w:val="18"/>
                <w:szCs w:val="18"/>
              </w:rPr>
            </w:pPr>
            <w:r>
              <w:rPr>
                <w:rFonts w:ascii="Courier New" w:hAnsi="Courier New" w:cs="Courier New"/>
                <w:sz w:val="18"/>
                <w:szCs w:val="18"/>
              </w:rPr>
              <w:t>BJ’s</w:t>
            </w:r>
            <w:r w:rsidR="00497C71">
              <w:rPr>
                <w:rFonts w:ascii="Courier New" w:hAnsi="Courier New" w:cs="Courier New"/>
                <w:sz w:val="18"/>
                <w:szCs w:val="18"/>
              </w:rPr>
              <w:t xml:space="preserve"> Wholesale</w:t>
            </w:r>
          </w:p>
        </w:tc>
        <w:tc>
          <w:tcPr>
            <w:tcW w:w="2842"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20 Seyon St</w:t>
            </w:r>
            <w:r w:rsidR="00497C71">
              <w:rPr>
                <w:rFonts w:ascii="Courier New" w:hAnsi="Courier New" w:cs="Courier New"/>
                <w:sz w:val="18"/>
                <w:szCs w:val="18"/>
              </w:rPr>
              <w:t>.,</w:t>
            </w:r>
          </w:p>
          <w:p w:rsidR="005B1CA1" w:rsidRDefault="005B1CA1" w:rsidP="00FC747D">
            <w:pPr>
              <w:jc w:val="both"/>
              <w:rPr>
                <w:rFonts w:ascii="Courier New" w:hAnsi="Courier New" w:cs="Courier New"/>
                <w:sz w:val="18"/>
                <w:szCs w:val="18"/>
              </w:rPr>
            </w:pPr>
            <w:r>
              <w:rPr>
                <w:rFonts w:ascii="Courier New" w:hAnsi="Courier New" w:cs="Courier New"/>
                <w:sz w:val="18"/>
                <w:szCs w:val="18"/>
              </w:rPr>
              <w:t>Waltham</w:t>
            </w:r>
            <w:r w:rsidR="00497C71">
              <w:rPr>
                <w:rFonts w:ascii="Courier New" w:hAnsi="Courier New" w:cs="Courier New"/>
                <w:sz w:val="18"/>
                <w:szCs w:val="18"/>
              </w:rPr>
              <w:t>, MA</w:t>
            </w:r>
          </w:p>
        </w:tc>
        <w:tc>
          <w:tcPr>
            <w:tcW w:w="1145" w:type="dxa"/>
            <w:shd w:val="clear" w:color="auto" w:fill="auto"/>
          </w:tcPr>
          <w:p w:rsidR="00386D6C" w:rsidRDefault="005B1CA1" w:rsidP="00FC747D">
            <w:pPr>
              <w:jc w:val="both"/>
              <w:rPr>
                <w:rFonts w:ascii="Courier New" w:hAnsi="Courier New" w:cs="Courier New"/>
                <w:sz w:val="18"/>
                <w:szCs w:val="18"/>
              </w:rPr>
            </w:pPr>
            <w:r>
              <w:rPr>
                <w:rFonts w:ascii="Courier New" w:hAnsi="Courier New" w:cs="Courier New"/>
                <w:sz w:val="18"/>
                <w:szCs w:val="18"/>
              </w:rPr>
              <w:t>122,142</w:t>
            </w:r>
          </w:p>
        </w:tc>
        <w:tc>
          <w:tcPr>
            <w:tcW w:w="817" w:type="dxa"/>
            <w:shd w:val="clear" w:color="auto" w:fill="auto"/>
          </w:tcPr>
          <w:p w:rsidR="00386D6C" w:rsidRDefault="005B1CA1" w:rsidP="00FC747D">
            <w:pPr>
              <w:jc w:val="both"/>
              <w:rPr>
                <w:rFonts w:ascii="Courier New" w:hAnsi="Courier New" w:cs="Courier New"/>
                <w:sz w:val="18"/>
                <w:szCs w:val="18"/>
              </w:rPr>
            </w:pPr>
            <w:r>
              <w:rPr>
                <w:rFonts w:ascii="Courier New" w:hAnsi="Courier New" w:cs="Courier New"/>
                <w:sz w:val="18"/>
                <w:szCs w:val="18"/>
              </w:rPr>
              <w:t>$11.54</w:t>
            </w:r>
          </w:p>
        </w:tc>
        <w:tc>
          <w:tcPr>
            <w:tcW w:w="968" w:type="dxa"/>
            <w:shd w:val="clear" w:color="auto" w:fill="auto"/>
          </w:tcPr>
          <w:p w:rsidR="00386D6C" w:rsidRDefault="005B1CA1" w:rsidP="00386D6C">
            <w:pPr>
              <w:rPr>
                <w:rFonts w:ascii="Courier New" w:hAnsi="Courier New" w:cs="Courier New"/>
                <w:sz w:val="18"/>
                <w:szCs w:val="18"/>
              </w:rPr>
            </w:pPr>
            <w:r>
              <w:rPr>
                <w:rFonts w:ascii="Courier New" w:hAnsi="Courier New" w:cs="Courier New"/>
                <w:sz w:val="18"/>
                <w:szCs w:val="18"/>
              </w:rPr>
              <w:t xml:space="preserve"> 6/10</w:t>
            </w:r>
          </w:p>
          <w:p w:rsidR="005B1CA1" w:rsidRDefault="005B1CA1" w:rsidP="00386D6C">
            <w:pPr>
              <w:rPr>
                <w:rFonts w:ascii="Courier New" w:hAnsi="Courier New" w:cs="Courier New"/>
                <w:sz w:val="18"/>
                <w:szCs w:val="18"/>
              </w:rPr>
            </w:pPr>
            <w:r>
              <w:rPr>
                <w:rFonts w:ascii="Courier New" w:hAnsi="Courier New" w:cs="Courier New"/>
                <w:sz w:val="18"/>
                <w:szCs w:val="18"/>
              </w:rPr>
              <w:t>25 yrs</w:t>
            </w:r>
          </w:p>
        </w:tc>
        <w:tc>
          <w:tcPr>
            <w:tcW w:w="2268" w:type="dxa"/>
            <w:shd w:val="clear" w:color="auto" w:fill="auto"/>
          </w:tcPr>
          <w:p w:rsidR="00386D6C" w:rsidRDefault="005B1CA1" w:rsidP="00FC747D">
            <w:pPr>
              <w:jc w:val="both"/>
              <w:rPr>
                <w:rFonts w:ascii="Courier New" w:hAnsi="Courier New" w:cs="Courier New"/>
                <w:sz w:val="18"/>
                <w:szCs w:val="18"/>
              </w:rPr>
            </w:pPr>
            <w:r>
              <w:rPr>
                <w:rFonts w:ascii="Courier New" w:hAnsi="Courier New" w:cs="Courier New"/>
                <w:sz w:val="18"/>
                <w:szCs w:val="18"/>
              </w:rPr>
              <w:t>Ground Lse only</w:t>
            </w:r>
          </w:p>
        </w:tc>
      </w:tr>
      <w:tr w:rsidR="005B1CA1" w:rsidRPr="00386D6C" w:rsidTr="00FC747D">
        <w:tc>
          <w:tcPr>
            <w:tcW w:w="452"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 xml:space="preserve"> 8</w:t>
            </w:r>
          </w:p>
        </w:tc>
        <w:tc>
          <w:tcPr>
            <w:tcW w:w="1084"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Kohl</w:t>
            </w:r>
            <w:r w:rsidR="00497C71">
              <w:rPr>
                <w:rFonts w:ascii="Courier New" w:hAnsi="Courier New" w:cs="Courier New"/>
                <w:sz w:val="18"/>
                <w:szCs w:val="18"/>
              </w:rPr>
              <w:t>’</w:t>
            </w:r>
            <w:r>
              <w:rPr>
                <w:rFonts w:ascii="Courier New" w:hAnsi="Courier New" w:cs="Courier New"/>
                <w:sz w:val="18"/>
                <w:szCs w:val="18"/>
              </w:rPr>
              <w:t>s</w:t>
            </w:r>
          </w:p>
        </w:tc>
        <w:tc>
          <w:tcPr>
            <w:tcW w:w="2842"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Orchard Hill Pk</w:t>
            </w:r>
            <w:r w:rsidR="00497C71">
              <w:rPr>
                <w:rFonts w:ascii="Courier New" w:hAnsi="Courier New" w:cs="Courier New"/>
                <w:sz w:val="18"/>
                <w:szCs w:val="18"/>
              </w:rPr>
              <w:t>.,</w:t>
            </w:r>
          </w:p>
          <w:p w:rsidR="005B1CA1" w:rsidRDefault="005B1CA1" w:rsidP="00FC747D">
            <w:pPr>
              <w:jc w:val="both"/>
              <w:rPr>
                <w:rFonts w:ascii="Courier New" w:hAnsi="Courier New" w:cs="Courier New"/>
                <w:sz w:val="18"/>
                <w:szCs w:val="18"/>
              </w:rPr>
            </w:pPr>
            <w:r>
              <w:rPr>
                <w:rFonts w:ascii="Courier New" w:hAnsi="Courier New" w:cs="Courier New"/>
                <w:sz w:val="18"/>
                <w:szCs w:val="18"/>
              </w:rPr>
              <w:t>Leominster</w:t>
            </w:r>
            <w:r w:rsidR="00497C71">
              <w:rPr>
                <w:rFonts w:ascii="Courier New" w:hAnsi="Courier New" w:cs="Courier New"/>
                <w:sz w:val="18"/>
                <w:szCs w:val="18"/>
              </w:rPr>
              <w:t>, MA</w:t>
            </w:r>
          </w:p>
        </w:tc>
        <w:tc>
          <w:tcPr>
            <w:tcW w:w="1145"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 xml:space="preserve"> 89,925</w:t>
            </w:r>
          </w:p>
        </w:tc>
        <w:tc>
          <w:tcPr>
            <w:tcW w:w="817"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$13.18</w:t>
            </w:r>
          </w:p>
        </w:tc>
        <w:tc>
          <w:tcPr>
            <w:tcW w:w="968" w:type="dxa"/>
            <w:shd w:val="clear" w:color="auto" w:fill="auto"/>
          </w:tcPr>
          <w:p w:rsidR="005B1CA1" w:rsidRDefault="005B1CA1" w:rsidP="00386D6C">
            <w:pPr>
              <w:rPr>
                <w:rFonts w:ascii="Courier New" w:hAnsi="Courier New" w:cs="Courier New"/>
                <w:sz w:val="18"/>
                <w:szCs w:val="18"/>
              </w:rPr>
            </w:pPr>
            <w:r>
              <w:rPr>
                <w:rFonts w:ascii="Courier New" w:hAnsi="Courier New" w:cs="Courier New"/>
                <w:sz w:val="18"/>
                <w:szCs w:val="18"/>
              </w:rPr>
              <w:t>10/05</w:t>
            </w:r>
          </w:p>
          <w:p w:rsidR="005B1CA1" w:rsidRDefault="005B1CA1" w:rsidP="005B1CA1">
            <w:pPr>
              <w:rPr>
                <w:rFonts w:ascii="Courier New" w:hAnsi="Courier New" w:cs="Courier New"/>
                <w:sz w:val="18"/>
                <w:szCs w:val="18"/>
              </w:rPr>
            </w:pPr>
            <w:r>
              <w:rPr>
                <w:rFonts w:ascii="Courier New" w:hAnsi="Courier New" w:cs="Courier New"/>
                <w:sz w:val="18"/>
                <w:szCs w:val="18"/>
              </w:rPr>
              <w:t>20 yrs</w:t>
            </w:r>
          </w:p>
        </w:tc>
        <w:tc>
          <w:tcPr>
            <w:tcW w:w="2268"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Land &amp; Bldg</w:t>
            </w:r>
          </w:p>
        </w:tc>
      </w:tr>
      <w:tr w:rsidR="005B1CA1" w:rsidRPr="00386D6C" w:rsidTr="00FC747D">
        <w:tc>
          <w:tcPr>
            <w:tcW w:w="452"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 xml:space="preserve"> 9</w:t>
            </w:r>
          </w:p>
        </w:tc>
        <w:tc>
          <w:tcPr>
            <w:tcW w:w="1084"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BJ’s</w:t>
            </w:r>
            <w:r w:rsidR="00497C71">
              <w:rPr>
                <w:rFonts w:ascii="Courier New" w:hAnsi="Courier New" w:cs="Courier New"/>
                <w:sz w:val="18"/>
                <w:szCs w:val="18"/>
              </w:rPr>
              <w:t xml:space="preserve"> Wholesale</w:t>
            </w:r>
          </w:p>
        </w:tc>
        <w:tc>
          <w:tcPr>
            <w:tcW w:w="2842" w:type="dxa"/>
            <w:shd w:val="clear" w:color="auto" w:fill="auto"/>
          </w:tcPr>
          <w:p w:rsidR="00497C71" w:rsidRDefault="005B1CA1" w:rsidP="00497C71">
            <w:pPr>
              <w:jc w:val="both"/>
              <w:rPr>
                <w:rFonts w:ascii="Courier New" w:hAnsi="Courier New" w:cs="Courier New"/>
                <w:sz w:val="18"/>
                <w:szCs w:val="18"/>
              </w:rPr>
            </w:pPr>
            <w:r>
              <w:rPr>
                <w:rFonts w:ascii="Courier New" w:hAnsi="Courier New" w:cs="Courier New"/>
                <w:sz w:val="18"/>
                <w:szCs w:val="18"/>
              </w:rPr>
              <w:t>Northboro Crossing</w:t>
            </w:r>
            <w:r w:rsidR="00497C71">
              <w:rPr>
                <w:rFonts w:ascii="Courier New" w:hAnsi="Courier New" w:cs="Courier New"/>
                <w:sz w:val="18"/>
                <w:szCs w:val="18"/>
              </w:rPr>
              <w:t>,</w:t>
            </w:r>
          </w:p>
          <w:p w:rsidR="005B1CA1" w:rsidRDefault="005B1CA1" w:rsidP="00497C71">
            <w:pPr>
              <w:jc w:val="both"/>
              <w:rPr>
                <w:rFonts w:ascii="Courier New" w:hAnsi="Courier New" w:cs="Courier New"/>
                <w:sz w:val="18"/>
                <w:szCs w:val="18"/>
              </w:rPr>
            </w:pPr>
            <w:r>
              <w:rPr>
                <w:rFonts w:ascii="Courier New" w:hAnsi="Courier New" w:cs="Courier New"/>
                <w:sz w:val="18"/>
                <w:szCs w:val="18"/>
              </w:rPr>
              <w:t>Northboro</w:t>
            </w:r>
            <w:r w:rsidR="00497C71">
              <w:rPr>
                <w:rFonts w:ascii="Courier New" w:hAnsi="Courier New" w:cs="Courier New"/>
                <w:sz w:val="18"/>
                <w:szCs w:val="18"/>
              </w:rPr>
              <w:t>, MA</w:t>
            </w:r>
          </w:p>
        </w:tc>
        <w:tc>
          <w:tcPr>
            <w:tcW w:w="1145"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124,303</w:t>
            </w:r>
          </w:p>
        </w:tc>
        <w:tc>
          <w:tcPr>
            <w:tcW w:w="817"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$19.87</w:t>
            </w:r>
          </w:p>
        </w:tc>
        <w:tc>
          <w:tcPr>
            <w:tcW w:w="968" w:type="dxa"/>
            <w:shd w:val="clear" w:color="auto" w:fill="auto"/>
          </w:tcPr>
          <w:p w:rsidR="005B1CA1" w:rsidRDefault="005B1CA1" w:rsidP="00386D6C">
            <w:pPr>
              <w:rPr>
                <w:rFonts w:ascii="Courier New" w:hAnsi="Courier New" w:cs="Courier New"/>
                <w:sz w:val="18"/>
                <w:szCs w:val="18"/>
              </w:rPr>
            </w:pPr>
            <w:r>
              <w:rPr>
                <w:rFonts w:ascii="Courier New" w:hAnsi="Courier New" w:cs="Courier New"/>
                <w:sz w:val="18"/>
                <w:szCs w:val="18"/>
              </w:rPr>
              <w:t xml:space="preserve"> 9/11</w:t>
            </w:r>
          </w:p>
          <w:p w:rsidR="005B1CA1" w:rsidRDefault="005B1CA1" w:rsidP="00386D6C">
            <w:pPr>
              <w:rPr>
                <w:rFonts w:ascii="Courier New" w:hAnsi="Courier New" w:cs="Courier New"/>
                <w:sz w:val="18"/>
                <w:szCs w:val="18"/>
              </w:rPr>
            </w:pPr>
            <w:r>
              <w:rPr>
                <w:rFonts w:ascii="Courier New" w:hAnsi="Courier New" w:cs="Courier New"/>
                <w:sz w:val="18"/>
                <w:szCs w:val="18"/>
              </w:rPr>
              <w:t>20 yrs</w:t>
            </w:r>
          </w:p>
        </w:tc>
        <w:tc>
          <w:tcPr>
            <w:tcW w:w="2268" w:type="dxa"/>
            <w:shd w:val="clear" w:color="auto" w:fill="auto"/>
          </w:tcPr>
          <w:p w:rsidR="005B1CA1" w:rsidRDefault="005B1CA1" w:rsidP="00FC747D">
            <w:pPr>
              <w:jc w:val="both"/>
              <w:rPr>
                <w:rFonts w:ascii="Courier New" w:hAnsi="Courier New" w:cs="Courier New"/>
                <w:sz w:val="18"/>
                <w:szCs w:val="18"/>
              </w:rPr>
            </w:pPr>
            <w:r>
              <w:rPr>
                <w:rFonts w:ascii="Courier New" w:hAnsi="Courier New" w:cs="Courier New"/>
                <w:sz w:val="18"/>
                <w:szCs w:val="18"/>
              </w:rPr>
              <w:t>Land &amp; Bldg</w:t>
            </w:r>
          </w:p>
        </w:tc>
      </w:tr>
      <w:tr w:rsidR="005B1CA1" w:rsidRPr="00386D6C" w:rsidTr="00FC747D">
        <w:tc>
          <w:tcPr>
            <w:tcW w:w="452" w:type="dxa"/>
            <w:shd w:val="clear" w:color="auto" w:fill="auto"/>
          </w:tcPr>
          <w:p w:rsidR="005B1CA1" w:rsidRDefault="005B1CA1" w:rsidP="00295D94">
            <w:pPr>
              <w:jc w:val="both"/>
              <w:rPr>
                <w:rFonts w:ascii="Courier New" w:hAnsi="Courier New" w:cs="Courier New"/>
                <w:sz w:val="18"/>
                <w:szCs w:val="18"/>
              </w:rPr>
            </w:pPr>
            <w:r>
              <w:rPr>
                <w:rFonts w:ascii="Courier New" w:hAnsi="Courier New" w:cs="Courier New"/>
                <w:sz w:val="18"/>
                <w:szCs w:val="18"/>
              </w:rPr>
              <w:t>10</w:t>
            </w:r>
          </w:p>
        </w:tc>
        <w:tc>
          <w:tcPr>
            <w:tcW w:w="1084" w:type="dxa"/>
            <w:shd w:val="clear" w:color="auto" w:fill="auto"/>
          </w:tcPr>
          <w:p w:rsidR="005B1CA1" w:rsidRDefault="005B1CA1" w:rsidP="00295D94">
            <w:pPr>
              <w:jc w:val="both"/>
              <w:rPr>
                <w:rFonts w:ascii="Courier New" w:hAnsi="Courier New" w:cs="Courier New"/>
                <w:sz w:val="18"/>
                <w:szCs w:val="18"/>
              </w:rPr>
            </w:pPr>
            <w:r>
              <w:rPr>
                <w:rFonts w:ascii="Courier New" w:hAnsi="Courier New" w:cs="Courier New"/>
                <w:sz w:val="18"/>
                <w:szCs w:val="18"/>
              </w:rPr>
              <w:t>BJ’s</w:t>
            </w:r>
            <w:r w:rsidR="00497C71">
              <w:rPr>
                <w:rFonts w:ascii="Courier New" w:hAnsi="Courier New" w:cs="Courier New"/>
                <w:sz w:val="18"/>
                <w:szCs w:val="18"/>
              </w:rPr>
              <w:t xml:space="preserve"> Wholesale</w:t>
            </w:r>
          </w:p>
        </w:tc>
        <w:tc>
          <w:tcPr>
            <w:tcW w:w="2842" w:type="dxa"/>
            <w:shd w:val="clear" w:color="auto" w:fill="auto"/>
          </w:tcPr>
          <w:p w:rsidR="005B1CA1" w:rsidRDefault="005B1CA1" w:rsidP="00295D94">
            <w:pPr>
              <w:jc w:val="both"/>
              <w:rPr>
                <w:rFonts w:ascii="Courier New" w:hAnsi="Courier New" w:cs="Courier New"/>
                <w:sz w:val="18"/>
                <w:szCs w:val="18"/>
              </w:rPr>
            </w:pPr>
            <w:r>
              <w:rPr>
                <w:rFonts w:ascii="Courier New" w:hAnsi="Courier New" w:cs="Courier New"/>
                <w:sz w:val="18"/>
                <w:szCs w:val="18"/>
              </w:rPr>
              <w:t>200 Crown Colony</w:t>
            </w:r>
            <w:r w:rsidR="00497C71">
              <w:rPr>
                <w:rFonts w:ascii="Courier New" w:hAnsi="Courier New" w:cs="Courier New"/>
                <w:sz w:val="18"/>
                <w:szCs w:val="18"/>
              </w:rPr>
              <w:t>,</w:t>
            </w:r>
          </w:p>
          <w:p w:rsidR="005B1CA1" w:rsidRDefault="005B1CA1" w:rsidP="00295D94">
            <w:pPr>
              <w:jc w:val="both"/>
              <w:rPr>
                <w:rFonts w:ascii="Courier New" w:hAnsi="Courier New" w:cs="Courier New"/>
                <w:sz w:val="18"/>
                <w:szCs w:val="18"/>
              </w:rPr>
            </w:pPr>
            <w:r>
              <w:rPr>
                <w:rFonts w:ascii="Courier New" w:hAnsi="Courier New" w:cs="Courier New"/>
                <w:sz w:val="18"/>
                <w:szCs w:val="18"/>
              </w:rPr>
              <w:t>Quincy</w:t>
            </w:r>
            <w:r w:rsidR="00497C71">
              <w:rPr>
                <w:rFonts w:ascii="Courier New" w:hAnsi="Courier New" w:cs="Courier New"/>
                <w:sz w:val="18"/>
                <w:szCs w:val="18"/>
              </w:rPr>
              <w:t>, MA</w:t>
            </w:r>
          </w:p>
        </w:tc>
        <w:tc>
          <w:tcPr>
            <w:tcW w:w="1145" w:type="dxa"/>
            <w:shd w:val="clear" w:color="auto" w:fill="auto"/>
          </w:tcPr>
          <w:p w:rsidR="005B1CA1" w:rsidRDefault="00F61859" w:rsidP="00295D94">
            <w:pPr>
              <w:jc w:val="both"/>
              <w:rPr>
                <w:rFonts w:ascii="Courier New" w:hAnsi="Courier New" w:cs="Courier New"/>
                <w:sz w:val="18"/>
                <w:szCs w:val="18"/>
              </w:rPr>
            </w:pPr>
            <w:r>
              <w:rPr>
                <w:rFonts w:ascii="Courier New" w:hAnsi="Courier New" w:cs="Courier New"/>
                <w:sz w:val="18"/>
                <w:szCs w:val="18"/>
              </w:rPr>
              <w:t xml:space="preserve"> 84,680</w:t>
            </w:r>
          </w:p>
        </w:tc>
        <w:tc>
          <w:tcPr>
            <w:tcW w:w="817" w:type="dxa"/>
            <w:shd w:val="clear" w:color="auto" w:fill="auto"/>
          </w:tcPr>
          <w:p w:rsidR="005B1CA1" w:rsidRDefault="005B1CA1" w:rsidP="00295D94">
            <w:pPr>
              <w:jc w:val="both"/>
              <w:rPr>
                <w:rFonts w:ascii="Courier New" w:hAnsi="Courier New" w:cs="Courier New"/>
                <w:sz w:val="18"/>
                <w:szCs w:val="18"/>
              </w:rPr>
            </w:pPr>
            <w:r>
              <w:rPr>
                <w:rFonts w:ascii="Courier New" w:hAnsi="Courier New" w:cs="Courier New"/>
                <w:sz w:val="18"/>
                <w:szCs w:val="18"/>
              </w:rPr>
              <w:t>$21.85</w:t>
            </w:r>
          </w:p>
        </w:tc>
        <w:tc>
          <w:tcPr>
            <w:tcW w:w="968" w:type="dxa"/>
            <w:shd w:val="clear" w:color="auto" w:fill="auto"/>
          </w:tcPr>
          <w:p w:rsidR="005B1CA1" w:rsidRDefault="005B1CA1" w:rsidP="00295D94">
            <w:pPr>
              <w:rPr>
                <w:rFonts w:ascii="Courier New" w:hAnsi="Courier New" w:cs="Courier New"/>
                <w:sz w:val="18"/>
                <w:szCs w:val="18"/>
              </w:rPr>
            </w:pPr>
            <w:r>
              <w:rPr>
                <w:rFonts w:ascii="Courier New" w:hAnsi="Courier New" w:cs="Courier New"/>
                <w:sz w:val="18"/>
                <w:szCs w:val="18"/>
              </w:rPr>
              <w:t xml:space="preserve"> 6/09</w:t>
            </w:r>
          </w:p>
          <w:p w:rsidR="005B1CA1" w:rsidRDefault="005B1CA1" w:rsidP="00295D94">
            <w:pPr>
              <w:rPr>
                <w:rFonts w:ascii="Courier New" w:hAnsi="Courier New" w:cs="Courier New"/>
                <w:sz w:val="18"/>
                <w:szCs w:val="18"/>
              </w:rPr>
            </w:pPr>
            <w:r>
              <w:rPr>
                <w:rFonts w:ascii="Courier New" w:hAnsi="Courier New" w:cs="Courier New"/>
                <w:sz w:val="18"/>
                <w:szCs w:val="18"/>
              </w:rPr>
              <w:t>20 yrs</w:t>
            </w:r>
          </w:p>
        </w:tc>
        <w:tc>
          <w:tcPr>
            <w:tcW w:w="2268" w:type="dxa"/>
            <w:shd w:val="clear" w:color="auto" w:fill="auto"/>
          </w:tcPr>
          <w:p w:rsidR="005B1CA1" w:rsidRDefault="005B1CA1" w:rsidP="00295D94">
            <w:pPr>
              <w:jc w:val="both"/>
              <w:rPr>
                <w:rFonts w:ascii="Courier New" w:hAnsi="Courier New" w:cs="Courier New"/>
                <w:sz w:val="18"/>
                <w:szCs w:val="18"/>
              </w:rPr>
            </w:pPr>
            <w:r>
              <w:rPr>
                <w:rFonts w:ascii="Courier New" w:hAnsi="Courier New" w:cs="Courier New"/>
                <w:sz w:val="18"/>
                <w:szCs w:val="18"/>
              </w:rPr>
              <w:t>Land &amp; Bldg</w:t>
            </w:r>
          </w:p>
        </w:tc>
      </w:tr>
    </w:tbl>
    <w:p w:rsidR="007C0948" w:rsidRPr="00386D6C" w:rsidRDefault="007C0948" w:rsidP="00295D94">
      <w:pPr>
        <w:ind w:firstLine="720"/>
        <w:jc w:val="both"/>
        <w:rPr>
          <w:rFonts w:ascii="Courier New" w:hAnsi="Courier New" w:cs="Courier New"/>
          <w:sz w:val="18"/>
          <w:szCs w:val="18"/>
        </w:rPr>
      </w:pPr>
    </w:p>
    <w:p w:rsidR="005D25DE" w:rsidRDefault="005B1CA1" w:rsidP="00295D94">
      <w:pPr>
        <w:spacing w:line="480" w:lineRule="auto"/>
        <w:jc w:val="both"/>
        <w:rPr>
          <w:rFonts w:ascii="Courier New" w:hAnsi="Courier New" w:cs="Courier New"/>
        </w:rPr>
      </w:pPr>
      <w:r>
        <w:rPr>
          <w:rFonts w:ascii="Courier New" w:hAnsi="Courier New" w:cs="Courier New"/>
        </w:rPr>
        <w:tab/>
        <w:t>Taking into account the differences</w:t>
      </w:r>
      <w:r w:rsidR="00C80D15">
        <w:rPr>
          <w:rFonts w:ascii="Courier New" w:hAnsi="Courier New" w:cs="Courier New"/>
        </w:rPr>
        <w:t>, including:</w:t>
      </w:r>
      <w:r w:rsidR="003B60D5">
        <w:rPr>
          <w:rFonts w:ascii="Courier New" w:hAnsi="Courier New" w:cs="Courier New"/>
        </w:rPr>
        <w:t xml:space="preserve"> </w:t>
      </w:r>
      <w:r w:rsidR="00C80D15">
        <w:rPr>
          <w:rFonts w:ascii="Courier New" w:hAnsi="Courier New" w:cs="Courier New"/>
        </w:rPr>
        <w:t xml:space="preserve">the </w:t>
      </w:r>
      <w:r w:rsidR="00195F7E">
        <w:rPr>
          <w:rFonts w:ascii="Courier New" w:hAnsi="Courier New" w:cs="Courier New"/>
        </w:rPr>
        <w:t xml:space="preserve">lease structure; </w:t>
      </w:r>
      <w:r w:rsidR="005D25DE">
        <w:rPr>
          <w:rFonts w:ascii="Courier New" w:hAnsi="Courier New" w:cs="Courier New"/>
        </w:rPr>
        <w:t xml:space="preserve">rents at the low end of the range </w:t>
      </w:r>
      <w:r w:rsidR="00295D94">
        <w:rPr>
          <w:rFonts w:ascii="Courier New" w:hAnsi="Courier New" w:cs="Courier New"/>
        </w:rPr>
        <w:t>being</w:t>
      </w:r>
      <w:r w:rsidR="005D25DE">
        <w:rPr>
          <w:rFonts w:ascii="Courier New" w:hAnsi="Courier New" w:cs="Courier New"/>
        </w:rPr>
        <w:t xml:space="preserve"> ground leases only</w:t>
      </w:r>
      <w:r w:rsidR="00195F7E">
        <w:rPr>
          <w:rFonts w:ascii="Courier New" w:hAnsi="Courier New" w:cs="Courier New"/>
        </w:rPr>
        <w:t>;</w:t>
      </w:r>
      <w:r w:rsidR="003B60D5">
        <w:rPr>
          <w:rFonts w:ascii="Courier New" w:hAnsi="Courier New" w:cs="Courier New"/>
        </w:rPr>
        <w:t xml:space="preserve"> the physical qualities of the properties,</w:t>
      </w:r>
      <w:r w:rsidR="00295D94">
        <w:rPr>
          <w:rFonts w:ascii="Courier New" w:hAnsi="Courier New" w:cs="Courier New"/>
        </w:rPr>
        <w:t xml:space="preserve"> such as</w:t>
      </w:r>
      <w:r w:rsidR="003B60D5">
        <w:rPr>
          <w:rFonts w:ascii="Courier New" w:hAnsi="Courier New" w:cs="Courier New"/>
        </w:rPr>
        <w:t xml:space="preserve"> K</w:t>
      </w:r>
      <w:r w:rsidR="005D25DE">
        <w:rPr>
          <w:rFonts w:ascii="Courier New" w:hAnsi="Courier New" w:cs="Courier New"/>
        </w:rPr>
        <w:t>ohl</w:t>
      </w:r>
      <w:r w:rsidR="00497C71">
        <w:rPr>
          <w:rFonts w:ascii="Courier New" w:hAnsi="Courier New" w:cs="Courier New"/>
        </w:rPr>
        <w:t>’</w:t>
      </w:r>
      <w:r w:rsidR="005D25DE">
        <w:rPr>
          <w:rFonts w:ascii="Courier New" w:hAnsi="Courier New" w:cs="Courier New"/>
        </w:rPr>
        <w:t xml:space="preserve">s </w:t>
      </w:r>
      <w:r w:rsidR="005D25DE">
        <w:rPr>
          <w:rFonts w:ascii="Courier New" w:hAnsi="Courier New" w:cs="Courier New"/>
        </w:rPr>
        <w:lastRenderedPageBreak/>
        <w:t xml:space="preserve">stores </w:t>
      </w:r>
      <w:r w:rsidR="00C80D15">
        <w:rPr>
          <w:rFonts w:ascii="Courier New" w:hAnsi="Courier New" w:cs="Courier New"/>
        </w:rPr>
        <w:t>hav</w:t>
      </w:r>
      <w:r w:rsidR="00295D94">
        <w:rPr>
          <w:rFonts w:ascii="Courier New" w:hAnsi="Courier New" w:cs="Courier New"/>
        </w:rPr>
        <w:t>ing</w:t>
      </w:r>
      <w:r w:rsidR="00C80D15">
        <w:rPr>
          <w:rFonts w:ascii="Courier New" w:hAnsi="Courier New" w:cs="Courier New"/>
        </w:rPr>
        <w:t xml:space="preserve"> more finished</w:t>
      </w:r>
      <w:r w:rsidR="00195F7E">
        <w:rPr>
          <w:rFonts w:ascii="Courier New" w:hAnsi="Courier New" w:cs="Courier New"/>
        </w:rPr>
        <w:t xml:space="preserve"> space,</w:t>
      </w:r>
      <w:r w:rsidR="00C80D15">
        <w:rPr>
          <w:rFonts w:ascii="Courier New" w:hAnsi="Courier New" w:cs="Courier New"/>
        </w:rPr>
        <w:t xml:space="preserve"> which </w:t>
      </w:r>
      <w:r w:rsidR="00295D94">
        <w:rPr>
          <w:rFonts w:ascii="Courier New" w:hAnsi="Courier New" w:cs="Courier New"/>
        </w:rPr>
        <w:t xml:space="preserve">generally </w:t>
      </w:r>
      <w:r w:rsidR="00C80D15">
        <w:rPr>
          <w:rFonts w:ascii="Courier New" w:hAnsi="Courier New" w:cs="Courier New"/>
        </w:rPr>
        <w:t>commands a higher rent</w:t>
      </w:r>
      <w:r w:rsidR="003B60D5">
        <w:rPr>
          <w:rFonts w:ascii="Courier New" w:hAnsi="Courier New" w:cs="Courier New"/>
        </w:rPr>
        <w:t xml:space="preserve">; </w:t>
      </w:r>
      <w:r w:rsidR="00BA5B3E">
        <w:rPr>
          <w:rFonts w:ascii="Courier New" w:hAnsi="Courier New" w:cs="Courier New"/>
        </w:rPr>
        <w:t xml:space="preserve">and </w:t>
      </w:r>
      <w:r w:rsidR="003B60D5">
        <w:rPr>
          <w:rFonts w:ascii="Courier New" w:hAnsi="Courier New" w:cs="Courier New"/>
        </w:rPr>
        <w:t>the age and location of the purportedly comparable leases</w:t>
      </w:r>
      <w:r w:rsidR="00BA5B3E">
        <w:rPr>
          <w:rFonts w:ascii="Courier New" w:hAnsi="Courier New" w:cs="Courier New"/>
        </w:rPr>
        <w:t>,</w:t>
      </w:r>
      <w:r w:rsidR="003B60D5">
        <w:rPr>
          <w:rFonts w:ascii="Courier New" w:hAnsi="Courier New" w:cs="Courier New"/>
        </w:rPr>
        <w:t xml:space="preserve"> Mr. Johnston determined that the subject property’s </w:t>
      </w:r>
      <w:r w:rsidR="00295D94">
        <w:rPr>
          <w:rFonts w:ascii="Courier New" w:hAnsi="Courier New" w:cs="Courier New"/>
        </w:rPr>
        <w:t xml:space="preserve">fair market </w:t>
      </w:r>
      <w:r w:rsidR="003B60D5">
        <w:rPr>
          <w:rFonts w:ascii="Courier New" w:hAnsi="Courier New" w:cs="Courier New"/>
        </w:rPr>
        <w:t xml:space="preserve">rent would be in the upper half of </w:t>
      </w:r>
      <w:r w:rsidR="00295D94">
        <w:rPr>
          <w:rFonts w:ascii="Courier New" w:hAnsi="Courier New" w:cs="Courier New"/>
        </w:rPr>
        <w:t xml:space="preserve">his purportedly comparable properties’ </w:t>
      </w:r>
      <w:r w:rsidR="003B60D5">
        <w:rPr>
          <w:rFonts w:ascii="Courier New" w:hAnsi="Courier New" w:cs="Courier New"/>
        </w:rPr>
        <w:t>rent</w:t>
      </w:r>
      <w:r w:rsidR="00295D94">
        <w:rPr>
          <w:rFonts w:ascii="Courier New" w:hAnsi="Courier New" w:cs="Courier New"/>
        </w:rPr>
        <w:t>s</w:t>
      </w:r>
      <w:r w:rsidR="00CB1470">
        <w:rPr>
          <w:rFonts w:ascii="Courier New" w:hAnsi="Courier New" w:cs="Courier New"/>
        </w:rPr>
        <w:t xml:space="preserve">.  </w:t>
      </w:r>
      <w:r w:rsidR="00C80D15">
        <w:rPr>
          <w:rFonts w:ascii="Courier New" w:hAnsi="Courier New" w:cs="Courier New"/>
        </w:rPr>
        <w:t xml:space="preserve">Mr. Johnston also noted that rents were increasing during the fiscal years at issue and that the subject property had </w:t>
      </w:r>
      <w:r w:rsidR="00075C79">
        <w:rPr>
          <w:rFonts w:ascii="Courier New" w:hAnsi="Courier New" w:cs="Courier New"/>
        </w:rPr>
        <w:t>“</w:t>
      </w:r>
      <w:r w:rsidR="00C80D15">
        <w:rPr>
          <w:rFonts w:ascii="Courier New" w:hAnsi="Courier New" w:cs="Courier New"/>
        </w:rPr>
        <w:t>head</w:t>
      </w:r>
      <w:r w:rsidR="00195F7E">
        <w:rPr>
          <w:rFonts w:ascii="Courier New" w:hAnsi="Courier New" w:cs="Courier New"/>
        </w:rPr>
        <w:t>-</w:t>
      </w:r>
      <w:r w:rsidR="00C80D15">
        <w:rPr>
          <w:rFonts w:ascii="Courier New" w:hAnsi="Courier New" w:cs="Courier New"/>
        </w:rPr>
        <w:t>to</w:t>
      </w:r>
      <w:r w:rsidR="00195F7E">
        <w:rPr>
          <w:rFonts w:ascii="Courier New" w:hAnsi="Courier New" w:cs="Courier New"/>
        </w:rPr>
        <w:t>-</w:t>
      </w:r>
      <w:r w:rsidR="00C80D15">
        <w:rPr>
          <w:rFonts w:ascii="Courier New" w:hAnsi="Courier New" w:cs="Courier New"/>
        </w:rPr>
        <w:t>head</w:t>
      </w:r>
      <w:r w:rsidR="00075C79">
        <w:rPr>
          <w:rFonts w:ascii="Courier New" w:hAnsi="Courier New" w:cs="Courier New"/>
        </w:rPr>
        <w:t>”</w:t>
      </w:r>
      <w:r w:rsidR="00C80D15">
        <w:rPr>
          <w:rFonts w:ascii="Courier New" w:hAnsi="Courier New" w:cs="Courier New"/>
        </w:rPr>
        <w:t xml:space="preserve"> competition with the Home Depot located just across the street.  </w:t>
      </w:r>
      <w:r w:rsidR="00075C79">
        <w:rPr>
          <w:rFonts w:ascii="Courier New" w:hAnsi="Courier New" w:cs="Courier New"/>
        </w:rPr>
        <w:t>On this basis</w:t>
      </w:r>
      <w:r w:rsidR="00C80D15">
        <w:rPr>
          <w:rFonts w:ascii="Courier New" w:hAnsi="Courier New" w:cs="Courier New"/>
        </w:rPr>
        <w:t>, Mr. Johnston selected market rents of $</w:t>
      </w:r>
      <w:r w:rsidR="00CB1470">
        <w:rPr>
          <w:rFonts w:ascii="Courier New" w:hAnsi="Courier New" w:cs="Courier New"/>
        </w:rPr>
        <w:t xml:space="preserve">10.50 </w:t>
      </w:r>
      <w:r w:rsidR="00295D94">
        <w:rPr>
          <w:rFonts w:ascii="Courier New" w:hAnsi="Courier New" w:cs="Courier New"/>
        </w:rPr>
        <w:t xml:space="preserve">per square foot </w:t>
      </w:r>
      <w:r w:rsidR="00CB1470">
        <w:rPr>
          <w:rFonts w:ascii="Courier New" w:hAnsi="Courier New" w:cs="Courier New"/>
        </w:rPr>
        <w:t xml:space="preserve">for fiscal year 2012, $11.00 per square foot for fiscal year 2013, and $11.50 </w:t>
      </w:r>
      <w:r w:rsidR="00295D94">
        <w:rPr>
          <w:rFonts w:ascii="Courier New" w:hAnsi="Courier New" w:cs="Courier New"/>
        </w:rPr>
        <w:t xml:space="preserve">per square foot </w:t>
      </w:r>
      <w:r w:rsidR="00CB1470">
        <w:rPr>
          <w:rFonts w:ascii="Courier New" w:hAnsi="Courier New" w:cs="Courier New"/>
        </w:rPr>
        <w:t>for fiscal year 2014.</w:t>
      </w:r>
      <w:r w:rsidR="00C80D15">
        <w:rPr>
          <w:rFonts w:ascii="Courier New" w:hAnsi="Courier New" w:cs="Courier New"/>
        </w:rPr>
        <w:t xml:space="preserve">  Applied to a net building area of 124,597</w:t>
      </w:r>
      <w:r w:rsidR="00295D94">
        <w:rPr>
          <w:rFonts w:ascii="Courier New" w:hAnsi="Courier New" w:cs="Courier New"/>
        </w:rPr>
        <w:t xml:space="preserve"> square feet,</w:t>
      </w:r>
      <w:r w:rsidR="00D95FFA">
        <w:rPr>
          <w:rStyle w:val="FootnoteReference"/>
          <w:rFonts w:ascii="Courier New" w:hAnsi="Courier New" w:cs="Courier New"/>
        </w:rPr>
        <w:footnoteReference w:id="7"/>
      </w:r>
      <w:r w:rsidR="00295D94">
        <w:rPr>
          <w:rFonts w:ascii="Courier New" w:hAnsi="Courier New" w:cs="Courier New"/>
        </w:rPr>
        <w:t xml:space="preserve"> the</w:t>
      </w:r>
      <w:r w:rsidR="00C80D15">
        <w:rPr>
          <w:rFonts w:ascii="Courier New" w:hAnsi="Courier New" w:cs="Courier New"/>
        </w:rPr>
        <w:t>s</w:t>
      </w:r>
      <w:r w:rsidR="00295D94">
        <w:rPr>
          <w:rFonts w:ascii="Courier New" w:hAnsi="Courier New" w:cs="Courier New"/>
        </w:rPr>
        <w:t xml:space="preserve">e rents </w:t>
      </w:r>
      <w:r w:rsidR="00C80D15">
        <w:rPr>
          <w:rFonts w:ascii="Courier New" w:hAnsi="Courier New" w:cs="Courier New"/>
        </w:rPr>
        <w:t>yielded potential gross income</w:t>
      </w:r>
      <w:r w:rsidR="00295D94">
        <w:rPr>
          <w:rFonts w:ascii="Courier New" w:hAnsi="Courier New" w:cs="Courier New"/>
        </w:rPr>
        <w:t>s</w:t>
      </w:r>
      <w:r w:rsidR="00C80D15">
        <w:rPr>
          <w:rFonts w:ascii="Courier New" w:hAnsi="Courier New" w:cs="Courier New"/>
        </w:rPr>
        <w:t xml:space="preserve"> of $1,308,269 for fiscal year 2012, $1,370,567 for fiscal year 2013, and $1,432,866 for fiscal year 2014. </w:t>
      </w:r>
    </w:p>
    <w:p w:rsidR="007C0948" w:rsidRDefault="00383DDE" w:rsidP="00295D94">
      <w:pPr>
        <w:spacing w:line="480" w:lineRule="auto"/>
        <w:ind w:firstLine="720"/>
        <w:jc w:val="both"/>
        <w:rPr>
          <w:rFonts w:ascii="Courier New" w:hAnsi="Courier New" w:cs="Courier New"/>
        </w:rPr>
      </w:pPr>
      <w:r>
        <w:rPr>
          <w:rFonts w:ascii="Courier New" w:hAnsi="Courier New" w:cs="Courier New"/>
        </w:rPr>
        <w:t xml:space="preserve">Relying on the appellant’s good credit rating, the market vacancy, and also the subject property’s actual occupancy of 100%, Mr. Johnston determined that a vacancy rate of 5% was appropriate for all fiscal years at issue.  </w:t>
      </w:r>
      <w:r w:rsidR="007C0948">
        <w:rPr>
          <w:rFonts w:ascii="Courier New" w:hAnsi="Courier New" w:cs="Courier New"/>
        </w:rPr>
        <w:t>This allowance resulted in an effective gross income of $</w:t>
      </w:r>
      <w:r>
        <w:rPr>
          <w:rFonts w:ascii="Courier New" w:hAnsi="Courier New" w:cs="Courier New"/>
        </w:rPr>
        <w:t>1,242,855</w:t>
      </w:r>
      <w:r w:rsidR="007C0948">
        <w:rPr>
          <w:rFonts w:ascii="Courier New" w:hAnsi="Courier New" w:cs="Courier New"/>
        </w:rPr>
        <w:t xml:space="preserve"> for fiscal year</w:t>
      </w:r>
      <w:r>
        <w:rPr>
          <w:rFonts w:ascii="Courier New" w:hAnsi="Courier New" w:cs="Courier New"/>
        </w:rPr>
        <w:t xml:space="preserve"> 2012, $1,302,039 for fiscal year 2013, and $1,361,222 for fiscal year 2014.</w:t>
      </w:r>
      <w:r w:rsidR="007C0948">
        <w:rPr>
          <w:rFonts w:ascii="Courier New" w:hAnsi="Courier New" w:cs="Courier New"/>
        </w:rPr>
        <w:t xml:space="preserve">  </w:t>
      </w:r>
    </w:p>
    <w:p w:rsidR="006E5932" w:rsidRDefault="006E5932" w:rsidP="007C0948">
      <w:pPr>
        <w:spacing w:line="480" w:lineRule="auto"/>
        <w:ind w:firstLine="720"/>
        <w:jc w:val="both"/>
        <w:rPr>
          <w:rFonts w:ascii="Courier New" w:hAnsi="Courier New" w:cs="Courier New"/>
        </w:rPr>
      </w:pPr>
      <w:r>
        <w:rPr>
          <w:rFonts w:ascii="Courier New" w:hAnsi="Courier New" w:cs="Courier New"/>
        </w:rPr>
        <w:lastRenderedPageBreak/>
        <w:t>Next, Mr.</w:t>
      </w:r>
      <w:r w:rsidR="007C0948">
        <w:rPr>
          <w:rFonts w:ascii="Courier New" w:hAnsi="Courier New" w:cs="Courier New"/>
        </w:rPr>
        <w:t xml:space="preserve"> Johnston</w:t>
      </w:r>
      <w:r w:rsidR="00F1720D">
        <w:rPr>
          <w:rFonts w:ascii="Courier New" w:hAnsi="Courier New" w:cs="Courier New"/>
        </w:rPr>
        <w:t xml:space="preserve"> determined the subject property’s net-operating income by deducting the subject property’s estimated market expenses.  Agreeing with the appellant’s real estate valuation expert that under a triple-net leasing scenario the landlord’s expenses are those limited to the </w:t>
      </w:r>
      <w:r w:rsidR="00710BD0" w:rsidRPr="00710BD0">
        <w:rPr>
          <w:rFonts w:ascii="Courier New" w:hAnsi="Courier New" w:cs="Courier New"/>
          <w:color w:val="333333"/>
          <w:shd w:val="clear" w:color="auto" w:fill="FFFFFF"/>
        </w:rPr>
        <w:t>management and structural maintenance of the building</w:t>
      </w:r>
      <w:r w:rsidR="00F1720D">
        <w:rPr>
          <w:rFonts w:ascii="Courier New" w:hAnsi="Courier New" w:cs="Courier New"/>
          <w:color w:val="333333"/>
          <w:shd w:val="clear" w:color="auto" w:fill="FFFFFF"/>
        </w:rPr>
        <w:t xml:space="preserve">, </w:t>
      </w:r>
      <w:r w:rsidR="00710BD0" w:rsidRPr="00710BD0">
        <w:rPr>
          <w:rFonts w:ascii="Courier New" w:hAnsi="Courier New" w:cs="Courier New"/>
          <w:color w:val="333333"/>
          <w:shd w:val="clear" w:color="auto" w:fill="FFFFFF"/>
        </w:rPr>
        <w:t xml:space="preserve">Mr. </w:t>
      </w:r>
      <w:r w:rsidR="00710BD0">
        <w:rPr>
          <w:rFonts w:ascii="Courier New" w:hAnsi="Courier New" w:cs="Courier New"/>
          <w:color w:val="333333"/>
          <w:shd w:val="clear" w:color="auto" w:fill="FFFFFF"/>
        </w:rPr>
        <w:t>Johnston</w:t>
      </w:r>
      <w:r w:rsidR="00710BD0" w:rsidRPr="00710BD0">
        <w:rPr>
          <w:rFonts w:ascii="Courier New" w:hAnsi="Courier New" w:cs="Courier New"/>
          <w:color w:val="333333"/>
          <w:shd w:val="clear" w:color="auto" w:fill="FFFFFF"/>
        </w:rPr>
        <w:t xml:space="preserve"> </w:t>
      </w:r>
      <w:r w:rsidR="00F1720D">
        <w:rPr>
          <w:rFonts w:ascii="Courier New" w:hAnsi="Courier New" w:cs="Courier New"/>
          <w:color w:val="333333"/>
          <w:shd w:val="clear" w:color="auto" w:fill="FFFFFF"/>
        </w:rPr>
        <w:t xml:space="preserve">allowed a </w:t>
      </w:r>
      <w:r w:rsidR="00710BD0">
        <w:rPr>
          <w:rFonts w:ascii="Courier New" w:hAnsi="Courier New" w:cs="Courier New"/>
          <w:color w:val="333333"/>
          <w:shd w:val="clear" w:color="auto" w:fill="FFFFFF"/>
        </w:rPr>
        <w:t>management fee equal to 2</w:t>
      </w:r>
      <w:r w:rsidR="00710BD0" w:rsidRPr="00710BD0">
        <w:rPr>
          <w:rFonts w:ascii="Courier New" w:hAnsi="Courier New" w:cs="Courier New"/>
          <w:color w:val="333333"/>
          <w:shd w:val="clear" w:color="auto" w:fill="FFFFFF"/>
        </w:rPr>
        <w:t>% of the effective gross income</w:t>
      </w:r>
      <w:r w:rsidR="00710BD0">
        <w:rPr>
          <w:rFonts w:ascii="Courier New" w:hAnsi="Courier New" w:cs="Courier New"/>
          <w:color w:val="333333"/>
          <w:shd w:val="clear" w:color="auto" w:fill="FFFFFF"/>
        </w:rPr>
        <w:t xml:space="preserve"> and </w:t>
      </w:r>
      <w:r w:rsidR="00710BD0" w:rsidRPr="00710BD0">
        <w:rPr>
          <w:rFonts w:ascii="Courier New" w:hAnsi="Courier New" w:cs="Courier New"/>
          <w:color w:val="333333"/>
          <w:shd w:val="clear" w:color="auto" w:fill="FFFFFF"/>
        </w:rPr>
        <w:t>a replacement reserve allowance equal to $ 0.</w:t>
      </w:r>
      <w:r w:rsidR="00710BD0">
        <w:rPr>
          <w:rFonts w:ascii="Courier New" w:hAnsi="Courier New" w:cs="Courier New"/>
          <w:color w:val="333333"/>
          <w:shd w:val="clear" w:color="auto" w:fill="FFFFFF"/>
        </w:rPr>
        <w:t>20</w:t>
      </w:r>
      <w:r w:rsidR="00710BD0" w:rsidRPr="00710BD0">
        <w:rPr>
          <w:rFonts w:ascii="Courier New" w:hAnsi="Courier New" w:cs="Courier New"/>
          <w:color w:val="333333"/>
          <w:shd w:val="clear" w:color="auto" w:fill="FFFFFF"/>
        </w:rPr>
        <w:t xml:space="preserve"> per square foot, which he testified were typical in the market. </w:t>
      </w:r>
      <w:r w:rsidR="00710BD0">
        <w:rPr>
          <w:rFonts w:ascii="Courier New" w:hAnsi="Courier New" w:cs="Courier New"/>
          <w:color w:val="333333"/>
          <w:shd w:val="clear" w:color="auto" w:fill="FFFFFF"/>
        </w:rPr>
        <w:t xml:space="preserve"> </w:t>
      </w:r>
      <w:r w:rsidR="00710BD0" w:rsidRPr="00710BD0">
        <w:rPr>
          <w:rFonts w:ascii="Courier New" w:hAnsi="Courier New" w:cs="Courier New"/>
          <w:color w:val="333333"/>
          <w:shd w:val="clear" w:color="auto" w:fill="FFFFFF"/>
        </w:rPr>
        <w:t xml:space="preserve">Mr. </w:t>
      </w:r>
      <w:r w:rsidR="00710BD0">
        <w:rPr>
          <w:rFonts w:ascii="Courier New" w:hAnsi="Courier New" w:cs="Courier New"/>
          <w:color w:val="333333"/>
          <w:shd w:val="clear" w:color="auto" w:fill="FFFFFF"/>
        </w:rPr>
        <w:t xml:space="preserve">Johnston </w:t>
      </w:r>
      <w:r w:rsidR="00710BD0" w:rsidRPr="00710BD0">
        <w:rPr>
          <w:rFonts w:ascii="Courier New" w:hAnsi="Courier New" w:cs="Courier New"/>
          <w:color w:val="333333"/>
          <w:shd w:val="clear" w:color="auto" w:fill="FFFFFF"/>
        </w:rPr>
        <w:t>deducted these expenses from his effective gross income</w:t>
      </w:r>
      <w:r w:rsidR="00710BD0">
        <w:rPr>
          <w:rFonts w:ascii="Courier New" w:hAnsi="Courier New" w:cs="Courier New"/>
          <w:color w:val="333333"/>
          <w:shd w:val="clear" w:color="auto" w:fill="FFFFFF"/>
        </w:rPr>
        <w:t xml:space="preserve"> amounts </w:t>
      </w:r>
      <w:r w:rsidR="00710BD0" w:rsidRPr="00710BD0">
        <w:rPr>
          <w:rFonts w:ascii="Courier New" w:hAnsi="Courier New" w:cs="Courier New"/>
          <w:color w:val="333333"/>
          <w:shd w:val="clear" w:color="auto" w:fill="FFFFFF"/>
        </w:rPr>
        <w:t>to derive</w:t>
      </w:r>
      <w:r w:rsidR="00710BD0">
        <w:rPr>
          <w:rFonts w:ascii="Courier New" w:hAnsi="Courier New" w:cs="Courier New"/>
          <w:color w:val="333333"/>
          <w:shd w:val="clear" w:color="auto" w:fill="FFFFFF"/>
        </w:rPr>
        <w:t xml:space="preserve"> net-operating incomes</w:t>
      </w:r>
      <w:r w:rsidR="001C6F9C">
        <w:rPr>
          <w:rFonts w:ascii="Courier New" w:hAnsi="Courier New" w:cs="Courier New"/>
          <w:color w:val="333333"/>
          <w:shd w:val="clear" w:color="auto" w:fill="FFFFFF"/>
        </w:rPr>
        <w:t xml:space="preserve"> </w:t>
      </w:r>
      <w:r w:rsidR="00F1720D">
        <w:rPr>
          <w:rFonts w:ascii="Courier New" w:hAnsi="Courier New" w:cs="Courier New"/>
          <w:color w:val="333333"/>
          <w:shd w:val="clear" w:color="auto" w:fill="FFFFFF"/>
        </w:rPr>
        <w:t xml:space="preserve">of </w:t>
      </w:r>
      <w:r w:rsidR="00710BD0">
        <w:rPr>
          <w:rFonts w:ascii="Courier New" w:hAnsi="Courier New" w:cs="Courier New"/>
          <w:color w:val="333333"/>
          <w:shd w:val="clear" w:color="auto" w:fill="FFFFFF"/>
        </w:rPr>
        <w:t>$1,193,079 for fiscal year 2012, $1,251,078 for fiscal year 2013, and $1,309,078 for fiscal year 2014</w:t>
      </w:r>
      <w:r>
        <w:rPr>
          <w:rFonts w:ascii="Courier New" w:hAnsi="Courier New" w:cs="Courier New"/>
        </w:rPr>
        <w:t>.</w:t>
      </w:r>
    </w:p>
    <w:p w:rsidR="007C0948" w:rsidRDefault="00710BD0" w:rsidP="00472486">
      <w:pPr>
        <w:spacing w:line="480" w:lineRule="auto"/>
        <w:ind w:firstLine="720"/>
        <w:jc w:val="both"/>
        <w:rPr>
          <w:rFonts w:ascii="Courier New" w:hAnsi="Courier New" w:cs="Courier New"/>
        </w:rPr>
      </w:pPr>
      <w:r w:rsidRPr="00710BD0">
        <w:rPr>
          <w:rFonts w:ascii="Courier New" w:hAnsi="Courier New" w:cs="Courier New"/>
          <w:color w:val="333333"/>
          <w:shd w:val="clear" w:color="auto" w:fill="FFFFFF"/>
        </w:rPr>
        <w:t>For his capitalization rate</w:t>
      </w:r>
      <w:r>
        <w:rPr>
          <w:rFonts w:ascii="Courier New" w:hAnsi="Courier New" w:cs="Courier New"/>
          <w:color w:val="333333"/>
          <w:shd w:val="clear" w:color="auto" w:fill="FFFFFF"/>
        </w:rPr>
        <w:t>s</w:t>
      </w:r>
      <w:r w:rsidRPr="00710BD0">
        <w:rPr>
          <w:rFonts w:ascii="Courier New" w:hAnsi="Courier New" w:cs="Courier New"/>
          <w:color w:val="333333"/>
          <w:shd w:val="clear" w:color="auto" w:fill="FFFFFF"/>
        </w:rPr>
        <w:t xml:space="preserve">, Mr. Johnston </w:t>
      </w:r>
      <w:r w:rsidR="00472486">
        <w:rPr>
          <w:rFonts w:ascii="Courier New" w:hAnsi="Courier New" w:cs="Courier New"/>
          <w:color w:val="333333"/>
          <w:shd w:val="clear" w:color="auto" w:fill="FFFFFF"/>
        </w:rPr>
        <w:t xml:space="preserve">reviewed rates </w:t>
      </w:r>
      <w:r w:rsidR="00720E73">
        <w:rPr>
          <w:rFonts w:ascii="Courier New" w:hAnsi="Courier New" w:cs="Courier New"/>
          <w:color w:val="333333"/>
          <w:shd w:val="clear" w:color="auto" w:fill="FFFFFF"/>
        </w:rPr>
        <w:t xml:space="preserve">published by </w:t>
      </w:r>
      <w:r w:rsidR="00472486" w:rsidRPr="00710BD0">
        <w:rPr>
          <w:rFonts w:ascii="Courier New" w:hAnsi="Courier New" w:cs="Courier New"/>
          <w:i/>
          <w:iCs/>
          <w:color w:val="333333"/>
          <w:shd w:val="clear" w:color="auto" w:fill="FFFFFF"/>
        </w:rPr>
        <w:t>P</w:t>
      </w:r>
      <w:r w:rsidR="00EB06A1">
        <w:rPr>
          <w:rFonts w:ascii="Courier New" w:hAnsi="Courier New" w:cs="Courier New"/>
          <w:i/>
          <w:iCs/>
          <w:color w:val="333333"/>
          <w:shd w:val="clear" w:color="auto" w:fill="FFFFFF"/>
        </w:rPr>
        <w:t>w</w:t>
      </w:r>
      <w:r w:rsidR="00472486" w:rsidRPr="00710BD0">
        <w:rPr>
          <w:rFonts w:ascii="Courier New" w:hAnsi="Courier New" w:cs="Courier New"/>
          <w:i/>
          <w:iCs/>
          <w:color w:val="333333"/>
          <w:shd w:val="clear" w:color="auto" w:fill="FFFFFF"/>
        </w:rPr>
        <w:t>C</w:t>
      </w:r>
      <w:r w:rsidR="00EB06A1">
        <w:rPr>
          <w:rFonts w:ascii="Courier New" w:hAnsi="Courier New" w:cs="Courier New"/>
          <w:i/>
          <w:iCs/>
          <w:color w:val="333333"/>
          <w:shd w:val="clear" w:color="auto" w:fill="FFFFFF"/>
        </w:rPr>
        <w:t xml:space="preserve"> Real Estate Investor Survey – First </w:t>
      </w:r>
      <w:r w:rsidR="00004542">
        <w:rPr>
          <w:rFonts w:ascii="Courier New" w:hAnsi="Courier New" w:cs="Courier New"/>
          <w:color w:val="333333"/>
          <w:shd w:val="clear" w:color="auto" w:fill="FFFFFF"/>
        </w:rPr>
        <w:t>Quarters 2011, 2012, and 2013</w:t>
      </w:r>
      <w:r w:rsidR="00C77A4D">
        <w:rPr>
          <w:rFonts w:ascii="Courier New" w:hAnsi="Courier New" w:cs="Courier New"/>
          <w:color w:val="333333"/>
          <w:shd w:val="clear" w:color="auto" w:fill="FFFFFF"/>
        </w:rPr>
        <w:t xml:space="preserve">.  He testified that the reports </w:t>
      </w:r>
      <w:r w:rsidR="00004542">
        <w:rPr>
          <w:rFonts w:ascii="Courier New" w:hAnsi="Courier New" w:cs="Courier New"/>
          <w:color w:val="333333"/>
          <w:shd w:val="clear" w:color="auto" w:fill="FFFFFF"/>
        </w:rPr>
        <w:t xml:space="preserve">reflected declining rates during </w:t>
      </w:r>
      <w:r w:rsidR="00C77A4D">
        <w:rPr>
          <w:rFonts w:ascii="Courier New" w:hAnsi="Courier New" w:cs="Courier New"/>
          <w:color w:val="333333"/>
          <w:shd w:val="clear" w:color="auto" w:fill="FFFFFF"/>
        </w:rPr>
        <w:t>the fiscal years at issue</w:t>
      </w:r>
      <w:r w:rsidR="00004542">
        <w:rPr>
          <w:rFonts w:ascii="Courier New" w:hAnsi="Courier New" w:cs="Courier New"/>
          <w:color w:val="333333"/>
          <w:shd w:val="clear" w:color="auto" w:fill="FFFFFF"/>
        </w:rPr>
        <w:t>.  He also p</w:t>
      </w:r>
      <w:r w:rsidR="007C0948">
        <w:rPr>
          <w:rFonts w:ascii="Courier New" w:hAnsi="Courier New" w:cs="Courier New"/>
        </w:rPr>
        <w:t xml:space="preserve">erformed </w:t>
      </w:r>
      <w:r w:rsidR="00004542">
        <w:rPr>
          <w:rFonts w:ascii="Courier New" w:hAnsi="Courier New" w:cs="Courier New"/>
        </w:rPr>
        <w:t xml:space="preserve">a </w:t>
      </w:r>
      <w:r w:rsidR="007C0948">
        <w:rPr>
          <w:rFonts w:ascii="Courier New" w:hAnsi="Courier New" w:cs="Courier New"/>
        </w:rPr>
        <w:t>band-of-investment analys</w:t>
      </w:r>
      <w:r w:rsidR="00004542">
        <w:rPr>
          <w:rFonts w:ascii="Courier New" w:hAnsi="Courier New" w:cs="Courier New"/>
        </w:rPr>
        <w:t>i</w:t>
      </w:r>
      <w:r w:rsidR="007C0948">
        <w:rPr>
          <w:rFonts w:ascii="Courier New" w:hAnsi="Courier New" w:cs="Courier New"/>
        </w:rPr>
        <w:t>s</w:t>
      </w:r>
      <w:r w:rsidR="00004542">
        <w:rPr>
          <w:rFonts w:ascii="Courier New" w:hAnsi="Courier New" w:cs="Courier New"/>
        </w:rPr>
        <w:t xml:space="preserve"> for each of the fiscal years at issue.</w:t>
      </w:r>
      <w:r w:rsidR="007C0948">
        <w:rPr>
          <w:rFonts w:ascii="Courier New" w:hAnsi="Courier New" w:cs="Courier New"/>
        </w:rPr>
        <w:t xml:space="preserve">  Relying on this information, he </w:t>
      </w:r>
      <w:r w:rsidR="00004542">
        <w:rPr>
          <w:rFonts w:ascii="Courier New" w:hAnsi="Courier New" w:cs="Courier New"/>
        </w:rPr>
        <w:t xml:space="preserve">then </w:t>
      </w:r>
      <w:r w:rsidR="007C0948">
        <w:rPr>
          <w:rFonts w:ascii="Courier New" w:hAnsi="Courier New" w:cs="Courier New"/>
        </w:rPr>
        <w:t xml:space="preserve">selected </w:t>
      </w:r>
      <w:r w:rsidR="00472486">
        <w:rPr>
          <w:rFonts w:ascii="Courier New" w:hAnsi="Courier New" w:cs="Courier New"/>
        </w:rPr>
        <w:t>c</w:t>
      </w:r>
      <w:r w:rsidR="007C0948">
        <w:rPr>
          <w:rFonts w:ascii="Courier New" w:hAnsi="Courier New" w:cs="Courier New"/>
        </w:rPr>
        <w:t xml:space="preserve">apitalization rates of </w:t>
      </w:r>
      <w:r w:rsidR="00472486">
        <w:rPr>
          <w:rFonts w:ascii="Courier New" w:hAnsi="Courier New" w:cs="Courier New"/>
        </w:rPr>
        <w:t>7.75</w:t>
      </w:r>
      <w:r w:rsidR="007C0948">
        <w:rPr>
          <w:rFonts w:ascii="Courier New" w:hAnsi="Courier New" w:cs="Courier New"/>
        </w:rPr>
        <w:t>% for fiscal year 201</w:t>
      </w:r>
      <w:r w:rsidR="00472486">
        <w:rPr>
          <w:rFonts w:ascii="Courier New" w:hAnsi="Courier New" w:cs="Courier New"/>
        </w:rPr>
        <w:t>2, 7.25% for fiscal year 2013, and</w:t>
      </w:r>
      <w:r w:rsidR="007C0948">
        <w:rPr>
          <w:rFonts w:ascii="Courier New" w:hAnsi="Courier New" w:cs="Courier New"/>
        </w:rPr>
        <w:t xml:space="preserve"> 7</w:t>
      </w:r>
      <w:r w:rsidR="00472486">
        <w:rPr>
          <w:rFonts w:ascii="Courier New" w:hAnsi="Courier New" w:cs="Courier New"/>
        </w:rPr>
        <w:t>.00</w:t>
      </w:r>
      <w:r w:rsidR="007C0948">
        <w:rPr>
          <w:rFonts w:ascii="Courier New" w:hAnsi="Courier New" w:cs="Courier New"/>
        </w:rPr>
        <w:t>% for fiscal year 201</w:t>
      </w:r>
      <w:r w:rsidR="00472486">
        <w:rPr>
          <w:rFonts w:ascii="Courier New" w:hAnsi="Courier New" w:cs="Courier New"/>
        </w:rPr>
        <w:t>4</w:t>
      </w:r>
      <w:r w:rsidR="007C0948">
        <w:rPr>
          <w:rFonts w:ascii="Courier New" w:hAnsi="Courier New" w:cs="Courier New"/>
        </w:rPr>
        <w:t>.</w:t>
      </w:r>
      <w:r w:rsidR="00472486">
        <w:rPr>
          <w:rStyle w:val="FootnoteReference"/>
          <w:rFonts w:ascii="Courier New" w:hAnsi="Courier New" w:cs="Courier New"/>
        </w:rPr>
        <w:footnoteReference w:id="8"/>
      </w:r>
      <w:r w:rsidR="007C0948">
        <w:rPr>
          <w:rFonts w:ascii="Courier New" w:hAnsi="Courier New" w:cs="Courier New"/>
        </w:rPr>
        <w:t xml:space="preserve">  </w:t>
      </w:r>
    </w:p>
    <w:p w:rsidR="007C0948" w:rsidRDefault="007C0948" w:rsidP="004A6975">
      <w:pPr>
        <w:spacing w:line="480" w:lineRule="auto"/>
        <w:ind w:firstLine="720"/>
        <w:jc w:val="both"/>
        <w:rPr>
          <w:rFonts w:ascii="Courier New" w:hAnsi="Courier New"/>
        </w:rPr>
      </w:pPr>
      <w:r>
        <w:rPr>
          <w:rFonts w:ascii="Courier New" w:hAnsi="Courier New"/>
        </w:rPr>
        <w:lastRenderedPageBreak/>
        <w:t xml:space="preserve">Finally, applying the corresponding capitalization rate to the net-operating income for each of the fiscal years at issue, </w:t>
      </w:r>
      <w:r w:rsidR="004A6975">
        <w:rPr>
          <w:rFonts w:ascii="Courier New" w:hAnsi="Courier New"/>
        </w:rPr>
        <w:t xml:space="preserve">Mr. </w:t>
      </w:r>
      <w:r>
        <w:rPr>
          <w:rFonts w:ascii="Courier New" w:hAnsi="Courier New"/>
        </w:rPr>
        <w:t>Johnston derived an indicated value of $</w:t>
      </w:r>
      <w:r w:rsidR="0058147F">
        <w:rPr>
          <w:rFonts w:ascii="Courier New" w:hAnsi="Courier New"/>
        </w:rPr>
        <w:t>15,394,562</w:t>
      </w:r>
      <w:r>
        <w:rPr>
          <w:rFonts w:ascii="Courier New" w:hAnsi="Courier New"/>
        </w:rPr>
        <w:t>, rounded to $</w:t>
      </w:r>
      <w:r w:rsidR="0058147F">
        <w:rPr>
          <w:rFonts w:ascii="Courier New" w:hAnsi="Courier New"/>
        </w:rPr>
        <w:t>15</w:t>
      </w:r>
      <w:r>
        <w:rPr>
          <w:rFonts w:ascii="Courier New" w:hAnsi="Courier New"/>
        </w:rPr>
        <w:t>,</w:t>
      </w:r>
      <w:r w:rsidR="0058147F">
        <w:rPr>
          <w:rFonts w:ascii="Courier New" w:hAnsi="Courier New"/>
        </w:rPr>
        <w:t>390</w:t>
      </w:r>
      <w:r>
        <w:rPr>
          <w:rFonts w:ascii="Courier New" w:hAnsi="Courier New"/>
        </w:rPr>
        <w:t>,000 for fiscal year 201</w:t>
      </w:r>
      <w:r w:rsidR="0058147F">
        <w:rPr>
          <w:rFonts w:ascii="Courier New" w:hAnsi="Courier New"/>
        </w:rPr>
        <w:t>2</w:t>
      </w:r>
      <w:r>
        <w:rPr>
          <w:rFonts w:ascii="Courier New" w:hAnsi="Courier New"/>
        </w:rPr>
        <w:t>, $</w:t>
      </w:r>
      <w:r w:rsidR="0058147F">
        <w:rPr>
          <w:rFonts w:ascii="Courier New" w:hAnsi="Courier New"/>
        </w:rPr>
        <w:t>17,256,255</w:t>
      </w:r>
      <w:r>
        <w:rPr>
          <w:rFonts w:ascii="Courier New" w:hAnsi="Courier New"/>
        </w:rPr>
        <w:t>, rounded to $</w:t>
      </w:r>
      <w:r w:rsidR="0058147F">
        <w:rPr>
          <w:rFonts w:ascii="Courier New" w:hAnsi="Courier New"/>
        </w:rPr>
        <w:t>17,260,000</w:t>
      </w:r>
      <w:r>
        <w:rPr>
          <w:rFonts w:ascii="Courier New" w:hAnsi="Courier New"/>
        </w:rPr>
        <w:t xml:space="preserve"> for fiscal year 201</w:t>
      </w:r>
      <w:r w:rsidR="0058147F">
        <w:rPr>
          <w:rFonts w:ascii="Courier New" w:hAnsi="Courier New"/>
        </w:rPr>
        <w:t>3, and $18,701,120, rounded to $18,700,000 for fiscal year 2014</w:t>
      </w:r>
      <w:r>
        <w:rPr>
          <w:rFonts w:ascii="Courier New" w:hAnsi="Courier New"/>
        </w:rPr>
        <w:t xml:space="preserve">.  </w:t>
      </w:r>
    </w:p>
    <w:p w:rsidR="007C0948" w:rsidRDefault="007C0948" w:rsidP="007C0948">
      <w:pPr>
        <w:spacing w:line="480" w:lineRule="auto"/>
        <w:jc w:val="both"/>
        <w:rPr>
          <w:rFonts w:ascii="Courier New" w:hAnsi="Courier New" w:cs="Courier New"/>
        </w:rPr>
      </w:pPr>
      <w:r>
        <w:rPr>
          <w:rFonts w:ascii="Courier New" w:hAnsi="Courier New" w:cs="Courier New"/>
          <w:b/>
        </w:rPr>
        <w:tab/>
      </w:r>
      <w:r>
        <w:rPr>
          <w:rFonts w:ascii="Courier New" w:hAnsi="Courier New" w:cs="Courier New"/>
        </w:rPr>
        <w:t>Mr. Johnston’s income-capita</w:t>
      </w:r>
      <w:r w:rsidR="0058147F">
        <w:rPr>
          <w:rFonts w:ascii="Courier New" w:hAnsi="Courier New" w:cs="Courier New"/>
        </w:rPr>
        <w:t>lization analyses are summarized</w:t>
      </w:r>
      <w:r>
        <w:rPr>
          <w:rFonts w:ascii="Courier New" w:hAnsi="Courier New" w:cs="Courier New"/>
        </w:rPr>
        <w:t xml:space="preserve"> in the following table.</w:t>
      </w:r>
      <w:r>
        <w:rPr>
          <w:rStyle w:val="FootnoteReference"/>
          <w:rFonts w:ascii="Courier New" w:hAnsi="Courier New" w:cs="Courier New"/>
        </w:rPr>
        <w:footnoteReference w:id="9"/>
      </w:r>
    </w:p>
    <w:p w:rsidR="00DD6352" w:rsidRDefault="00DD6352" w:rsidP="007C0948">
      <w:pPr>
        <w:spacing w:line="480" w:lineRule="auto"/>
        <w:jc w:val="both"/>
        <w:rPr>
          <w:rFonts w:ascii="Courier New" w:hAnsi="Courier New" w:cs="Courier New"/>
        </w:rPr>
      </w:pPr>
    </w:p>
    <w:tbl>
      <w:tblPr>
        <w:tblW w:w="10035" w:type="dxa"/>
        <w:tblCellSpacing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96"/>
        <w:gridCol w:w="349"/>
        <w:gridCol w:w="270"/>
        <w:gridCol w:w="1890"/>
        <w:gridCol w:w="270"/>
        <w:gridCol w:w="1800"/>
        <w:gridCol w:w="360"/>
        <w:gridCol w:w="1800"/>
      </w:tblGrid>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589" w:type="dxa"/>
            <w:gridSpan w:val="2"/>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Default="0058147F">
            <w:pPr>
              <w:jc w:val="center"/>
              <w:rPr>
                <w:rFonts w:ascii="Courier New" w:hAnsi="Courier New" w:cs="Courier New"/>
                <w:b/>
                <w:sz w:val="20"/>
                <w:szCs w:val="20"/>
              </w:rPr>
            </w:pPr>
            <w:r>
              <w:rPr>
                <w:rFonts w:ascii="Courier New" w:hAnsi="Courier New" w:cs="Courier New"/>
                <w:b/>
                <w:sz w:val="20"/>
                <w:szCs w:val="20"/>
              </w:rPr>
              <w:t>Fiscal Year 2011</w:t>
            </w:r>
          </w:p>
        </w:tc>
        <w:tc>
          <w:tcPr>
            <w:tcW w:w="240" w:type="dxa"/>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58147F">
            <w:pPr>
              <w:jc w:val="center"/>
              <w:rPr>
                <w:rFonts w:ascii="Courier New" w:hAnsi="Courier New" w:cs="Courier New"/>
                <w:b/>
                <w:sz w:val="20"/>
                <w:szCs w:val="20"/>
              </w:rPr>
            </w:pPr>
            <w:r>
              <w:rPr>
                <w:rFonts w:ascii="Courier New" w:hAnsi="Courier New" w:cs="Courier New"/>
                <w:b/>
                <w:sz w:val="20"/>
                <w:szCs w:val="20"/>
              </w:rPr>
              <w:t>Fiscal Year 2012</w:t>
            </w:r>
          </w:p>
        </w:tc>
        <w:tc>
          <w:tcPr>
            <w:tcW w:w="330" w:type="dxa"/>
            <w:tcBorders>
              <w:top w:val="nil"/>
              <w:left w:val="nil"/>
              <w:bottom w:val="nil"/>
              <w:right w:val="nil"/>
            </w:tcBorders>
          </w:tcPr>
          <w:p w:rsidR="0058147F" w:rsidRDefault="0058147F">
            <w:pPr>
              <w:jc w:val="center"/>
              <w:rPr>
                <w:rFonts w:ascii="Courier New" w:hAnsi="Courier New" w:cs="Courier New"/>
                <w:b/>
                <w:sz w:val="20"/>
                <w:szCs w:val="20"/>
              </w:rPr>
            </w:pPr>
          </w:p>
        </w:tc>
        <w:tc>
          <w:tcPr>
            <w:tcW w:w="1755" w:type="dxa"/>
            <w:tcBorders>
              <w:top w:val="nil"/>
              <w:left w:val="nil"/>
              <w:bottom w:val="nil"/>
              <w:right w:val="nil"/>
            </w:tcBorders>
          </w:tcPr>
          <w:p w:rsidR="0058147F" w:rsidRDefault="0058147F">
            <w:pPr>
              <w:jc w:val="center"/>
              <w:rPr>
                <w:rFonts w:ascii="Courier New" w:hAnsi="Courier New" w:cs="Courier New"/>
                <w:b/>
                <w:sz w:val="20"/>
                <w:szCs w:val="20"/>
              </w:rPr>
            </w:pPr>
            <w:r>
              <w:rPr>
                <w:rFonts w:ascii="Courier New" w:hAnsi="Courier New" w:cs="Courier New"/>
                <w:b/>
                <w:sz w:val="20"/>
                <w:szCs w:val="20"/>
              </w:rPr>
              <w:t>Fiscal Year 2014</w:t>
            </w: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
                <w:bCs/>
                <w:color w:val="333333"/>
                <w:sz w:val="20"/>
                <w:szCs w:val="20"/>
              </w:rPr>
            </w:pPr>
            <w:r>
              <w:rPr>
                <w:rFonts w:ascii="Courier New" w:hAnsi="Courier New" w:cs="Courier New"/>
                <w:b/>
                <w:bCs/>
                <w:color w:val="333333"/>
                <w:sz w:val="20"/>
                <w:szCs w:val="20"/>
              </w:rPr>
              <w:t>INCOME</w:t>
            </w:r>
          </w:p>
        </w:tc>
        <w:tc>
          <w:tcPr>
            <w:tcW w:w="589" w:type="dxa"/>
            <w:gridSpan w:val="2"/>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1860" w:type="dxa"/>
            <w:tcBorders>
              <w:top w:val="nil"/>
              <w:left w:val="nil"/>
              <w:bottom w:val="nil"/>
              <w:right w:val="nil"/>
            </w:tcBorders>
            <w:tcMar>
              <w:top w:w="15" w:type="dxa"/>
              <w:left w:w="15" w:type="dxa"/>
              <w:bottom w:w="15" w:type="dxa"/>
              <w:right w:w="15" w:type="dxa"/>
            </w:tcMar>
          </w:tcPr>
          <w:p w:rsidR="0058147F" w:rsidRDefault="0058147F">
            <w:pPr>
              <w:jc w:val="center"/>
              <w:rPr>
                <w:rFonts w:ascii="Courier New" w:hAnsi="Courier New" w:cs="Courier New"/>
                <w:b/>
                <w:bCs/>
                <w:color w:val="333333"/>
                <w:sz w:val="20"/>
                <w:szCs w:val="20"/>
              </w:rPr>
            </w:pPr>
          </w:p>
        </w:tc>
        <w:tc>
          <w:tcPr>
            <w:tcW w:w="240" w:type="dxa"/>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b/>
                <w:bCs/>
                <w:color w:val="333333"/>
                <w:sz w:val="20"/>
                <w:szCs w:val="20"/>
              </w:rPr>
            </w:pPr>
          </w:p>
        </w:tc>
        <w:tc>
          <w:tcPr>
            <w:tcW w:w="330" w:type="dxa"/>
            <w:tcBorders>
              <w:top w:val="nil"/>
              <w:left w:val="nil"/>
              <w:bottom w:val="nil"/>
              <w:right w:val="nil"/>
            </w:tcBorders>
          </w:tcPr>
          <w:p w:rsidR="0058147F" w:rsidRDefault="0058147F">
            <w:pPr>
              <w:rPr>
                <w:rFonts w:ascii="Courier New" w:hAnsi="Courier New" w:cs="Courier New"/>
                <w:b/>
                <w:bCs/>
                <w:color w:val="333333"/>
                <w:sz w:val="20"/>
                <w:szCs w:val="20"/>
              </w:rPr>
            </w:pPr>
          </w:p>
        </w:tc>
        <w:tc>
          <w:tcPr>
            <w:tcW w:w="1755" w:type="dxa"/>
            <w:tcBorders>
              <w:top w:val="nil"/>
              <w:left w:val="nil"/>
              <w:bottom w:val="nil"/>
              <w:right w:val="nil"/>
            </w:tcBorders>
          </w:tcPr>
          <w:p w:rsidR="0058147F" w:rsidRDefault="0058147F">
            <w:pPr>
              <w:rPr>
                <w:rFonts w:ascii="Courier New" w:hAnsi="Courier New" w:cs="Courier New"/>
                <w:b/>
                <w:bCs/>
                <w:color w:val="333333"/>
                <w:sz w:val="20"/>
                <w:szCs w:val="20"/>
              </w:rPr>
            </w:pP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Default="00A44C37">
            <w:pPr>
              <w:rPr>
                <w:rFonts w:ascii="Courier New" w:hAnsi="Courier New" w:cs="Courier New"/>
                <w:bCs/>
                <w:color w:val="333333"/>
                <w:sz w:val="20"/>
                <w:szCs w:val="20"/>
              </w:rPr>
            </w:pPr>
            <w:r>
              <w:rPr>
                <w:rFonts w:ascii="Courier New" w:hAnsi="Courier New" w:cs="Courier New"/>
                <w:bCs/>
                <w:color w:val="333333"/>
                <w:sz w:val="20"/>
                <w:szCs w:val="20"/>
              </w:rPr>
              <w:t>Net Rentable Area  124,</w:t>
            </w:r>
            <w:r w:rsidR="002B6B66">
              <w:rPr>
                <w:rFonts w:ascii="Courier New" w:hAnsi="Courier New" w:cs="Courier New"/>
                <w:bCs/>
                <w:color w:val="333333"/>
                <w:sz w:val="20"/>
                <w:szCs w:val="20"/>
              </w:rPr>
              <w:t>597</w:t>
            </w:r>
          </w:p>
        </w:tc>
        <w:tc>
          <w:tcPr>
            <w:tcW w:w="589" w:type="dxa"/>
            <w:gridSpan w:val="2"/>
            <w:tcBorders>
              <w:top w:val="nil"/>
              <w:left w:val="nil"/>
              <w:bottom w:val="nil"/>
              <w:right w:val="nil"/>
            </w:tcBorders>
            <w:tcMar>
              <w:top w:w="15" w:type="dxa"/>
              <w:left w:w="15" w:type="dxa"/>
              <w:bottom w:w="15" w:type="dxa"/>
              <w:right w:w="15" w:type="dxa"/>
            </w:tcMar>
          </w:tcPr>
          <w:p w:rsidR="0058147F" w:rsidRDefault="0058147F">
            <w:pPr>
              <w:jc w:val="center"/>
              <w:rPr>
                <w:rFonts w:ascii="Courier New" w:hAnsi="Courier New" w:cs="Courier New"/>
                <w:bCs/>
                <w:color w:val="333333"/>
                <w:sz w:val="20"/>
                <w:szCs w:val="20"/>
              </w:rPr>
            </w:pPr>
          </w:p>
        </w:tc>
        <w:tc>
          <w:tcPr>
            <w:tcW w:w="186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bCs/>
                <w:color w:val="333333"/>
                <w:sz w:val="20"/>
                <w:szCs w:val="20"/>
              </w:rPr>
            </w:pP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bCs/>
                <w:color w:val="333333"/>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bCs/>
                <w:color w:val="333333"/>
                <w:sz w:val="20"/>
                <w:szCs w:val="20"/>
              </w:rPr>
            </w:pPr>
          </w:p>
        </w:tc>
        <w:tc>
          <w:tcPr>
            <w:tcW w:w="330" w:type="dxa"/>
            <w:tcBorders>
              <w:top w:val="nil"/>
              <w:left w:val="nil"/>
              <w:bottom w:val="nil"/>
              <w:right w:val="nil"/>
            </w:tcBorders>
          </w:tcPr>
          <w:p w:rsidR="0058147F" w:rsidRDefault="0058147F">
            <w:pPr>
              <w:jc w:val="right"/>
              <w:rPr>
                <w:rFonts w:ascii="Courier New" w:hAnsi="Courier New" w:cs="Courier New"/>
                <w:b/>
                <w:bCs/>
                <w:color w:val="333333"/>
                <w:sz w:val="20"/>
                <w:szCs w:val="20"/>
              </w:rPr>
            </w:pPr>
          </w:p>
        </w:tc>
        <w:tc>
          <w:tcPr>
            <w:tcW w:w="1755" w:type="dxa"/>
            <w:tcBorders>
              <w:top w:val="nil"/>
              <w:left w:val="nil"/>
              <w:bottom w:val="nil"/>
              <w:right w:val="nil"/>
            </w:tcBorders>
          </w:tcPr>
          <w:p w:rsidR="0058147F" w:rsidRDefault="0058147F">
            <w:pPr>
              <w:jc w:val="right"/>
              <w:rPr>
                <w:rFonts w:ascii="Courier New" w:hAnsi="Courier New" w:cs="Courier New"/>
                <w:b/>
                <w:bCs/>
                <w:color w:val="333333"/>
                <w:sz w:val="20"/>
                <w:szCs w:val="20"/>
              </w:rPr>
            </w:pP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Cs/>
                <w:color w:val="333333"/>
                <w:sz w:val="20"/>
                <w:szCs w:val="20"/>
              </w:rPr>
            </w:pPr>
            <w:r>
              <w:rPr>
                <w:rFonts w:ascii="Courier New" w:hAnsi="Courier New" w:cs="Courier New"/>
                <w:bCs/>
                <w:color w:val="333333"/>
                <w:sz w:val="20"/>
                <w:szCs w:val="20"/>
              </w:rPr>
              <w:t xml:space="preserve"> Market Rent (PSF)</w:t>
            </w:r>
          </w:p>
        </w:tc>
        <w:tc>
          <w:tcPr>
            <w:tcW w:w="589" w:type="dxa"/>
            <w:gridSpan w:val="2"/>
            <w:tcBorders>
              <w:top w:val="nil"/>
              <w:left w:val="nil"/>
              <w:bottom w:val="nil"/>
              <w:right w:val="nil"/>
            </w:tcBorders>
            <w:tcMar>
              <w:top w:w="15" w:type="dxa"/>
              <w:left w:w="15" w:type="dxa"/>
              <w:bottom w:w="15" w:type="dxa"/>
              <w:right w:w="15" w:type="dxa"/>
            </w:tcMar>
          </w:tcPr>
          <w:p w:rsidR="0058147F" w:rsidRDefault="0058147F" w:rsidP="0058147F">
            <w:pPr>
              <w:rPr>
                <w:rFonts w:ascii="Courier New" w:hAnsi="Courier New" w:cs="Courier New"/>
                <w:bCs/>
                <w:color w:val="333333"/>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Default="0043640E" w:rsidP="0058147F">
            <w:pPr>
              <w:jc w:val="center"/>
              <w:rPr>
                <w:rFonts w:ascii="Courier New" w:hAnsi="Courier New" w:cs="Courier New"/>
                <w:bCs/>
                <w:color w:val="333333"/>
                <w:sz w:val="20"/>
                <w:szCs w:val="20"/>
              </w:rPr>
            </w:pPr>
            <w:r>
              <w:rPr>
                <w:rFonts w:ascii="Courier New" w:hAnsi="Courier New" w:cs="Courier New"/>
                <w:bCs/>
                <w:color w:val="333333"/>
                <w:sz w:val="20"/>
                <w:szCs w:val="20"/>
              </w:rPr>
              <w:t xml:space="preserve">  </w:t>
            </w:r>
            <w:r w:rsidR="002B6B66">
              <w:rPr>
                <w:rFonts w:ascii="Courier New" w:hAnsi="Courier New" w:cs="Courier New"/>
                <w:bCs/>
                <w:color w:val="333333"/>
                <w:sz w:val="20"/>
                <w:szCs w:val="20"/>
              </w:rPr>
              <w:t xml:space="preserve">  </w:t>
            </w:r>
            <w:r>
              <w:rPr>
                <w:rFonts w:ascii="Courier New" w:hAnsi="Courier New" w:cs="Courier New"/>
                <w:bCs/>
                <w:color w:val="333333"/>
                <w:sz w:val="20"/>
                <w:szCs w:val="20"/>
              </w:rPr>
              <w:t xml:space="preserve"> </w:t>
            </w:r>
            <w:r w:rsidR="0058147F">
              <w:rPr>
                <w:rFonts w:ascii="Courier New" w:hAnsi="Courier New" w:cs="Courier New"/>
                <w:bCs/>
                <w:color w:val="333333"/>
                <w:sz w:val="20"/>
                <w:szCs w:val="20"/>
              </w:rPr>
              <w:t>$10.50</w:t>
            </w:r>
          </w:p>
        </w:tc>
        <w:tc>
          <w:tcPr>
            <w:tcW w:w="240" w:type="dxa"/>
            <w:tcBorders>
              <w:top w:val="nil"/>
              <w:left w:val="nil"/>
              <w:bottom w:val="nil"/>
              <w:right w:val="nil"/>
            </w:tcBorders>
            <w:tcMar>
              <w:top w:w="15" w:type="dxa"/>
              <w:left w:w="15" w:type="dxa"/>
              <w:bottom w:w="15" w:type="dxa"/>
              <w:right w:w="15" w:type="dxa"/>
            </w:tcMar>
          </w:tcPr>
          <w:p w:rsidR="0058147F" w:rsidRDefault="0058147F" w:rsidP="0058147F">
            <w:pPr>
              <w:jc w:val="center"/>
              <w:rPr>
                <w:rFonts w:ascii="Courier New" w:hAnsi="Courier New" w:cs="Courier New"/>
                <w:b/>
                <w:bCs/>
                <w:color w:val="333333"/>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Pr="0043640E" w:rsidRDefault="0043640E" w:rsidP="0058147F">
            <w:pPr>
              <w:jc w:val="center"/>
              <w:rPr>
                <w:rFonts w:ascii="Courier New" w:hAnsi="Courier New" w:cs="Courier New"/>
                <w:bCs/>
                <w:color w:val="333333"/>
                <w:sz w:val="20"/>
                <w:szCs w:val="20"/>
              </w:rPr>
            </w:pPr>
            <w:r w:rsidRPr="0043640E">
              <w:rPr>
                <w:rFonts w:ascii="Courier New" w:hAnsi="Courier New" w:cs="Courier New"/>
                <w:bCs/>
                <w:color w:val="333333"/>
                <w:sz w:val="20"/>
                <w:szCs w:val="20"/>
              </w:rPr>
              <w:t xml:space="preserve">   </w:t>
            </w:r>
            <w:r>
              <w:rPr>
                <w:rFonts w:ascii="Courier New" w:hAnsi="Courier New" w:cs="Courier New"/>
                <w:bCs/>
                <w:color w:val="333333"/>
                <w:sz w:val="20"/>
                <w:szCs w:val="20"/>
              </w:rPr>
              <w:t xml:space="preserve"> </w:t>
            </w:r>
            <w:r w:rsidR="0058147F" w:rsidRPr="0043640E">
              <w:rPr>
                <w:rFonts w:ascii="Courier New" w:hAnsi="Courier New" w:cs="Courier New"/>
                <w:bCs/>
                <w:color w:val="333333"/>
                <w:sz w:val="20"/>
                <w:szCs w:val="20"/>
              </w:rPr>
              <w:t>$11.00</w:t>
            </w:r>
          </w:p>
        </w:tc>
        <w:tc>
          <w:tcPr>
            <w:tcW w:w="330" w:type="dxa"/>
            <w:tcBorders>
              <w:top w:val="nil"/>
              <w:left w:val="nil"/>
              <w:bottom w:val="nil"/>
              <w:right w:val="nil"/>
            </w:tcBorders>
          </w:tcPr>
          <w:p w:rsidR="0058147F" w:rsidRPr="0043640E" w:rsidRDefault="0058147F" w:rsidP="0058147F">
            <w:pPr>
              <w:jc w:val="center"/>
              <w:rPr>
                <w:rFonts w:ascii="Courier New" w:hAnsi="Courier New" w:cs="Courier New"/>
                <w:bCs/>
                <w:color w:val="333333"/>
                <w:sz w:val="20"/>
                <w:szCs w:val="20"/>
              </w:rPr>
            </w:pPr>
          </w:p>
        </w:tc>
        <w:tc>
          <w:tcPr>
            <w:tcW w:w="1755" w:type="dxa"/>
            <w:tcBorders>
              <w:top w:val="nil"/>
              <w:left w:val="nil"/>
              <w:bottom w:val="nil"/>
              <w:right w:val="nil"/>
            </w:tcBorders>
          </w:tcPr>
          <w:p w:rsidR="0058147F" w:rsidRPr="0043640E" w:rsidRDefault="0060144F" w:rsidP="0058147F">
            <w:pPr>
              <w:jc w:val="center"/>
              <w:rPr>
                <w:rFonts w:ascii="Courier New" w:hAnsi="Courier New" w:cs="Courier New"/>
                <w:bCs/>
                <w:color w:val="333333"/>
                <w:sz w:val="20"/>
                <w:szCs w:val="20"/>
              </w:rPr>
            </w:pPr>
            <w:r>
              <w:rPr>
                <w:rFonts w:ascii="Courier New" w:hAnsi="Courier New" w:cs="Courier New"/>
                <w:bCs/>
                <w:color w:val="333333"/>
                <w:sz w:val="20"/>
                <w:szCs w:val="20"/>
              </w:rPr>
              <w:t xml:space="preserve"> </w:t>
            </w:r>
            <w:r w:rsidR="0043640E">
              <w:rPr>
                <w:rFonts w:ascii="Courier New" w:hAnsi="Courier New" w:cs="Courier New"/>
                <w:bCs/>
                <w:color w:val="333333"/>
                <w:sz w:val="20"/>
                <w:szCs w:val="20"/>
              </w:rPr>
              <w:t xml:space="preserve"> </w:t>
            </w:r>
            <w:r w:rsidR="0058147F" w:rsidRPr="0043640E">
              <w:rPr>
                <w:rFonts w:ascii="Courier New" w:hAnsi="Courier New" w:cs="Courier New"/>
                <w:bCs/>
                <w:color w:val="333333"/>
                <w:sz w:val="20"/>
                <w:szCs w:val="20"/>
              </w:rPr>
              <w:t>$11.50</w:t>
            </w: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
                <w:color w:val="333333"/>
                <w:sz w:val="20"/>
                <w:szCs w:val="20"/>
              </w:rPr>
            </w:pPr>
            <w:r>
              <w:rPr>
                <w:rFonts w:ascii="Courier New" w:hAnsi="Courier New" w:cs="Courier New"/>
                <w:b/>
                <w:color w:val="333333"/>
                <w:sz w:val="20"/>
                <w:szCs w:val="20"/>
              </w:rPr>
              <w:t>Potential Gross Income</w:t>
            </w:r>
          </w:p>
        </w:tc>
        <w:tc>
          <w:tcPr>
            <w:tcW w:w="589" w:type="dxa"/>
            <w:gridSpan w:val="2"/>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Default="00D95FFA" w:rsidP="00D95FFA">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2B6B66">
              <w:rPr>
                <w:rFonts w:ascii="Courier New" w:hAnsi="Courier New" w:cs="Courier New"/>
                <w:b/>
                <w:color w:val="333333"/>
                <w:sz w:val="20"/>
                <w:szCs w:val="20"/>
              </w:rPr>
              <w:t xml:space="preserve">   </w:t>
            </w:r>
            <w:r w:rsidR="0058147F">
              <w:rPr>
                <w:rFonts w:ascii="Courier New" w:hAnsi="Courier New" w:cs="Courier New"/>
                <w:b/>
                <w:color w:val="333333"/>
                <w:sz w:val="20"/>
                <w:szCs w:val="20"/>
              </w:rPr>
              <w:t>$</w:t>
            </w:r>
            <w:r w:rsidR="00F364E5">
              <w:rPr>
                <w:rFonts w:ascii="Courier New" w:hAnsi="Courier New" w:cs="Courier New"/>
                <w:b/>
                <w:color w:val="333333"/>
                <w:sz w:val="20"/>
                <w:szCs w:val="20"/>
              </w:rPr>
              <w:t>1,308,269</w:t>
            </w:r>
          </w:p>
        </w:tc>
        <w:tc>
          <w:tcPr>
            <w:tcW w:w="240" w:type="dxa"/>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D95FFA" w:rsidP="00D95FFA">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F364E5">
              <w:rPr>
                <w:rFonts w:ascii="Courier New" w:hAnsi="Courier New" w:cs="Courier New"/>
                <w:b/>
                <w:color w:val="333333"/>
                <w:sz w:val="20"/>
                <w:szCs w:val="20"/>
              </w:rPr>
              <w:t>$1,370,567</w:t>
            </w:r>
          </w:p>
        </w:tc>
        <w:tc>
          <w:tcPr>
            <w:tcW w:w="330" w:type="dxa"/>
            <w:tcBorders>
              <w:top w:val="nil"/>
              <w:left w:val="nil"/>
              <w:bottom w:val="nil"/>
              <w:right w:val="nil"/>
            </w:tcBorders>
          </w:tcPr>
          <w:p w:rsidR="0058147F" w:rsidRDefault="0058147F">
            <w:pPr>
              <w:jc w:val="right"/>
              <w:rPr>
                <w:rFonts w:ascii="Courier New" w:hAnsi="Courier New" w:cs="Courier New"/>
                <w:b/>
                <w:color w:val="333333"/>
                <w:sz w:val="20"/>
                <w:szCs w:val="20"/>
              </w:rPr>
            </w:pPr>
          </w:p>
        </w:tc>
        <w:tc>
          <w:tcPr>
            <w:tcW w:w="1755" w:type="dxa"/>
            <w:tcBorders>
              <w:top w:val="nil"/>
              <w:left w:val="nil"/>
              <w:bottom w:val="nil"/>
              <w:right w:val="nil"/>
            </w:tcBorders>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F364E5">
              <w:rPr>
                <w:rFonts w:ascii="Courier New" w:hAnsi="Courier New" w:cs="Courier New"/>
                <w:b/>
                <w:color w:val="333333"/>
                <w:sz w:val="20"/>
                <w:szCs w:val="20"/>
              </w:rPr>
              <w:t>$1,432,866</w:t>
            </w: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color w:val="333333"/>
                <w:sz w:val="20"/>
                <w:szCs w:val="20"/>
              </w:rPr>
            </w:pPr>
            <w:r>
              <w:rPr>
                <w:rFonts w:ascii="Courier New" w:hAnsi="Courier New" w:cs="Courier New"/>
                <w:color w:val="333333"/>
                <w:sz w:val="20"/>
                <w:szCs w:val="20"/>
              </w:rPr>
              <w:t xml:space="preserve">  Less Vacancy</w:t>
            </w:r>
            <w:r w:rsidR="00F364E5">
              <w:rPr>
                <w:rFonts w:ascii="Courier New" w:hAnsi="Courier New" w:cs="Courier New"/>
                <w:color w:val="333333"/>
                <w:sz w:val="20"/>
                <w:szCs w:val="20"/>
              </w:rPr>
              <w:t xml:space="preserve"> – 5%</w:t>
            </w:r>
          </w:p>
        </w:tc>
        <w:tc>
          <w:tcPr>
            <w:tcW w:w="589" w:type="dxa"/>
            <w:gridSpan w:val="2"/>
            <w:tcBorders>
              <w:top w:val="nil"/>
              <w:left w:val="nil"/>
              <w:bottom w:val="nil"/>
              <w:right w:val="nil"/>
            </w:tcBorders>
            <w:tcMar>
              <w:top w:w="15" w:type="dxa"/>
              <w:left w:w="15" w:type="dxa"/>
              <w:bottom w:w="15" w:type="dxa"/>
              <w:right w:w="15" w:type="dxa"/>
            </w:tcMar>
            <w:hideMark/>
          </w:tcPr>
          <w:p w:rsidR="0058147F" w:rsidRDefault="0058147F" w:rsidP="00F364E5">
            <w:pPr>
              <w:jc w:val="center"/>
              <w:rPr>
                <w:rFonts w:ascii="Courier New" w:hAnsi="Courier New" w:cs="Courier New"/>
                <w:color w:val="333333"/>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Default="00D95FFA">
            <w:pPr>
              <w:jc w:val="right"/>
              <w:rPr>
                <w:rFonts w:ascii="Courier New" w:hAnsi="Courier New" w:cs="Courier New"/>
                <w:color w:val="333333"/>
                <w:sz w:val="20"/>
                <w:szCs w:val="20"/>
              </w:rPr>
            </w:pPr>
            <w:r>
              <w:rPr>
                <w:rFonts w:ascii="Courier New" w:hAnsi="Courier New" w:cs="Courier New"/>
                <w:color w:val="333333"/>
                <w:sz w:val="20"/>
                <w:szCs w:val="20"/>
              </w:rPr>
              <w:t xml:space="preserve"> </w:t>
            </w:r>
            <w:r w:rsidR="00F364E5">
              <w:rPr>
                <w:rFonts w:ascii="Courier New" w:hAnsi="Courier New" w:cs="Courier New"/>
                <w:color w:val="333333"/>
                <w:sz w:val="20"/>
                <w:szCs w:val="20"/>
              </w:rPr>
              <w:t xml:space="preserve"> </w:t>
            </w:r>
            <w:r>
              <w:rPr>
                <w:rFonts w:ascii="Courier New" w:hAnsi="Courier New" w:cs="Courier New"/>
                <w:color w:val="333333"/>
                <w:sz w:val="20"/>
                <w:szCs w:val="20"/>
              </w:rPr>
              <w:t xml:space="preserve"> </w:t>
            </w:r>
            <w:r w:rsidR="00F364E5">
              <w:rPr>
                <w:rFonts w:ascii="Courier New" w:hAnsi="Courier New" w:cs="Courier New"/>
                <w:color w:val="333333"/>
                <w:sz w:val="20"/>
                <w:szCs w:val="20"/>
              </w:rPr>
              <w:t>($65,413)</w:t>
            </w:r>
          </w:p>
        </w:tc>
        <w:tc>
          <w:tcPr>
            <w:tcW w:w="240" w:type="dxa"/>
            <w:tcBorders>
              <w:top w:val="nil"/>
              <w:left w:val="nil"/>
              <w:bottom w:val="nil"/>
              <w:right w:val="nil"/>
            </w:tcBorders>
            <w:tcMar>
              <w:top w:w="15" w:type="dxa"/>
              <w:left w:w="15" w:type="dxa"/>
              <w:bottom w:w="15" w:type="dxa"/>
              <w:right w:w="15" w:type="dxa"/>
            </w:tcMar>
            <w:hideMark/>
          </w:tcPr>
          <w:p w:rsidR="0058147F" w:rsidRDefault="0058147F">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D95FFA">
            <w:pPr>
              <w:jc w:val="right"/>
              <w:rPr>
                <w:rFonts w:ascii="Courier New" w:hAnsi="Courier New" w:cs="Courier New"/>
                <w:color w:val="333333"/>
                <w:sz w:val="20"/>
                <w:szCs w:val="20"/>
              </w:rPr>
            </w:pPr>
            <w:r>
              <w:rPr>
                <w:rFonts w:ascii="Courier New" w:hAnsi="Courier New" w:cs="Courier New"/>
                <w:color w:val="333333"/>
                <w:sz w:val="20"/>
                <w:szCs w:val="20"/>
              </w:rPr>
              <w:t xml:space="preserve">     </w:t>
            </w:r>
            <w:r w:rsidR="00F364E5">
              <w:rPr>
                <w:rFonts w:ascii="Courier New" w:hAnsi="Courier New" w:cs="Courier New"/>
                <w:color w:val="333333"/>
                <w:sz w:val="20"/>
                <w:szCs w:val="20"/>
              </w:rPr>
              <w:t>($68,528)</w:t>
            </w:r>
          </w:p>
        </w:tc>
        <w:tc>
          <w:tcPr>
            <w:tcW w:w="330"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c>
          <w:tcPr>
            <w:tcW w:w="1755" w:type="dxa"/>
            <w:tcBorders>
              <w:top w:val="nil"/>
              <w:left w:val="nil"/>
              <w:bottom w:val="nil"/>
              <w:right w:val="nil"/>
            </w:tcBorders>
          </w:tcPr>
          <w:p w:rsidR="0058147F" w:rsidRDefault="00D95FFA">
            <w:pPr>
              <w:jc w:val="right"/>
              <w:rPr>
                <w:rFonts w:ascii="Courier New" w:hAnsi="Courier New" w:cs="Courier New"/>
                <w:color w:val="333333"/>
                <w:sz w:val="20"/>
                <w:szCs w:val="20"/>
              </w:rPr>
            </w:pPr>
            <w:r>
              <w:rPr>
                <w:rFonts w:ascii="Courier New" w:hAnsi="Courier New" w:cs="Courier New"/>
                <w:color w:val="333333"/>
                <w:sz w:val="20"/>
                <w:szCs w:val="20"/>
              </w:rPr>
              <w:t xml:space="preserve">   </w:t>
            </w:r>
            <w:r w:rsidR="00F364E5">
              <w:rPr>
                <w:rFonts w:ascii="Courier New" w:hAnsi="Courier New" w:cs="Courier New"/>
                <w:color w:val="333333"/>
                <w:sz w:val="20"/>
                <w:szCs w:val="20"/>
              </w:rPr>
              <w:t>($71,643)</w:t>
            </w: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color w:val="333333"/>
                <w:sz w:val="20"/>
                <w:szCs w:val="20"/>
              </w:rPr>
            </w:pPr>
          </w:p>
        </w:tc>
        <w:tc>
          <w:tcPr>
            <w:tcW w:w="589" w:type="dxa"/>
            <w:gridSpan w:val="2"/>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186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330"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c>
          <w:tcPr>
            <w:tcW w:w="1755"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
                <w:color w:val="333333"/>
                <w:sz w:val="20"/>
                <w:szCs w:val="20"/>
              </w:rPr>
            </w:pPr>
            <w:r>
              <w:rPr>
                <w:rFonts w:ascii="Courier New" w:hAnsi="Courier New" w:cs="Courier New"/>
                <w:b/>
                <w:color w:val="333333"/>
                <w:sz w:val="20"/>
                <w:szCs w:val="20"/>
              </w:rPr>
              <w:t>Effective Gross Income</w:t>
            </w:r>
          </w:p>
        </w:tc>
        <w:tc>
          <w:tcPr>
            <w:tcW w:w="589" w:type="dxa"/>
            <w:gridSpan w:val="2"/>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color w:val="333333"/>
                <w:sz w:val="20"/>
                <w:szCs w:val="20"/>
              </w:rPr>
            </w:pPr>
          </w:p>
        </w:tc>
        <w:tc>
          <w:tcPr>
            <w:tcW w:w="186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2B6B66">
              <w:rPr>
                <w:rFonts w:ascii="Courier New" w:hAnsi="Courier New" w:cs="Courier New"/>
                <w:b/>
                <w:color w:val="333333"/>
                <w:sz w:val="20"/>
                <w:szCs w:val="20"/>
              </w:rPr>
              <w:t xml:space="preserve">   </w:t>
            </w:r>
            <w:r w:rsidR="00F364E5">
              <w:rPr>
                <w:rFonts w:ascii="Courier New" w:hAnsi="Courier New" w:cs="Courier New"/>
                <w:b/>
                <w:color w:val="333333"/>
                <w:sz w:val="20"/>
                <w:szCs w:val="20"/>
              </w:rPr>
              <w:t>$1,242,855</w:t>
            </w: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color w:val="333333"/>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F364E5">
              <w:rPr>
                <w:rFonts w:ascii="Courier New" w:hAnsi="Courier New" w:cs="Courier New"/>
                <w:b/>
                <w:color w:val="333333"/>
                <w:sz w:val="20"/>
                <w:szCs w:val="20"/>
              </w:rPr>
              <w:t>$1,302,039</w:t>
            </w:r>
          </w:p>
        </w:tc>
        <w:tc>
          <w:tcPr>
            <w:tcW w:w="330" w:type="dxa"/>
            <w:tcBorders>
              <w:top w:val="nil"/>
              <w:left w:val="nil"/>
              <w:bottom w:val="nil"/>
              <w:right w:val="nil"/>
            </w:tcBorders>
          </w:tcPr>
          <w:p w:rsidR="0058147F" w:rsidRDefault="0058147F">
            <w:pPr>
              <w:jc w:val="right"/>
              <w:rPr>
                <w:rFonts w:ascii="Courier New" w:hAnsi="Courier New" w:cs="Courier New"/>
                <w:b/>
                <w:color w:val="333333"/>
                <w:sz w:val="20"/>
                <w:szCs w:val="20"/>
              </w:rPr>
            </w:pPr>
          </w:p>
        </w:tc>
        <w:tc>
          <w:tcPr>
            <w:tcW w:w="1755" w:type="dxa"/>
            <w:tcBorders>
              <w:top w:val="nil"/>
              <w:left w:val="nil"/>
              <w:bottom w:val="nil"/>
              <w:right w:val="nil"/>
            </w:tcBorders>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F364E5">
              <w:rPr>
                <w:rFonts w:ascii="Courier New" w:hAnsi="Courier New" w:cs="Courier New"/>
                <w:b/>
                <w:color w:val="333333"/>
                <w:sz w:val="20"/>
                <w:szCs w:val="20"/>
              </w:rPr>
              <w:t>$1,361,222</w:t>
            </w:r>
          </w:p>
        </w:tc>
      </w:tr>
      <w:tr w:rsidR="00F364E5" w:rsidTr="002B6B66">
        <w:trPr>
          <w:tblCellSpacing w:w="15" w:type="dxa"/>
        </w:trPr>
        <w:tc>
          <w:tcPr>
            <w:tcW w:w="3251" w:type="dxa"/>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color w:val="333333"/>
                <w:sz w:val="20"/>
                <w:szCs w:val="20"/>
              </w:rPr>
            </w:pPr>
          </w:p>
        </w:tc>
        <w:tc>
          <w:tcPr>
            <w:tcW w:w="589" w:type="dxa"/>
            <w:gridSpan w:val="2"/>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sz w:val="20"/>
                <w:szCs w:val="20"/>
              </w:rPr>
            </w:pPr>
          </w:p>
        </w:tc>
        <w:tc>
          <w:tcPr>
            <w:tcW w:w="1860" w:type="dxa"/>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sz w:val="20"/>
                <w:szCs w:val="20"/>
              </w:rPr>
            </w:pPr>
          </w:p>
        </w:tc>
        <w:tc>
          <w:tcPr>
            <w:tcW w:w="240" w:type="dxa"/>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sz w:val="20"/>
                <w:szCs w:val="20"/>
              </w:rPr>
            </w:pPr>
          </w:p>
        </w:tc>
        <w:tc>
          <w:tcPr>
            <w:tcW w:w="330" w:type="dxa"/>
            <w:tcBorders>
              <w:top w:val="nil"/>
              <w:left w:val="nil"/>
              <w:bottom w:val="nil"/>
              <w:right w:val="nil"/>
            </w:tcBorders>
          </w:tcPr>
          <w:p w:rsidR="0058147F" w:rsidRDefault="0058147F">
            <w:pPr>
              <w:rPr>
                <w:rFonts w:ascii="Courier New" w:hAnsi="Courier New" w:cs="Courier New"/>
                <w:sz w:val="20"/>
                <w:szCs w:val="20"/>
              </w:rPr>
            </w:pPr>
          </w:p>
        </w:tc>
        <w:tc>
          <w:tcPr>
            <w:tcW w:w="1755" w:type="dxa"/>
            <w:tcBorders>
              <w:top w:val="nil"/>
              <w:left w:val="nil"/>
              <w:bottom w:val="nil"/>
              <w:right w:val="nil"/>
            </w:tcBorders>
          </w:tcPr>
          <w:p w:rsidR="0058147F" w:rsidRDefault="0058147F">
            <w:pPr>
              <w:rPr>
                <w:rFonts w:ascii="Courier New" w:hAnsi="Courier New" w:cs="Courier New"/>
                <w:sz w:val="20"/>
                <w:szCs w:val="20"/>
              </w:rPr>
            </w:pPr>
          </w:p>
        </w:tc>
      </w:tr>
      <w:tr w:rsidR="00F364E5" w:rsidTr="002B6B66">
        <w:trPr>
          <w:tblCellSpacing w:w="15" w:type="dxa"/>
        </w:trPr>
        <w:tc>
          <w:tcPr>
            <w:tcW w:w="5760" w:type="dxa"/>
            <w:gridSpan w:val="4"/>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
                <w:color w:val="333333"/>
                <w:sz w:val="20"/>
                <w:szCs w:val="20"/>
              </w:rPr>
            </w:pPr>
            <w:r>
              <w:rPr>
                <w:rFonts w:ascii="Courier New" w:hAnsi="Courier New" w:cs="Courier New"/>
                <w:b/>
                <w:color w:val="333333"/>
                <w:sz w:val="20"/>
                <w:szCs w:val="20"/>
              </w:rPr>
              <w:t>OPERATING EXPENSE</w:t>
            </w: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330"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c>
          <w:tcPr>
            <w:tcW w:w="1755"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r>
      <w:tr w:rsidR="00F364E5" w:rsidTr="002B6B66">
        <w:trPr>
          <w:tblCellSpacing w:w="15" w:type="dxa"/>
        </w:trPr>
        <w:tc>
          <w:tcPr>
            <w:tcW w:w="5760" w:type="dxa"/>
            <w:gridSpan w:val="4"/>
            <w:tcBorders>
              <w:top w:val="nil"/>
              <w:left w:val="nil"/>
              <w:bottom w:val="nil"/>
              <w:right w:val="nil"/>
            </w:tcBorders>
            <w:tcMar>
              <w:top w:w="15" w:type="dxa"/>
              <w:left w:w="15" w:type="dxa"/>
              <w:bottom w:w="15" w:type="dxa"/>
              <w:right w:w="15" w:type="dxa"/>
            </w:tcMar>
          </w:tcPr>
          <w:p w:rsidR="00F364E5" w:rsidRPr="00F364E5" w:rsidRDefault="00F364E5" w:rsidP="0060144F">
            <w:pPr>
              <w:rPr>
                <w:rFonts w:ascii="Courier New" w:hAnsi="Courier New" w:cs="Courier New"/>
                <w:color w:val="333333"/>
                <w:sz w:val="20"/>
                <w:szCs w:val="20"/>
              </w:rPr>
            </w:pPr>
            <w:r>
              <w:rPr>
                <w:rFonts w:ascii="Courier New" w:hAnsi="Courier New" w:cs="Courier New"/>
                <w:b/>
                <w:color w:val="333333"/>
                <w:sz w:val="20"/>
                <w:szCs w:val="20"/>
              </w:rPr>
              <w:t xml:space="preserve">  </w:t>
            </w:r>
            <w:r w:rsidRPr="00F364E5">
              <w:rPr>
                <w:rFonts w:ascii="Courier New" w:hAnsi="Courier New" w:cs="Courier New"/>
                <w:color w:val="333333"/>
                <w:sz w:val="20"/>
                <w:szCs w:val="20"/>
              </w:rPr>
              <w:t xml:space="preserve">Management  </w:t>
            </w:r>
            <w:r w:rsidR="0043640E">
              <w:rPr>
                <w:rFonts w:ascii="Courier New" w:hAnsi="Courier New" w:cs="Courier New"/>
                <w:color w:val="333333"/>
                <w:sz w:val="20"/>
                <w:szCs w:val="20"/>
              </w:rPr>
              <w:t xml:space="preserve">          </w:t>
            </w:r>
            <w:r w:rsidR="002B6B66">
              <w:rPr>
                <w:rFonts w:ascii="Courier New" w:hAnsi="Courier New" w:cs="Courier New"/>
                <w:color w:val="333333"/>
                <w:sz w:val="20"/>
                <w:szCs w:val="20"/>
              </w:rPr>
              <w:t xml:space="preserve">   </w:t>
            </w:r>
            <w:r w:rsidRPr="00F364E5">
              <w:rPr>
                <w:rFonts w:ascii="Courier New" w:hAnsi="Courier New" w:cs="Courier New"/>
                <w:color w:val="333333"/>
                <w:sz w:val="20"/>
                <w:szCs w:val="20"/>
              </w:rPr>
              <w:t xml:space="preserve">2% of EGI </w:t>
            </w:r>
            <w:r w:rsidR="0043640E">
              <w:rPr>
                <w:rFonts w:ascii="Courier New" w:hAnsi="Courier New" w:cs="Courier New"/>
                <w:color w:val="333333"/>
                <w:sz w:val="20"/>
                <w:szCs w:val="20"/>
              </w:rPr>
              <w:t xml:space="preserve"> </w:t>
            </w:r>
            <w:r w:rsidRPr="00F364E5">
              <w:rPr>
                <w:rFonts w:ascii="Courier New" w:hAnsi="Courier New" w:cs="Courier New"/>
                <w:color w:val="333333"/>
                <w:sz w:val="20"/>
                <w:szCs w:val="20"/>
              </w:rPr>
              <w:t xml:space="preserve">  $</w:t>
            </w:r>
            <w:r>
              <w:rPr>
                <w:rFonts w:ascii="Courier New" w:hAnsi="Courier New" w:cs="Courier New"/>
                <w:color w:val="333333"/>
                <w:sz w:val="20"/>
                <w:szCs w:val="20"/>
              </w:rPr>
              <w:t>24,857</w:t>
            </w:r>
          </w:p>
        </w:tc>
        <w:tc>
          <w:tcPr>
            <w:tcW w:w="240" w:type="dxa"/>
            <w:tcBorders>
              <w:top w:val="nil"/>
              <w:left w:val="nil"/>
              <w:bottom w:val="nil"/>
              <w:right w:val="nil"/>
            </w:tcBorders>
            <w:tcMar>
              <w:top w:w="15" w:type="dxa"/>
              <w:left w:w="15" w:type="dxa"/>
              <w:bottom w:w="15" w:type="dxa"/>
              <w:right w:w="15" w:type="dxa"/>
            </w:tcMar>
          </w:tcPr>
          <w:p w:rsidR="00F364E5" w:rsidRDefault="00F364E5">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tcPr>
          <w:p w:rsidR="00F364E5" w:rsidRDefault="0060144F" w:rsidP="0060144F">
            <w:pPr>
              <w:jc w:val="center"/>
              <w:rPr>
                <w:rFonts w:ascii="Courier New" w:hAnsi="Courier New" w:cs="Courier New"/>
                <w:color w:val="333333"/>
                <w:sz w:val="20"/>
                <w:szCs w:val="20"/>
              </w:rPr>
            </w:pPr>
            <w:r>
              <w:rPr>
                <w:rFonts w:ascii="Courier New" w:hAnsi="Courier New" w:cs="Courier New"/>
                <w:color w:val="333333"/>
                <w:sz w:val="20"/>
                <w:szCs w:val="20"/>
              </w:rPr>
              <w:t xml:space="preserve">       </w:t>
            </w:r>
            <w:r w:rsidR="00F364E5">
              <w:rPr>
                <w:rFonts w:ascii="Courier New" w:hAnsi="Courier New" w:cs="Courier New"/>
                <w:color w:val="333333"/>
                <w:sz w:val="20"/>
                <w:szCs w:val="20"/>
              </w:rPr>
              <w:t>$26,041</w:t>
            </w:r>
          </w:p>
        </w:tc>
        <w:tc>
          <w:tcPr>
            <w:tcW w:w="330" w:type="dxa"/>
            <w:tcBorders>
              <w:top w:val="nil"/>
              <w:left w:val="nil"/>
              <w:bottom w:val="nil"/>
              <w:right w:val="nil"/>
            </w:tcBorders>
          </w:tcPr>
          <w:p w:rsidR="00F364E5" w:rsidRDefault="00F364E5">
            <w:pPr>
              <w:jc w:val="right"/>
              <w:rPr>
                <w:rFonts w:ascii="Courier New" w:hAnsi="Courier New" w:cs="Courier New"/>
                <w:color w:val="333333"/>
                <w:sz w:val="20"/>
                <w:szCs w:val="20"/>
              </w:rPr>
            </w:pPr>
          </w:p>
        </w:tc>
        <w:tc>
          <w:tcPr>
            <w:tcW w:w="1755" w:type="dxa"/>
            <w:tcBorders>
              <w:top w:val="nil"/>
              <w:left w:val="nil"/>
              <w:bottom w:val="nil"/>
              <w:right w:val="nil"/>
            </w:tcBorders>
          </w:tcPr>
          <w:p w:rsidR="00F364E5" w:rsidRDefault="0060144F" w:rsidP="0060144F">
            <w:pPr>
              <w:jc w:val="center"/>
              <w:rPr>
                <w:rFonts w:ascii="Courier New" w:hAnsi="Courier New" w:cs="Courier New"/>
                <w:color w:val="333333"/>
                <w:sz w:val="20"/>
                <w:szCs w:val="20"/>
              </w:rPr>
            </w:pPr>
            <w:r>
              <w:rPr>
                <w:rFonts w:ascii="Courier New" w:hAnsi="Courier New" w:cs="Courier New"/>
                <w:color w:val="333333"/>
                <w:sz w:val="20"/>
                <w:szCs w:val="20"/>
              </w:rPr>
              <w:t xml:space="preserve">     </w:t>
            </w:r>
            <w:r w:rsidR="00F364E5">
              <w:rPr>
                <w:rFonts w:ascii="Courier New" w:hAnsi="Courier New" w:cs="Courier New"/>
                <w:color w:val="333333"/>
                <w:sz w:val="20"/>
                <w:szCs w:val="20"/>
              </w:rPr>
              <w:t>$27,224</w:t>
            </w:r>
          </w:p>
        </w:tc>
      </w:tr>
      <w:tr w:rsidR="00F364E5" w:rsidTr="002B6B66">
        <w:trPr>
          <w:tblCellSpacing w:w="15" w:type="dxa"/>
        </w:trPr>
        <w:tc>
          <w:tcPr>
            <w:tcW w:w="5760" w:type="dxa"/>
            <w:gridSpan w:val="4"/>
            <w:tcBorders>
              <w:top w:val="nil"/>
              <w:left w:val="nil"/>
              <w:bottom w:val="nil"/>
              <w:right w:val="nil"/>
            </w:tcBorders>
            <w:tcMar>
              <w:top w:w="15" w:type="dxa"/>
              <w:left w:w="15" w:type="dxa"/>
              <w:bottom w:w="15" w:type="dxa"/>
              <w:right w:w="15" w:type="dxa"/>
            </w:tcMar>
          </w:tcPr>
          <w:p w:rsidR="00F364E5" w:rsidRPr="0043640E" w:rsidRDefault="00F364E5" w:rsidP="002B6B66">
            <w:pPr>
              <w:rPr>
                <w:rFonts w:ascii="Courier New" w:hAnsi="Courier New" w:cs="Courier New"/>
                <w:color w:val="333333"/>
                <w:sz w:val="20"/>
                <w:szCs w:val="20"/>
              </w:rPr>
            </w:pPr>
            <w:r>
              <w:rPr>
                <w:rFonts w:ascii="Courier New" w:hAnsi="Courier New" w:cs="Courier New"/>
                <w:b/>
                <w:color w:val="333333"/>
                <w:sz w:val="20"/>
                <w:szCs w:val="20"/>
              </w:rPr>
              <w:t xml:space="preserve">  </w:t>
            </w:r>
            <w:r w:rsidR="0043640E">
              <w:rPr>
                <w:rFonts w:ascii="Courier New" w:hAnsi="Courier New" w:cs="Courier New"/>
                <w:color w:val="333333"/>
                <w:sz w:val="20"/>
                <w:szCs w:val="20"/>
              </w:rPr>
              <w:t>Reserve for Replacement  $0.20</w:t>
            </w:r>
            <w:r w:rsidR="002B6B66">
              <w:rPr>
                <w:rFonts w:ascii="Courier New" w:hAnsi="Courier New" w:cs="Courier New"/>
                <w:color w:val="333333"/>
                <w:sz w:val="20"/>
                <w:szCs w:val="20"/>
              </w:rPr>
              <w:t xml:space="preserve"> psf </w:t>
            </w:r>
            <w:r w:rsidR="0060144F">
              <w:rPr>
                <w:rFonts w:ascii="Courier New" w:hAnsi="Courier New" w:cs="Courier New"/>
                <w:color w:val="333333"/>
                <w:sz w:val="20"/>
                <w:szCs w:val="20"/>
              </w:rPr>
              <w:t xml:space="preserve">   </w:t>
            </w:r>
            <w:r w:rsidR="0043640E">
              <w:rPr>
                <w:rFonts w:ascii="Courier New" w:hAnsi="Courier New" w:cs="Courier New"/>
                <w:color w:val="333333"/>
                <w:sz w:val="20"/>
                <w:szCs w:val="20"/>
              </w:rPr>
              <w:t>$24,919</w:t>
            </w:r>
          </w:p>
        </w:tc>
        <w:tc>
          <w:tcPr>
            <w:tcW w:w="240" w:type="dxa"/>
            <w:tcBorders>
              <w:top w:val="nil"/>
              <w:left w:val="nil"/>
              <w:bottom w:val="nil"/>
              <w:right w:val="nil"/>
            </w:tcBorders>
            <w:tcMar>
              <w:top w:w="15" w:type="dxa"/>
              <w:left w:w="15" w:type="dxa"/>
              <w:bottom w:w="15" w:type="dxa"/>
              <w:right w:w="15" w:type="dxa"/>
            </w:tcMar>
          </w:tcPr>
          <w:p w:rsidR="00F364E5" w:rsidRDefault="00F364E5">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tcPr>
          <w:p w:rsidR="00F364E5" w:rsidRDefault="0060144F" w:rsidP="0060144F">
            <w:pPr>
              <w:jc w:val="center"/>
              <w:rPr>
                <w:rFonts w:ascii="Courier New" w:hAnsi="Courier New" w:cs="Courier New"/>
                <w:color w:val="333333"/>
                <w:sz w:val="20"/>
                <w:szCs w:val="20"/>
              </w:rPr>
            </w:pPr>
            <w:r>
              <w:rPr>
                <w:rFonts w:ascii="Courier New" w:hAnsi="Courier New" w:cs="Courier New"/>
                <w:color w:val="333333"/>
                <w:sz w:val="20"/>
                <w:szCs w:val="20"/>
              </w:rPr>
              <w:t xml:space="preserve">       </w:t>
            </w:r>
            <w:r w:rsidR="0043640E">
              <w:rPr>
                <w:rFonts w:ascii="Courier New" w:hAnsi="Courier New" w:cs="Courier New"/>
                <w:color w:val="333333"/>
                <w:sz w:val="20"/>
                <w:szCs w:val="20"/>
              </w:rPr>
              <w:t>$24,919</w:t>
            </w:r>
          </w:p>
        </w:tc>
        <w:tc>
          <w:tcPr>
            <w:tcW w:w="330" w:type="dxa"/>
            <w:tcBorders>
              <w:top w:val="nil"/>
              <w:left w:val="nil"/>
              <w:bottom w:val="nil"/>
              <w:right w:val="nil"/>
            </w:tcBorders>
          </w:tcPr>
          <w:p w:rsidR="00F364E5" w:rsidRDefault="00F364E5">
            <w:pPr>
              <w:jc w:val="right"/>
              <w:rPr>
                <w:rFonts w:ascii="Courier New" w:hAnsi="Courier New" w:cs="Courier New"/>
                <w:color w:val="333333"/>
                <w:sz w:val="20"/>
                <w:szCs w:val="20"/>
              </w:rPr>
            </w:pPr>
          </w:p>
        </w:tc>
        <w:tc>
          <w:tcPr>
            <w:tcW w:w="1755" w:type="dxa"/>
            <w:tcBorders>
              <w:top w:val="nil"/>
              <w:left w:val="nil"/>
              <w:bottom w:val="nil"/>
              <w:right w:val="nil"/>
            </w:tcBorders>
          </w:tcPr>
          <w:p w:rsidR="00F364E5" w:rsidRDefault="0060144F" w:rsidP="0060144F">
            <w:pPr>
              <w:jc w:val="center"/>
              <w:rPr>
                <w:rFonts w:ascii="Courier New" w:hAnsi="Courier New" w:cs="Courier New"/>
                <w:color w:val="333333"/>
                <w:sz w:val="20"/>
                <w:szCs w:val="20"/>
              </w:rPr>
            </w:pPr>
            <w:r>
              <w:rPr>
                <w:rFonts w:ascii="Courier New" w:hAnsi="Courier New" w:cs="Courier New"/>
                <w:color w:val="333333"/>
                <w:sz w:val="20"/>
                <w:szCs w:val="20"/>
              </w:rPr>
              <w:t xml:space="preserve">     </w:t>
            </w:r>
            <w:r w:rsidR="0043640E">
              <w:rPr>
                <w:rFonts w:ascii="Courier New" w:hAnsi="Courier New" w:cs="Courier New"/>
                <w:color w:val="333333"/>
                <w:sz w:val="20"/>
                <w:szCs w:val="20"/>
              </w:rPr>
              <w:t>$24,919</w:t>
            </w:r>
          </w:p>
        </w:tc>
      </w:tr>
      <w:tr w:rsidR="00F364E5" w:rsidTr="002B6B66">
        <w:trPr>
          <w:tblCellSpacing w:w="15" w:type="dxa"/>
        </w:trPr>
        <w:tc>
          <w:tcPr>
            <w:tcW w:w="3600" w:type="dxa"/>
            <w:gridSpan w:val="2"/>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color w:val="333333"/>
                <w:sz w:val="20"/>
                <w:szCs w:val="20"/>
              </w:rPr>
            </w:pPr>
            <w:r>
              <w:rPr>
                <w:rFonts w:ascii="Courier New" w:hAnsi="Courier New" w:cs="Courier New"/>
                <w:color w:val="333333"/>
                <w:sz w:val="20"/>
                <w:szCs w:val="20"/>
              </w:rPr>
              <w:t xml:space="preserve"> Total Operating Expense</w:t>
            </w:r>
          </w:p>
        </w:tc>
        <w:tc>
          <w:tcPr>
            <w:tcW w:w="240" w:type="dxa"/>
            <w:tcBorders>
              <w:top w:val="nil"/>
              <w:left w:val="nil"/>
              <w:bottom w:val="nil"/>
              <w:right w:val="nil"/>
            </w:tcBorders>
            <w:tcMar>
              <w:top w:w="15" w:type="dxa"/>
              <w:left w:w="15" w:type="dxa"/>
              <w:bottom w:w="15" w:type="dxa"/>
              <w:right w:w="15" w:type="dxa"/>
            </w:tcMar>
          </w:tcPr>
          <w:p w:rsidR="0058147F" w:rsidRDefault="0060144F">
            <w:pPr>
              <w:rPr>
                <w:rFonts w:ascii="Courier New" w:hAnsi="Courier New" w:cs="Courier New"/>
                <w:sz w:val="20"/>
                <w:szCs w:val="20"/>
              </w:rPr>
            </w:pPr>
            <w:r>
              <w:rPr>
                <w:rFonts w:ascii="Courier New" w:hAnsi="Courier New" w:cs="Courier New"/>
                <w:sz w:val="20"/>
                <w:szCs w:val="20"/>
              </w:rPr>
              <w:t xml:space="preserve"> </w:t>
            </w:r>
          </w:p>
        </w:tc>
        <w:tc>
          <w:tcPr>
            <w:tcW w:w="1860" w:type="dxa"/>
            <w:tcBorders>
              <w:top w:val="nil"/>
              <w:left w:val="nil"/>
              <w:bottom w:val="nil"/>
              <w:right w:val="nil"/>
            </w:tcBorders>
            <w:tcMar>
              <w:top w:w="15" w:type="dxa"/>
              <w:left w:w="15" w:type="dxa"/>
              <w:bottom w:w="15" w:type="dxa"/>
              <w:right w:w="15" w:type="dxa"/>
            </w:tcMar>
            <w:hideMark/>
          </w:tcPr>
          <w:p w:rsidR="0058147F" w:rsidRDefault="0060144F" w:rsidP="0060144F">
            <w:pPr>
              <w:rPr>
                <w:rFonts w:ascii="Courier New" w:hAnsi="Courier New" w:cs="Courier New"/>
                <w:sz w:val="20"/>
                <w:szCs w:val="20"/>
              </w:rPr>
            </w:pPr>
            <w:r>
              <w:rPr>
                <w:rFonts w:ascii="Courier New" w:hAnsi="Courier New" w:cs="Courier New"/>
                <w:sz w:val="20"/>
                <w:szCs w:val="20"/>
              </w:rPr>
              <w:t xml:space="preserve">   </w:t>
            </w:r>
            <w:r w:rsidR="002B6B66">
              <w:rPr>
                <w:rFonts w:ascii="Courier New" w:hAnsi="Courier New" w:cs="Courier New"/>
                <w:sz w:val="20"/>
                <w:szCs w:val="20"/>
              </w:rPr>
              <w:t xml:space="preserve">   </w:t>
            </w:r>
            <w:r w:rsidR="0043640E">
              <w:rPr>
                <w:rFonts w:ascii="Courier New" w:hAnsi="Courier New" w:cs="Courier New"/>
                <w:sz w:val="20"/>
                <w:szCs w:val="20"/>
              </w:rPr>
              <w:t>($49,777)</w:t>
            </w: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Pr="0043640E" w:rsidRDefault="0060144F">
            <w:pPr>
              <w:jc w:val="right"/>
              <w:rPr>
                <w:rFonts w:ascii="Courier New" w:hAnsi="Courier New" w:cs="Courier New"/>
                <w:sz w:val="20"/>
                <w:szCs w:val="20"/>
              </w:rPr>
            </w:pPr>
            <w:r>
              <w:rPr>
                <w:rFonts w:ascii="Courier New" w:hAnsi="Courier New" w:cs="Courier New"/>
                <w:sz w:val="20"/>
                <w:szCs w:val="20"/>
              </w:rPr>
              <w:t xml:space="preserve">     </w:t>
            </w:r>
            <w:r w:rsidR="0043640E" w:rsidRPr="0043640E">
              <w:rPr>
                <w:rFonts w:ascii="Courier New" w:hAnsi="Courier New" w:cs="Courier New"/>
                <w:sz w:val="20"/>
                <w:szCs w:val="20"/>
              </w:rPr>
              <w:t>($50,960)</w:t>
            </w:r>
          </w:p>
        </w:tc>
        <w:tc>
          <w:tcPr>
            <w:tcW w:w="330" w:type="dxa"/>
            <w:tcBorders>
              <w:top w:val="nil"/>
              <w:left w:val="nil"/>
              <w:bottom w:val="nil"/>
              <w:right w:val="nil"/>
            </w:tcBorders>
          </w:tcPr>
          <w:p w:rsidR="0058147F" w:rsidRPr="0043640E" w:rsidRDefault="0058147F">
            <w:pPr>
              <w:jc w:val="right"/>
              <w:rPr>
                <w:rFonts w:ascii="Courier New" w:hAnsi="Courier New" w:cs="Courier New"/>
                <w:sz w:val="20"/>
                <w:szCs w:val="20"/>
              </w:rPr>
            </w:pPr>
          </w:p>
        </w:tc>
        <w:tc>
          <w:tcPr>
            <w:tcW w:w="1755" w:type="dxa"/>
            <w:tcBorders>
              <w:top w:val="nil"/>
              <w:left w:val="nil"/>
              <w:bottom w:val="nil"/>
              <w:right w:val="nil"/>
            </w:tcBorders>
          </w:tcPr>
          <w:p w:rsidR="0058147F" w:rsidRPr="0043640E" w:rsidRDefault="0043640E">
            <w:pPr>
              <w:jc w:val="right"/>
              <w:rPr>
                <w:rFonts w:ascii="Courier New" w:hAnsi="Courier New" w:cs="Courier New"/>
                <w:sz w:val="20"/>
                <w:szCs w:val="20"/>
              </w:rPr>
            </w:pPr>
            <w:r>
              <w:rPr>
                <w:rFonts w:ascii="Courier New" w:hAnsi="Courier New" w:cs="Courier New"/>
                <w:sz w:val="20"/>
                <w:szCs w:val="20"/>
              </w:rPr>
              <w:t xml:space="preserve">  </w:t>
            </w:r>
            <w:r w:rsidRPr="0043640E">
              <w:rPr>
                <w:rFonts w:ascii="Courier New" w:hAnsi="Courier New" w:cs="Courier New"/>
                <w:sz w:val="20"/>
                <w:szCs w:val="20"/>
              </w:rPr>
              <w:t>($52,144)</w:t>
            </w:r>
          </w:p>
        </w:tc>
      </w:tr>
      <w:tr w:rsidR="00F364E5" w:rsidTr="002B6B66">
        <w:trPr>
          <w:tblCellSpacing w:w="15" w:type="dxa"/>
        </w:trPr>
        <w:tc>
          <w:tcPr>
            <w:tcW w:w="3600" w:type="dxa"/>
            <w:gridSpan w:val="2"/>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color w:val="333333"/>
                <w:sz w:val="20"/>
                <w:szCs w:val="20"/>
              </w:rPr>
            </w:pPr>
          </w:p>
        </w:tc>
        <w:tc>
          <w:tcPr>
            <w:tcW w:w="240" w:type="dxa"/>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sz w:val="20"/>
                <w:szCs w:val="20"/>
              </w:rPr>
            </w:pPr>
          </w:p>
        </w:tc>
        <w:tc>
          <w:tcPr>
            <w:tcW w:w="186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sz w:val="20"/>
                <w:szCs w:val="20"/>
              </w:rPr>
            </w:pP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sz w:val="20"/>
                <w:szCs w:val="20"/>
              </w:rPr>
            </w:pPr>
          </w:p>
        </w:tc>
        <w:tc>
          <w:tcPr>
            <w:tcW w:w="330" w:type="dxa"/>
            <w:tcBorders>
              <w:top w:val="nil"/>
              <w:left w:val="nil"/>
              <w:bottom w:val="nil"/>
              <w:right w:val="nil"/>
            </w:tcBorders>
          </w:tcPr>
          <w:p w:rsidR="0058147F" w:rsidRDefault="0058147F">
            <w:pPr>
              <w:jc w:val="right"/>
              <w:rPr>
                <w:rFonts w:ascii="Courier New" w:hAnsi="Courier New" w:cs="Courier New"/>
                <w:b/>
                <w:sz w:val="20"/>
                <w:szCs w:val="20"/>
              </w:rPr>
            </w:pPr>
          </w:p>
        </w:tc>
        <w:tc>
          <w:tcPr>
            <w:tcW w:w="1755" w:type="dxa"/>
            <w:tcBorders>
              <w:top w:val="nil"/>
              <w:left w:val="nil"/>
              <w:bottom w:val="nil"/>
              <w:right w:val="nil"/>
            </w:tcBorders>
          </w:tcPr>
          <w:p w:rsidR="0058147F" w:rsidRDefault="0058147F">
            <w:pPr>
              <w:jc w:val="right"/>
              <w:rPr>
                <w:rFonts w:ascii="Courier New" w:hAnsi="Courier New" w:cs="Courier New"/>
                <w:b/>
                <w:sz w:val="20"/>
                <w:szCs w:val="20"/>
              </w:rPr>
            </w:pPr>
          </w:p>
        </w:tc>
      </w:tr>
      <w:tr w:rsidR="00F364E5" w:rsidTr="002B6B66">
        <w:trPr>
          <w:tblCellSpacing w:w="15" w:type="dxa"/>
        </w:trPr>
        <w:tc>
          <w:tcPr>
            <w:tcW w:w="3870" w:type="dxa"/>
            <w:gridSpan w:val="3"/>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
                <w:color w:val="333333"/>
                <w:sz w:val="20"/>
                <w:szCs w:val="20"/>
              </w:rPr>
            </w:pPr>
            <w:r>
              <w:rPr>
                <w:rFonts w:ascii="Courier New" w:hAnsi="Courier New" w:cs="Courier New"/>
                <w:b/>
                <w:color w:val="333333"/>
                <w:sz w:val="20"/>
                <w:szCs w:val="20"/>
              </w:rPr>
              <w:t>Net-Operating Income:</w:t>
            </w:r>
          </w:p>
        </w:tc>
        <w:tc>
          <w:tcPr>
            <w:tcW w:w="186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2B6B66">
              <w:rPr>
                <w:rFonts w:ascii="Courier New" w:hAnsi="Courier New" w:cs="Courier New"/>
                <w:b/>
                <w:color w:val="333333"/>
                <w:sz w:val="20"/>
                <w:szCs w:val="20"/>
              </w:rPr>
              <w:t xml:space="preserve">  </w:t>
            </w:r>
            <w:r w:rsidR="0043640E">
              <w:rPr>
                <w:rFonts w:ascii="Courier New" w:hAnsi="Courier New" w:cs="Courier New"/>
                <w:b/>
                <w:color w:val="333333"/>
                <w:sz w:val="20"/>
                <w:szCs w:val="20"/>
              </w:rPr>
              <w:t>$1,193,079</w:t>
            </w:r>
          </w:p>
        </w:tc>
        <w:tc>
          <w:tcPr>
            <w:tcW w:w="240" w:type="dxa"/>
            <w:tcBorders>
              <w:top w:val="nil"/>
              <w:left w:val="nil"/>
              <w:bottom w:val="nil"/>
              <w:right w:val="nil"/>
            </w:tcBorders>
            <w:tcMar>
              <w:top w:w="15" w:type="dxa"/>
              <w:left w:w="15" w:type="dxa"/>
              <w:bottom w:w="15" w:type="dxa"/>
              <w:right w:w="15" w:type="dxa"/>
            </w:tcMar>
            <w:hideMark/>
          </w:tcPr>
          <w:p w:rsidR="0058147F" w:rsidRDefault="0058147F">
            <w:pPr>
              <w:rPr>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43640E">
              <w:rPr>
                <w:rFonts w:ascii="Courier New" w:hAnsi="Courier New" w:cs="Courier New"/>
                <w:b/>
                <w:color w:val="333333"/>
                <w:sz w:val="20"/>
                <w:szCs w:val="20"/>
              </w:rPr>
              <w:t>$1,251,078</w:t>
            </w:r>
          </w:p>
        </w:tc>
        <w:tc>
          <w:tcPr>
            <w:tcW w:w="330" w:type="dxa"/>
            <w:tcBorders>
              <w:top w:val="nil"/>
              <w:left w:val="nil"/>
              <w:bottom w:val="nil"/>
              <w:right w:val="nil"/>
            </w:tcBorders>
          </w:tcPr>
          <w:p w:rsidR="0058147F" w:rsidRDefault="0058147F">
            <w:pPr>
              <w:jc w:val="right"/>
              <w:rPr>
                <w:rFonts w:ascii="Courier New" w:hAnsi="Courier New" w:cs="Courier New"/>
                <w:b/>
                <w:color w:val="333333"/>
                <w:sz w:val="20"/>
                <w:szCs w:val="20"/>
              </w:rPr>
            </w:pPr>
          </w:p>
        </w:tc>
        <w:tc>
          <w:tcPr>
            <w:tcW w:w="1755" w:type="dxa"/>
            <w:tcBorders>
              <w:top w:val="nil"/>
              <w:left w:val="nil"/>
              <w:bottom w:val="nil"/>
              <w:right w:val="nil"/>
            </w:tcBorders>
          </w:tcPr>
          <w:p w:rsidR="0058147F" w:rsidRDefault="0043640E">
            <w:pPr>
              <w:jc w:val="right"/>
              <w:rPr>
                <w:rFonts w:ascii="Courier New" w:hAnsi="Courier New" w:cs="Courier New"/>
                <w:b/>
                <w:color w:val="333333"/>
                <w:sz w:val="20"/>
                <w:szCs w:val="20"/>
              </w:rPr>
            </w:pPr>
            <w:r>
              <w:rPr>
                <w:rFonts w:ascii="Courier New" w:hAnsi="Courier New" w:cs="Courier New"/>
                <w:b/>
                <w:color w:val="333333"/>
                <w:sz w:val="20"/>
                <w:szCs w:val="20"/>
              </w:rPr>
              <w:t>$1,309,078</w:t>
            </w:r>
          </w:p>
        </w:tc>
      </w:tr>
      <w:tr w:rsidR="00F364E5" w:rsidTr="002B6B66">
        <w:trPr>
          <w:tblCellSpacing w:w="15" w:type="dxa"/>
        </w:trPr>
        <w:tc>
          <w:tcPr>
            <w:tcW w:w="3870" w:type="dxa"/>
            <w:gridSpan w:val="3"/>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color w:val="333333"/>
                <w:sz w:val="20"/>
                <w:szCs w:val="20"/>
              </w:rPr>
            </w:pPr>
          </w:p>
        </w:tc>
        <w:tc>
          <w:tcPr>
            <w:tcW w:w="186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330"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c>
          <w:tcPr>
            <w:tcW w:w="1755"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r>
      <w:tr w:rsidR="00F364E5" w:rsidTr="002B6B66">
        <w:trPr>
          <w:tblCellSpacing w:w="15" w:type="dxa"/>
        </w:trPr>
        <w:tc>
          <w:tcPr>
            <w:tcW w:w="3870" w:type="dxa"/>
            <w:gridSpan w:val="3"/>
            <w:tcBorders>
              <w:top w:val="nil"/>
              <w:left w:val="nil"/>
              <w:bottom w:val="nil"/>
              <w:right w:val="nil"/>
            </w:tcBorders>
            <w:tcMar>
              <w:top w:w="15" w:type="dxa"/>
              <w:left w:w="15" w:type="dxa"/>
              <w:bottom w:w="15" w:type="dxa"/>
              <w:right w:w="15" w:type="dxa"/>
            </w:tcMar>
            <w:hideMark/>
          </w:tcPr>
          <w:p w:rsidR="0058147F" w:rsidRDefault="0043640E">
            <w:pPr>
              <w:rPr>
                <w:rFonts w:ascii="Courier New" w:hAnsi="Courier New" w:cs="Courier New"/>
                <w:color w:val="333333"/>
                <w:sz w:val="20"/>
                <w:szCs w:val="20"/>
              </w:rPr>
            </w:pPr>
            <w:r>
              <w:rPr>
                <w:rFonts w:ascii="Courier New" w:hAnsi="Courier New" w:cs="Courier New"/>
                <w:color w:val="333333"/>
                <w:sz w:val="20"/>
                <w:szCs w:val="20"/>
              </w:rPr>
              <w:t>Overall Capitalization Rate</w:t>
            </w:r>
          </w:p>
        </w:tc>
        <w:tc>
          <w:tcPr>
            <w:tcW w:w="1860" w:type="dxa"/>
            <w:tcBorders>
              <w:top w:val="nil"/>
              <w:left w:val="nil"/>
              <w:bottom w:val="nil"/>
              <w:right w:val="nil"/>
            </w:tcBorders>
            <w:tcMar>
              <w:top w:w="15" w:type="dxa"/>
              <w:left w:w="15" w:type="dxa"/>
              <w:bottom w:w="15" w:type="dxa"/>
              <w:right w:w="15" w:type="dxa"/>
            </w:tcMar>
            <w:hideMark/>
          </w:tcPr>
          <w:p w:rsidR="0058147F" w:rsidRDefault="0043640E">
            <w:pPr>
              <w:jc w:val="center"/>
              <w:rPr>
                <w:rFonts w:ascii="Courier New" w:hAnsi="Courier New" w:cs="Courier New"/>
                <w:color w:val="333333"/>
                <w:sz w:val="20"/>
                <w:szCs w:val="20"/>
              </w:rPr>
            </w:pPr>
            <w:r>
              <w:rPr>
                <w:rFonts w:ascii="Courier New" w:hAnsi="Courier New" w:cs="Courier New"/>
                <w:color w:val="333333"/>
                <w:sz w:val="20"/>
                <w:szCs w:val="20"/>
              </w:rPr>
              <w:t xml:space="preserve">  </w:t>
            </w:r>
            <w:r w:rsidR="002B6B66">
              <w:rPr>
                <w:rFonts w:ascii="Courier New" w:hAnsi="Courier New" w:cs="Courier New"/>
                <w:color w:val="333333"/>
                <w:sz w:val="20"/>
                <w:szCs w:val="20"/>
              </w:rPr>
              <w:t xml:space="preserve"> </w:t>
            </w:r>
            <w:r>
              <w:rPr>
                <w:rFonts w:ascii="Courier New" w:hAnsi="Courier New" w:cs="Courier New"/>
                <w:color w:val="333333"/>
                <w:sz w:val="20"/>
                <w:szCs w:val="20"/>
              </w:rPr>
              <w:t>7.75%</w:t>
            </w: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43640E">
            <w:pPr>
              <w:jc w:val="center"/>
              <w:rPr>
                <w:rFonts w:ascii="Courier New" w:hAnsi="Courier New" w:cs="Courier New"/>
                <w:color w:val="333333"/>
                <w:sz w:val="20"/>
                <w:szCs w:val="20"/>
              </w:rPr>
            </w:pPr>
            <w:r>
              <w:rPr>
                <w:rFonts w:ascii="Courier New" w:hAnsi="Courier New" w:cs="Courier New"/>
                <w:color w:val="333333"/>
                <w:sz w:val="20"/>
                <w:szCs w:val="20"/>
              </w:rPr>
              <w:t xml:space="preserve">   7.25%</w:t>
            </w:r>
          </w:p>
        </w:tc>
        <w:tc>
          <w:tcPr>
            <w:tcW w:w="330" w:type="dxa"/>
            <w:tcBorders>
              <w:top w:val="nil"/>
              <w:left w:val="nil"/>
              <w:bottom w:val="nil"/>
              <w:right w:val="nil"/>
            </w:tcBorders>
          </w:tcPr>
          <w:p w:rsidR="0058147F" w:rsidRDefault="0058147F">
            <w:pPr>
              <w:jc w:val="center"/>
              <w:rPr>
                <w:rFonts w:ascii="Courier New" w:hAnsi="Courier New" w:cs="Courier New"/>
                <w:color w:val="333333"/>
                <w:sz w:val="20"/>
                <w:szCs w:val="20"/>
              </w:rPr>
            </w:pPr>
          </w:p>
        </w:tc>
        <w:tc>
          <w:tcPr>
            <w:tcW w:w="1755" w:type="dxa"/>
            <w:tcBorders>
              <w:top w:val="nil"/>
              <w:left w:val="nil"/>
              <w:bottom w:val="nil"/>
              <w:right w:val="nil"/>
            </w:tcBorders>
          </w:tcPr>
          <w:p w:rsidR="0058147F" w:rsidRDefault="0060144F">
            <w:pPr>
              <w:jc w:val="center"/>
              <w:rPr>
                <w:rFonts w:ascii="Courier New" w:hAnsi="Courier New" w:cs="Courier New"/>
                <w:color w:val="333333"/>
                <w:sz w:val="20"/>
                <w:szCs w:val="20"/>
              </w:rPr>
            </w:pPr>
            <w:r>
              <w:rPr>
                <w:rFonts w:ascii="Courier New" w:hAnsi="Courier New" w:cs="Courier New"/>
                <w:color w:val="333333"/>
                <w:sz w:val="20"/>
                <w:szCs w:val="20"/>
              </w:rPr>
              <w:t xml:space="preserve"> </w:t>
            </w:r>
            <w:r w:rsidR="0043640E">
              <w:rPr>
                <w:rFonts w:ascii="Courier New" w:hAnsi="Courier New" w:cs="Courier New"/>
                <w:color w:val="333333"/>
                <w:sz w:val="20"/>
                <w:szCs w:val="20"/>
              </w:rPr>
              <w:t xml:space="preserve"> 7.00%</w:t>
            </w:r>
          </w:p>
        </w:tc>
      </w:tr>
      <w:tr w:rsidR="00F364E5" w:rsidTr="002B6B66">
        <w:trPr>
          <w:tblCellSpacing w:w="15" w:type="dxa"/>
        </w:trPr>
        <w:tc>
          <w:tcPr>
            <w:tcW w:w="3870" w:type="dxa"/>
            <w:gridSpan w:val="3"/>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
                <w:color w:val="333333"/>
                <w:sz w:val="20"/>
                <w:szCs w:val="20"/>
              </w:rPr>
            </w:pPr>
            <w:r>
              <w:rPr>
                <w:rFonts w:ascii="Courier New" w:hAnsi="Courier New" w:cs="Courier New"/>
                <w:b/>
                <w:color w:val="333333"/>
                <w:sz w:val="20"/>
                <w:szCs w:val="20"/>
              </w:rPr>
              <w:t>Capitalized Value</w:t>
            </w:r>
          </w:p>
        </w:tc>
        <w:tc>
          <w:tcPr>
            <w:tcW w:w="186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2B6B66">
              <w:rPr>
                <w:rFonts w:ascii="Courier New" w:hAnsi="Courier New" w:cs="Courier New"/>
                <w:b/>
                <w:color w:val="333333"/>
                <w:sz w:val="20"/>
                <w:szCs w:val="20"/>
              </w:rPr>
              <w:t xml:space="preserve">  </w:t>
            </w:r>
            <w:r w:rsidR="0043640E">
              <w:rPr>
                <w:rFonts w:ascii="Courier New" w:hAnsi="Courier New" w:cs="Courier New"/>
                <w:b/>
                <w:color w:val="333333"/>
                <w:sz w:val="20"/>
                <w:szCs w:val="20"/>
              </w:rPr>
              <w:t>$15,394,562</w:t>
            </w: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color w:val="333333"/>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43640E">
              <w:rPr>
                <w:rFonts w:ascii="Courier New" w:hAnsi="Courier New" w:cs="Courier New"/>
                <w:b/>
                <w:color w:val="333333"/>
                <w:sz w:val="20"/>
                <w:szCs w:val="20"/>
              </w:rPr>
              <w:t>$17,256,255</w:t>
            </w:r>
          </w:p>
        </w:tc>
        <w:tc>
          <w:tcPr>
            <w:tcW w:w="330" w:type="dxa"/>
            <w:tcBorders>
              <w:top w:val="nil"/>
              <w:left w:val="nil"/>
              <w:bottom w:val="nil"/>
              <w:right w:val="nil"/>
            </w:tcBorders>
          </w:tcPr>
          <w:p w:rsidR="0058147F" w:rsidRDefault="0058147F">
            <w:pPr>
              <w:jc w:val="right"/>
              <w:rPr>
                <w:rFonts w:ascii="Courier New" w:hAnsi="Courier New" w:cs="Courier New"/>
                <w:b/>
                <w:color w:val="333333"/>
                <w:sz w:val="20"/>
                <w:szCs w:val="20"/>
              </w:rPr>
            </w:pPr>
          </w:p>
        </w:tc>
        <w:tc>
          <w:tcPr>
            <w:tcW w:w="1755" w:type="dxa"/>
            <w:tcBorders>
              <w:top w:val="nil"/>
              <w:left w:val="nil"/>
              <w:bottom w:val="nil"/>
              <w:right w:val="nil"/>
            </w:tcBorders>
          </w:tcPr>
          <w:p w:rsidR="0058147F" w:rsidRDefault="0043640E">
            <w:pPr>
              <w:jc w:val="right"/>
              <w:rPr>
                <w:rFonts w:ascii="Courier New" w:hAnsi="Courier New" w:cs="Courier New"/>
                <w:b/>
                <w:color w:val="333333"/>
                <w:sz w:val="20"/>
                <w:szCs w:val="20"/>
              </w:rPr>
            </w:pPr>
            <w:r>
              <w:rPr>
                <w:rFonts w:ascii="Courier New" w:hAnsi="Courier New" w:cs="Courier New"/>
                <w:b/>
                <w:color w:val="333333"/>
                <w:sz w:val="20"/>
                <w:szCs w:val="20"/>
              </w:rPr>
              <w:t>$18,701,120</w:t>
            </w:r>
          </w:p>
        </w:tc>
      </w:tr>
      <w:tr w:rsidR="00F364E5" w:rsidTr="002B6B66">
        <w:trPr>
          <w:tblCellSpacing w:w="15" w:type="dxa"/>
        </w:trPr>
        <w:tc>
          <w:tcPr>
            <w:tcW w:w="3870" w:type="dxa"/>
            <w:gridSpan w:val="3"/>
            <w:tcBorders>
              <w:top w:val="nil"/>
              <w:left w:val="nil"/>
              <w:bottom w:val="nil"/>
              <w:right w:val="nil"/>
            </w:tcBorders>
            <w:tcMar>
              <w:top w:w="15" w:type="dxa"/>
              <w:left w:w="15" w:type="dxa"/>
              <w:bottom w:w="15" w:type="dxa"/>
              <w:right w:w="15" w:type="dxa"/>
            </w:tcMar>
          </w:tcPr>
          <w:p w:rsidR="0058147F" w:rsidRDefault="0058147F">
            <w:pPr>
              <w:rPr>
                <w:rFonts w:ascii="Courier New" w:hAnsi="Courier New" w:cs="Courier New"/>
                <w:color w:val="333333"/>
                <w:sz w:val="20"/>
                <w:szCs w:val="20"/>
              </w:rPr>
            </w:pPr>
          </w:p>
        </w:tc>
        <w:tc>
          <w:tcPr>
            <w:tcW w:w="186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177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color w:val="333333"/>
                <w:sz w:val="20"/>
                <w:szCs w:val="20"/>
              </w:rPr>
            </w:pPr>
          </w:p>
        </w:tc>
        <w:tc>
          <w:tcPr>
            <w:tcW w:w="330"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c>
          <w:tcPr>
            <w:tcW w:w="1755" w:type="dxa"/>
            <w:tcBorders>
              <w:top w:val="nil"/>
              <w:left w:val="nil"/>
              <w:bottom w:val="nil"/>
              <w:right w:val="nil"/>
            </w:tcBorders>
          </w:tcPr>
          <w:p w:rsidR="0058147F" w:rsidRDefault="0058147F">
            <w:pPr>
              <w:jc w:val="right"/>
              <w:rPr>
                <w:rFonts w:ascii="Courier New" w:hAnsi="Courier New" w:cs="Courier New"/>
                <w:color w:val="333333"/>
                <w:sz w:val="20"/>
                <w:szCs w:val="20"/>
              </w:rPr>
            </w:pPr>
          </w:p>
        </w:tc>
      </w:tr>
      <w:tr w:rsidR="00F364E5" w:rsidTr="002B6B66">
        <w:trPr>
          <w:tblCellSpacing w:w="15" w:type="dxa"/>
        </w:trPr>
        <w:tc>
          <w:tcPr>
            <w:tcW w:w="3870" w:type="dxa"/>
            <w:gridSpan w:val="3"/>
            <w:tcBorders>
              <w:top w:val="nil"/>
              <w:left w:val="nil"/>
              <w:bottom w:val="nil"/>
              <w:right w:val="nil"/>
            </w:tcBorders>
            <w:tcMar>
              <w:top w:w="15" w:type="dxa"/>
              <w:left w:w="15" w:type="dxa"/>
              <w:bottom w:w="15" w:type="dxa"/>
              <w:right w:w="15" w:type="dxa"/>
            </w:tcMar>
            <w:hideMark/>
          </w:tcPr>
          <w:p w:rsidR="0058147F" w:rsidRDefault="0058147F">
            <w:pPr>
              <w:rPr>
                <w:rFonts w:ascii="Courier New" w:hAnsi="Courier New" w:cs="Courier New"/>
                <w:b/>
                <w:color w:val="333333"/>
                <w:sz w:val="20"/>
                <w:szCs w:val="20"/>
              </w:rPr>
            </w:pPr>
            <w:r>
              <w:rPr>
                <w:rFonts w:ascii="Courier New" w:hAnsi="Courier New" w:cs="Courier New"/>
                <w:b/>
                <w:color w:val="333333"/>
                <w:sz w:val="20"/>
                <w:szCs w:val="20"/>
              </w:rPr>
              <w:t>Rounded Fair Cash Value</w:t>
            </w:r>
          </w:p>
        </w:tc>
        <w:tc>
          <w:tcPr>
            <w:tcW w:w="186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2B6B66">
              <w:rPr>
                <w:rFonts w:ascii="Courier New" w:hAnsi="Courier New" w:cs="Courier New"/>
                <w:b/>
                <w:color w:val="333333"/>
                <w:sz w:val="20"/>
                <w:szCs w:val="20"/>
              </w:rPr>
              <w:t xml:space="preserve">  </w:t>
            </w:r>
            <w:r w:rsidR="0043640E">
              <w:rPr>
                <w:rFonts w:ascii="Courier New" w:hAnsi="Courier New" w:cs="Courier New"/>
                <w:b/>
                <w:color w:val="333333"/>
                <w:sz w:val="20"/>
                <w:szCs w:val="20"/>
              </w:rPr>
              <w:t>$15,390,000</w:t>
            </w:r>
          </w:p>
        </w:tc>
        <w:tc>
          <w:tcPr>
            <w:tcW w:w="240" w:type="dxa"/>
            <w:tcBorders>
              <w:top w:val="nil"/>
              <w:left w:val="nil"/>
              <w:bottom w:val="nil"/>
              <w:right w:val="nil"/>
            </w:tcBorders>
            <w:tcMar>
              <w:top w:w="15" w:type="dxa"/>
              <w:left w:w="15" w:type="dxa"/>
              <w:bottom w:w="15" w:type="dxa"/>
              <w:right w:w="15" w:type="dxa"/>
            </w:tcMar>
          </w:tcPr>
          <w:p w:rsidR="0058147F" w:rsidRDefault="0058147F">
            <w:pPr>
              <w:jc w:val="right"/>
              <w:rPr>
                <w:rFonts w:ascii="Courier New" w:hAnsi="Courier New" w:cs="Courier New"/>
                <w:b/>
                <w:color w:val="333333"/>
                <w:sz w:val="20"/>
                <w:szCs w:val="20"/>
              </w:rPr>
            </w:pPr>
          </w:p>
        </w:tc>
        <w:tc>
          <w:tcPr>
            <w:tcW w:w="1770" w:type="dxa"/>
            <w:tcBorders>
              <w:top w:val="nil"/>
              <w:left w:val="nil"/>
              <w:bottom w:val="nil"/>
              <w:right w:val="nil"/>
            </w:tcBorders>
            <w:tcMar>
              <w:top w:w="15" w:type="dxa"/>
              <w:left w:w="15" w:type="dxa"/>
              <w:bottom w:w="15" w:type="dxa"/>
              <w:right w:w="15" w:type="dxa"/>
            </w:tcMar>
            <w:hideMark/>
          </w:tcPr>
          <w:p w:rsidR="0058147F" w:rsidRDefault="0060144F" w:rsidP="0060144F">
            <w:pPr>
              <w:jc w:val="center"/>
              <w:rPr>
                <w:rFonts w:ascii="Courier New" w:hAnsi="Courier New" w:cs="Courier New"/>
                <w:b/>
                <w:color w:val="333333"/>
                <w:sz w:val="20"/>
                <w:szCs w:val="20"/>
              </w:rPr>
            </w:pPr>
            <w:r>
              <w:rPr>
                <w:rFonts w:ascii="Courier New" w:hAnsi="Courier New" w:cs="Courier New"/>
                <w:b/>
                <w:color w:val="333333"/>
                <w:sz w:val="20"/>
                <w:szCs w:val="20"/>
              </w:rPr>
              <w:t xml:space="preserve">   </w:t>
            </w:r>
            <w:r w:rsidR="0043640E">
              <w:rPr>
                <w:rFonts w:ascii="Courier New" w:hAnsi="Courier New" w:cs="Courier New"/>
                <w:b/>
                <w:color w:val="333333"/>
                <w:sz w:val="20"/>
                <w:szCs w:val="20"/>
              </w:rPr>
              <w:t>$17,260,000</w:t>
            </w:r>
          </w:p>
        </w:tc>
        <w:tc>
          <w:tcPr>
            <w:tcW w:w="330" w:type="dxa"/>
            <w:tcBorders>
              <w:top w:val="nil"/>
              <w:left w:val="nil"/>
              <w:bottom w:val="nil"/>
              <w:right w:val="nil"/>
            </w:tcBorders>
          </w:tcPr>
          <w:p w:rsidR="0058147F" w:rsidRDefault="0058147F">
            <w:pPr>
              <w:jc w:val="right"/>
              <w:rPr>
                <w:rFonts w:ascii="Courier New" w:hAnsi="Courier New" w:cs="Courier New"/>
                <w:b/>
                <w:color w:val="333333"/>
                <w:sz w:val="20"/>
                <w:szCs w:val="20"/>
              </w:rPr>
            </w:pPr>
          </w:p>
        </w:tc>
        <w:tc>
          <w:tcPr>
            <w:tcW w:w="1755" w:type="dxa"/>
            <w:tcBorders>
              <w:top w:val="nil"/>
              <w:left w:val="nil"/>
              <w:bottom w:val="nil"/>
              <w:right w:val="nil"/>
            </w:tcBorders>
          </w:tcPr>
          <w:p w:rsidR="0058147F" w:rsidRDefault="0043640E">
            <w:pPr>
              <w:jc w:val="right"/>
              <w:rPr>
                <w:rFonts w:ascii="Courier New" w:hAnsi="Courier New" w:cs="Courier New"/>
                <w:b/>
                <w:color w:val="333333"/>
                <w:sz w:val="20"/>
                <w:szCs w:val="20"/>
              </w:rPr>
            </w:pPr>
            <w:r>
              <w:rPr>
                <w:rFonts w:ascii="Courier New" w:hAnsi="Courier New" w:cs="Courier New"/>
                <w:b/>
                <w:color w:val="333333"/>
                <w:sz w:val="20"/>
                <w:szCs w:val="20"/>
              </w:rPr>
              <w:t>$18,700,000</w:t>
            </w:r>
          </w:p>
        </w:tc>
      </w:tr>
    </w:tbl>
    <w:p w:rsidR="004A6975" w:rsidRDefault="004A6975" w:rsidP="00D07B34">
      <w:pPr>
        <w:spacing w:line="480" w:lineRule="auto"/>
        <w:ind w:left="1020"/>
        <w:jc w:val="both"/>
        <w:rPr>
          <w:rFonts w:ascii="Courier New" w:hAnsi="Courier New" w:cs="Courier New"/>
          <w:b/>
        </w:rPr>
      </w:pPr>
    </w:p>
    <w:p w:rsidR="00DD6352" w:rsidRDefault="00DD6352" w:rsidP="00D07B34">
      <w:pPr>
        <w:spacing w:line="480" w:lineRule="auto"/>
        <w:ind w:left="1020"/>
        <w:jc w:val="both"/>
        <w:rPr>
          <w:rFonts w:ascii="Courier New" w:hAnsi="Courier New" w:cs="Courier New"/>
          <w:b/>
        </w:rPr>
      </w:pPr>
    </w:p>
    <w:p w:rsidR="00631FDE" w:rsidRDefault="002B6B66" w:rsidP="00DD4640">
      <w:pPr>
        <w:numPr>
          <w:ilvl w:val="0"/>
          <w:numId w:val="1"/>
        </w:numPr>
        <w:spacing w:line="480" w:lineRule="auto"/>
        <w:jc w:val="both"/>
        <w:rPr>
          <w:rFonts w:ascii="Courier New" w:hAnsi="Courier New" w:cs="Courier New"/>
          <w:b/>
        </w:rPr>
      </w:pPr>
      <w:r>
        <w:rPr>
          <w:rFonts w:ascii="Courier New" w:hAnsi="Courier New" w:cs="Courier New"/>
          <w:b/>
        </w:rPr>
        <w:lastRenderedPageBreak/>
        <w:t xml:space="preserve">The </w:t>
      </w:r>
      <w:r w:rsidR="00940652">
        <w:rPr>
          <w:rFonts w:ascii="Courier New" w:hAnsi="Courier New" w:cs="Courier New"/>
          <w:b/>
        </w:rPr>
        <w:t>B</w:t>
      </w:r>
      <w:r w:rsidR="00631FDE">
        <w:rPr>
          <w:rFonts w:ascii="Courier New" w:hAnsi="Courier New" w:cs="Courier New"/>
          <w:b/>
        </w:rPr>
        <w:t>oard’s Findings</w:t>
      </w:r>
    </w:p>
    <w:p w:rsidR="00872523" w:rsidRDefault="00872523" w:rsidP="00A24C9E">
      <w:pPr>
        <w:spacing w:line="480" w:lineRule="auto"/>
        <w:ind w:firstLine="720"/>
        <w:jc w:val="both"/>
        <w:rPr>
          <w:rFonts w:ascii="Courier New" w:hAnsi="Courier New" w:cs="Courier New"/>
        </w:rPr>
      </w:pPr>
      <w:r>
        <w:rPr>
          <w:rFonts w:ascii="Courier New" w:hAnsi="Courier New" w:cs="Courier New"/>
        </w:rPr>
        <w:t>Based on all of the evidence, the Board found that the appellant failed to meet its burden of proving that the subject property was overvalued for the fiscal years at issue.</w:t>
      </w:r>
      <w:r w:rsidR="008825CB">
        <w:rPr>
          <w:rFonts w:ascii="Courier New" w:hAnsi="Courier New" w:cs="Courier New"/>
        </w:rPr>
        <w:t xml:space="preserve">  The Board </w:t>
      </w:r>
      <w:r w:rsidR="00E9126F">
        <w:rPr>
          <w:rFonts w:ascii="Courier New" w:hAnsi="Courier New" w:cs="Courier New"/>
        </w:rPr>
        <w:t xml:space="preserve">agreed with the parties’ valuation </w:t>
      </w:r>
      <w:r w:rsidR="00A71778">
        <w:rPr>
          <w:rFonts w:ascii="Courier New" w:hAnsi="Courier New" w:cs="Courier New"/>
        </w:rPr>
        <w:t>witnesses</w:t>
      </w:r>
      <w:r w:rsidR="00E9126F">
        <w:rPr>
          <w:rFonts w:ascii="Courier New" w:hAnsi="Courier New" w:cs="Courier New"/>
        </w:rPr>
        <w:t xml:space="preserve"> and </w:t>
      </w:r>
      <w:r w:rsidR="008825CB">
        <w:rPr>
          <w:rFonts w:ascii="Courier New" w:hAnsi="Courier New" w:cs="Courier New"/>
        </w:rPr>
        <w:t>determined that the subject property’s high</w:t>
      </w:r>
      <w:r w:rsidR="002B6B66">
        <w:rPr>
          <w:rFonts w:ascii="Courier New" w:hAnsi="Courier New" w:cs="Courier New"/>
        </w:rPr>
        <w:t>est</w:t>
      </w:r>
      <w:r w:rsidR="008825CB">
        <w:rPr>
          <w:rFonts w:ascii="Courier New" w:hAnsi="Courier New" w:cs="Courier New"/>
        </w:rPr>
        <w:t xml:space="preserve">-and-best use was its existing use as a </w:t>
      </w:r>
      <w:r w:rsidR="00E9126F">
        <w:rPr>
          <w:rFonts w:ascii="Courier New" w:hAnsi="Courier New" w:cs="Courier New"/>
        </w:rPr>
        <w:t>retail building</w:t>
      </w:r>
      <w:r w:rsidR="008825CB">
        <w:rPr>
          <w:rFonts w:ascii="Courier New" w:hAnsi="Courier New" w:cs="Courier New"/>
        </w:rPr>
        <w:t xml:space="preserve"> and that the preferred method for ascertaining the fair cash value of the subject property for </w:t>
      </w:r>
      <w:r w:rsidR="00E9126F">
        <w:rPr>
          <w:rFonts w:ascii="Courier New" w:hAnsi="Courier New" w:cs="Courier New"/>
        </w:rPr>
        <w:t xml:space="preserve">the </w:t>
      </w:r>
      <w:r w:rsidR="008825CB">
        <w:rPr>
          <w:rFonts w:ascii="Courier New" w:hAnsi="Courier New" w:cs="Courier New"/>
        </w:rPr>
        <w:t>fiscal years at issue was through an income-capitalization methodology.</w:t>
      </w:r>
    </w:p>
    <w:p w:rsidR="00C3167B" w:rsidRDefault="00FB1A2B" w:rsidP="00C77A4D">
      <w:pPr>
        <w:spacing w:line="480" w:lineRule="auto"/>
        <w:ind w:firstLine="720"/>
        <w:jc w:val="both"/>
        <w:rPr>
          <w:rFonts w:ascii="Courier New" w:hAnsi="Courier New" w:cs="Courier New"/>
        </w:rPr>
      </w:pPr>
      <w:r>
        <w:rPr>
          <w:rFonts w:ascii="Courier New" w:hAnsi="Courier New" w:cs="Courier New"/>
        </w:rPr>
        <w:t xml:space="preserve">With respect to the subject property’s rental income, the Board found that </w:t>
      </w:r>
      <w:r w:rsidR="002D68D2">
        <w:rPr>
          <w:rFonts w:ascii="Courier New" w:hAnsi="Courier New" w:cs="Courier New"/>
        </w:rPr>
        <w:t xml:space="preserve">Mr. Shuka’s market rental of $13.00 per square foot, which </w:t>
      </w:r>
      <w:r w:rsidR="000262F0">
        <w:rPr>
          <w:rFonts w:ascii="Courier New" w:hAnsi="Courier New" w:cs="Courier New"/>
        </w:rPr>
        <w:t xml:space="preserve">was derived </w:t>
      </w:r>
      <w:r w:rsidR="002D68D2">
        <w:rPr>
          <w:rFonts w:ascii="Courier New" w:hAnsi="Courier New" w:cs="Courier New"/>
        </w:rPr>
        <w:t>from large investment-quality chain retail properties like the subject property</w:t>
      </w:r>
      <w:r w:rsidR="000262F0">
        <w:rPr>
          <w:rFonts w:ascii="Courier New" w:hAnsi="Courier New" w:cs="Courier New"/>
        </w:rPr>
        <w:t>,</w:t>
      </w:r>
      <w:r w:rsidR="002D68D2">
        <w:rPr>
          <w:rFonts w:ascii="Courier New" w:hAnsi="Courier New" w:cs="Courier New"/>
        </w:rPr>
        <w:t xml:space="preserve"> best reflected the </w:t>
      </w:r>
      <w:r w:rsidR="000262F0">
        <w:rPr>
          <w:rFonts w:ascii="Courier New" w:hAnsi="Courier New" w:cs="Courier New"/>
        </w:rPr>
        <w:t>su</w:t>
      </w:r>
      <w:r w:rsidR="002D68D2">
        <w:rPr>
          <w:rFonts w:ascii="Courier New" w:hAnsi="Courier New" w:cs="Courier New"/>
        </w:rPr>
        <w:t>bject property</w:t>
      </w:r>
      <w:r w:rsidR="000262F0">
        <w:rPr>
          <w:rFonts w:ascii="Courier New" w:hAnsi="Courier New" w:cs="Courier New"/>
        </w:rPr>
        <w:t>’s market rent</w:t>
      </w:r>
      <w:r w:rsidR="002D68D2">
        <w:rPr>
          <w:rFonts w:ascii="Courier New" w:hAnsi="Courier New" w:cs="Courier New"/>
        </w:rPr>
        <w:t>.</w:t>
      </w:r>
      <w:r w:rsidR="00D07B34">
        <w:rPr>
          <w:rFonts w:ascii="Courier New" w:hAnsi="Courier New" w:cs="Courier New"/>
        </w:rPr>
        <w:t xml:space="preserve"> </w:t>
      </w:r>
      <w:r w:rsidR="002D68D2">
        <w:rPr>
          <w:rFonts w:ascii="Courier New" w:hAnsi="Courier New" w:cs="Courier New"/>
        </w:rPr>
        <w:t xml:space="preserve"> </w:t>
      </w:r>
      <w:r w:rsidR="00C77A4D">
        <w:rPr>
          <w:rFonts w:ascii="Courier New" w:hAnsi="Courier New" w:cs="Courier New"/>
        </w:rPr>
        <w:t xml:space="preserve">For vacancy and credit loss, </w:t>
      </w:r>
      <w:r w:rsidR="002D68D2">
        <w:rPr>
          <w:rFonts w:ascii="Courier New" w:hAnsi="Courier New" w:cs="Courier New"/>
        </w:rPr>
        <w:t xml:space="preserve">the appellant’s valuation </w:t>
      </w:r>
      <w:r w:rsidR="00A71778">
        <w:rPr>
          <w:rFonts w:ascii="Courier New" w:hAnsi="Courier New" w:cs="Courier New"/>
        </w:rPr>
        <w:t xml:space="preserve">witness </w:t>
      </w:r>
      <w:r w:rsidR="002D68D2">
        <w:rPr>
          <w:rFonts w:ascii="Courier New" w:hAnsi="Courier New" w:cs="Courier New"/>
        </w:rPr>
        <w:t>adopted a rate of 15%</w:t>
      </w:r>
      <w:r w:rsidR="000262F0">
        <w:rPr>
          <w:rFonts w:ascii="Courier New" w:hAnsi="Courier New" w:cs="Courier New"/>
        </w:rPr>
        <w:t xml:space="preserve">, </w:t>
      </w:r>
      <w:r w:rsidR="002D68D2">
        <w:rPr>
          <w:rFonts w:ascii="Courier New" w:hAnsi="Courier New" w:cs="Courier New"/>
        </w:rPr>
        <w:t>compar</w:t>
      </w:r>
      <w:r w:rsidR="0060144F">
        <w:rPr>
          <w:rFonts w:ascii="Courier New" w:hAnsi="Courier New" w:cs="Courier New"/>
        </w:rPr>
        <w:t>ed</w:t>
      </w:r>
      <w:r w:rsidR="000262F0">
        <w:rPr>
          <w:rFonts w:ascii="Courier New" w:hAnsi="Courier New" w:cs="Courier New"/>
        </w:rPr>
        <w:t xml:space="preserve"> to </w:t>
      </w:r>
      <w:r w:rsidR="002D68D2">
        <w:rPr>
          <w:rFonts w:ascii="Courier New" w:hAnsi="Courier New" w:cs="Courier New"/>
        </w:rPr>
        <w:t xml:space="preserve">the </w:t>
      </w:r>
      <w:r w:rsidR="0060144F">
        <w:rPr>
          <w:rFonts w:ascii="Courier New" w:hAnsi="Courier New" w:cs="Courier New"/>
        </w:rPr>
        <w:t xml:space="preserve">5% adopted by the </w:t>
      </w:r>
      <w:r w:rsidR="002D68D2">
        <w:rPr>
          <w:rFonts w:ascii="Courier New" w:hAnsi="Courier New" w:cs="Courier New"/>
        </w:rPr>
        <w:t xml:space="preserve">assessors’ valuation </w:t>
      </w:r>
      <w:r w:rsidR="00A71778">
        <w:rPr>
          <w:rFonts w:ascii="Courier New" w:hAnsi="Courier New" w:cs="Courier New"/>
        </w:rPr>
        <w:t>witness</w:t>
      </w:r>
      <w:r w:rsidR="0060144F">
        <w:rPr>
          <w:rFonts w:ascii="Courier New" w:hAnsi="Courier New" w:cs="Courier New"/>
        </w:rPr>
        <w:t>.</w:t>
      </w:r>
      <w:r w:rsidR="002D68D2">
        <w:rPr>
          <w:rFonts w:ascii="Courier New" w:hAnsi="Courier New" w:cs="Courier New"/>
        </w:rPr>
        <w:t xml:space="preserve">  </w:t>
      </w:r>
      <w:r w:rsidR="0060144F">
        <w:rPr>
          <w:rFonts w:ascii="Courier New" w:hAnsi="Courier New" w:cs="Courier New"/>
        </w:rPr>
        <w:t>B</w:t>
      </w:r>
      <w:r w:rsidR="002D68D2">
        <w:rPr>
          <w:rFonts w:ascii="Courier New" w:hAnsi="Courier New" w:cs="Courier New"/>
        </w:rPr>
        <w:t xml:space="preserve">ased on the </w:t>
      </w:r>
      <w:r w:rsidR="00075C79">
        <w:rPr>
          <w:rFonts w:ascii="Courier New" w:hAnsi="Courier New" w:cs="Courier New"/>
        </w:rPr>
        <w:t xml:space="preserve">valuation </w:t>
      </w:r>
      <w:r w:rsidR="00A71778">
        <w:rPr>
          <w:rFonts w:ascii="Courier New" w:hAnsi="Courier New" w:cs="Courier New"/>
        </w:rPr>
        <w:t>witnesses</w:t>
      </w:r>
      <w:r w:rsidR="00075C79">
        <w:rPr>
          <w:rFonts w:ascii="Courier New" w:hAnsi="Courier New" w:cs="Courier New"/>
        </w:rPr>
        <w:t>’ recommendations</w:t>
      </w:r>
      <w:r w:rsidR="00FF4F72">
        <w:rPr>
          <w:rFonts w:ascii="Courier New" w:hAnsi="Courier New" w:cs="Courier New"/>
        </w:rPr>
        <w:t xml:space="preserve"> as well as the </w:t>
      </w:r>
      <w:r w:rsidR="006271E2">
        <w:rPr>
          <w:rFonts w:ascii="Courier New" w:hAnsi="Courier New" w:cs="Courier New"/>
        </w:rPr>
        <w:t xml:space="preserve">subject property’s actual </w:t>
      </w:r>
      <w:r w:rsidR="008E6B73">
        <w:rPr>
          <w:rFonts w:ascii="Courier New" w:hAnsi="Courier New" w:cs="Courier New"/>
        </w:rPr>
        <w:t>100%</w:t>
      </w:r>
      <w:r w:rsidR="002B6B66">
        <w:rPr>
          <w:rFonts w:ascii="Courier New" w:hAnsi="Courier New" w:cs="Courier New"/>
        </w:rPr>
        <w:t xml:space="preserve"> </w:t>
      </w:r>
      <w:r w:rsidR="006271E2">
        <w:rPr>
          <w:rFonts w:ascii="Courier New" w:hAnsi="Courier New" w:cs="Courier New"/>
        </w:rPr>
        <w:t>vacancy during the fiscal years at issue</w:t>
      </w:r>
      <w:r w:rsidR="00075C79">
        <w:rPr>
          <w:rFonts w:ascii="Courier New" w:hAnsi="Courier New" w:cs="Courier New"/>
        </w:rPr>
        <w:t xml:space="preserve">, </w:t>
      </w:r>
      <w:r w:rsidR="000262F0">
        <w:rPr>
          <w:rFonts w:ascii="Courier New" w:hAnsi="Courier New" w:cs="Courier New"/>
        </w:rPr>
        <w:t xml:space="preserve">the Board adopted a stabilized </w:t>
      </w:r>
      <w:r w:rsidR="00C31164">
        <w:rPr>
          <w:rFonts w:ascii="Courier New" w:hAnsi="Courier New" w:cs="Courier New"/>
        </w:rPr>
        <w:t xml:space="preserve">vacancy and credit loss </w:t>
      </w:r>
      <w:r w:rsidR="006271E2">
        <w:rPr>
          <w:rFonts w:ascii="Courier New" w:hAnsi="Courier New" w:cs="Courier New"/>
        </w:rPr>
        <w:t>rate</w:t>
      </w:r>
      <w:r w:rsidR="008E6B73">
        <w:rPr>
          <w:rFonts w:ascii="Courier New" w:hAnsi="Courier New" w:cs="Courier New"/>
        </w:rPr>
        <w:t xml:space="preserve"> of 7.5</w:t>
      </w:r>
      <w:r w:rsidR="000262F0">
        <w:rPr>
          <w:rFonts w:ascii="Courier New" w:hAnsi="Courier New" w:cs="Courier New"/>
        </w:rPr>
        <w:t>% for the fiscal years at issue</w:t>
      </w:r>
      <w:r w:rsidR="002D68D2">
        <w:rPr>
          <w:rFonts w:ascii="Courier New" w:hAnsi="Courier New" w:cs="Courier New"/>
        </w:rPr>
        <w:t>.</w:t>
      </w:r>
      <w:r w:rsidR="00C77A4D">
        <w:rPr>
          <w:rFonts w:ascii="Courier New" w:hAnsi="Courier New" w:cs="Courier New"/>
        </w:rPr>
        <w:t xml:space="preserve">  </w:t>
      </w:r>
    </w:p>
    <w:p w:rsidR="00FB1A2B" w:rsidRDefault="00FB1A2B" w:rsidP="00FB1A2B">
      <w:pPr>
        <w:spacing w:line="480" w:lineRule="auto"/>
        <w:ind w:firstLine="720"/>
        <w:jc w:val="both"/>
        <w:rPr>
          <w:rFonts w:ascii="Courier New" w:hAnsi="Courier New" w:cs="Courier New"/>
          <w:color w:val="333333"/>
        </w:rPr>
      </w:pPr>
      <w:r w:rsidRPr="007D0777">
        <w:rPr>
          <w:rFonts w:ascii="Courier New" w:hAnsi="Courier New" w:cs="Courier New"/>
        </w:rPr>
        <w:t xml:space="preserve">For expenses, the Board </w:t>
      </w:r>
      <w:r w:rsidR="00D00CAE">
        <w:rPr>
          <w:rFonts w:ascii="Courier New" w:hAnsi="Courier New" w:cs="Courier New"/>
        </w:rPr>
        <w:t xml:space="preserve">agreed with </w:t>
      </w:r>
      <w:r>
        <w:rPr>
          <w:rFonts w:ascii="Courier New" w:hAnsi="Courier New" w:cs="Courier New"/>
          <w:color w:val="333333"/>
        </w:rPr>
        <w:t>Mr. Shuka</w:t>
      </w:r>
      <w:r w:rsidR="00D00CAE">
        <w:rPr>
          <w:rFonts w:ascii="Courier New" w:hAnsi="Courier New" w:cs="Courier New"/>
          <w:color w:val="333333"/>
        </w:rPr>
        <w:t xml:space="preserve"> that under a triple-net leasing scenario the tenant pays for most operating expenses and the landlord is responsible for only that portion </w:t>
      </w:r>
      <w:r w:rsidR="00D00CAE">
        <w:rPr>
          <w:rFonts w:ascii="Courier New" w:hAnsi="Courier New" w:cs="Courier New"/>
          <w:color w:val="333333"/>
        </w:rPr>
        <w:lastRenderedPageBreak/>
        <w:t>attributable to va</w:t>
      </w:r>
      <w:r w:rsidR="000262F0">
        <w:rPr>
          <w:rFonts w:ascii="Courier New" w:hAnsi="Courier New" w:cs="Courier New"/>
          <w:color w:val="333333"/>
        </w:rPr>
        <w:t xml:space="preserve">cancy.  The Board also found </w:t>
      </w:r>
      <w:r w:rsidR="00D00CAE">
        <w:rPr>
          <w:rFonts w:ascii="Courier New" w:hAnsi="Courier New" w:cs="Courier New"/>
          <w:color w:val="333333"/>
        </w:rPr>
        <w:t xml:space="preserve">that Mr. Shuka’s expenses for </w:t>
      </w:r>
      <w:r w:rsidR="00A11C9C">
        <w:rPr>
          <w:rFonts w:ascii="Courier New" w:hAnsi="Courier New" w:cs="Courier New"/>
          <w:color w:val="333333"/>
        </w:rPr>
        <w:t>common area maintenance and insurance,</w:t>
      </w:r>
      <w:r w:rsidR="00A44C37">
        <w:rPr>
          <w:rFonts w:ascii="Courier New" w:hAnsi="Courier New" w:cs="Courier New"/>
          <w:color w:val="333333"/>
        </w:rPr>
        <w:t xml:space="preserve"> which were </w:t>
      </w:r>
      <w:r w:rsidR="00355B58">
        <w:rPr>
          <w:rFonts w:ascii="Courier New" w:hAnsi="Courier New" w:cs="Courier New"/>
          <w:color w:val="333333"/>
        </w:rPr>
        <w:t xml:space="preserve">based on </w:t>
      </w:r>
      <w:r w:rsidR="00A44C37">
        <w:rPr>
          <w:rFonts w:ascii="Courier New" w:hAnsi="Courier New" w:cs="Courier New"/>
          <w:color w:val="333333"/>
        </w:rPr>
        <w:t xml:space="preserve">market data published in IREM, were </w:t>
      </w:r>
      <w:r w:rsidR="0060144F">
        <w:rPr>
          <w:rFonts w:ascii="Courier New" w:hAnsi="Courier New" w:cs="Courier New"/>
          <w:color w:val="333333"/>
        </w:rPr>
        <w:t>reasonable</w:t>
      </w:r>
      <w:r w:rsidR="00A44C37">
        <w:rPr>
          <w:rFonts w:ascii="Courier New" w:hAnsi="Courier New" w:cs="Courier New"/>
          <w:color w:val="333333"/>
        </w:rPr>
        <w:t xml:space="preserve">.  </w:t>
      </w:r>
      <w:r w:rsidR="00D00CAE">
        <w:rPr>
          <w:rFonts w:ascii="Courier New" w:hAnsi="Courier New" w:cs="Courier New"/>
          <w:color w:val="333333"/>
        </w:rPr>
        <w:t xml:space="preserve">The Board then applied </w:t>
      </w:r>
      <w:r w:rsidR="00DD24D7">
        <w:rPr>
          <w:rFonts w:ascii="Courier New" w:hAnsi="Courier New" w:cs="Courier New"/>
          <w:color w:val="333333"/>
        </w:rPr>
        <w:t xml:space="preserve">its vacancy rate of </w:t>
      </w:r>
      <w:r w:rsidR="006A0A50">
        <w:rPr>
          <w:rFonts w:ascii="Courier New" w:hAnsi="Courier New" w:cs="Courier New"/>
          <w:color w:val="333333"/>
        </w:rPr>
        <w:t>7.</w:t>
      </w:r>
      <w:r w:rsidR="00DD24D7">
        <w:rPr>
          <w:rFonts w:ascii="Courier New" w:hAnsi="Courier New" w:cs="Courier New"/>
          <w:color w:val="333333"/>
        </w:rPr>
        <w:t>5</w:t>
      </w:r>
      <w:r w:rsidR="000262F0">
        <w:rPr>
          <w:rFonts w:ascii="Courier New" w:hAnsi="Courier New" w:cs="Courier New"/>
          <w:color w:val="333333"/>
        </w:rPr>
        <w:t xml:space="preserve">% to </w:t>
      </w:r>
      <w:r w:rsidR="00D00CAE">
        <w:rPr>
          <w:rFonts w:ascii="Courier New" w:hAnsi="Courier New" w:cs="Courier New"/>
          <w:color w:val="333333"/>
        </w:rPr>
        <w:t xml:space="preserve">these </w:t>
      </w:r>
      <w:r w:rsidR="000262F0">
        <w:rPr>
          <w:rFonts w:ascii="Courier New" w:hAnsi="Courier New" w:cs="Courier New"/>
          <w:color w:val="333333"/>
        </w:rPr>
        <w:t>amounts</w:t>
      </w:r>
      <w:r w:rsidR="00D00CAE">
        <w:rPr>
          <w:rFonts w:ascii="Courier New" w:hAnsi="Courier New" w:cs="Courier New"/>
          <w:color w:val="333333"/>
        </w:rPr>
        <w:t>.</w:t>
      </w:r>
      <w:r w:rsidR="00A11C9C">
        <w:rPr>
          <w:rFonts w:ascii="Courier New" w:hAnsi="Courier New" w:cs="Courier New"/>
          <w:color w:val="333333"/>
        </w:rPr>
        <w:t xml:space="preserve"> </w:t>
      </w:r>
      <w:r w:rsidR="00D00CAE">
        <w:rPr>
          <w:rFonts w:ascii="Courier New" w:hAnsi="Courier New" w:cs="Courier New"/>
          <w:color w:val="333333"/>
        </w:rPr>
        <w:t xml:space="preserve"> </w:t>
      </w:r>
      <w:r w:rsidR="00355B58">
        <w:rPr>
          <w:rFonts w:ascii="Courier New" w:hAnsi="Courier New" w:cs="Courier New"/>
          <w:color w:val="333333"/>
        </w:rPr>
        <w:t>The Board further found that Mr. Shuka’s</w:t>
      </w:r>
      <w:r w:rsidR="00A11C9C">
        <w:rPr>
          <w:rFonts w:ascii="Courier New" w:hAnsi="Courier New" w:cs="Courier New"/>
          <w:color w:val="333333"/>
        </w:rPr>
        <w:t xml:space="preserve"> reserves for replacement calculated at </w:t>
      </w:r>
      <w:r w:rsidR="00061B91">
        <w:rPr>
          <w:rFonts w:ascii="Courier New" w:hAnsi="Courier New" w:cs="Courier New"/>
          <w:color w:val="333333"/>
        </w:rPr>
        <w:t>$0</w:t>
      </w:r>
      <w:r>
        <w:rPr>
          <w:rFonts w:ascii="Courier New" w:hAnsi="Courier New" w:cs="Courier New"/>
          <w:color w:val="333333"/>
        </w:rPr>
        <w:t>.25 per square f</w:t>
      </w:r>
      <w:r w:rsidR="00A11C9C">
        <w:rPr>
          <w:rFonts w:ascii="Courier New" w:hAnsi="Courier New" w:cs="Courier New"/>
          <w:color w:val="333333"/>
        </w:rPr>
        <w:t>oot</w:t>
      </w:r>
      <w:r w:rsidR="00061B91">
        <w:rPr>
          <w:rFonts w:ascii="Courier New" w:hAnsi="Courier New" w:cs="Courier New"/>
          <w:color w:val="333333"/>
        </w:rPr>
        <w:t>, leasing commission</w:t>
      </w:r>
      <w:r w:rsidR="0060144F">
        <w:rPr>
          <w:rFonts w:ascii="Courier New" w:hAnsi="Courier New" w:cs="Courier New"/>
          <w:color w:val="333333"/>
        </w:rPr>
        <w:t>s</w:t>
      </w:r>
      <w:r w:rsidR="00061B91">
        <w:rPr>
          <w:rFonts w:ascii="Courier New" w:hAnsi="Courier New" w:cs="Courier New"/>
          <w:color w:val="333333"/>
        </w:rPr>
        <w:t xml:space="preserve"> calculated at </w:t>
      </w:r>
      <w:r w:rsidR="00A11C9C">
        <w:rPr>
          <w:rFonts w:ascii="Courier New" w:hAnsi="Courier New" w:cs="Courier New"/>
          <w:color w:val="333333"/>
        </w:rPr>
        <w:t xml:space="preserve">2.8% of </w:t>
      </w:r>
      <w:r w:rsidR="00A619DC">
        <w:rPr>
          <w:rFonts w:ascii="Courier New" w:hAnsi="Courier New" w:cs="Courier New"/>
          <w:color w:val="333333"/>
        </w:rPr>
        <w:t xml:space="preserve">potential gross </w:t>
      </w:r>
      <w:r w:rsidR="000262F0">
        <w:rPr>
          <w:rFonts w:ascii="Courier New" w:hAnsi="Courier New" w:cs="Courier New"/>
          <w:color w:val="333333"/>
        </w:rPr>
        <w:t xml:space="preserve">income, </w:t>
      </w:r>
      <w:r w:rsidR="00355B58">
        <w:rPr>
          <w:rFonts w:ascii="Courier New" w:hAnsi="Courier New" w:cs="Courier New"/>
          <w:color w:val="333333"/>
        </w:rPr>
        <w:t>and tenant improvement</w:t>
      </w:r>
      <w:r w:rsidR="0060144F">
        <w:rPr>
          <w:rFonts w:ascii="Courier New" w:hAnsi="Courier New" w:cs="Courier New"/>
          <w:color w:val="333333"/>
        </w:rPr>
        <w:t>s</w:t>
      </w:r>
      <w:r w:rsidR="00355B58">
        <w:rPr>
          <w:rFonts w:ascii="Courier New" w:hAnsi="Courier New" w:cs="Courier New"/>
          <w:color w:val="333333"/>
        </w:rPr>
        <w:t xml:space="preserve"> calculated at $0.20 per square foot</w:t>
      </w:r>
      <w:r w:rsidR="00772B86">
        <w:rPr>
          <w:rFonts w:ascii="Courier New" w:hAnsi="Courier New" w:cs="Courier New"/>
          <w:color w:val="333333"/>
        </w:rPr>
        <w:t xml:space="preserve"> </w:t>
      </w:r>
      <w:r>
        <w:rPr>
          <w:rFonts w:ascii="Courier New" w:hAnsi="Courier New" w:cs="Courier New"/>
          <w:color w:val="333333"/>
        </w:rPr>
        <w:t>w</w:t>
      </w:r>
      <w:r w:rsidR="00061B91">
        <w:rPr>
          <w:rFonts w:ascii="Courier New" w:hAnsi="Courier New" w:cs="Courier New"/>
          <w:color w:val="333333"/>
        </w:rPr>
        <w:t>ere</w:t>
      </w:r>
      <w:r>
        <w:rPr>
          <w:rFonts w:ascii="Courier New" w:hAnsi="Courier New" w:cs="Courier New"/>
          <w:color w:val="333333"/>
        </w:rPr>
        <w:t xml:space="preserve"> </w:t>
      </w:r>
      <w:r w:rsidR="00061B91">
        <w:rPr>
          <w:rFonts w:ascii="Courier New" w:hAnsi="Courier New" w:cs="Courier New"/>
          <w:color w:val="333333"/>
        </w:rPr>
        <w:t xml:space="preserve">market based and therefore </w:t>
      </w:r>
      <w:r>
        <w:rPr>
          <w:rFonts w:ascii="Courier New" w:hAnsi="Courier New" w:cs="Courier New"/>
          <w:color w:val="333333"/>
        </w:rPr>
        <w:t xml:space="preserve">appropriate.  </w:t>
      </w:r>
      <w:r w:rsidR="00061B91">
        <w:rPr>
          <w:rFonts w:ascii="Courier New" w:hAnsi="Courier New" w:cs="Courier New"/>
          <w:color w:val="333333"/>
        </w:rPr>
        <w:t xml:space="preserve">With respect to the </w:t>
      </w:r>
      <w:r>
        <w:rPr>
          <w:rFonts w:ascii="Courier New" w:hAnsi="Courier New" w:cs="Courier New"/>
          <w:color w:val="333333"/>
        </w:rPr>
        <w:t>management expense</w:t>
      </w:r>
      <w:r w:rsidR="00061B91">
        <w:rPr>
          <w:rFonts w:ascii="Courier New" w:hAnsi="Courier New" w:cs="Courier New"/>
          <w:color w:val="333333"/>
        </w:rPr>
        <w:t xml:space="preserve">, the Board found that Mr. Shuka’s expense calculated at </w:t>
      </w:r>
      <w:r>
        <w:rPr>
          <w:rFonts w:ascii="Courier New" w:hAnsi="Courier New" w:cs="Courier New"/>
          <w:color w:val="333333"/>
        </w:rPr>
        <w:t xml:space="preserve">3% of </w:t>
      </w:r>
      <w:r w:rsidR="002B6B66">
        <w:rPr>
          <w:rFonts w:ascii="Courier New" w:hAnsi="Courier New" w:cs="Courier New"/>
          <w:color w:val="333333"/>
        </w:rPr>
        <w:t>effective gross income</w:t>
      </w:r>
      <w:r>
        <w:rPr>
          <w:rFonts w:ascii="Courier New" w:hAnsi="Courier New" w:cs="Courier New"/>
          <w:color w:val="333333"/>
        </w:rPr>
        <w:t xml:space="preserve"> was excessive </w:t>
      </w:r>
      <w:r w:rsidR="000262F0">
        <w:rPr>
          <w:rFonts w:ascii="Courier New" w:hAnsi="Courier New" w:cs="Courier New"/>
          <w:color w:val="333333"/>
        </w:rPr>
        <w:t xml:space="preserve">given the nature of the tenancy </w:t>
      </w:r>
      <w:r>
        <w:rPr>
          <w:rFonts w:ascii="Courier New" w:hAnsi="Courier New" w:cs="Courier New"/>
          <w:color w:val="333333"/>
        </w:rPr>
        <w:t xml:space="preserve">and instead found </w:t>
      </w:r>
      <w:r w:rsidR="0060144F">
        <w:rPr>
          <w:rFonts w:ascii="Courier New" w:hAnsi="Courier New" w:cs="Courier New"/>
          <w:color w:val="333333"/>
        </w:rPr>
        <w:t xml:space="preserve">that </w:t>
      </w:r>
      <w:r w:rsidR="00772B86">
        <w:rPr>
          <w:rFonts w:ascii="Courier New" w:hAnsi="Courier New" w:cs="Courier New"/>
          <w:color w:val="333333"/>
        </w:rPr>
        <w:t xml:space="preserve">Mr. Johnston’s </w:t>
      </w:r>
      <w:r w:rsidR="0060144F">
        <w:rPr>
          <w:rFonts w:ascii="Courier New" w:hAnsi="Courier New" w:cs="Courier New"/>
          <w:color w:val="333333"/>
        </w:rPr>
        <w:t>allowance</w:t>
      </w:r>
      <w:r>
        <w:rPr>
          <w:rFonts w:ascii="Courier New" w:hAnsi="Courier New" w:cs="Courier New"/>
          <w:color w:val="333333"/>
        </w:rPr>
        <w:t xml:space="preserve"> of 2% of </w:t>
      </w:r>
      <w:r w:rsidR="002B6B66">
        <w:rPr>
          <w:rFonts w:ascii="Courier New" w:hAnsi="Courier New" w:cs="Courier New"/>
          <w:color w:val="333333"/>
        </w:rPr>
        <w:t>effective gross income</w:t>
      </w:r>
      <w:r>
        <w:rPr>
          <w:rFonts w:ascii="Courier New" w:hAnsi="Courier New" w:cs="Courier New"/>
          <w:color w:val="333333"/>
        </w:rPr>
        <w:t xml:space="preserve"> </w:t>
      </w:r>
      <w:r w:rsidR="00075C79">
        <w:rPr>
          <w:rFonts w:ascii="Courier New" w:hAnsi="Courier New" w:cs="Courier New"/>
          <w:color w:val="333333"/>
        </w:rPr>
        <w:t>was</w:t>
      </w:r>
      <w:r w:rsidR="00061B91">
        <w:rPr>
          <w:rFonts w:ascii="Courier New" w:hAnsi="Courier New" w:cs="Courier New"/>
          <w:color w:val="333333"/>
        </w:rPr>
        <w:t xml:space="preserve"> </w:t>
      </w:r>
      <w:r>
        <w:rPr>
          <w:rFonts w:ascii="Courier New" w:hAnsi="Courier New" w:cs="Courier New"/>
          <w:color w:val="333333"/>
        </w:rPr>
        <w:t>more reasonable.</w:t>
      </w:r>
    </w:p>
    <w:p w:rsidR="00C252B4" w:rsidRDefault="00F44C27" w:rsidP="008825CB">
      <w:pPr>
        <w:spacing w:line="480" w:lineRule="auto"/>
        <w:jc w:val="both"/>
        <w:rPr>
          <w:rFonts w:ascii="Courier New" w:hAnsi="Courier New" w:cs="Courier New"/>
          <w:color w:val="333333"/>
        </w:rPr>
      </w:pPr>
      <w:r>
        <w:rPr>
          <w:rFonts w:ascii="Verdana" w:hAnsi="Verdana"/>
          <w:color w:val="333333"/>
          <w:sz w:val="20"/>
          <w:szCs w:val="20"/>
        </w:rPr>
        <w:tab/>
      </w:r>
      <w:r w:rsidR="00D43DC4" w:rsidRPr="008E6B73">
        <w:rPr>
          <w:rFonts w:ascii="Courier New" w:hAnsi="Courier New" w:cs="Courier New"/>
          <w:color w:val="333333"/>
        </w:rPr>
        <w:t>Mr. Shuka</w:t>
      </w:r>
      <w:r w:rsidRPr="00416CB4">
        <w:rPr>
          <w:rFonts w:ascii="Courier New" w:hAnsi="Courier New" w:cs="Courier New"/>
          <w:color w:val="333333"/>
        </w:rPr>
        <w:t xml:space="preserve"> recommended</w:t>
      </w:r>
      <w:r w:rsidR="00061B91">
        <w:rPr>
          <w:rFonts w:ascii="Courier New" w:hAnsi="Courier New" w:cs="Courier New"/>
          <w:color w:val="333333"/>
        </w:rPr>
        <w:t xml:space="preserve"> a stabilized base capitalization rate of 10% for the fiscal y</w:t>
      </w:r>
      <w:r w:rsidR="00F1634B">
        <w:rPr>
          <w:rFonts w:ascii="Courier New" w:hAnsi="Courier New" w:cs="Courier New"/>
          <w:color w:val="333333"/>
        </w:rPr>
        <w:t xml:space="preserve">ears at issue, </w:t>
      </w:r>
      <w:r w:rsidR="00061B91">
        <w:rPr>
          <w:rFonts w:ascii="Courier New" w:hAnsi="Courier New" w:cs="Courier New"/>
          <w:color w:val="333333"/>
        </w:rPr>
        <w:t xml:space="preserve">plus applicable </w:t>
      </w:r>
      <w:r w:rsidR="000262F0">
        <w:rPr>
          <w:rFonts w:ascii="Courier New" w:hAnsi="Courier New" w:cs="Courier New"/>
          <w:color w:val="333333"/>
        </w:rPr>
        <w:t xml:space="preserve">pro-rata </w:t>
      </w:r>
      <w:r w:rsidR="00061B91">
        <w:rPr>
          <w:rFonts w:ascii="Courier New" w:hAnsi="Courier New" w:cs="Courier New"/>
          <w:color w:val="333333"/>
        </w:rPr>
        <w:t>tax factors</w:t>
      </w:r>
      <w:r w:rsidR="004B35D4">
        <w:rPr>
          <w:rFonts w:ascii="Courier New" w:hAnsi="Courier New" w:cs="Courier New"/>
          <w:color w:val="333333"/>
        </w:rPr>
        <w:t>.</w:t>
      </w:r>
      <w:r w:rsidRPr="00416CB4">
        <w:rPr>
          <w:rFonts w:ascii="Courier New" w:hAnsi="Courier New" w:cs="Courier New"/>
          <w:color w:val="333333"/>
        </w:rPr>
        <w:t xml:space="preserve"> </w:t>
      </w:r>
      <w:r w:rsidR="00772B86">
        <w:rPr>
          <w:rFonts w:ascii="Courier New" w:hAnsi="Courier New" w:cs="Courier New"/>
          <w:color w:val="333333"/>
        </w:rPr>
        <w:t xml:space="preserve"> In comparison, </w:t>
      </w:r>
      <w:r w:rsidR="00D43DC4">
        <w:rPr>
          <w:rFonts w:ascii="Courier New" w:hAnsi="Courier New" w:cs="Courier New"/>
          <w:color w:val="333333"/>
        </w:rPr>
        <w:t>Mr. Johns</w:t>
      </w:r>
      <w:r w:rsidR="002B6B66">
        <w:rPr>
          <w:rFonts w:ascii="Courier New" w:hAnsi="Courier New" w:cs="Courier New"/>
          <w:color w:val="333333"/>
        </w:rPr>
        <w:t>t</w:t>
      </w:r>
      <w:r w:rsidR="00D43DC4">
        <w:rPr>
          <w:rFonts w:ascii="Courier New" w:hAnsi="Courier New" w:cs="Courier New"/>
          <w:color w:val="333333"/>
        </w:rPr>
        <w:t>on</w:t>
      </w:r>
      <w:r w:rsidRPr="00416CB4">
        <w:rPr>
          <w:rFonts w:ascii="Courier New" w:hAnsi="Courier New" w:cs="Courier New"/>
          <w:color w:val="333333"/>
        </w:rPr>
        <w:t xml:space="preserve"> recommended capitalization rate</w:t>
      </w:r>
      <w:r w:rsidR="00772B86">
        <w:rPr>
          <w:rFonts w:ascii="Courier New" w:hAnsi="Courier New" w:cs="Courier New"/>
          <w:color w:val="333333"/>
        </w:rPr>
        <w:t>s</w:t>
      </w:r>
      <w:r w:rsidRPr="00416CB4">
        <w:rPr>
          <w:rFonts w:ascii="Courier New" w:hAnsi="Courier New" w:cs="Courier New"/>
          <w:color w:val="333333"/>
        </w:rPr>
        <w:t xml:space="preserve"> of </w:t>
      </w:r>
      <w:r w:rsidR="00772B86">
        <w:rPr>
          <w:rFonts w:ascii="Courier New" w:hAnsi="Courier New" w:cs="Courier New"/>
          <w:color w:val="333333"/>
        </w:rPr>
        <w:t>7.75%, 7.25% and 7.0</w:t>
      </w:r>
      <w:r w:rsidR="00075C79">
        <w:rPr>
          <w:rFonts w:ascii="Courier New" w:hAnsi="Courier New" w:cs="Courier New"/>
          <w:color w:val="333333"/>
        </w:rPr>
        <w:t>0</w:t>
      </w:r>
      <w:r w:rsidR="00772B86">
        <w:rPr>
          <w:rFonts w:ascii="Courier New" w:hAnsi="Courier New" w:cs="Courier New"/>
          <w:color w:val="333333"/>
        </w:rPr>
        <w:t>%, respectively</w:t>
      </w:r>
      <w:r w:rsidR="00F1634B">
        <w:rPr>
          <w:rFonts w:ascii="Courier New" w:hAnsi="Courier New" w:cs="Courier New"/>
          <w:color w:val="333333"/>
        </w:rPr>
        <w:t>,</w:t>
      </w:r>
      <w:r w:rsidR="00772B86">
        <w:rPr>
          <w:rFonts w:ascii="Courier New" w:hAnsi="Courier New" w:cs="Courier New"/>
          <w:color w:val="333333"/>
        </w:rPr>
        <w:t xml:space="preserve"> </w:t>
      </w:r>
      <w:r w:rsidR="002B6B66">
        <w:rPr>
          <w:rFonts w:ascii="Courier New" w:hAnsi="Courier New" w:cs="Courier New"/>
          <w:color w:val="333333"/>
        </w:rPr>
        <w:t xml:space="preserve">for fiscal years 2012, 2013, and 2014, </w:t>
      </w:r>
      <w:r w:rsidR="00772B86">
        <w:rPr>
          <w:rFonts w:ascii="Courier New" w:hAnsi="Courier New" w:cs="Courier New"/>
          <w:color w:val="333333"/>
        </w:rPr>
        <w:t xml:space="preserve">and did not include </w:t>
      </w:r>
      <w:r w:rsidR="00BA30EC">
        <w:rPr>
          <w:rFonts w:ascii="Courier New" w:hAnsi="Courier New" w:cs="Courier New"/>
          <w:color w:val="333333"/>
        </w:rPr>
        <w:t>pro</w:t>
      </w:r>
      <w:r w:rsidR="002B6B66">
        <w:rPr>
          <w:rFonts w:ascii="Courier New" w:hAnsi="Courier New" w:cs="Courier New"/>
          <w:color w:val="333333"/>
        </w:rPr>
        <w:t>-</w:t>
      </w:r>
      <w:r w:rsidR="00BA30EC">
        <w:rPr>
          <w:rFonts w:ascii="Courier New" w:hAnsi="Courier New" w:cs="Courier New"/>
          <w:color w:val="333333"/>
        </w:rPr>
        <w:t>rat</w:t>
      </w:r>
      <w:r w:rsidR="002B6B66">
        <w:rPr>
          <w:rFonts w:ascii="Courier New" w:hAnsi="Courier New" w:cs="Courier New"/>
          <w:color w:val="333333"/>
        </w:rPr>
        <w:t>a</w:t>
      </w:r>
      <w:r w:rsidR="00BA30EC">
        <w:rPr>
          <w:rFonts w:ascii="Courier New" w:hAnsi="Courier New" w:cs="Courier New"/>
          <w:color w:val="333333"/>
        </w:rPr>
        <w:t xml:space="preserve"> </w:t>
      </w:r>
      <w:r w:rsidR="00772B86">
        <w:rPr>
          <w:rFonts w:ascii="Courier New" w:hAnsi="Courier New" w:cs="Courier New"/>
          <w:color w:val="333333"/>
        </w:rPr>
        <w:t>tax factor</w:t>
      </w:r>
      <w:r w:rsidR="000262F0">
        <w:rPr>
          <w:rFonts w:ascii="Courier New" w:hAnsi="Courier New" w:cs="Courier New"/>
          <w:color w:val="333333"/>
        </w:rPr>
        <w:t>s</w:t>
      </w:r>
      <w:r w:rsidRPr="00416CB4">
        <w:rPr>
          <w:rFonts w:ascii="Courier New" w:hAnsi="Courier New" w:cs="Courier New"/>
          <w:color w:val="333333"/>
        </w:rPr>
        <w:t xml:space="preserve">.  </w:t>
      </w:r>
      <w:r w:rsidR="00C9178B">
        <w:rPr>
          <w:rFonts w:ascii="Courier New" w:hAnsi="Courier New" w:cs="Courier New"/>
          <w:color w:val="333333"/>
        </w:rPr>
        <w:t>In the present appeals, the Board found that Mr. Johns</w:t>
      </w:r>
      <w:r w:rsidR="002B6B66">
        <w:rPr>
          <w:rFonts w:ascii="Courier New" w:hAnsi="Courier New" w:cs="Courier New"/>
          <w:color w:val="333333"/>
        </w:rPr>
        <w:t>t</w:t>
      </w:r>
      <w:r w:rsidR="00C9178B">
        <w:rPr>
          <w:rFonts w:ascii="Courier New" w:hAnsi="Courier New" w:cs="Courier New"/>
          <w:color w:val="333333"/>
        </w:rPr>
        <w:t>on’s capitalization rates more closely reflected the market and, consequently,</w:t>
      </w:r>
      <w:r w:rsidRPr="00416CB4">
        <w:rPr>
          <w:rFonts w:ascii="Courier New" w:hAnsi="Courier New" w:cs="Courier New"/>
          <w:color w:val="333333"/>
        </w:rPr>
        <w:t xml:space="preserve"> adopted </w:t>
      </w:r>
      <w:r w:rsidR="003E529A">
        <w:rPr>
          <w:rFonts w:ascii="Courier New" w:hAnsi="Courier New" w:cs="Courier New"/>
          <w:color w:val="333333"/>
        </w:rPr>
        <w:t xml:space="preserve">base </w:t>
      </w:r>
      <w:r w:rsidRPr="00416CB4">
        <w:rPr>
          <w:rFonts w:ascii="Courier New" w:hAnsi="Courier New" w:cs="Courier New"/>
          <w:color w:val="333333"/>
        </w:rPr>
        <w:t>capitalization rate</w:t>
      </w:r>
      <w:r w:rsidR="00D00CAE">
        <w:rPr>
          <w:rFonts w:ascii="Courier New" w:hAnsi="Courier New" w:cs="Courier New"/>
          <w:color w:val="333333"/>
        </w:rPr>
        <w:t>s</w:t>
      </w:r>
      <w:r w:rsidRPr="00416CB4">
        <w:rPr>
          <w:rFonts w:ascii="Courier New" w:hAnsi="Courier New" w:cs="Courier New"/>
          <w:color w:val="333333"/>
        </w:rPr>
        <w:t xml:space="preserve"> of </w:t>
      </w:r>
      <w:r w:rsidR="003E529A">
        <w:rPr>
          <w:rFonts w:ascii="Courier New" w:hAnsi="Courier New" w:cs="Courier New"/>
          <w:color w:val="333333"/>
        </w:rPr>
        <w:t>8.</w:t>
      </w:r>
      <w:r w:rsidR="00C252B4">
        <w:rPr>
          <w:rFonts w:ascii="Courier New" w:hAnsi="Courier New" w:cs="Courier New"/>
          <w:color w:val="333333"/>
        </w:rPr>
        <w:t>75</w:t>
      </w:r>
      <w:r w:rsidR="00D00CAE">
        <w:rPr>
          <w:rFonts w:ascii="Courier New" w:hAnsi="Courier New" w:cs="Courier New"/>
          <w:color w:val="333333"/>
        </w:rPr>
        <w:t>% for fiscal year 2012, 8.</w:t>
      </w:r>
      <w:r w:rsidR="00225F41">
        <w:rPr>
          <w:rFonts w:ascii="Courier New" w:hAnsi="Courier New" w:cs="Courier New"/>
          <w:color w:val="333333"/>
        </w:rPr>
        <w:t>5</w:t>
      </w:r>
      <w:r w:rsidR="003E529A">
        <w:rPr>
          <w:rFonts w:ascii="Courier New" w:hAnsi="Courier New" w:cs="Courier New"/>
          <w:color w:val="333333"/>
        </w:rPr>
        <w:t>0%</w:t>
      </w:r>
      <w:r w:rsidR="00D00CAE">
        <w:rPr>
          <w:rFonts w:ascii="Courier New" w:hAnsi="Courier New" w:cs="Courier New"/>
          <w:color w:val="333333"/>
        </w:rPr>
        <w:t xml:space="preserve"> for fiscal year 2013, and 8.25% for fiscal year 2014</w:t>
      </w:r>
      <w:r w:rsidR="003E529A">
        <w:rPr>
          <w:rFonts w:ascii="Courier New" w:hAnsi="Courier New" w:cs="Courier New"/>
          <w:color w:val="333333"/>
        </w:rPr>
        <w:t xml:space="preserve">, </w:t>
      </w:r>
      <w:r w:rsidR="00F1634B">
        <w:rPr>
          <w:rFonts w:ascii="Courier New" w:hAnsi="Courier New" w:cs="Courier New"/>
          <w:color w:val="333333"/>
        </w:rPr>
        <w:t xml:space="preserve">plus applicable </w:t>
      </w:r>
      <w:r w:rsidR="000262F0">
        <w:rPr>
          <w:rFonts w:ascii="Courier New" w:hAnsi="Courier New" w:cs="Courier New"/>
          <w:color w:val="333333"/>
        </w:rPr>
        <w:t xml:space="preserve">pro-rata </w:t>
      </w:r>
      <w:r w:rsidR="003E529A">
        <w:rPr>
          <w:rFonts w:ascii="Courier New" w:hAnsi="Courier New" w:cs="Courier New"/>
          <w:color w:val="333333"/>
        </w:rPr>
        <w:t>tax factor</w:t>
      </w:r>
      <w:r w:rsidR="000262F0">
        <w:rPr>
          <w:rFonts w:ascii="Courier New" w:hAnsi="Courier New" w:cs="Courier New"/>
          <w:color w:val="333333"/>
        </w:rPr>
        <w:t>s</w:t>
      </w:r>
      <w:r w:rsidR="00DF17A8" w:rsidRPr="00416CB4">
        <w:rPr>
          <w:rFonts w:ascii="Courier New" w:hAnsi="Courier New" w:cs="Courier New"/>
          <w:color w:val="333333"/>
        </w:rPr>
        <w:t>.</w:t>
      </w:r>
    </w:p>
    <w:p w:rsidR="00BA30EC" w:rsidRDefault="00DF17A8" w:rsidP="00DD6352">
      <w:pPr>
        <w:spacing w:line="480" w:lineRule="auto"/>
        <w:jc w:val="both"/>
        <w:rPr>
          <w:rFonts w:ascii="Courier New" w:hAnsi="Courier New" w:cs="Courier New"/>
          <w:b/>
        </w:rPr>
      </w:pPr>
      <w:r w:rsidRPr="00416CB4">
        <w:rPr>
          <w:rFonts w:ascii="Courier New" w:hAnsi="Courier New" w:cs="Courier New"/>
        </w:rPr>
        <w:lastRenderedPageBreak/>
        <w:tab/>
      </w:r>
      <w:r w:rsidRPr="00416CB4">
        <w:rPr>
          <w:rFonts w:ascii="Courier New" w:hAnsi="Courier New" w:cs="Courier New"/>
          <w:color w:val="333333"/>
        </w:rPr>
        <w:t>The Board's income-capitalization analys</w:t>
      </w:r>
      <w:r w:rsidR="00A619DC">
        <w:rPr>
          <w:rFonts w:ascii="Courier New" w:hAnsi="Courier New" w:cs="Courier New"/>
          <w:color w:val="333333"/>
        </w:rPr>
        <w:t>e</w:t>
      </w:r>
      <w:r w:rsidRPr="00416CB4">
        <w:rPr>
          <w:rFonts w:ascii="Courier New" w:hAnsi="Courier New" w:cs="Courier New"/>
          <w:color w:val="333333"/>
        </w:rPr>
        <w:t xml:space="preserve">s for </w:t>
      </w:r>
      <w:r w:rsidR="00F17CD9">
        <w:rPr>
          <w:rFonts w:ascii="Courier New" w:hAnsi="Courier New" w:cs="Courier New"/>
          <w:color w:val="333333"/>
        </w:rPr>
        <w:t xml:space="preserve">the </w:t>
      </w:r>
      <w:r w:rsidRPr="00416CB4">
        <w:rPr>
          <w:rFonts w:ascii="Courier New" w:hAnsi="Courier New" w:cs="Courier New"/>
          <w:color w:val="333333"/>
        </w:rPr>
        <w:t>fiscal year</w:t>
      </w:r>
      <w:r w:rsidR="00F17CD9">
        <w:rPr>
          <w:rFonts w:ascii="Courier New" w:hAnsi="Courier New" w:cs="Courier New"/>
          <w:color w:val="333333"/>
        </w:rPr>
        <w:t>s</w:t>
      </w:r>
      <w:r w:rsidRPr="00416CB4">
        <w:rPr>
          <w:rFonts w:ascii="Courier New" w:hAnsi="Courier New" w:cs="Courier New"/>
          <w:color w:val="333333"/>
        </w:rPr>
        <w:t xml:space="preserve"> at issue </w:t>
      </w:r>
      <w:r w:rsidR="00A619DC">
        <w:rPr>
          <w:rFonts w:ascii="Courier New" w:hAnsi="Courier New" w:cs="Courier New"/>
          <w:color w:val="333333"/>
        </w:rPr>
        <w:t>are</w:t>
      </w:r>
      <w:r w:rsidRPr="00416CB4">
        <w:rPr>
          <w:rFonts w:ascii="Courier New" w:hAnsi="Courier New" w:cs="Courier New"/>
          <w:color w:val="333333"/>
        </w:rPr>
        <w:t xml:space="preserve"> presented below:</w:t>
      </w:r>
    </w:p>
    <w:p w:rsidR="00DF17A8" w:rsidRPr="00A619DC" w:rsidRDefault="00A619DC" w:rsidP="00A619DC">
      <w:pPr>
        <w:spacing w:line="480" w:lineRule="auto"/>
        <w:jc w:val="center"/>
        <w:rPr>
          <w:rFonts w:ascii="Courier New" w:hAnsi="Courier New" w:cs="Courier New"/>
          <w:b/>
        </w:rPr>
      </w:pPr>
      <w:r w:rsidRPr="00A619DC">
        <w:rPr>
          <w:rFonts w:ascii="Courier New" w:hAnsi="Courier New" w:cs="Courier New"/>
          <w:b/>
        </w:rPr>
        <w:t>Board’s Income-Capitalization Analyses</w:t>
      </w:r>
    </w:p>
    <w:tbl>
      <w:tblPr>
        <w:tblW w:w="9026"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15"/>
        <w:gridCol w:w="810"/>
        <w:gridCol w:w="585"/>
        <w:gridCol w:w="61"/>
        <w:gridCol w:w="1604"/>
        <w:gridCol w:w="1416"/>
        <w:gridCol w:w="1435"/>
      </w:tblGrid>
      <w:tr w:rsidR="00DF17A8" w:rsidRPr="00BC33F3" w:rsidTr="0064280E">
        <w:trPr>
          <w:tblCellSpacing w:w="15" w:type="dxa"/>
        </w:trPr>
        <w:tc>
          <w:tcPr>
            <w:tcW w:w="3880" w:type="dxa"/>
            <w:gridSpan w:val="2"/>
            <w:hideMark/>
          </w:tcPr>
          <w:p w:rsidR="00DF17A8" w:rsidRPr="00BC33F3" w:rsidRDefault="00DF17A8" w:rsidP="00AC173A">
            <w:pPr>
              <w:jc w:val="center"/>
              <w:rPr>
                <w:rFonts w:ascii="Courier New" w:hAnsi="Courier New" w:cs="Courier New"/>
                <w:b/>
                <w:bCs/>
                <w:color w:val="333333"/>
                <w:sz w:val="20"/>
                <w:szCs w:val="20"/>
              </w:rPr>
            </w:pPr>
          </w:p>
        </w:tc>
        <w:tc>
          <w:tcPr>
            <w:tcW w:w="555" w:type="dxa"/>
            <w:hideMark/>
          </w:tcPr>
          <w:p w:rsidR="00DF17A8" w:rsidRPr="00BC33F3" w:rsidRDefault="00DF17A8" w:rsidP="003E529A">
            <w:pPr>
              <w:jc w:val="center"/>
              <w:rPr>
                <w:rFonts w:ascii="Courier New" w:hAnsi="Courier New" w:cs="Courier New"/>
                <w:sz w:val="20"/>
                <w:szCs w:val="20"/>
              </w:rPr>
            </w:pPr>
          </w:p>
        </w:tc>
        <w:tc>
          <w:tcPr>
            <w:tcW w:w="1635" w:type="dxa"/>
            <w:gridSpan w:val="2"/>
          </w:tcPr>
          <w:p w:rsidR="00DF17A8" w:rsidRPr="00BC33F3" w:rsidRDefault="00DF17A8" w:rsidP="003E529A">
            <w:pPr>
              <w:jc w:val="center"/>
              <w:rPr>
                <w:rFonts w:ascii="Courier New" w:hAnsi="Courier New" w:cs="Courier New"/>
                <w:b/>
                <w:sz w:val="20"/>
                <w:szCs w:val="20"/>
              </w:rPr>
            </w:pPr>
            <w:r>
              <w:rPr>
                <w:rFonts w:ascii="Courier New" w:hAnsi="Courier New" w:cs="Courier New"/>
                <w:b/>
                <w:sz w:val="20"/>
                <w:szCs w:val="20"/>
              </w:rPr>
              <w:t xml:space="preserve">Fiscal </w:t>
            </w:r>
            <w:r w:rsidR="003E529A">
              <w:rPr>
                <w:rFonts w:ascii="Courier New" w:hAnsi="Courier New" w:cs="Courier New"/>
                <w:b/>
                <w:sz w:val="20"/>
                <w:szCs w:val="20"/>
              </w:rPr>
              <w:t>Y</w:t>
            </w:r>
            <w:r>
              <w:rPr>
                <w:rFonts w:ascii="Courier New" w:hAnsi="Courier New" w:cs="Courier New"/>
                <w:b/>
                <w:sz w:val="20"/>
                <w:szCs w:val="20"/>
              </w:rPr>
              <w:t>ear 201</w:t>
            </w:r>
            <w:r w:rsidR="003E529A">
              <w:rPr>
                <w:rFonts w:ascii="Courier New" w:hAnsi="Courier New" w:cs="Courier New"/>
                <w:b/>
                <w:sz w:val="20"/>
                <w:szCs w:val="20"/>
              </w:rPr>
              <w:t>2</w:t>
            </w:r>
          </w:p>
        </w:tc>
        <w:tc>
          <w:tcPr>
            <w:tcW w:w="1386" w:type="dxa"/>
            <w:hideMark/>
          </w:tcPr>
          <w:p w:rsidR="003E529A" w:rsidRPr="00BC33F3" w:rsidRDefault="003E529A" w:rsidP="003E529A">
            <w:pPr>
              <w:jc w:val="center"/>
              <w:rPr>
                <w:rFonts w:ascii="Courier New" w:hAnsi="Courier New" w:cs="Courier New"/>
                <w:b/>
                <w:sz w:val="20"/>
                <w:szCs w:val="20"/>
              </w:rPr>
            </w:pPr>
            <w:r>
              <w:rPr>
                <w:rFonts w:ascii="Courier New" w:hAnsi="Courier New" w:cs="Courier New"/>
                <w:b/>
                <w:sz w:val="20"/>
                <w:szCs w:val="20"/>
              </w:rPr>
              <w:t>Fiscal Year 2013</w:t>
            </w:r>
          </w:p>
        </w:tc>
        <w:tc>
          <w:tcPr>
            <w:tcW w:w="1390" w:type="dxa"/>
          </w:tcPr>
          <w:p w:rsidR="00DF17A8" w:rsidRPr="00BC33F3" w:rsidRDefault="00DF17A8" w:rsidP="003E529A">
            <w:pPr>
              <w:jc w:val="center"/>
              <w:rPr>
                <w:rFonts w:ascii="Courier New" w:hAnsi="Courier New" w:cs="Courier New"/>
                <w:b/>
                <w:sz w:val="20"/>
                <w:szCs w:val="20"/>
              </w:rPr>
            </w:pPr>
            <w:r>
              <w:rPr>
                <w:rFonts w:ascii="Courier New" w:hAnsi="Courier New" w:cs="Courier New"/>
                <w:b/>
                <w:sz w:val="20"/>
                <w:szCs w:val="20"/>
              </w:rPr>
              <w:t>Fiscal Year 201</w:t>
            </w:r>
            <w:r w:rsidR="003E529A">
              <w:rPr>
                <w:rFonts w:ascii="Courier New" w:hAnsi="Courier New" w:cs="Courier New"/>
                <w:b/>
                <w:sz w:val="20"/>
                <w:szCs w:val="20"/>
              </w:rPr>
              <w:t>4</w:t>
            </w:r>
          </w:p>
        </w:tc>
      </w:tr>
      <w:tr w:rsidR="00DF17A8" w:rsidRPr="00A706CA" w:rsidTr="0064280E">
        <w:trPr>
          <w:tblCellSpacing w:w="15" w:type="dxa"/>
        </w:trPr>
        <w:tc>
          <w:tcPr>
            <w:tcW w:w="3880" w:type="dxa"/>
            <w:gridSpan w:val="2"/>
            <w:hideMark/>
          </w:tcPr>
          <w:p w:rsidR="00DF17A8" w:rsidRPr="00A706CA" w:rsidRDefault="00DF17A8" w:rsidP="00AC173A">
            <w:pPr>
              <w:rPr>
                <w:rFonts w:ascii="Courier New" w:hAnsi="Courier New" w:cs="Courier New"/>
                <w:b/>
                <w:bCs/>
                <w:color w:val="333333"/>
                <w:sz w:val="20"/>
                <w:szCs w:val="20"/>
              </w:rPr>
            </w:pPr>
            <w:r w:rsidRPr="00A706CA">
              <w:rPr>
                <w:rFonts w:ascii="Courier New" w:hAnsi="Courier New" w:cs="Courier New"/>
                <w:b/>
                <w:bCs/>
                <w:color w:val="333333"/>
                <w:sz w:val="20"/>
                <w:szCs w:val="20"/>
              </w:rPr>
              <w:t>INCOME</w:t>
            </w:r>
          </w:p>
        </w:tc>
        <w:tc>
          <w:tcPr>
            <w:tcW w:w="555" w:type="dxa"/>
            <w:hideMark/>
          </w:tcPr>
          <w:p w:rsidR="00DF17A8" w:rsidRPr="00A706CA" w:rsidRDefault="00DF17A8" w:rsidP="00AC173A">
            <w:pPr>
              <w:jc w:val="center"/>
              <w:rPr>
                <w:rFonts w:ascii="Courier New" w:hAnsi="Courier New" w:cs="Courier New"/>
                <w:b/>
                <w:bCs/>
                <w:color w:val="333333"/>
                <w:sz w:val="20"/>
                <w:szCs w:val="20"/>
              </w:rPr>
            </w:pPr>
          </w:p>
        </w:tc>
        <w:tc>
          <w:tcPr>
            <w:tcW w:w="1635" w:type="dxa"/>
            <w:gridSpan w:val="2"/>
          </w:tcPr>
          <w:p w:rsidR="00DF17A8" w:rsidRPr="00A706CA" w:rsidRDefault="00DF17A8" w:rsidP="00AC173A">
            <w:pPr>
              <w:jc w:val="center"/>
              <w:rPr>
                <w:rFonts w:ascii="Courier New" w:hAnsi="Courier New" w:cs="Courier New"/>
                <w:b/>
                <w:bCs/>
                <w:color w:val="333333"/>
                <w:sz w:val="20"/>
                <w:szCs w:val="20"/>
              </w:rPr>
            </w:pPr>
          </w:p>
        </w:tc>
        <w:tc>
          <w:tcPr>
            <w:tcW w:w="1386" w:type="dxa"/>
            <w:hideMark/>
          </w:tcPr>
          <w:p w:rsidR="00DF17A8" w:rsidRPr="00A706CA" w:rsidRDefault="00DF17A8" w:rsidP="00AC173A">
            <w:pPr>
              <w:rPr>
                <w:rFonts w:ascii="Courier New" w:hAnsi="Courier New" w:cs="Courier New"/>
                <w:b/>
                <w:bCs/>
                <w:color w:val="333333"/>
                <w:sz w:val="20"/>
                <w:szCs w:val="20"/>
              </w:rPr>
            </w:pPr>
          </w:p>
        </w:tc>
        <w:tc>
          <w:tcPr>
            <w:tcW w:w="1390" w:type="dxa"/>
          </w:tcPr>
          <w:p w:rsidR="00DF17A8" w:rsidRPr="00A706CA" w:rsidRDefault="00DF17A8" w:rsidP="00AC173A">
            <w:pPr>
              <w:rPr>
                <w:rFonts w:ascii="Courier New" w:hAnsi="Courier New" w:cs="Courier New"/>
                <w:b/>
                <w:bCs/>
                <w:color w:val="333333"/>
                <w:sz w:val="20"/>
                <w:szCs w:val="20"/>
              </w:rPr>
            </w:pPr>
          </w:p>
        </w:tc>
      </w:tr>
      <w:tr w:rsidR="00DF17A8" w:rsidRPr="00A706CA" w:rsidTr="0064280E">
        <w:trPr>
          <w:tblCellSpacing w:w="15" w:type="dxa"/>
        </w:trPr>
        <w:tc>
          <w:tcPr>
            <w:tcW w:w="3880" w:type="dxa"/>
            <w:gridSpan w:val="2"/>
            <w:hideMark/>
          </w:tcPr>
          <w:p w:rsidR="00DF17A8" w:rsidRPr="00A706CA" w:rsidRDefault="003E529A" w:rsidP="00DF17A8">
            <w:pPr>
              <w:rPr>
                <w:rFonts w:ascii="Courier New" w:hAnsi="Courier New" w:cs="Courier New"/>
                <w:color w:val="333333"/>
                <w:sz w:val="20"/>
                <w:szCs w:val="20"/>
              </w:rPr>
            </w:pPr>
            <w:r>
              <w:rPr>
                <w:rFonts w:ascii="Courier New" w:hAnsi="Courier New" w:cs="Courier New"/>
                <w:color w:val="333333"/>
                <w:sz w:val="20"/>
                <w:szCs w:val="20"/>
              </w:rPr>
              <w:t>Building area  124,825</w:t>
            </w:r>
            <w:r w:rsidR="00DF17A8">
              <w:rPr>
                <w:rFonts w:ascii="Courier New" w:hAnsi="Courier New" w:cs="Courier New"/>
                <w:color w:val="333333"/>
                <w:sz w:val="20"/>
                <w:szCs w:val="20"/>
              </w:rPr>
              <w:t xml:space="preserve"> sf</w:t>
            </w:r>
          </w:p>
        </w:tc>
        <w:tc>
          <w:tcPr>
            <w:tcW w:w="2220" w:type="dxa"/>
            <w:gridSpan w:val="3"/>
          </w:tcPr>
          <w:p w:rsidR="00DF17A8" w:rsidRPr="00A706CA" w:rsidRDefault="00DF17A8" w:rsidP="00AC173A">
            <w:pPr>
              <w:jc w:val="right"/>
              <w:rPr>
                <w:rFonts w:ascii="Courier New" w:hAnsi="Courier New" w:cs="Courier New"/>
                <w:color w:val="333333"/>
                <w:sz w:val="20"/>
                <w:szCs w:val="20"/>
              </w:rPr>
            </w:pPr>
          </w:p>
        </w:tc>
        <w:tc>
          <w:tcPr>
            <w:tcW w:w="1386" w:type="dxa"/>
            <w:hideMark/>
          </w:tcPr>
          <w:p w:rsidR="00DF17A8" w:rsidRPr="00A706CA" w:rsidRDefault="00DF17A8" w:rsidP="00AC173A">
            <w:pPr>
              <w:jc w:val="right"/>
              <w:rPr>
                <w:rFonts w:ascii="Courier New" w:hAnsi="Courier New" w:cs="Courier New"/>
                <w:color w:val="333333"/>
                <w:sz w:val="20"/>
                <w:szCs w:val="20"/>
              </w:rPr>
            </w:pPr>
          </w:p>
        </w:tc>
        <w:tc>
          <w:tcPr>
            <w:tcW w:w="1390" w:type="dxa"/>
          </w:tcPr>
          <w:p w:rsidR="00DF17A8" w:rsidRDefault="00DF17A8" w:rsidP="00AC173A">
            <w:pPr>
              <w:jc w:val="right"/>
              <w:rPr>
                <w:rFonts w:ascii="Courier New" w:hAnsi="Courier New" w:cs="Courier New"/>
                <w:color w:val="333333"/>
                <w:sz w:val="20"/>
                <w:szCs w:val="20"/>
              </w:rPr>
            </w:pPr>
          </w:p>
        </w:tc>
      </w:tr>
      <w:tr w:rsidR="00DF17A8" w:rsidRPr="00A706CA" w:rsidTr="0064280E">
        <w:trPr>
          <w:tblCellSpacing w:w="15" w:type="dxa"/>
        </w:trPr>
        <w:tc>
          <w:tcPr>
            <w:tcW w:w="3880" w:type="dxa"/>
            <w:gridSpan w:val="2"/>
            <w:hideMark/>
          </w:tcPr>
          <w:p w:rsidR="00DF17A8" w:rsidRPr="00DF17A8" w:rsidRDefault="00DF17A8" w:rsidP="003E529A">
            <w:pPr>
              <w:rPr>
                <w:rFonts w:ascii="Courier New" w:hAnsi="Courier New" w:cs="Courier New"/>
                <w:color w:val="333333"/>
                <w:sz w:val="20"/>
                <w:szCs w:val="20"/>
              </w:rPr>
            </w:pPr>
            <w:r>
              <w:rPr>
                <w:rFonts w:ascii="Courier New" w:hAnsi="Courier New" w:cs="Courier New"/>
                <w:b/>
                <w:color w:val="333333"/>
                <w:sz w:val="20"/>
                <w:szCs w:val="20"/>
              </w:rPr>
              <w:t xml:space="preserve"> </w:t>
            </w:r>
            <w:r w:rsidRPr="00DF17A8">
              <w:rPr>
                <w:rFonts w:ascii="Courier New" w:hAnsi="Courier New" w:cs="Courier New"/>
                <w:color w:val="333333"/>
                <w:sz w:val="20"/>
                <w:szCs w:val="20"/>
              </w:rPr>
              <w:t>@ market rent of $</w:t>
            </w:r>
            <w:r w:rsidR="003E529A">
              <w:rPr>
                <w:rFonts w:ascii="Courier New" w:hAnsi="Courier New" w:cs="Courier New"/>
                <w:color w:val="333333"/>
                <w:sz w:val="20"/>
                <w:szCs w:val="20"/>
              </w:rPr>
              <w:t>13/</w:t>
            </w:r>
            <w:r w:rsidRPr="00DF17A8">
              <w:rPr>
                <w:rFonts w:ascii="Courier New" w:hAnsi="Courier New" w:cs="Courier New"/>
                <w:color w:val="333333"/>
                <w:sz w:val="20"/>
                <w:szCs w:val="20"/>
              </w:rPr>
              <w:t>sf</w:t>
            </w:r>
          </w:p>
        </w:tc>
        <w:tc>
          <w:tcPr>
            <w:tcW w:w="555" w:type="dxa"/>
            <w:hideMark/>
          </w:tcPr>
          <w:p w:rsidR="00DF17A8" w:rsidRPr="000B376B" w:rsidRDefault="00DF17A8" w:rsidP="00AC173A">
            <w:pPr>
              <w:jc w:val="right"/>
              <w:rPr>
                <w:rFonts w:ascii="Courier New" w:hAnsi="Courier New" w:cs="Courier New"/>
                <w:b/>
                <w:color w:val="333333"/>
                <w:sz w:val="20"/>
                <w:szCs w:val="20"/>
              </w:rPr>
            </w:pPr>
          </w:p>
        </w:tc>
        <w:tc>
          <w:tcPr>
            <w:tcW w:w="1635" w:type="dxa"/>
            <w:gridSpan w:val="2"/>
          </w:tcPr>
          <w:p w:rsidR="00DF17A8" w:rsidRPr="000B376B" w:rsidRDefault="00DF17A8" w:rsidP="00AC173A">
            <w:pPr>
              <w:jc w:val="right"/>
              <w:rPr>
                <w:rFonts w:ascii="Courier New" w:hAnsi="Courier New" w:cs="Courier New"/>
                <w:b/>
                <w:color w:val="333333"/>
                <w:sz w:val="20"/>
                <w:szCs w:val="20"/>
              </w:rPr>
            </w:pPr>
          </w:p>
        </w:tc>
        <w:tc>
          <w:tcPr>
            <w:tcW w:w="1386" w:type="dxa"/>
            <w:hideMark/>
          </w:tcPr>
          <w:p w:rsidR="00DF17A8" w:rsidRPr="000B376B" w:rsidRDefault="00DF17A8" w:rsidP="00AC173A">
            <w:pPr>
              <w:jc w:val="right"/>
              <w:rPr>
                <w:rFonts w:ascii="Courier New" w:hAnsi="Courier New" w:cs="Courier New"/>
                <w:b/>
                <w:color w:val="333333"/>
                <w:sz w:val="20"/>
                <w:szCs w:val="20"/>
              </w:rPr>
            </w:pPr>
          </w:p>
        </w:tc>
        <w:tc>
          <w:tcPr>
            <w:tcW w:w="1390" w:type="dxa"/>
          </w:tcPr>
          <w:p w:rsidR="00DF17A8" w:rsidRPr="000B376B" w:rsidRDefault="00DF17A8" w:rsidP="00AC173A">
            <w:pPr>
              <w:jc w:val="right"/>
              <w:rPr>
                <w:rFonts w:ascii="Courier New" w:hAnsi="Courier New" w:cs="Courier New"/>
                <w:b/>
                <w:color w:val="333333"/>
                <w:sz w:val="20"/>
                <w:szCs w:val="20"/>
              </w:rPr>
            </w:pPr>
          </w:p>
        </w:tc>
      </w:tr>
      <w:tr w:rsidR="00DF17A8" w:rsidRPr="00A706CA" w:rsidTr="0064280E">
        <w:trPr>
          <w:tblCellSpacing w:w="15" w:type="dxa"/>
        </w:trPr>
        <w:tc>
          <w:tcPr>
            <w:tcW w:w="3880" w:type="dxa"/>
            <w:gridSpan w:val="2"/>
          </w:tcPr>
          <w:p w:rsidR="00DF17A8" w:rsidRPr="007B51D4" w:rsidRDefault="007B51D4" w:rsidP="007B51D4">
            <w:pPr>
              <w:rPr>
                <w:rFonts w:ascii="Courier New" w:hAnsi="Courier New" w:cs="Courier New"/>
                <w:b/>
                <w:color w:val="333333"/>
                <w:sz w:val="20"/>
                <w:szCs w:val="20"/>
              </w:rPr>
            </w:pPr>
            <w:r w:rsidRPr="007B51D4">
              <w:rPr>
                <w:rFonts w:ascii="Courier New" w:hAnsi="Courier New" w:cs="Courier New"/>
                <w:b/>
                <w:color w:val="333333"/>
                <w:sz w:val="20"/>
                <w:szCs w:val="20"/>
              </w:rPr>
              <w:t xml:space="preserve">Potential </w:t>
            </w:r>
            <w:r w:rsidR="003E529A" w:rsidRPr="007B51D4">
              <w:rPr>
                <w:rFonts w:ascii="Courier New" w:hAnsi="Courier New" w:cs="Courier New"/>
                <w:b/>
                <w:color w:val="333333"/>
                <w:sz w:val="20"/>
                <w:szCs w:val="20"/>
              </w:rPr>
              <w:t>Gross</w:t>
            </w:r>
            <w:r w:rsidRPr="007B51D4">
              <w:rPr>
                <w:rFonts w:ascii="Courier New" w:hAnsi="Courier New" w:cs="Courier New"/>
                <w:b/>
                <w:color w:val="333333"/>
                <w:sz w:val="20"/>
                <w:szCs w:val="20"/>
              </w:rPr>
              <w:t xml:space="preserve"> I</w:t>
            </w:r>
            <w:r w:rsidR="003E529A" w:rsidRPr="007B51D4">
              <w:rPr>
                <w:rFonts w:ascii="Courier New" w:hAnsi="Courier New" w:cs="Courier New"/>
                <w:b/>
                <w:color w:val="333333"/>
                <w:sz w:val="20"/>
                <w:szCs w:val="20"/>
              </w:rPr>
              <w:t>ncome</w:t>
            </w:r>
          </w:p>
        </w:tc>
        <w:tc>
          <w:tcPr>
            <w:tcW w:w="555" w:type="dxa"/>
          </w:tcPr>
          <w:p w:rsidR="00DF17A8" w:rsidRPr="000B376B" w:rsidRDefault="00DF17A8" w:rsidP="00AC173A">
            <w:pPr>
              <w:jc w:val="right"/>
              <w:rPr>
                <w:rFonts w:ascii="Courier New" w:hAnsi="Courier New" w:cs="Courier New"/>
                <w:b/>
                <w:color w:val="333333"/>
                <w:sz w:val="20"/>
                <w:szCs w:val="20"/>
              </w:rPr>
            </w:pPr>
          </w:p>
        </w:tc>
        <w:tc>
          <w:tcPr>
            <w:tcW w:w="1635" w:type="dxa"/>
            <w:gridSpan w:val="2"/>
          </w:tcPr>
          <w:p w:rsidR="00DF17A8" w:rsidRPr="003E529A" w:rsidRDefault="00BA30EC"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3E529A" w:rsidRPr="003E529A">
              <w:rPr>
                <w:rFonts w:ascii="Courier New" w:hAnsi="Courier New" w:cs="Courier New"/>
                <w:color w:val="333333"/>
                <w:sz w:val="20"/>
                <w:szCs w:val="20"/>
              </w:rPr>
              <w:t>$1,622,725</w:t>
            </w:r>
          </w:p>
        </w:tc>
        <w:tc>
          <w:tcPr>
            <w:tcW w:w="1386" w:type="dxa"/>
          </w:tcPr>
          <w:p w:rsidR="00DF17A8" w:rsidRPr="003E529A" w:rsidRDefault="003E529A" w:rsidP="00BA30EC">
            <w:pPr>
              <w:rPr>
                <w:rFonts w:ascii="Courier New" w:hAnsi="Courier New" w:cs="Courier New"/>
                <w:color w:val="333333"/>
                <w:sz w:val="20"/>
                <w:szCs w:val="20"/>
              </w:rPr>
            </w:pPr>
            <w:r w:rsidRPr="003E529A">
              <w:rPr>
                <w:rFonts w:ascii="Courier New" w:hAnsi="Courier New" w:cs="Courier New"/>
                <w:color w:val="333333"/>
                <w:sz w:val="20"/>
                <w:szCs w:val="20"/>
              </w:rPr>
              <w:t>$1,622,725</w:t>
            </w:r>
          </w:p>
        </w:tc>
        <w:tc>
          <w:tcPr>
            <w:tcW w:w="1390" w:type="dxa"/>
          </w:tcPr>
          <w:p w:rsidR="00DF17A8" w:rsidRPr="003E529A" w:rsidRDefault="003E529A" w:rsidP="008F593D">
            <w:pPr>
              <w:rPr>
                <w:rFonts w:ascii="Courier New" w:hAnsi="Courier New" w:cs="Courier New"/>
                <w:color w:val="333333"/>
                <w:sz w:val="20"/>
                <w:szCs w:val="20"/>
              </w:rPr>
            </w:pPr>
            <w:r w:rsidRPr="003E529A">
              <w:rPr>
                <w:rFonts w:ascii="Courier New" w:hAnsi="Courier New" w:cs="Courier New"/>
                <w:color w:val="333333"/>
                <w:sz w:val="20"/>
                <w:szCs w:val="20"/>
              </w:rPr>
              <w:t>$1,622,725</w:t>
            </w:r>
          </w:p>
        </w:tc>
      </w:tr>
      <w:tr w:rsidR="00DF17A8" w:rsidRPr="00A706CA" w:rsidTr="0064280E">
        <w:trPr>
          <w:tblCellSpacing w:w="15" w:type="dxa"/>
        </w:trPr>
        <w:tc>
          <w:tcPr>
            <w:tcW w:w="3880" w:type="dxa"/>
            <w:gridSpan w:val="2"/>
          </w:tcPr>
          <w:p w:rsidR="00DF17A8" w:rsidRPr="00A706CA" w:rsidRDefault="00DF17A8" w:rsidP="00AC173A">
            <w:pPr>
              <w:rPr>
                <w:rFonts w:ascii="Courier New" w:hAnsi="Courier New" w:cs="Courier New"/>
                <w:color w:val="333333"/>
                <w:sz w:val="20"/>
                <w:szCs w:val="20"/>
              </w:rPr>
            </w:pPr>
            <w:r>
              <w:rPr>
                <w:rFonts w:ascii="Courier New" w:hAnsi="Courier New" w:cs="Courier New"/>
                <w:color w:val="333333"/>
                <w:sz w:val="20"/>
                <w:szCs w:val="20"/>
              </w:rPr>
              <w:t xml:space="preserve">  Less Vacancy</w:t>
            </w:r>
            <w:r w:rsidR="00FF4F72">
              <w:rPr>
                <w:rFonts w:ascii="Courier New" w:hAnsi="Courier New" w:cs="Courier New"/>
                <w:color w:val="333333"/>
                <w:sz w:val="20"/>
                <w:szCs w:val="20"/>
              </w:rPr>
              <w:t xml:space="preserve">/Credit Loss </w:t>
            </w:r>
            <w:r w:rsidR="0064280E">
              <w:rPr>
                <w:rFonts w:ascii="Courier New" w:hAnsi="Courier New" w:cs="Courier New"/>
                <w:color w:val="333333"/>
                <w:sz w:val="20"/>
                <w:szCs w:val="20"/>
              </w:rPr>
              <w:t>7.</w:t>
            </w:r>
            <w:r w:rsidR="00FF4F72">
              <w:rPr>
                <w:rFonts w:ascii="Courier New" w:hAnsi="Courier New" w:cs="Courier New"/>
                <w:color w:val="333333"/>
                <w:sz w:val="20"/>
                <w:szCs w:val="20"/>
              </w:rPr>
              <w:t>5</w:t>
            </w:r>
            <w:r w:rsidR="00252CAA">
              <w:rPr>
                <w:rFonts w:ascii="Courier New" w:hAnsi="Courier New" w:cs="Courier New"/>
                <w:color w:val="333333"/>
                <w:sz w:val="20"/>
                <w:szCs w:val="20"/>
              </w:rPr>
              <w:t>%</w:t>
            </w:r>
          </w:p>
        </w:tc>
        <w:tc>
          <w:tcPr>
            <w:tcW w:w="555" w:type="dxa"/>
          </w:tcPr>
          <w:p w:rsidR="00DF17A8" w:rsidRPr="00A706CA" w:rsidRDefault="00DF17A8" w:rsidP="00AC173A">
            <w:pPr>
              <w:jc w:val="right"/>
              <w:rPr>
                <w:rFonts w:ascii="Courier New" w:hAnsi="Courier New" w:cs="Courier New"/>
                <w:color w:val="333333"/>
                <w:sz w:val="20"/>
                <w:szCs w:val="20"/>
              </w:rPr>
            </w:pPr>
          </w:p>
        </w:tc>
        <w:tc>
          <w:tcPr>
            <w:tcW w:w="1635" w:type="dxa"/>
            <w:gridSpan w:val="2"/>
          </w:tcPr>
          <w:p w:rsidR="00DF17A8" w:rsidRDefault="00BA30EC"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7B51D4">
              <w:rPr>
                <w:rFonts w:ascii="Courier New" w:hAnsi="Courier New" w:cs="Courier New"/>
                <w:color w:val="333333"/>
                <w:sz w:val="20"/>
                <w:szCs w:val="20"/>
              </w:rPr>
              <w:t>($</w:t>
            </w:r>
            <w:r w:rsidR="000332A6">
              <w:rPr>
                <w:rFonts w:ascii="Courier New" w:hAnsi="Courier New" w:cs="Courier New"/>
                <w:color w:val="333333"/>
                <w:sz w:val="20"/>
                <w:szCs w:val="20"/>
              </w:rPr>
              <w:t>121,704</w:t>
            </w:r>
            <w:r w:rsidR="007B51D4">
              <w:rPr>
                <w:rFonts w:ascii="Courier New" w:hAnsi="Courier New" w:cs="Courier New"/>
                <w:color w:val="333333"/>
                <w:sz w:val="20"/>
                <w:szCs w:val="20"/>
              </w:rPr>
              <w:t>)</w:t>
            </w:r>
          </w:p>
          <w:p w:rsidR="007B51D4" w:rsidRPr="00A706CA" w:rsidRDefault="00BA30EC" w:rsidP="00BA30EC">
            <w:pPr>
              <w:rPr>
                <w:rFonts w:ascii="Courier New" w:hAnsi="Courier New" w:cs="Courier New"/>
                <w:color w:val="333333"/>
                <w:sz w:val="20"/>
                <w:szCs w:val="20"/>
              </w:rPr>
            </w:pPr>
            <w:r>
              <w:rPr>
                <w:rFonts w:ascii="Courier New" w:hAnsi="Courier New" w:cs="Courier New"/>
                <w:color w:val="333333"/>
                <w:sz w:val="20"/>
                <w:szCs w:val="20"/>
              </w:rPr>
              <w:t xml:space="preserve"> </w:t>
            </w:r>
          </w:p>
        </w:tc>
        <w:tc>
          <w:tcPr>
            <w:tcW w:w="1386" w:type="dxa"/>
          </w:tcPr>
          <w:p w:rsidR="00DF17A8" w:rsidRDefault="00BA30EC" w:rsidP="000332A6">
            <w:pPr>
              <w:rPr>
                <w:rFonts w:ascii="Courier New" w:hAnsi="Courier New" w:cs="Courier New"/>
                <w:color w:val="333333"/>
                <w:sz w:val="20"/>
                <w:szCs w:val="20"/>
              </w:rPr>
            </w:pPr>
            <w:r>
              <w:rPr>
                <w:rFonts w:ascii="Courier New" w:hAnsi="Courier New" w:cs="Courier New"/>
                <w:color w:val="333333"/>
                <w:sz w:val="20"/>
                <w:szCs w:val="20"/>
              </w:rPr>
              <w:t xml:space="preserve"> </w:t>
            </w:r>
            <w:r w:rsidR="007B51D4">
              <w:rPr>
                <w:rFonts w:ascii="Courier New" w:hAnsi="Courier New" w:cs="Courier New"/>
                <w:color w:val="333333"/>
                <w:sz w:val="20"/>
                <w:szCs w:val="20"/>
              </w:rPr>
              <w:t>($1</w:t>
            </w:r>
            <w:r w:rsidR="000332A6">
              <w:rPr>
                <w:rFonts w:ascii="Courier New" w:hAnsi="Courier New" w:cs="Courier New"/>
                <w:color w:val="333333"/>
                <w:sz w:val="20"/>
                <w:szCs w:val="20"/>
              </w:rPr>
              <w:t>21</w:t>
            </w:r>
            <w:r w:rsidR="007B51D4">
              <w:rPr>
                <w:rFonts w:ascii="Courier New" w:hAnsi="Courier New" w:cs="Courier New"/>
                <w:color w:val="333333"/>
                <w:sz w:val="20"/>
                <w:szCs w:val="20"/>
              </w:rPr>
              <w:t>,</w:t>
            </w:r>
            <w:r w:rsidR="000332A6">
              <w:rPr>
                <w:rFonts w:ascii="Courier New" w:hAnsi="Courier New" w:cs="Courier New"/>
                <w:color w:val="333333"/>
                <w:sz w:val="20"/>
                <w:szCs w:val="20"/>
              </w:rPr>
              <w:t>704</w:t>
            </w:r>
            <w:r w:rsidR="00C25180">
              <w:rPr>
                <w:rFonts w:ascii="Courier New" w:hAnsi="Courier New" w:cs="Courier New"/>
                <w:color w:val="333333"/>
                <w:sz w:val="20"/>
                <w:szCs w:val="20"/>
              </w:rPr>
              <w:t>)</w:t>
            </w:r>
          </w:p>
        </w:tc>
        <w:tc>
          <w:tcPr>
            <w:tcW w:w="1390" w:type="dxa"/>
          </w:tcPr>
          <w:p w:rsidR="00DF17A8" w:rsidRDefault="00BA30EC" w:rsidP="000332A6">
            <w:pPr>
              <w:rPr>
                <w:rFonts w:ascii="Courier New" w:hAnsi="Courier New" w:cs="Courier New"/>
                <w:color w:val="333333"/>
                <w:sz w:val="20"/>
                <w:szCs w:val="20"/>
              </w:rPr>
            </w:pPr>
            <w:r>
              <w:rPr>
                <w:rFonts w:ascii="Courier New" w:hAnsi="Courier New" w:cs="Courier New"/>
                <w:color w:val="333333"/>
                <w:sz w:val="20"/>
                <w:szCs w:val="20"/>
              </w:rPr>
              <w:t xml:space="preserve"> </w:t>
            </w:r>
            <w:r w:rsidR="007B51D4">
              <w:rPr>
                <w:rFonts w:ascii="Courier New" w:hAnsi="Courier New" w:cs="Courier New"/>
                <w:color w:val="333333"/>
                <w:sz w:val="20"/>
                <w:szCs w:val="20"/>
              </w:rPr>
              <w:t>($</w:t>
            </w:r>
            <w:r w:rsidR="000332A6">
              <w:rPr>
                <w:rFonts w:ascii="Courier New" w:hAnsi="Courier New" w:cs="Courier New"/>
                <w:color w:val="333333"/>
                <w:sz w:val="20"/>
                <w:szCs w:val="20"/>
              </w:rPr>
              <w:t>121</w:t>
            </w:r>
            <w:r w:rsidR="007B51D4">
              <w:rPr>
                <w:rFonts w:ascii="Courier New" w:hAnsi="Courier New" w:cs="Courier New"/>
                <w:color w:val="333333"/>
                <w:sz w:val="20"/>
                <w:szCs w:val="20"/>
              </w:rPr>
              <w:t>,</w:t>
            </w:r>
            <w:r w:rsidR="000332A6">
              <w:rPr>
                <w:rFonts w:ascii="Courier New" w:hAnsi="Courier New" w:cs="Courier New"/>
                <w:color w:val="333333"/>
                <w:sz w:val="20"/>
                <w:szCs w:val="20"/>
              </w:rPr>
              <w:t>7</w:t>
            </w:r>
            <w:r w:rsidR="007B51D4">
              <w:rPr>
                <w:rFonts w:ascii="Courier New" w:hAnsi="Courier New" w:cs="Courier New"/>
                <w:color w:val="333333"/>
                <w:sz w:val="20"/>
                <w:szCs w:val="20"/>
              </w:rPr>
              <w:t>04</w:t>
            </w:r>
            <w:r w:rsidR="00C25180">
              <w:rPr>
                <w:rFonts w:ascii="Courier New" w:hAnsi="Courier New" w:cs="Courier New"/>
                <w:color w:val="333333"/>
                <w:sz w:val="20"/>
                <w:szCs w:val="20"/>
              </w:rPr>
              <w:t>)</w:t>
            </w:r>
          </w:p>
        </w:tc>
      </w:tr>
      <w:tr w:rsidR="00DF17A8" w:rsidRPr="00A706CA" w:rsidTr="0064280E">
        <w:trPr>
          <w:tblCellSpacing w:w="15" w:type="dxa"/>
        </w:trPr>
        <w:tc>
          <w:tcPr>
            <w:tcW w:w="3880" w:type="dxa"/>
            <w:gridSpan w:val="2"/>
          </w:tcPr>
          <w:p w:rsidR="00DF17A8" w:rsidRDefault="00DF17A8" w:rsidP="00AC173A">
            <w:pPr>
              <w:rPr>
                <w:rFonts w:ascii="Courier New" w:hAnsi="Courier New" w:cs="Courier New"/>
                <w:color w:val="333333"/>
                <w:sz w:val="20"/>
                <w:szCs w:val="20"/>
              </w:rPr>
            </w:pPr>
          </w:p>
        </w:tc>
        <w:tc>
          <w:tcPr>
            <w:tcW w:w="555" w:type="dxa"/>
          </w:tcPr>
          <w:p w:rsidR="00DF17A8" w:rsidRPr="00A706CA" w:rsidRDefault="00DF17A8" w:rsidP="00AC173A">
            <w:pPr>
              <w:jc w:val="right"/>
              <w:rPr>
                <w:rFonts w:ascii="Courier New" w:hAnsi="Courier New" w:cs="Courier New"/>
                <w:color w:val="333333"/>
                <w:sz w:val="20"/>
                <w:szCs w:val="20"/>
              </w:rPr>
            </w:pPr>
          </w:p>
        </w:tc>
        <w:tc>
          <w:tcPr>
            <w:tcW w:w="1635" w:type="dxa"/>
            <w:gridSpan w:val="2"/>
          </w:tcPr>
          <w:p w:rsidR="00DF17A8" w:rsidRDefault="00DF17A8" w:rsidP="00BA30EC">
            <w:pPr>
              <w:rPr>
                <w:rFonts w:ascii="Courier New" w:hAnsi="Courier New" w:cs="Courier New"/>
                <w:color w:val="333333"/>
                <w:sz w:val="20"/>
                <w:szCs w:val="20"/>
              </w:rPr>
            </w:pPr>
          </w:p>
        </w:tc>
        <w:tc>
          <w:tcPr>
            <w:tcW w:w="1386" w:type="dxa"/>
          </w:tcPr>
          <w:p w:rsidR="00DF17A8" w:rsidRDefault="00DF17A8" w:rsidP="00BA30EC">
            <w:pPr>
              <w:rPr>
                <w:rFonts w:ascii="Courier New" w:hAnsi="Courier New" w:cs="Courier New"/>
                <w:color w:val="333333"/>
                <w:sz w:val="20"/>
                <w:szCs w:val="20"/>
              </w:rPr>
            </w:pPr>
          </w:p>
        </w:tc>
        <w:tc>
          <w:tcPr>
            <w:tcW w:w="1390" w:type="dxa"/>
          </w:tcPr>
          <w:p w:rsidR="00DF17A8" w:rsidRDefault="00DF17A8" w:rsidP="00BA30EC">
            <w:pPr>
              <w:rPr>
                <w:rFonts w:ascii="Courier New" w:hAnsi="Courier New" w:cs="Courier New"/>
                <w:color w:val="333333"/>
                <w:sz w:val="20"/>
                <w:szCs w:val="20"/>
              </w:rPr>
            </w:pPr>
          </w:p>
        </w:tc>
      </w:tr>
      <w:tr w:rsidR="00DF17A8" w:rsidRPr="00A16D37" w:rsidTr="0064280E">
        <w:trPr>
          <w:tblCellSpacing w:w="15" w:type="dxa"/>
        </w:trPr>
        <w:tc>
          <w:tcPr>
            <w:tcW w:w="3880" w:type="dxa"/>
            <w:gridSpan w:val="2"/>
          </w:tcPr>
          <w:p w:rsidR="00DF17A8" w:rsidRPr="006E22DC" w:rsidRDefault="00DF17A8" w:rsidP="00AC173A">
            <w:pPr>
              <w:rPr>
                <w:rFonts w:ascii="Courier New" w:hAnsi="Courier New" w:cs="Courier New"/>
                <w:b/>
                <w:color w:val="333333"/>
                <w:sz w:val="20"/>
                <w:szCs w:val="20"/>
              </w:rPr>
            </w:pPr>
            <w:r w:rsidRPr="006E22DC">
              <w:rPr>
                <w:rFonts w:ascii="Courier New" w:hAnsi="Courier New" w:cs="Courier New"/>
                <w:b/>
                <w:color w:val="333333"/>
                <w:sz w:val="20"/>
                <w:szCs w:val="20"/>
              </w:rPr>
              <w:t>Effective Gross Income</w:t>
            </w:r>
          </w:p>
        </w:tc>
        <w:tc>
          <w:tcPr>
            <w:tcW w:w="555" w:type="dxa"/>
          </w:tcPr>
          <w:p w:rsidR="00DF17A8" w:rsidRPr="00A16D37" w:rsidRDefault="00DF17A8" w:rsidP="00AC173A">
            <w:pPr>
              <w:jc w:val="right"/>
              <w:rPr>
                <w:rFonts w:ascii="Courier New" w:hAnsi="Courier New" w:cs="Courier New"/>
                <w:b/>
                <w:color w:val="333333"/>
                <w:sz w:val="20"/>
                <w:szCs w:val="20"/>
              </w:rPr>
            </w:pPr>
          </w:p>
        </w:tc>
        <w:tc>
          <w:tcPr>
            <w:tcW w:w="1635" w:type="dxa"/>
            <w:gridSpan w:val="2"/>
          </w:tcPr>
          <w:p w:rsidR="00DF17A8" w:rsidRPr="00A16D37" w:rsidRDefault="00BA30EC" w:rsidP="000332A6">
            <w:pPr>
              <w:rPr>
                <w:rFonts w:ascii="Courier New" w:hAnsi="Courier New" w:cs="Courier New"/>
                <w:b/>
                <w:color w:val="333333"/>
                <w:sz w:val="20"/>
                <w:szCs w:val="20"/>
              </w:rPr>
            </w:pPr>
            <w:r>
              <w:rPr>
                <w:rFonts w:ascii="Courier New" w:hAnsi="Courier New" w:cs="Courier New"/>
                <w:b/>
                <w:color w:val="333333"/>
                <w:sz w:val="20"/>
                <w:szCs w:val="20"/>
              </w:rPr>
              <w:t xml:space="preserve">  </w:t>
            </w:r>
            <w:r w:rsidR="00252CAA">
              <w:rPr>
                <w:rFonts w:ascii="Courier New" w:hAnsi="Courier New" w:cs="Courier New"/>
                <w:b/>
                <w:color w:val="333333"/>
                <w:sz w:val="20"/>
                <w:szCs w:val="20"/>
              </w:rPr>
              <w:t>$</w:t>
            </w:r>
            <w:r w:rsidR="008F593D">
              <w:rPr>
                <w:rFonts w:ascii="Courier New" w:hAnsi="Courier New" w:cs="Courier New"/>
                <w:b/>
                <w:color w:val="333333"/>
                <w:sz w:val="20"/>
                <w:szCs w:val="20"/>
              </w:rPr>
              <w:t xml:space="preserve"> </w:t>
            </w:r>
            <w:r w:rsidR="00C25180">
              <w:rPr>
                <w:rFonts w:ascii="Courier New" w:hAnsi="Courier New" w:cs="Courier New"/>
                <w:b/>
                <w:color w:val="333333"/>
                <w:sz w:val="20"/>
                <w:szCs w:val="20"/>
              </w:rPr>
              <w:t>1</w:t>
            </w:r>
            <w:r w:rsidR="007B51D4">
              <w:rPr>
                <w:rFonts w:ascii="Courier New" w:hAnsi="Courier New" w:cs="Courier New"/>
                <w:b/>
                <w:color w:val="333333"/>
                <w:sz w:val="20"/>
                <w:szCs w:val="20"/>
              </w:rPr>
              <w:t>,</w:t>
            </w:r>
            <w:r w:rsidR="000332A6">
              <w:rPr>
                <w:rFonts w:ascii="Courier New" w:hAnsi="Courier New" w:cs="Courier New"/>
                <w:b/>
                <w:color w:val="333333"/>
                <w:sz w:val="20"/>
                <w:szCs w:val="20"/>
              </w:rPr>
              <w:t>501</w:t>
            </w:r>
            <w:r w:rsidR="007B51D4">
              <w:rPr>
                <w:rFonts w:ascii="Courier New" w:hAnsi="Courier New" w:cs="Courier New"/>
                <w:b/>
                <w:color w:val="333333"/>
                <w:sz w:val="20"/>
                <w:szCs w:val="20"/>
              </w:rPr>
              <w:t>,</w:t>
            </w:r>
            <w:r w:rsidR="000332A6">
              <w:rPr>
                <w:rFonts w:ascii="Courier New" w:hAnsi="Courier New" w:cs="Courier New"/>
                <w:b/>
                <w:color w:val="333333"/>
                <w:sz w:val="20"/>
                <w:szCs w:val="20"/>
              </w:rPr>
              <w:t>021</w:t>
            </w:r>
          </w:p>
        </w:tc>
        <w:tc>
          <w:tcPr>
            <w:tcW w:w="1386" w:type="dxa"/>
          </w:tcPr>
          <w:p w:rsidR="00DF17A8" w:rsidRPr="00A16D37" w:rsidRDefault="00C25180" w:rsidP="000332A6">
            <w:pPr>
              <w:rPr>
                <w:rFonts w:ascii="Courier New" w:hAnsi="Courier New" w:cs="Courier New"/>
                <w:b/>
                <w:color w:val="333333"/>
                <w:sz w:val="20"/>
                <w:szCs w:val="20"/>
              </w:rPr>
            </w:pPr>
            <w:r>
              <w:rPr>
                <w:rFonts w:ascii="Courier New" w:hAnsi="Courier New" w:cs="Courier New"/>
                <w:b/>
                <w:color w:val="333333"/>
                <w:sz w:val="20"/>
                <w:szCs w:val="20"/>
              </w:rPr>
              <w:t>$</w:t>
            </w:r>
            <w:r w:rsidR="008F593D">
              <w:rPr>
                <w:rFonts w:ascii="Courier New" w:hAnsi="Courier New" w:cs="Courier New"/>
                <w:b/>
                <w:color w:val="333333"/>
                <w:sz w:val="20"/>
                <w:szCs w:val="20"/>
              </w:rPr>
              <w:t xml:space="preserve"> </w:t>
            </w:r>
            <w:r>
              <w:rPr>
                <w:rFonts w:ascii="Courier New" w:hAnsi="Courier New" w:cs="Courier New"/>
                <w:b/>
                <w:color w:val="333333"/>
                <w:sz w:val="20"/>
                <w:szCs w:val="20"/>
              </w:rPr>
              <w:t>1,</w:t>
            </w:r>
            <w:r w:rsidR="000332A6">
              <w:rPr>
                <w:rFonts w:ascii="Courier New" w:hAnsi="Courier New" w:cs="Courier New"/>
                <w:b/>
                <w:color w:val="333333"/>
                <w:sz w:val="20"/>
                <w:szCs w:val="20"/>
              </w:rPr>
              <w:t>501,021</w:t>
            </w:r>
          </w:p>
        </w:tc>
        <w:tc>
          <w:tcPr>
            <w:tcW w:w="1390" w:type="dxa"/>
          </w:tcPr>
          <w:p w:rsidR="00DF17A8" w:rsidRDefault="00C25180" w:rsidP="000332A6">
            <w:pPr>
              <w:rPr>
                <w:rFonts w:ascii="Courier New" w:hAnsi="Courier New" w:cs="Courier New"/>
                <w:b/>
                <w:color w:val="333333"/>
                <w:sz w:val="20"/>
                <w:szCs w:val="20"/>
              </w:rPr>
            </w:pPr>
            <w:r>
              <w:rPr>
                <w:rFonts w:ascii="Courier New" w:hAnsi="Courier New" w:cs="Courier New"/>
                <w:b/>
                <w:color w:val="333333"/>
                <w:sz w:val="20"/>
                <w:szCs w:val="20"/>
              </w:rPr>
              <w:t>$</w:t>
            </w:r>
            <w:r w:rsidR="008F593D">
              <w:rPr>
                <w:rFonts w:ascii="Courier New" w:hAnsi="Courier New" w:cs="Courier New"/>
                <w:b/>
                <w:color w:val="333333"/>
                <w:sz w:val="20"/>
                <w:szCs w:val="20"/>
              </w:rPr>
              <w:t xml:space="preserve"> </w:t>
            </w:r>
            <w:r>
              <w:rPr>
                <w:rFonts w:ascii="Courier New" w:hAnsi="Courier New" w:cs="Courier New"/>
                <w:b/>
                <w:color w:val="333333"/>
                <w:sz w:val="20"/>
                <w:szCs w:val="20"/>
              </w:rPr>
              <w:t>1</w:t>
            </w:r>
            <w:r w:rsidR="007B51D4">
              <w:rPr>
                <w:rFonts w:ascii="Courier New" w:hAnsi="Courier New" w:cs="Courier New"/>
                <w:b/>
                <w:color w:val="333333"/>
                <w:sz w:val="20"/>
                <w:szCs w:val="20"/>
              </w:rPr>
              <w:t>,</w:t>
            </w:r>
            <w:r w:rsidR="000332A6">
              <w:rPr>
                <w:rFonts w:ascii="Courier New" w:hAnsi="Courier New" w:cs="Courier New"/>
                <w:b/>
                <w:color w:val="333333"/>
                <w:sz w:val="20"/>
                <w:szCs w:val="20"/>
              </w:rPr>
              <w:t>501,021</w:t>
            </w:r>
          </w:p>
        </w:tc>
      </w:tr>
      <w:tr w:rsidR="00DF17A8" w:rsidRPr="00A706CA" w:rsidTr="0064280E">
        <w:trPr>
          <w:tblCellSpacing w:w="15" w:type="dxa"/>
        </w:trPr>
        <w:tc>
          <w:tcPr>
            <w:tcW w:w="3880" w:type="dxa"/>
            <w:gridSpan w:val="2"/>
          </w:tcPr>
          <w:p w:rsidR="00DF17A8" w:rsidRPr="00A706CA" w:rsidRDefault="00DF17A8" w:rsidP="00AC173A">
            <w:pPr>
              <w:rPr>
                <w:rFonts w:ascii="Courier New" w:hAnsi="Courier New" w:cs="Courier New"/>
                <w:color w:val="333333"/>
                <w:sz w:val="20"/>
                <w:szCs w:val="20"/>
              </w:rPr>
            </w:pPr>
          </w:p>
        </w:tc>
        <w:tc>
          <w:tcPr>
            <w:tcW w:w="555" w:type="dxa"/>
          </w:tcPr>
          <w:p w:rsidR="00DF17A8" w:rsidRPr="00A706CA" w:rsidRDefault="00DF17A8" w:rsidP="00AC173A">
            <w:pPr>
              <w:rPr>
                <w:rFonts w:ascii="Courier New" w:hAnsi="Courier New" w:cs="Courier New"/>
                <w:sz w:val="20"/>
                <w:szCs w:val="20"/>
              </w:rPr>
            </w:pPr>
          </w:p>
        </w:tc>
        <w:tc>
          <w:tcPr>
            <w:tcW w:w="1635" w:type="dxa"/>
            <w:gridSpan w:val="2"/>
          </w:tcPr>
          <w:p w:rsidR="00DF17A8" w:rsidRPr="00A706CA" w:rsidRDefault="00DF17A8" w:rsidP="00BA30EC">
            <w:pPr>
              <w:rPr>
                <w:rFonts w:ascii="Courier New" w:hAnsi="Courier New" w:cs="Courier New"/>
                <w:sz w:val="20"/>
                <w:szCs w:val="20"/>
              </w:rPr>
            </w:pPr>
          </w:p>
        </w:tc>
        <w:tc>
          <w:tcPr>
            <w:tcW w:w="1386" w:type="dxa"/>
          </w:tcPr>
          <w:p w:rsidR="00DF17A8" w:rsidRPr="00A706CA" w:rsidRDefault="00DF17A8" w:rsidP="00BA30EC">
            <w:pPr>
              <w:rPr>
                <w:rFonts w:ascii="Courier New" w:hAnsi="Courier New" w:cs="Courier New"/>
                <w:sz w:val="20"/>
                <w:szCs w:val="20"/>
              </w:rPr>
            </w:pPr>
          </w:p>
        </w:tc>
        <w:tc>
          <w:tcPr>
            <w:tcW w:w="1390" w:type="dxa"/>
          </w:tcPr>
          <w:p w:rsidR="00DF17A8" w:rsidRPr="00A706CA" w:rsidRDefault="00DF17A8" w:rsidP="00BA30EC">
            <w:pPr>
              <w:rPr>
                <w:rFonts w:ascii="Courier New" w:hAnsi="Courier New" w:cs="Courier New"/>
                <w:sz w:val="20"/>
                <w:szCs w:val="20"/>
              </w:rPr>
            </w:pPr>
          </w:p>
        </w:tc>
      </w:tr>
      <w:tr w:rsidR="00DF17A8" w:rsidRPr="00A706CA" w:rsidTr="00BA1A3E">
        <w:trPr>
          <w:tblCellSpacing w:w="15" w:type="dxa"/>
        </w:trPr>
        <w:tc>
          <w:tcPr>
            <w:tcW w:w="6130" w:type="dxa"/>
            <w:gridSpan w:val="5"/>
          </w:tcPr>
          <w:p w:rsidR="00DF17A8" w:rsidRPr="006E22DC" w:rsidRDefault="00DF17A8" w:rsidP="00AC173A">
            <w:pPr>
              <w:rPr>
                <w:rFonts w:ascii="Courier New" w:hAnsi="Courier New" w:cs="Courier New"/>
                <w:b/>
                <w:color w:val="333333"/>
                <w:sz w:val="20"/>
                <w:szCs w:val="20"/>
              </w:rPr>
            </w:pPr>
            <w:r>
              <w:rPr>
                <w:rFonts w:ascii="Courier New" w:hAnsi="Courier New" w:cs="Courier New"/>
                <w:b/>
                <w:color w:val="333333"/>
                <w:sz w:val="20"/>
                <w:szCs w:val="20"/>
              </w:rPr>
              <w:t>OPERATING EXPENSE</w:t>
            </w:r>
          </w:p>
        </w:tc>
        <w:tc>
          <w:tcPr>
            <w:tcW w:w="1386" w:type="dxa"/>
          </w:tcPr>
          <w:p w:rsidR="00DF17A8" w:rsidRPr="00A706CA" w:rsidRDefault="00DF17A8" w:rsidP="00AC173A">
            <w:pPr>
              <w:jc w:val="right"/>
              <w:rPr>
                <w:rFonts w:ascii="Courier New" w:hAnsi="Courier New" w:cs="Courier New"/>
                <w:color w:val="333333"/>
                <w:sz w:val="20"/>
                <w:szCs w:val="20"/>
              </w:rPr>
            </w:pPr>
          </w:p>
        </w:tc>
        <w:tc>
          <w:tcPr>
            <w:tcW w:w="1390" w:type="dxa"/>
          </w:tcPr>
          <w:p w:rsidR="00DF17A8" w:rsidRPr="00A706CA" w:rsidRDefault="00DF17A8" w:rsidP="00AC173A">
            <w:pPr>
              <w:jc w:val="right"/>
              <w:rPr>
                <w:rFonts w:ascii="Courier New" w:hAnsi="Courier New" w:cs="Courier New"/>
                <w:color w:val="333333"/>
                <w:sz w:val="20"/>
                <w:szCs w:val="20"/>
              </w:rPr>
            </w:pPr>
          </w:p>
        </w:tc>
      </w:tr>
      <w:tr w:rsidR="00FF4F72" w:rsidRPr="00FF4F72" w:rsidTr="00BA1A3E">
        <w:trPr>
          <w:tblCellSpacing w:w="15" w:type="dxa"/>
        </w:trPr>
        <w:tc>
          <w:tcPr>
            <w:tcW w:w="6130" w:type="dxa"/>
            <w:gridSpan w:val="5"/>
          </w:tcPr>
          <w:p w:rsidR="00FF4F72" w:rsidRPr="00FF4F72" w:rsidRDefault="00FF4F72" w:rsidP="00AC173A">
            <w:pPr>
              <w:rPr>
                <w:rFonts w:ascii="Courier New" w:hAnsi="Courier New" w:cs="Courier New"/>
                <w:color w:val="333333"/>
                <w:sz w:val="20"/>
                <w:szCs w:val="20"/>
              </w:rPr>
            </w:pPr>
            <w:r w:rsidRPr="00FF4F72">
              <w:rPr>
                <w:rFonts w:ascii="Courier New" w:hAnsi="Courier New" w:cs="Courier New"/>
                <w:color w:val="333333"/>
                <w:sz w:val="20"/>
                <w:szCs w:val="20"/>
              </w:rPr>
              <w:t xml:space="preserve">  Landlord’s Expenses Attributable to Vacancy</w:t>
            </w:r>
          </w:p>
        </w:tc>
        <w:tc>
          <w:tcPr>
            <w:tcW w:w="1386" w:type="dxa"/>
          </w:tcPr>
          <w:p w:rsidR="00FF4F72" w:rsidRPr="00FF4F72" w:rsidRDefault="00FF4F72" w:rsidP="00AC173A">
            <w:pPr>
              <w:jc w:val="right"/>
              <w:rPr>
                <w:rFonts w:ascii="Courier New" w:hAnsi="Courier New" w:cs="Courier New"/>
                <w:color w:val="333333"/>
                <w:sz w:val="20"/>
                <w:szCs w:val="20"/>
              </w:rPr>
            </w:pPr>
          </w:p>
        </w:tc>
        <w:tc>
          <w:tcPr>
            <w:tcW w:w="1390" w:type="dxa"/>
          </w:tcPr>
          <w:p w:rsidR="00FF4F72" w:rsidRPr="00FF4F72" w:rsidRDefault="00FF4F72" w:rsidP="00AC173A">
            <w:pPr>
              <w:jc w:val="right"/>
              <w:rPr>
                <w:rFonts w:ascii="Courier New" w:hAnsi="Courier New" w:cs="Courier New"/>
                <w:color w:val="333333"/>
                <w:sz w:val="20"/>
                <w:szCs w:val="20"/>
              </w:rPr>
            </w:pPr>
          </w:p>
        </w:tc>
      </w:tr>
      <w:tr w:rsidR="00DF17A8" w:rsidRPr="00A706CA" w:rsidTr="00BA1A3E">
        <w:trPr>
          <w:tblCellSpacing w:w="15" w:type="dxa"/>
        </w:trPr>
        <w:tc>
          <w:tcPr>
            <w:tcW w:w="3070" w:type="dxa"/>
            <w:hideMark/>
          </w:tcPr>
          <w:p w:rsidR="00DF17A8" w:rsidRPr="00A706CA" w:rsidRDefault="00F17CD9" w:rsidP="00FF4F72">
            <w:pPr>
              <w:rPr>
                <w:rFonts w:ascii="Courier New" w:hAnsi="Courier New" w:cs="Courier New"/>
                <w:color w:val="333333"/>
                <w:sz w:val="20"/>
                <w:szCs w:val="20"/>
              </w:rPr>
            </w:pPr>
            <w:r>
              <w:rPr>
                <w:rFonts w:ascii="Courier New" w:hAnsi="Courier New" w:cs="Courier New"/>
                <w:color w:val="333333"/>
                <w:sz w:val="20"/>
                <w:szCs w:val="20"/>
              </w:rPr>
              <w:t xml:space="preserve">  </w:t>
            </w:r>
            <w:r w:rsidR="00FF4F72">
              <w:rPr>
                <w:rFonts w:ascii="Courier New" w:hAnsi="Courier New" w:cs="Courier New"/>
                <w:color w:val="333333"/>
                <w:sz w:val="20"/>
                <w:szCs w:val="20"/>
              </w:rPr>
              <w:t xml:space="preserve">  Operating Expenses</w:t>
            </w:r>
          </w:p>
        </w:tc>
        <w:tc>
          <w:tcPr>
            <w:tcW w:w="1426" w:type="dxa"/>
            <w:gridSpan w:val="3"/>
            <w:hideMark/>
          </w:tcPr>
          <w:p w:rsidR="00DF17A8" w:rsidRPr="00A706CA" w:rsidRDefault="00DF17A8" w:rsidP="00AC173A">
            <w:pPr>
              <w:rPr>
                <w:rFonts w:ascii="Courier New" w:hAnsi="Courier New" w:cs="Courier New"/>
                <w:sz w:val="20"/>
                <w:szCs w:val="20"/>
              </w:rPr>
            </w:pPr>
          </w:p>
        </w:tc>
        <w:tc>
          <w:tcPr>
            <w:tcW w:w="1574" w:type="dxa"/>
            <w:hideMark/>
          </w:tcPr>
          <w:p w:rsidR="00DF17A8" w:rsidRPr="00A706CA" w:rsidRDefault="00BA30EC" w:rsidP="000332A6">
            <w:pPr>
              <w:rPr>
                <w:rFonts w:ascii="Courier New" w:hAnsi="Courier New" w:cs="Courier New"/>
                <w:sz w:val="20"/>
                <w:szCs w:val="20"/>
              </w:rPr>
            </w:pPr>
            <w:r>
              <w:rPr>
                <w:rFonts w:ascii="Courier New" w:hAnsi="Courier New" w:cs="Courier New"/>
                <w:sz w:val="20"/>
                <w:szCs w:val="20"/>
              </w:rPr>
              <w:t xml:space="preserve"> $</w:t>
            </w:r>
            <w:r w:rsidR="00BA1A3E">
              <w:rPr>
                <w:rFonts w:ascii="Courier New" w:hAnsi="Courier New" w:cs="Courier New"/>
                <w:sz w:val="20"/>
                <w:szCs w:val="20"/>
              </w:rPr>
              <w:t xml:space="preserve">   </w:t>
            </w:r>
            <w:r w:rsidR="00A02D5F">
              <w:rPr>
                <w:rFonts w:ascii="Courier New" w:hAnsi="Courier New" w:cs="Courier New"/>
                <w:sz w:val="20"/>
                <w:szCs w:val="20"/>
              </w:rPr>
              <w:t xml:space="preserve"> </w:t>
            </w:r>
            <w:r w:rsidR="000332A6">
              <w:rPr>
                <w:rFonts w:ascii="Courier New" w:hAnsi="Courier New" w:cs="Courier New"/>
                <w:sz w:val="20"/>
                <w:szCs w:val="20"/>
              </w:rPr>
              <w:t>26,401</w:t>
            </w:r>
          </w:p>
        </w:tc>
        <w:tc>
          <w:tcPr>
            <w:tcW w:w="1386" w:type="dxa"/>
            <w:hideMark/>
          </w:tcPr>
          <w:p w:rsidR="00DF17A8" w:rsidRPr="00A706CA" w:rsidRDefault="00061B91" w:rsidP="000332A6">
            <w:pPr>
              <w:rPr>
                <w:rFonts w:ascii="Courier New" w:hAnsi="Courier New" w:cs="Courier New"/>
                <w:sz w:val="20"/>
                <w:szCs w:val="20"/>
              </w:rPr>
            </w:pPr>
            <w:r>
              <w:rPr>
                <w:rFonts w:ascii="Courier New" w:hAnsi="Courier New" w:cs="Courier New"/>
                <w:sz w:val="20"/>
                <w:szCs w:val="20"/>
              </w:rPr>
              <w:t xml:space="preserve">$  </w:t>
            </w:r>
            <w:r w:rsidR="007B51D4">
              <w:rPr>
                <w:rFonts w:ascii="Courier New" w:hAnsi="Courier New" w:cs="Courier New"/>
                <w:sz w:val="20"/>
                <w:szCs w:val="20"/>
              </w:rPr>
              <w:t xml:space="preserve"> </w:t>
            </w:r>
            <w:r w:rsidR="00A02D5F">
              <w:rPr>
                <w:rFonts w:ascii="Courier New" w:hAnsi="Courier New" w:cs="Courier New"/>
                <w:sz w:val="20"/>
                <w:szCs w:val="20"/>
              </w:rPr>
              <w:t xml:space="preserve"> </w:t>
            </w:r>
            <w:r w:rsidR="000332A6">
              <w:rPr>
                <w:rFonts w:ascii="Courier New" w:hAnsi="Courier New" w:cs="Courier New"/>
                <w:sz w:val="20"/>
                <w:szCs w:val="20"/>
              </w:rPr>
              <w:t>32,298</w:t>
            </w:r>
          </w:p>
        </w:tc>
        <w:tc>
          <w:tcPr>
            <w:tcW w:w="1390" w:type="dxa"/>
          </w:tcPr>
          <w:p w:rsidR="007B51D4" w:rsidRPr="00A706CA" w:rsidRDefault="00061B91" w:rsidP="000332A6">
            <w:pPr>
              <w:rPr>
                <w:rFonts w:ascii="Courier New" w:hAnsi="Courier New" w:cs="Courier New"/>
                <w:sz w:val="20"/>
                <w:szCs w:val="20"/>
              </w:rPr>
            </w:pPr>
            <w:r>
              <w:rPr>
                <w:rFonts w:ascii="Courier New" w:hAnsi="Courier New" w:cs="Courier New"/>
                <w:sz w:val="20"/>
                <w:szCs w:val="20"/>
              </w:rPr>
              <w:t xml:space="preserve">$  </w:t>
            </w:r>
            <w:r w:rsidR="007B51D4">
              <w:rPr>
                <w:rFonts w:ascii="Courier New" w:hAnsi="Courier New" w:cs="Courier New"/>
                <w:sz w:val="20"/>
                <w:szCs w:val="20"/>
              </w:rPr>
              <w:t xml:space="preserve"> </w:t>
            </w:r>
            <w:r w:rsidR="00A02D5F">
              <w:rPr>
                <w:rFonts w:ascii="Courier New" w:hAnsi="Courier New" w:cs="Courier New"/>
                <w:sz w:val="20"/>
                <w:szCs w:val="20"/>
              </w:rPr>
              <w:t xml:space="preserve"> </w:t>
            </w:r>
            <w:r w:rsidR="000332A6">
              <w:rPr>
                <w:rFonts w:ascii="Courier New" w:hAnsi="Courier New" w:cs="Courier New"/>
                <w:sz w:val="20"/>
                <w:szCs w:val="20"/>
              </w:rPr>
              <w:t>20,315</w:t>
            </w:r>
          </w:p>
        </w:tc>
      </w:tr>
      <w:tr w:rsidR="00FF4F72" w:rsidRPr="00A706CA" w:rsidTr="00BA1A3E">
        <w:trPr>
          <w:tblCellSpacing w:w="15" w:type="dxa"/>
        </w:trPr>
        <w:tc>
          <w:tcPr>
            <w:tcW w:w="3070" w:type="dxa"/>
          </w:tcPr>
          <w:p w:rsidR="00FF4F72" w:rsidRDefault="00FF4F72" w:rsidP="00AC173A">
            <w:pPr>
              <w:rPr>
                <w:rFonts w:ascii="Courier New" w:hAnsi="Courier New" w:cs="Courier New"/>
                <w:color w:val="333333"/>
                <w:sz w:val="20"/>
                <w:szCs w:val="20"/>
              </w:rPr>
            </w:pPr>
            <w:r>
              <w:rPr>
                <w:rFonts w:ascii="Courier New" w:hAnsi="Courier New" w:cs="Courier New"/>
                <w:color w:val="333333"/>
                <w:sz w:val="20"/>
                <w:szCs w:val="20"/>
              </w:rPr>
              <w:t xml:space="preserve">    Insurance</w:t>
            </w:r>
          </w:p>
        </w:tc>
        <w:tc>
          <w:tcPr>
            <w:tcW w:w="1426" w:type="dxa"/>
            <w:gridSpan w:val="3"/>
          </w:tcPr>
          <w:p w:rsidR="00FF4F72" w:rsidRPr="00A706CA" w:rsidRDefault="00FF4F72" w:rsidP="00AC173A">
            <w:pPr>
              <w:rPr>
                <w:rFonts w:ascii="Courier New" w:hAnsi="Courier New" w:cs="Courier New"/>
                <w:sz w:val="20"/>
                <w:szCs w:val="20"/>
              </w:rPr>
            </w:pPr>
          </w:p>
        </w:tc>
        <w:tc>
          <w:tcPr>
            <w:tcW w:w="1574" w:type="dxa"/>
          </w:tcPr>
          <w:p w:rsidR="00FF4F72" w:rsidRDefault="00FF4F72" w:rsidP="00A02D5F">
            <w:pPr>
              <w:rPr>
                <w:rFonts w:ascii="Courier New" w:hAnsi="Courier New" w:cs="Courier New"/>
                <w:sz w:val="20"/>
                <w:szCs w:val="20"/>
              </w:rPr>
            </w:pPr>
            <w:r>
              <w:rPr>
                <w:rFonts w:ascii="Courier New" w:hAnsi="Courier New" w:cs="Courier New"/>
                <w:sz w:val="20"/>
                <w:szCs w:val="20"/>
              </w:rPr>
              <w:t xml:space="preserve"> $     </w:t>
            </w:r>
            <w:r w:rsidR="000332A6">
              <w:rPr>
                <w:rFonts w:ascii="Courier New" w:hAnsi="Courier New" w:cs="Courier New"/>
                <w:sz w:val="20"/>
                <w:szCs w:val="20"/>
              </w:rPr>
              <w:t>1,872</w:t>
            </w:r>
          </w:p>
        </w:tc>
        <w:tc>
          <w:tcPr>
            <w:tcW w:w="1386" w:type="dxa"/>
          </w:tcPr>
          <w:p w:rsidR="00FF4F72" w:rsidRDefault="00FF4F72" w:rsidP="00BA30EC">
            <w:pPr>
              <w:rPr>
                <w:rFonts w:ascii="Courier New" w:hAnsi="Courier New" w:cs="Courier New"/>
                <w:sz w:val="20"/>
                <w:szCs w:val="20"/>
              </w:rPr>
            </w:pPr>
            <w:r>
              <w:rPr>
                <w:rFonts w:ascii="Courier New" w:hAnsi="Courier New" w:cs="Courier New"/>
                <w:sz w:val="20"/>
                <w:szCs w:val="20"/>
              </w:rPr>
              <w:t xml:space="preserve">$     </w:t>
            </w:r>
            <w:r w:rsidR="000332A6">
              <w:rPr>
                <w:rFonts w:ascii="Courier New" w:hAnsi="Courier New" w:cs="Courier New"/>
                <w:sz w:val="20"/>
                <w:szCs w:val="20"/>
              </w:rPr>
              <w:t>1,966</w:t>
            </w:r>
          </w:p>
        </w:tc>
        <w:tc>
          <w:tcPr>
            <w:tcW w:w="1390" w:type="dxa"/>
          </w:tcPr>
          <w:p w:rsidR="00FF4F72" w:rsidRDefault="00FF4F72" w:rsidP="00BA30EC">
            <w:pPr>
              <w:rPr>
                <w:rFonts w:ascii="Courier New" w:hAnsi="Courier New" w:cs="Courier New"/>
                <w:sz w:val="20"/>
                <w:szCs w:val="20"/>
              </w:rPr>
            </w:pPr>
            <w:r>
              <w:rPr>
                <w:rFonts w:ascii="Courier New" w:hAnsi="Courier New" w:cs="Courier New"/>
                <w:sz w:val="20"/>
                <w:szCs w:val="20"/>
              </w:rPr>
              <w:t xml:space="preserve">$     </w:t>
            </w:r>
            <w:r w:rsidR="000332A6">
              <w:rPr>
                <w:rFonts w:ascii="Courier New" w:hAnsi="Courier New" w:cs="Courier New"/>
                <w:sz w:val="20"/>
                <w:szCs w:val="20"/>
              </w:rPr>
              <w:t>2,060</w:t>
            </w:r>
          </w:p>
        </w:tc>
      </w:tr>
      <w:tr w:rsidR="004B35D4" w:rsidRPr="00A706CA" w:rsidTr="00BA1A3E">
        <w:trPr>
          <w:tblCellSpacing w:w="15" w:type="dxa"/>
        </w:trPr>
        <w:tc>
          <w:tcPr>
            <w:tcW w:w="3070" w:type="dxa"/>
          </w:tcPr>
          <w:p w:rsidR="004B35D4" w:rsidRDefault="004B35D4" w:rsidP="00AC173A">
            <w:pPr>
              <w:rPr>
                <w:rFonts w:ascii="Courier New" w:hAnsi="Courier New" w:cs="Courier New"/>
                <w:color w:val="333333"/>
                <w:sz w:val="20"/>
                <w:szCs w:val="20"/>
              </w:rPr>
            </w:pPr>
            <w:r>
              <w:rPr>
                <w:rFonts w:ascii="Courier New" w:hAnsi="Courier New" w:cs="Courier New"/>
                <w:color w:val="333333"/>
                <w:sz w:val="20"/>
                <w:szCs w:val="20"/>
              </w:rPr>
              <w:t xml:space="preserve">  Management Fees</w:t>
            </w:r>
          </w:p>
        </w:tc>
        <w:tc>
          <w:tcPr>
            <w:tcW w:w="1426" w:type="dxa"/>
            <w:gridSpan w:val="3"/>
          </w:tcPr>
          <w:p w:rsidR="004B35D4" w:rsidRPr="00A706CA" w:rsidRDefault="001C6F9C" w:rsidP="00C25180">
            <w:pPr>
              <w:rPr>
                <w:rFonts w:ascii="Courier New" w:hAnsi="Courier New" w:cs="Courier New"/>
                <w:sz w:val="20"/>
                <w:szCs w:val="20"/>
              </w:rPr>
            </w:pPr>
            <w:r>
              <w:rPr>
                <w:rFonts w:ascii="Courier New" w:hAnsi="Courier New" w:cs="Courier New"/>
                <w:sz w:val="20"/>
                <w:szCs w:val="20"/>
              </w:rPr>
              <w:t xml:space="preserve">  </w:t>
            </w:r>
            <w:r w:rsidR="00C25180">
              <w:rPr>
                <w:rFonts w:ascii="Courier New" w:hAnsi="Courier New" w:cs="Courier New"/>
                <w:sz w:val="20"/>
                <w:szCs w:val="20"/>
              </w:rPr>
              <w:t>2% of EGI</w:t>
            </w:r>
          </w:p>
        </w:tc>
        <w:tc>
          <w:tcPr>
            <w:tcW w:w="1574" w:type="dxa"/>
          </w:tcPr>
          <w:p w:rsidR="004B35D4" w:rsidRPr="00A706CA" w:rsidRDefault="00BA1A3E" w:rsidP="000332A6">
            <w:pPr>
              <w:rPr>
                <w:rFonts w:ascii="Courier New" w:hAnsi="Courier New" w:cs="Courier New"/>
                <w:sz w:val="20"/>
                <w:szCs w:val="20"/>
              </w:rPr>
            </w:pPr>
            <w:r>
              <w:rPr>
                <w:rFonts w:ascii="Courier New" w:hAnsi="Courier New" w:cs="Courier New"/>
                <w:sz w:val="20"/>
                <w:szCs w:val="20"/>
              </w:rPr>
              <w:t xml:space="preserve"> </w:t>
            </w:r>
            <w:r w:rsidR="00C25180">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sidR="000332A6">
              <w:rPr>
                <w:rFonts w:ascii="Courier New" w:hAnsi="Courier New" w:cs="Courier New"/>
                <w:sz w:val="20"/>
                <w:szCs w:val="20"/>
              </w:rPr>
              <w:t>30,020</w:t>
            </w:r>
          </w:p>
        </w:tc>
        <w:tc>
          <w:tcPr>
            <w:tcW w:w="1386" w:type="dxa"/>
          </w:tcPr>
          <w:p w:rsidR="004B35D4" w:rsidRPr="00A706CA" w:rsidRDefault="00C25180" w:rsidP="00BA30EC">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sidR="000332A6">
              <w:rPr>
                <w:rFonts w:ascii="Courier New" w:hAnsi="Courier New" w:cs="Courier New"/>
                <w:sz w:val="20"/>
                <w:szCs w:val="20"/>
              </w:rPr>
              <w:t>30,020</w:t>
            </w:r>
          </w:p>
        </w:tc>
        <w:tc>
          <w:tcPr>
            <w:tcW w:w="1390" w:type="dxa"/>
          </w:tcPr>
          <w:p w:rsidR="004B35D4" w:rsidRPr="00A706CA" w:rsidRDefault="00C25180" w:rsidP="00BA30EC">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sidR="000332A6">
              <w:rPr>
                <w:rFonts w:ascii="Courier New" w:hAnsi="Courier New" w:cs="Courier New"/>
                <w:sz w:val="20"/>
                <w:szCs w:val="20"/>
              </w:rPr>
              <w:t>30,020</w:t>
            </w:r>
          </w:p>
        </w:tc>
      </w:tr>
      <w:tr w:rsidR="004B35D4" w:rsidRPr="00A706CA" w:rsidTr="00BA1A3E">
        <w:trPr>
          <w:tblCellSpacing w:w="15" w:type="dxa"/>
        </w:trPr>
        <w:tc>
          <w:tcPr>
            <w:tcW w:w="3070" w:type="dxa"/>
          </w:tcPr>
          <w:p w:rsidR="004B35D4" w:rsidRDefault="004B35D4" w:rsidP="00AC173A">
            <w:pPr>
              <w:rPr>
                <w:rFonts w:ascii="Courier New" w:hAnsi="Courier New" w:cs="Courier New"/>
                <w:color w:val="333333"/>
                <w:sz w:val="20"/>
                <w:szCs w:val="20"/>
              </w:rPr>
            </w:pPr>
            <w:r>
              <w:rPr>
                <w:rFonts w:ascii="Courier New" w:hAnsi="Courier New" w:cs="Courier New"/>
                <w:color w:val="333333"/>
                <w:sz w:val="20"/>
                <w:szCs w:val="20"/>
              </w:rPr>
              <w:t xml:space="preserve">  Replacement Reserves</w:t>
            </w:r>
          </w:p>
        </w:tc>
        <w:tc>
          <w:tcPr>
            <w:tcW w:w="1426" w:type="dxa"/>
            <w:gridSpan w:val="3"/>
          </w:tcPr>
          <w:p w:rsidR="004B35D4" w:rsidRPr="00A706CA" w:rsidRDefault="001C6F9C" w:rsidP="001C6F9C">
            <w:pPr>
              <w:jc w:val="center"/>
              <w:rPr>
                <w:rFonts w:ascii="Courier New" w:hAnsi="Courier New" w:cs="Courier New"/>
                <w:sz w:val="20"/>
                <w:szCs w:val="20"/>
              </w:rPr>
            </w:pPr>
            <w:r>
              <w:rPr>
                <w:rFonts w:ascii="Courier New" w:hAnsi="Courier New" w:cs="Courier New"/>
                <w:sz w:val="20"/>
                <w:szCs w:val="20"/>
              </w:rPr>
              <w:t xml:space="preserve"> $0.2</w:t>
            </w:r>
            <w:r w:rsidR="00A45778">
              <w:rPr>
                <w:rFonts w:ascii="Courier New" w:hAnsi="Courier New" w:cs="Courier New"/>
                <w:sz w:val="20"/>
                <w:szCs w:val="20"/>
              </w:rPr>
              <w:t>5</w:t>
            </w:r>
            <w:r>
              <w:rPr>
                <w:rFonts w:ascii="Courier New" w:hAnsi="Courier New" w:cs="Courier New"/>
                <w:sz w:val="20"/>
                <w:szCs w:val="20"/>
              </w:rPr>
              <w:t xml:space="preserve"> psf</w:t>
            </w:r>
          </w:p>
        </w:tc>
        <w:tc>
          <w:tcPr>
            <w:tcW w:w="1574" w:type="dxa"/>
          </w:tcPr>
          <w:p w:rsidR="004B35D4" w:rsidRPr="00A706CA" w:rsidRDefault="00BA1A3E" w:rsidP="00A02D5F">
            <w:pPr>
              <w:rPr>
                <w:rFonts w:ascii="Courier New" w:hAnsi="Courier New" w:cs="Courier New"/>
                <w:sz w:val="20"/>
                <w:szCs w:val="20"/>
              </w:rPr>
            </w:pPr>
            <w:r>
              <w:rPr>
                <w:rFonts w:ascii="Courier New" w:hAnsi="Courier New" w:cs="Courier New"/>
                <w:sz w:val="20"/>
                <w:szCs w:val="20"/>
              </w:rPr>
              <w:t xml:space="preserve"> </w:t>
            </w:r>
            <w:r w:rsidR="00A45778">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sidR="00F17CD9">
              <w:rPr>
                <w:rFonts w:ascii="Courier New" w:hAnsi="Courier New" w:cs="Courier New"/>
                <w:sz w:val="20"/>
                <w:szCs w:val="20"/>
              </w:rPr>
              <w:t xml:space="preserve">  </w:t>
            </w:r>
            <w:r w:rsidR="00A45778">
              <w:rPr>
                <w:rFonts w:ascii="Courier New" w:hAnsi="Courier New" w:cs="Courier New"/>
                <w:sz w:val="20"/>
                <w:szCs w:val="20"/>
              </w:rPr>
              <w:t>31,206</w:t>
            </w:r>
          </w:p>
        </w:tc>
        <w:tc>
          <w:tcPr>
            <w:tcW w:w="1386" w:type="dxa"/>
          </w:tcPr>
          <w:p w:rsidR="004B35D4" w:rsidRPr="00A706CA" w:rsidRDefault="00A45778" w:rsidP="00A02D5F">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Pr>
                <w:rFonts w:ascii="Courier New" w:hAnsi="Courier New" w:cs="Courier New"/>
                <w:sz w:val="20"/>
                <w:szCs w:val="20"/>
              </w:rPr>
              <w:t>31,206</w:t>
            </w:r>
          </w:p>
        </w:tc>
        <w:tc>
          <w:tcPr>
            <w:tcW w:w="1390" w:type="dxa"/>
          </w:tcPr>
          <w:p w:rsidR="004B35D4" w:rsidRPr="00A706CA" w:rsidRDefault="00A45778" w:rsidP="00BA30EC">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Pr>
                <w:rFonts w:ascii="Courier New" w:hAnsi="Courier New" w:cs="Courier New"/>
                <w:sz w:val="20"/>
                <w:szCs w:val="20"/>
              </w:rPr>
              <w:t>31,206</w:t>
            </w:r>
          </w:p>
        </w:tc>
      </w:tr>
      <w:tr w:rsidR="001C6F9C" w:rsidRPr="00A706CA" w:rsidTr="00BA1A3E">
        <w:trPr>
          <w:tblCellSpacing w:w="15" w:type="dxa"/>
        </w:trPr>
        <w:tc>
          <w:tcPr>
            <w:tcW w:w="3070" w:type="dxa"/>
          </w:tcPr>
          <w:p w:rsidR="001C6F9C" w:rsidRDefault="001C6F9C" w:rsidP="00AC173A">
            <w:pPr>
              <w:rPr>
                <w:rFonts w:ascii="Courier New" w:hAnsi="Courier New" w:cs="Courier New"/>
                <w:color w:val="333333"/>
                <w:sz w:val="20"/>
                <w:szCs w:val="20"/>
              </w:rPr>
            </w:pPr>
            <w:r>
              <w:rPr>
                <w:rFonts w:ascii="Courier New" w:hAnsi="Courier New" w:cs="Courier New"/>
                <w:color w:val="333333"/>
                <w:sz w:val="20"/>
                <w:szCs w:val="20"/>
              </w:rPr>
              <w:t xml:space="preserve">  Leasing Commission</w:t>
            </w:r>
          </w:p>
        </w:tc>
        <w:tc>
          <w:tcPr>
            <w:tcW w:w="1426" w:type="dxa"/>
            <w:gridSpan w:val="3"/>
          </w:tcPr>
          <w:p w:rsidR="001C6F9C" w:rsidRDefault="007B51D4" w:rsidP="007B51D4">
            <w:pPr>
              <w:jc w:val="right"/>
              <w:rPr>
                <w:rFonts w:ascii="Courier New" w:hAnsi="Courier New" w:cs="Courier New"/>
                <w:sz w:val="20"/>
                <w:szCs w:val="20"/>
              </w:rPr>
            </w:pPr>
            <w:r>
              <w:rPr>
                <w:rFonts w:ascii="Courier New" w:hAnsi="Courier New" w:cs="Courier New"/>
                <w:sz w:val="20"/>
                <w:szCs w:val="20"/>
              </w:rPr>
              <w:t>2.8% of PGI</w:t>
            </w:r>
            <w:r w:rsidR="001C6F9C">
              <w:rPr>
                <w:rFonts w:ascii="Courier New" w:hAnsi="Courier New" w:cs="Courier New"/>
                <w:sz w:val="20"/>
                <w:szCs w:val="20"/>
              </w:rPr>
              <w:t xml:space="preserve">   </w:t>
            </w:r>
          </w:p>
        </w:tc>
        <w:tc>
          <w:tcPr>
            <w:tcW w:w="1574" w:type="dxa"/>
          </w:tcPr>
          <w:p w:rsidR="001C6F9C" w:rsidRDefault="00BA1A3E" w:rsidP="00A02D5F">
            <w:pPr>
              <w:rPr>
                <w:rFonts w:ascii="Courier New" w:hAnsi="Courier New" w:cs="Courier New"/>
                <w:sz w:val="20"/>
                <w:szCs w:val="20"/>
              </w:rPr>
            </w:pPr>
            <w:r>
              <w:rPr>
                <w:rFonts w:ascii="Courier New" w:hAnsi="Courier New" w:cs="Courier New"/>
                <w:sz w:val="20"/>
                <w:szCs w:val="20"/>
              </w:rPr>
              <w:t xml:space="preserve"> </w:t>
            </w:r>
            <w:r w:rsidR="00A45778">
              <w:rPr>
                <w:rFonts w:ascii="Courier New" w:hAnsi="Courier New" w:cs="Courier New"/>
                <w:sz w:val="20"/>
                <w:szCs w:val="20"/>
              </w:rPr>
              <w:t>$</w:t>
            </w:r>
            <w:r w:rsidR="00A02D5F">
              <w:rPr>
                <w:rFonts w:ascii="Courier New" w:hAnsi="Courier New" w:cs="Courier New"/>
                <w:sz w:val="20"/>
                <w:szCs w:val="20"/>
              </w:rPr>
              <w:t xml:space="preserve"> </w:t>
            </w:r>
            <w:r w:rsidR="00F17CD9">
              <w:rPr>
                <w:rFonts w:ascii="Courier New" w:hAnsi="Courier New" w:cs="Courier New"/>
                <w:sz w:val="20"/>
                <w:szCs w:val="20"/>
              </w:rPr>
              <w:t xml:space="preserve">   </w:t>
            </w:r>
            <w:r w:rsidR="00A45778">
              <w:rPr>
                <w:rFonts w:ascii="Courier New" w:hAnsi="Courier New" w:cs="Courier New"/>
                <w:sz w:val="20"/>
                <w:szCs w:val="20"/>
              </w:rPr>
              <w:t>4</w:t>
            </w:r>
            <w:r w:rsidR="00C252B4">
              <w:rPr>
                <w:rFonts w:ascii="Courier New" w:hAnsi="Courier New" w:cs="Courier New"/>
                <w:sz w:val="20"/>
                <w:szCs w:val="20"/>
              </w:rPr>
              <w:t>5,436</w:t>
            </w:r>
          </w:p>
        </w:tc>
        <w:tc>
          <w:tcPr>
            <w:tcW w:w="1386" w:type="dxa"/>
          </w:tcPr>
          <w:p w:rsidR="001C6F9C" w:rsidRDefault="00A45778" w:rsidP="00BA30EC">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Pr>
                <w:rFonts w:ascii="Courier New" w:hAnsi="Courier New" w:cs="Courier New"/>
                <w:sz w:val="20"/>
                <w:szCs w:val="20"/>
              </w:rPr>
              <w:t>4</w:t>
            </w:r>
            <w:r w:rsidR="00C252B4">
              <w:rPr>
                <w:rFonts w:ascii="Courier New" w:hAnsi="Courier New" w:cs="Courier New"/>
                <w:sz w:val="20"/>
                <w:szCs w:val="20"/>
              </w:rPr>
              <w:t>5,436</w:t>
            </w:r>
          </w:p>
        </w:tc>
        <w:tc>
          <w:tcPr>
            <w:tcW w:w="1390" w:type="dxa"/>
          </w:tcPr>
          <w:p w:rsidR="001C6F9C" w:rsidRDefault="00A45778" w:rsidP="00BA30EC">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Pr>
                <w:rFonts w:ascii="Courier New" w:hAnsi="Courier New" w:cs="Courier New"/>
                <w:sz w:val="20"/>
                <w:szCs w:val="20"/>
              </w:rPr>
              <w:t>4</w:t>
            </w:r>
            <w:r w:rsidR="00C252B4">
              <w:rPr>
                <w:rFonts w:ascii="Courier New" w:hAnsi="Courier New" w:cs="Courier New"/>
                <w:sz w:val="20"/>
                <w:szCs w:val="20"/>
              </w:rPr>
              <w:t>5,436</w:t>
            </w:r>
          </w:p>
        </w:tc>
      </w:tr>
      <w:tr w:rsidR="00A45778" w:rsidRPr="00A706CA" w:rsidTr="00BA1A3E">
        <w:trPr>
          <w:tblCellSpacing w:w="15" w:type="dxa"/>
        </w:trPr>
        <w:tc>
          <w:tcPr>
            <w:tcW w:w="3070" w:type="dxa"/>
          </w:tcPr>
          <w:p w:rsidR="00A45778" w:rsidRDefault="00A45778" w:rsidP="00AC173A">
            <w:pPr>
              <w:rPr>
                <w:rFonts w:ascii="Courier New" w:hAnsi="Courier New" w:cs="Courier New"/>
                <w:color w:val="333333"/>
                <w:sz w:val="20"/>
                <w:szCs w:val="20"/>
              </w:rPr>
            </w:pPr>
            <w:r>
              <w:rPr>
                <w:rFonts w:ascii="Courier New" w:hAnsi="Courier New" w:cs="Courier New"/>
                <w:color w:val="333333"/>
                <w:sz w:val="20"/>
                <w:szCs w:val="20"/>
              </w:rPr>
              <w:t xml:space="preserve">  Tenant Improvement</w:t>
            </w:r>
          </w:p>
        </w:tc>
        <w:tc>
          <w:tcPr>
            <w:tcW w:w="1426" w:type="dxa"/>
            <w:gridSpan w:val="3"/>
          </w:tcPr>
          <w:p w:rsidR="00A45778" w:rsidRDefault="00A45778" w:rsidP="001C6F9C">
            <w:pPr>
              <w:jc w:val="right"/>
              <w:rPr>
                <w:rFonts w:ascii="Courier New" w:hAnsi="Courier New" w:cs="Courier New"/>
                <w:sz w:val="20"/>
                <w:szCs w:val="20"/>
              </w:rPr>
            </w:pPr>
            <w:r>
              <w:rPr>
                <w:rFonts w:ascii="Courier New" w:hAnsi="Courier New" w:cs="Courier New"/>
                <w:sz w:val="20"/>
                <w:szCs w:val="20"/>
              </w:rPr>
              <w:t>$0.20 psf</w:t>
            </w:r>
          </w:p>
        </w:tc>
        <w:tc>
          <w:tcPr>
            <w:tcW w:w="1574" w:type="dxa"/>
          </w:tcPr>
          <w:p w:rsidR="00A45778" w:rsidRDefault="00F17CD9" w:rsidP="00A02D5F">
            <w:pPr>
              <w:rPr>
                <w:rFonts w:ascii="Courier New" w:hAnsi="Courier New" w:cs="Courier New"/>
                <w:sz w:val="20"/>
                <w:szCs w:val="20"/>
              </w:rPr>
            </w:pPr>
            <w:r>
              <w:rPr>
                <w:rFonts w:ascii="Courier New" w:hAnsi="Courier New" w:cs="Courier New"/>
                <w:sz w:val="20"/>
                <w:szCs w:val="20"/>
              </w:rPr>
              <w:t xml:space="preserve"> $   </w:t>
            </w:r>
            <w:r w:rsidR="00FF4F72">
              <w:rPr>
                <w:rFonts w:ascii="Courier New" w:hAnsi="Courier New" w:cs="Courier New"/>
                <w:sz w:val="20"/>
                <w:szCs w:val="20"/>
              </w:rPr>
              <w:t xml:space="preserve"> </w:t>
            </w:r>
            <w:r w:rsidR="00A45778">
              <w:rPr>
                <w:rFonts w:ascii="Courier New" w:hAnsi="Courier New" w:cs="Courier New"/>
                <w:sz w:val="20"/>
                <w:szCs w:val="20"/>
              </w:rPr>
              <w:t>24,96</w:t>
            </w:r>
            <w:r w:rsidR="00C252B4">
              <w:rPr>
                <w:rFonts w:ascii="Courier New" w:hAnsi="Courier New" w:cs="Courier New"/>
                <w:sz w:val="20"/>
                <w:szCs w:val="20"/>
              </w:rPr>
              <w:t>5</w:t>
            </w:r>
          </w:p>
        </w:tc>
        <w:tc>
          <w:tcPr>
            <w:tcW w:w="1386" w:type="dxa"/>
          </w:tcPr>
          <w:p w:rsidR="00A45778" w:rsidRDefault="00A45778" w:rsidP="00BA30EC">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sidR="00F17CD9">
              <w:rPr>
                <w:rFonts w:ascii="Courier New" w:hAnsi="Courier New" w:cs="Courier New"/>
                <w:sz w:val="20"/>
                <w:szCs w:val="20"/>
              </w:rPr>
              <w:t xml:space="preserve"> </w:t>
            </w:r>
            <w:r>
              <w:rPr>
                <w:rFonts w:ascii="Courier New" w:hAnsi="Courier New" w:cs="Courier New"/>
                <w:sz w:val="20"/>
                <w:szCs w:val="20"/>
              </w:rPr>
              <w:t>24,956</w:t>
            </w:r>
          </w:p>
        </w:tc>
        <w:tc>
          <w:tcPr>
            <w:tcW w:w="1390" w:type="dxa"/>
          </w:tcPr>
          <w:p w:rsidR="00A45778" w:rsidRDefault="00A45778" w:rsidP="00BA30EC">
            <w:pPr>
              <w:rPr>
                <w:rFonts w:ascii="Courier New" w:hAnsi="Courier New" w:cs="Courier New"/>
                <w:sz w:val="20"/>
                <w:szCs w:val="20"/>
              </w:rPr>
            </w:pPr>
            <w:r>
              <w:rPr>
                <w:rFonts w:ascii="Courier New" w:hAnsi="Courier New" w:cs="Courier New"/>
                <w:sz w:val="20"/>
                <w:szCs w:val="20"/>
              </w:rPr>
              <w:t>$</w:t>
            </w:r>
            <w:r w:rsidR="00F17CD9">
              <w:rPr>
                <w:rFonts w:ascii="Courier New" w:hAnsi="Courier New" w:cs="Courier New"/>
                <w:sz w:val="20"/>
                <w:szCs w:val="20"/>
              </w:rPr>
              <w:t xml:space="preserve">  </w:t>
            </w:r>
            <w:r w:rsidR="00A02D5F">
              <w:rPr>
                <w:rFonts w:ascii="Courier New" w:hAnsi="Courier New" w:cs="Courier New"/>
                <w:sz w:val="20"/>
                <w:szCs w:val="20"/>
              </w:rPr>
              <w:t xml:space="preserve"> </w:t>
            </w:r>
            <w:r w:rsidR="00F17CD9">
              <w:rPr>
                <w:rFonts w:ascii="Courier New" w:hAnsi="Courier New" w:cs="Courier New"/>
                <w:sz w:val="20"/>
                <w:szCs w:val="20"/>
              </w:rPr>
              <w:t xml:space="preserve"> </w:t>
            </w:r>
            <w:r>
              <w:rPr>
                <w:rFonts w:ascii="Courier New" w:hAnsi="Courier New" w:cs="Courier New"/>
                <w:sz w:val="20"/>
                <w:szCs w:val="20"/>
              </w:rPr>
              <w:t>24,956</w:t>
            </w:r>
          </w:p>
        </w:tc>
      </w:tr>
      <w:tr w:rsidR="004B35D4" w:rsidRPr="000F0772" w:rsidTr="00BA1A3E">
        <w:trPr>
          <w:tblCellSpacing w:w="15" w:type="dxa"/>
        </w:trPr>
        <w:tc>
          <w:tcPr>
            <w:tcW w:w="3070" w:type="dxa"/>
          </w:tcPr>
          <w:p w:rsidR="004B35D4" w:rsidRDefault="004B35D4" w:rsidP="00AC173A">
            <w:pPr>
              <w:rPr>
                <w:rFonts w:ascii="Courier New" w:hAnsi="Courier New" w:cs="Courier New"/>
                <w:color w:val="333333"/>
                <w:sz w:val="20"/>
                <w:szCs w:val="20"/>
              </w:rPr>
            </w:pPr>
            <w:r>
              <w:rPr>
                <w:rFonts w:ascii="Courier New" w:hAnsi="Courier New" w:cs="Courier New"/>
                <w:color w:val="333333"/>
                <w:sz w:val="20"/>
                <w:szCs w:val="20"/>
              </w:rPr>
              <w:t xml:space="preserve"> Total Operating Expense</w:t>
            </w:r>
          </w:p>
        </w:tc>
        <w:tc>
          <w:tcPr>
            <w:tcW w:w="1426" w:type="dxa"/>
            <w:gridSpan w:val="3"/>
          </w:tcPr>
          <w:p w:rsidR="004B35D4" w:rsidRPr="00A706CA" w:rsidRDefault="004B35D4" w:rsidP="00AC173A">
            <w:pPr>
              <w:rPr>
                <w:rFonts w:ascii="Courier New" w:hAnsi="Courier New" w:cs="Courier New"/>
                <w:sz w:val="20"/>
                <w:szCs w:val="20"/>
              </w:rPr>
            </w:pPr>
          </w:p>
        </w:tc>
        <w:tc>
          <w:tcPr>
            <w:tcW w:w="1574" w:type="dxa"/>
          </w:tcPr>
          <w:p w:rsidR="004B35D4" w:rsidRPr="00F17CD9" w:rsidRDefault="00A02D5F" w:rsidP="00BA30EC">
            <w:pPr>
              <w:rPr>
                <w:rFonts w:ascii="Courier New" w:hAnsi="Courier New" w:cs="Courier New"/>
                <w:sz w:val="20"/>
                <w:szCs w:val="20"/>
              </w:rPr>
            </w:pPr>
            <w:r>
              <w:rPr>
                <w:rFonts w:ascii="Courier New" w:hAnsi="Courier New" w:cs="Courier New"/>
                <w:sz w:val="20"/>
                <w:szCs w:val="20"/>
              </w:rPr>
              <w:t xml:space="preserve"> </w:t>
            </w:r>
            <w:r w:rsidR="00F17CD9" w:rsidRPr="00F17CD9">
              <w:rPr>
                <w:rFonts w:ascii="Courier New" w:hAnsi="Courier New" w:cs="Courier New"/>
                <w:sz w:val="20"/>
                <w:szCs w:val="20"/>
              </w:rPr>
              <w:t xml:space="preserve">$  </w:t>
            </w:r>
            <w:r w:rsidR="00FF4F72">
              <w:rPr>
                <w:rFonts w:ascii="Courier New" w:hAnsi="Courier New" w:cs="Courier New"/>
                <w:sz w:val="20"/>
                <w:szCs w:val="20"/>
              </w:rPr>
              <w:t xml:space="preserve"> </w:t>
            </w:r>
            <w:r w:rsidR="007B51D4">
              <w:rPr>
                <w:rFonts w:ascii="Courier New" w:hAnsi="Courier New" w:cs="Courier New"/>
                <w:sz w:val="20"/>
                <w:szCs w:val="20"/>
              </w:rPr>
              <w:t>1</w:t>
            </w:r>
            <w:r w:rsidR="00FF4F72">
              <w:rPr>
                <w:rFonts w:ascii="Courier New" w:hAnsi="Courier New" w:cs="Courier New"/>
                <w:sz w:val="20"/>
                <w:szCs w:val="20"/>
              </w:rPr>
              <w:t>5</w:t>
            </w:r>
            <w:r w:rsidR="0064280E">
              <w:rPr>
                <w:rFonts w:ascii="Courier New" w:hAnsi="Courier New" w:cs="Courier New"/>
                <w:sz w:val="20"/>
                <w:szCs w:val="20"/>
              </w:rPr>
              <w:t>9,900</w:t>
            </w:r>
          </w:p>
        </w:tc>
        <w:tc>
          <w:tcPr>
            <w:tcW w:w="1386" w:type="dxa"/>
          </w:tcPr>
          <w:p w:rsidR="004B35D4" w:rsidRPr="00F17CD9" w:rsidRDefault="00F17CD9" w:rsidP="00BA30EC">
            <w:pPr>
              <w:rPr>
                <w:rFonts w:ascii="Courier New" w:hAnsi="Courier New" w:cs="Courier New"/>
                <w:sz w:val="20"/>
                <w:szCs w:val="20"/>
              </w:rPr>
            </w:pPr>
            <w:r w:rsidRPr="00F17CD9">
              <w:rPr>
                <w:rFonts w:ascii="Courier New" w:hAnsi="Courier New" w:cs="Courier New"/>
                <w:sz w:val="20"/>
                <w:szCs w:val="20"/>
              </w:rPr>
              <w:t xml:space="preserve">$ </w:t>
            </w:r>
            <w:r w:rsidR="00A02D5F">
              <w:rPr>
                <w:rFonts w:ascii="Courier New" w:hAnsi="Courier New" w:cs="Courier New"/>
                <w:sz w:val="20"/>
                <w:szCs w:val="20"/>
              </w:rPr>
              <w:t xml:space="preserve"> </w:t>
            </w:r>
            <w:r w:rsidRPr="00F17CD9">
              <w:rPr>
                <w:rFonts w:ascii="Courier New" w:hAnsi="Courier New" w:cs="Courier New"/>
                <w:sz w:val="20"/>
                <w:szCs w:val="20"/>
              </w:rPr>
              <w:t xml:space="preserve"> </w:t>
            </w:r>
            <w:r w:rsidR="007B51D4">
              <w:rPr>
                <w:rFonts w:ascii="Courier New" w:hAnsi="Courier New" w:cs="Courier New"/>
                <w:sz w:val="20"/>
                <w:szCs w:val="20"/>
              </w:rPr>
              <w:t>1</w:t>
            </w:r>
            <w:r w:rsidR="0064280E">
              <w:rPr>
                <w:rFonts w:ascii="Courier New" w:hAnsi="Courier New" w:cs="Courier New"/>
                <w:sz w:val="20"/>
                <w:szCs w:val="20"/>
              </w:rPr>
              <w:t>6</w:t>
            </w:r>
            <w:r w:rsidR="00FF4F72">
              <w:rPr>
                <w:rFonts w:ascii="Courier New" w:hAnsi="Courier New" w:cs="Courier New"/>
                <w:sz w:val="20"/>
                <w:szCs w:val="20"/>
              </w:rPr>
              <w:t>5,</w:t>
            </w:r>
            <w:r w:rsidR="0064280E">
              <w:rPr>
                <w:rFonts w:ascii="Courier New" w:hAnsi="Courier New" w:cs="Courier New"/>
                <w:sz w:val="20"/>
                <w:szCs w:val="20"/>
              </w:rPr>
              <w:t>8</w:t>
            </w:r>
            <w:r w:rsidR="006A0A50">
              <w:rPr>
                <w:rFonts w:ascii="Courier New" w:hAnsi="Courier New" w:cs="Courier New"/>
                <w:sz w:val="20"/>
                <w:szCs w:val="20"/>
              </w:rPr>
              <w:t>82</w:t>
            </w:r>
          </w:p>
        </w:tc>
        <w:tc>
          <w:tcPr>
            <w:tcW w:w="1390" w:type="dxa"/>
          </w:tcPr>
          <w:p w:rsidR="004B35D4" w:rsidRPr="00F17CD9" w:rsidRDefault="00F17CD9" w:rsidP="0064280E">
            <w:pPr>
              <w:rPr>
                <w:rFonts w:ascii="Courier New" w:hAnsi="Courier New" w:cs="Courier New"/>
                <w:sz w:val="20"/>
                <w:szCs w:val="20"/>
              </w:rPr>
            </w:pPr>
            <w:r w:rsidRPr="00F17CD9">
              <w:rPr>
                <w:rFonts w:ascii="Courier New" w:hAnsi="Courier New" w:cs="Courier New"/>
                <w:sz w:val="20"/>
                <w:szCs w:val="20"/>
              </w:rPr>
              <w:t xml:space="preserve">$ </w:t>
            </w:r>
            <w:r w:rsidR="00A02D5F">
              <w:rPr>
                <w:rFonts w:ascii="Courier New" w:hAnsi="Courier New" w:cs="Courier New"/>
                <w:sz w:val="20"/>
                <w:szCs w:val="20"/>
              </w:rPr>
              <w:t xml:space="preserve"> </w:t>
            </w:r>
            <w:r w:rsidRPr="00F17CD9">
              <w:rPr>
                <w:rFonts w:ascii="Courier New" w:hAnsi="Courier New" w:cs="Courier New"/>
                <w:sz w:val="20"/>
                <w:szCs w:val="20"/>
              </w:rPr>
              <w:t xml:space="preserve"> </w:t>
            </w:r>
            <w:r w:rsidR="007B51D4">
              <w:rPr>
                <w:rFonts w:ascii="Courier New" w:hAnsi="Courier New" w:cs="Courier New"/>
                <w:sz w:val="20"/>
                <w:szCs w:val="20"/>
              </w:rPr>
              <w:t>1</w:t>
            </w:r>
            <w:r w:rsidR="0064280E">
              <w:rPr>
                <w:rFonts w:ascii="Courier New" w:hAnsi="Courier New" w:cs="Courier New"/>
                <w:sz w:val="20"/>
                <w:szCs w:val="20"/>
              </w:rPr>
              <w:t>5</w:t>
            </w:r>
            <w:r w:rsidR="006A0A50">
              <w:rPr>
                <w:rFonts w:ascii="Courier New" w:hAnsi="Courier New" w:cs="Courier New"/>
                <w:sz w:val="20"/>
                <w:szCs w:val="20"/>
              </w:rPr>
              <w:t>3,993</w:t>
            </w:r>
          </w:p>
        </w:tc>
      </w:tr>
      <w:tr w:rsidR="004B35D4" w:rsidRPr="00A706CA" w:rsidTr="00BA1A3E">
        <w:trPr>
          <w:tblCellSpacing w:w="15" w:type="dxa"/>
        </w:trPr>
        <w:tc>
          <w:tcPr>
            <w:tcW w:w="3070" w:type="dxa"/>
          </w:tcPr>
          <w:p w:rsidR="004B35D4" w:rsidRDefault="004B35D4" w:rsidP="00AC173A">
            <w:pPr>
              <w:rPr>
                <w:rFonts w:ascii="Courier New" w:hAnsi="Courier New" w:cs="Courier New"/>
                <w:color w:val="333333"/>
                <w:sz w:val="20"/>
                <w:szCs w:val="20"/>
              </w:rPr>
            </w:pPr>
          </w:p>
        </w:tc>
        <w:tc>
          <w:tcPr>
            <w:tcW w:w="1426" w:type="dxa"/>
            <w:gridSpan w:val="3"/>
          </w:tcPr>
          <w:p w:rsidR="004B35D4" w:rsidRPr="00A706CA" w:rsidRDefault="004B35D4" w:rsidP="00AC173A">
            <w:pPr>
              <w:rPr>
                <w:rFonts w:ascii="Courier New" w:hAnsi="Courier New" w:cs="Courier New"/>
                <w:sz w:val="20"/>
                <w:szCs w:val="20"/>
              </w:rPr>
            </w:pPr>
          </w:p>
        </w:tc>
        <w:tc>
          <w:tcPr>
            <w:tcW w:w="1574" w:type="dxa"/>
          </w:tcPr>
          <w:p w:rsidR="004B35D4" w:rsidRDefault="004B35D4" w:rsidP="00BA30EC">
            <w:pPr>
              <w:rPr>
                <w:rFonts w:ascii="Courier New" w:hAnsi="Courier New" w:cs="Courier New"/>
                <w:sz w:val="20"/>
                <w:szCs w:val="20"/>
              </w:rPr>
            </w:pPr>
          </w:p>
        </w:tc>
        <w:tc>
          <w:tcPr>
            <w:tcW w:w="1386" w:type="dxa"/>
          </w:tcPr>
          <w:p w:rsidR="004B35D4" w:rsidRPr="00B6071D" w:rsidRDefault="004B35D4" w:rsidP="00BA30EC">
            <w:pPr>
              <w:rPr>
                <w:rFonts w:ascii="Courier New" w:hAnsi="Courier New" w:cs="Courier New"/>
                <w:b/>
                <w:sz w:val="20"/>
                <w:szCs w:val="20"/>
              </w:rPr>
            </w:pPr>
          </w:p>
        </w:tc>
        <w:tc>
          <w:tcPr>
            <w:tcW w:w="1390" w:type="dxa"/>
          </w:tcPr>
          <w:p w:rsidR="004B35D4" w:rsidRPr="00B6071D" w:rsidRDefault="004B35D4" w:rsidP="00BA30EC">
            <w:pPr>
              <w:rPr>
                <w:rFonts w:ascii="Courier New" w:hAnsi="Courier New" w:cs="Courier New"/>
                <w:b/>
                <w:sz w:val="20"/>
                <w:szCs w:val="20"/>
              </w:rPr>
            </w:pPr>
          </w:p>
        </w:tc>
      </w:tr>
      <w:tr w:rsidR="004B35D4" w:rsidRPr="00A16D37" w:rsidTr="00BA1A3E">
        <w:trPr>
          <w:tblCellSpacing w:w="15" w:type="dxa"/>
        </w:trPr>
        <w:tc>
          <w:tcPr>
            <w:tcW w:w="4526" w:type="dxa"/>
            <w:gridSpan w:val="4"/>
            <w:hideMark/>
          </w:tcPr>
          <w:p w:rsidR="004B35D4" w:rsidRPr="00A16D37" w:rsidRDefault="004B35D4" w:rsidP="00AC173A">
            <w:pPr>
              <w:rPr>
                <w:rFonts w:ascii="Courier New" w:hAnsi="Courier New" w:cs="Courier New"/>
                <w:b/>
                <w:color w:val="333333"/>
                <w:sz w:val="20"/>
                <w:szCs w:val="20"/>
              </w:rPr>
            </w:pPr>
            <w:r w:rsidRPr="00A16D37">
              <w:rPr>
                <w:rFonts w:ascii="Courier New" w:hAnsi="Courier New" w:cs="Courier New"/>
                <w:b/>
                <w:color w:val="333333"/>
                <w:sz w:val="20"/>
                <w:szCs w:val="20"/>
              </w:rPr>
              <w:t>Net-Operating Income:</w:t>
            </w:r>
          </w:p>
        </w:tc>
        <w:tc>
          <w:tcPr>
            <w:tcW w:w="1574" w:type="dxa"/>
            <w:hideMark/>
          </w:tcPr>
          <w:p w:rsidR="004B35D4" w:rsidRPr="00A16D37" w:rsidRDefault="00BA1A3E" w:rsidP="00A02D5F">
            <w:pPr>
              <w:rPr>
                <w:rFonts w:ascii="Courier New" w:hAnsi="Courier New" w:cs="Courier New"/>
                <w:b/>
                <w:color w:val="333333"/>
                <w:sz w:val="20"/>
                <w:szCs w:val="20"/>
              </w:rPr>
            </w:pPr>
            <w:r>
              <w:rPr>
                <w:rFonts w:ascii="Courier New" w:hAnsi="Courier New" w:cs="Courier New"/>
                <w:b/>
                <w:color w:val="333333"/>
                <w:sz w:val="20"/>
                <w:szCs w:val="20"/>
              </w:rPr>
              <w:t xml:space="preserve"> </w:t>
            </w:r>
            <w:r w:rsidR="00F17CD9">
              <w:rPr>
                <w:rFonts w:ascii="Courier New" w:hAnsi="Courier New" w:cs="Courier New"/>
                <w:b/>
                <w:color w:val="333333"/>
                <w:sz w:val="20"/>
                <w:szCs w:val="20"/>
              </w:rPr>
              <w:t>$</w:t>
            </w:r>
            <w:r w:rsidR="00A02D5F">
              <w:rPr>
                <w:rFonts w:ascii="Courier New" w:hAnsi="Courier New" w:cs="Courier New"/>
                <w:b/>
                <w:color w:val="333333"/>
                <w:sz w:val="20"/>
                <w:szCs w:val="20"/>
              </w:rPr>
              <w:t xml:space="preserve"> </w:t>
            </w:r>
            <w:r w:rsidR="00F17CD9">
              <w:rPr>
                <w:rFonts w:ascii="Courier New" w:hAnsi="Courier New" w:cs="Courier New"/>
                <w:b/>
                <w:color w:val="333333"/>
                <w:sz w:val="20"/>
                <w:szCs w:val="20"/>
              </w:rPr>
              <w:t>1,</w:t>
            </w:r>
            <w:r w:rsidR="00025AD8">
              <w:rPr>
                <w:rFonts w:ascii="Courier New" w:hAnsi="Courier New" w:cs="Courier New"/>
                <w:b/>
                <w:color w:val="333333"/>
                <w:sz w:val="20"/>
                <w:szCs w:val="20"/>
              </w:rPr>
              <w:t>3</w:t>
            </w:r>
            <w:r w:rsidR="0064280E">
              <w:rPr>
                <w:rFonts w:ascii="Courier New" w:hAnsi="Courier New" w:cs="Courier New"/>
                <w:b/>
                <w:color w:val="333333"/>
                <w:sz w:val="20"/>
                <w:szCs w:val="20"/>
              </w:rPr>
              <w:t>41,121</w:t>
            </w:r>
          </w:p>
        </w:tc>
        <w:tc>
          <w:tcPr>
            <w:tcW w:w="1386" w:type="dxa"/>
            <w:hideMark/>
          </w:tcPr>
          <w:p w:rsidR="004B35D4" w:rsidRPr="00A16D37" w:rsidRDefault="00F17CD9" w:rsidP="006A0A50">
            <w:pPr>
              <w:rPr>
                <w:rFonts w:ascii="Courier New" w:hAnsi="Courier New" w:cs="Courier New"/>
                <w:b/>
                <w:color w:val="333333"/>
                <w:sz w:val="20"/>
                <w:szCs w:val="20"/>
              </w:rPr>
            </w:pPr>
            <w:r>
              <w:rPr>
                <w:rFonts w:ascii="Courier New" w:hAnsi="Courier New" w:cs="Courier New"/>
                <w:b/>
                <w:color w:val="333333"/>
                <w:sz w:val="20"/>
                <w:szCs w:val="20"/>
              </w:rPr>
              <w:t>$</w:t>
            </w:r>
            <w:r w:rsidR="00A02D5F">
              <w:rPr>
                <w:rFonts w:ascii="Courier New" w:hAnsi="Courier New" w:cs="Courier New"/>
                <w:b/>
                <w:color w:val="333333"/>
                <w:sz w:val="20"/>
                <w:szCs w:val="20"/>
              </w:rPr>
              <w:t xml:space="preserve"> </w:t>
            </w:r>
            <w:r>
              <w:rPr>
                <w:rFonts w:ascii="Courier New" w:hAnsi="Courier New" w:cs="Courier New"/>
                <w:b/>
                <w:color w:val="333333"/>
                <w:sz w:val="20"/>
                <w:szCs w:val="20"/>
              </w:rPr>
              <w:t>1,</w:t>
            </w:r>
            <w:r w:rsidR="007B51D4">
              <w:rPr>
                <w:rFonts w:ascii="Courier New" w:hAnsi="Courier New" w:cs="Courier New"/>
                <w:b/>
                <w:color w:val="333333"/>
                <w:sz w:val="20"/>
                <w:szCs w:val="20"/>
              </w:rPr>
              <w:t>3</w:t>
            </w:r>
            <w:r w:rsidR="0064280E">
              <w:rPr>
                <w:rFonts w:ascii="Courier New" w:hAnsi="Courier New" w:cs="Courier New"/>
                <w:b/>
                <w:color w:val="333333"/>
                <w:sz w:val="20"/>
                <w:szCs w:val="20"/>
              </w:rPr>
              <w:t>35,13</w:t>
            </w:r>
            <w:r w:rsidR="006A0A50">
              <w:rPr>
                <w:rFonts w:ascii="Courier New" w:hAnsi="Courier New" w:cs="Courier New"/>
                <w:b/>
                <w:color w:val="333333"/>
                <w:sz w:val="20"/>
                <w:szCs w:val="20"/>
              </w:rPr>
              <w:t>9</w:t>
            </w:r>
          </w:p>
        </w:tc>
        <w:tc>
          <w:tcPr>
            <w:tcW w:w="1390" w:type="dxa"/>
          </w:tcPr>
          <w:p w:rsidR="004B35D4" w:rsidRDefault="00F17CD9" w:rsidP="00BA30EC">
            <w:pPr>
              <w:rPr>
                <w:rFonts w:ascii="Courier New" w:hAnsi="Courier New" w:cs="Courier New"/>
                <w:b/>
                <w:color w:val="333333"/>
                <w:sz w:val="20"/>
                <w:szCs w:val="20"/>
              </w:rPr>
            </w:pPr>
            <w:r>
              <w:rPr>
                <w:rFonts w:ascii="Courier New" w:hAnsi="Courier New" w:cs="Courier New"/>
                <w:b/>
                <w:color w:val="333333"/>
                <w:sz w:val="20"/>
                <w:szCs w:val="20"/>
              </w:rPr>
              <w:t>$</w:t>
            </w:r>
            <w:r w:rsidR="00A02D5F">
              <w:rPr>
                <w:rFonts w:ascii="Courier New" w:hAnsi="Courier New" w:cs="Courier New"/>
                <w:b/>
                <w:color w:val="333333"/>
                <w:sz w:val="20"/>
                <w:szCs w:val="20"/>
              </w:rPr>
              <w:t xml:space="preserve"> </w:t>
            </w:r>
            <w:r>
              <w:rPr>
                <w:rFonts w:ascii="Courier New" w:hAnsi="Courier New" w:cs="Courier New"/>
                <w:b/>
                <w:color w:val="333333"/>
                <w:sz w:val="20"/>
                <w:szCs w:val="20"/>
              </w:rPr>
              <w:t>1,</w:t>
            </w:r>
            <w:r w:rsidR="00025AD8">
              <w:rPr>
                <w:rFonts w:ascii="Courier New" w:hAnsi="Courier New" w:cs="Courier New"/>
                <w:b/>
                <w:color w:val="333333"/>
                <w:sz w:val="20"/>
                <w:szCs w:val="20"/>
              </w:rPr>
              <w:t>3</w:t>
            </w:r>
            <w:r w:rsidR="0064280E">
              <w:rPr>
                <w:rFonts w:ascii="Courier New" w:hAnsi="Courier New" w:cs="Courier New"/>
                <w:b/>
                <w:color w:val="333333"/>
                <w:sz w:val="20"/>
                <w:szCs w:val="20"/>
              </w:rPr>
              <w:t>47,019</w:t>
            </w:r>
          </w:p>
        </w:tc>
      </w:tr>
      <w:tr w:rsidR="004B35D4" w:rsidRPr="00A706CA" w:rsidTr="00BA1A3E">
        <w:trPr>
          <w:tblCellSpacing w:w="15" w:type="dxa"/>
        </w:trPr>
        <w:tc>
          <w:tcPr>
            <w:tcW w:w="4526" w:type="dxa"/>
            <w:gridSpan w:val="4"/>
          </w:tcPr>
          <w:p w:rsidR="004B35D4" w:rsidRPr="00A706CA" w:rsidRDefault="004B35D4" w:rsidP="00AC173A">
            <w:pPr>
              <w:rPr>
                <w:rFonts w:ascii="Courier New" w:hAnsi="Courier New" w:cs="Courier New"/>
                <w:color w:val="333333"/>
                <w:sz w:val="20"/>
                <w:szCs w:val="20"/>
              </w:rPr>
            </w:pPr>
          </w:p>
        </w:tc>
        <w:tc>
          <w:tcPr>
            <w:tcW w:w="1574" w:type="dxa"/>
          </w:tcPr>
          <w:p w:rsidR="004B35D4" w:rsidRPr="00A706CA" w:rsidRDefault="004B35D4" w:rsidP="00BA30EC">
            <w:pPr>
              <w:rPr>
                <w:rFonts w:ascii="Courier New" w:hAnsi="Courier New" w:cs="Courier New"/>
                <w:color w:val="333333"/>
                <w:sz w:val="20"/>
                <w:szCs w:val="20"/>
              </w:rPr>
            </w:pPr>
          </w:p>
        </w:tc>
        <w:tc>
          <w:tcPr>
            <w:tcW w:w="1386" w:type="dxa"/>
          </w:tcPr>
          <w:p w:rsidR="004B35D4" w:rsidRDefault="004B35D4" w:rsidP="00BA30EC">
            <w:pPr>
              <w:rPr>
                <w:rFonts w:ascii="Courier New" w:hAnsi="Courier New" w:cs="Courier New"/>
                <w:color w:val="333333"/>
                <w:sz w:val="20"/>
                <w:szCs w:val="20"/>
              </w:rPr>
            </w:pPr>
          </w:p>
        </w:tc>
        <w:tc>
          <w:tcPr>
            <w:tcW w:w="1390" w:type="dxa"/>
          </w:tcPr>
          <w:p w:rsidR="004B35D4" w:rsidRDefault="004B35D4" w:rsidP="00BA30EC">
            <w:pPr>
              <w:rPr>
                <w:rFonts w:ascii="Courier New" w:hAnsi="Courier New" w:cs="Courier New"/>
                <w:color w:val="333333"/>
                <w:sz w:val="20"/>
                <w:szCs w:val="20"/>
              </w:rPr>
            </w:pPr>
          </w:p>
        </w:tc>
      </w:tr>
      <w:tr w:rsidR="004B35D4" w:rsidRPr="00A706CA" w:rsidTr="00BA1A3E">
        <w:trPr>
          <w:tblCellSpacing w:w="15" w:type="dxa"/>
        </w:trPr>
        <w:tc>
          <w:tcPr>
            <w:tcW w:w="4526" w:type="dxa"/>
            <w:gridSpan w:val="4"/>
          </w:tcPr>
          <w:p w:rsidR="004B35D4" w:rsidRPr="00A706CA" w:rsidRDefault="00225F41" w:rsidP="00AC173A">
            <w:pPr>
              <w:rPr>
                <w:rFonts w:ascii="Courier New" w:hAnsi="Courier New" w:cs="Courier New"/>
                <w:color w:val="333333"/>
                <w:sz w:val="20"/>
                <w:szCs w:val="20"/>
              </w:rPr>
            </w:pPr>
            <w:r>
              <w:rPr>
                <w:rFonts w:ascii="Courier New" w:hAnsi="Courier New" w:cs="Courier New"/>
                <w:color w:val="333333"/>
                <w:sz w:val="20"/>
                <w:szCs w:val="20"/>
              </w:rPr>
              <w:t xml:space="preserve">  Base</w:t>
            </w:r>
            <w:r w:rsidR="004B35D4">
              <w:rPr>
                <w:rFonts w:ascii="Courier New" w:hAnsi="Courier New" w:cs="Courier New"/>
                <w:color w:val="333333"/>
                <w:sz w:val="20"/>
                <w:szCs w:val="20"/>
              </w:rPr>
              <w:t xml:space="preserve"> Capitalization Rate</w:t>
            </w:r>
          </w:p>
        </w:tc>
        <w:tc>
          <w:tcPr>
            <w:tcW w:w="1574" w:type="dxa"/>
          </w:tcPr>
          <w:p w:rsidR="004B35D4" w:rsidRPr="00A706CA"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7B51D4">
              <w:rPr>
                <w:rFonts w:ascii="Courier New" w:hAnsi="Courier New" w:cs="Courier New"/>
                <w:color w:val="333333"/>
                <w:sz w:val="20"/>
                <w:szCs w:val="20"/>
              </w:rPr>
              <w:t>8.75</w:t>
            </w:r>
            <w:r>
              <w:rPr>
                <w:rFonts w:ascii="Courier New" w:hAnsi="Courier New" w:cs="Courier New"/>
                <w:color w:val="333333"/>
                <w:sz w:val="20"/>
                <w:szCs w:val="20"/>
              </w:rPr>
              <w:t>0</w:t>
            </w:r>
            <w:r w:rsidR="00225F41">
              <w:rPr>
                <w:rFonts w:ascii="Courier New" w:hAnsi="Courier New" w:cs="Courier New"/>
                <w:color w:val="333333"/>
                <w:sz w:val="20"/>
                <w:szCs w:val="20"/>
              </w:rPr>
              <w:t>%</w:t>
            </w:r>
          </w:p>
        </w:tc>
        <w:tc>
          <w:tcPr>
            <w:tcW w:w="1386" w:type="dxa"/>
          </w:tcPr>
          <w:p w:rsidR="004B35D4"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225F41">
              <w:rPr>
                <w:rFonts w:ascii="Courier New" w:hAnsi="Courier New" w:cs="Courier New"/>
                <w:color w:val="333333"/>
                <w:sz w:val="20"/>
                <w:szCs w:val="20"/>
              </w:rPr>
              <w:t>8.</w:t>
            </w:r>
            <w:r w:rsidR="00F1634B">
              <w:rPr>
                <w:rFonts w:ascii="Courier New" w:hAnsi="Courier New" w:cs="Courier New"/>
                <w:color w:val="333333"/>
                <w:sz w:val="20"/>
                <w:szCs w:val="20"/>
              </w:rPr>
              <w:t>5</w:t>
            </w:r>
            <w:r>
              <w:rPr>
                <w:rFonts w:ascii="Courier New" w:hAnsi="Courier New" w:cs="Courier New"/>
                <w:color w:val="333333"/>
                <w:sz w:val="20"/>
                <w:szCs w:val="20"/>
              </w:rPr>
              <w:t>00</w:t>
            </w:r>
            <w:r w:rsidR="00225F41">
              <w:rPr>
                <w:rFonts w:ascii="Courier New" w:hAnsi="Courier New" w:cs="Courier New"/>
                <w:color w:val="333333"/>
                <w:sz w:val="20"/>
                <w:szCs w:val="20"/>
              </w:rPr>
              <w:t>%</w:t>
            </w:r>
          </w:p>
        </w:tc>
        <w:tc>
          <w:tcPr>
            <w:tcW w:w="1390" w:type="dxa"/>
          </w:tcPr>
          <w:p w:rsidR="004B35D4"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A77223">
              <w:rPr>
                <w:rFonts w:ascii="Courier New" w:hAnsi="Courier New" w:cs="Courier New"/>
                <w:color w:val="333333"/>
                <w:sz w:val="20"/>
                <w:szCs w:val="20"/>
              </w:rPr>
              <w:t>8.</w:t>
            </w:r>
            <w:r w:rsidR="007B51D4">
              <w:rPr>
                <w:rFonts w:ascii="Courier New" w:hAnsi="Courier New" w:cs="Courier New"/>
                <w:color w:val="333333"/>
                <w:sz w:val="20"/>
                <w:szCs w:val="20"/>
              </w:rPr>
              <w:t>2</w:t>
            </w:r>
            <w:r w:rsidR="00A77223">
              <w:rPr>
                <w:rFonts w:ascii="Courier New" w:hAnsi="Courier New" w:cs="Courier New"/>
                <w:color w:val="333333"/>
                <w:sz w:val="20"/>
                <w:szCs w:val="20"/>
              </w:rPr>
              <w:t>5</w:t>
            </w:r>
            <w:r>
              <w:rPr>
                <w:rFonts w:ascii="Courier New" w:hAnsi="Courier New" w:cs="Courier New"/>
                <w:color w:val="333333"/>
                <w:sz w:val="20"/>
                <w:szCs w:val="20"/>
              </w:rPr>
              <w:t>0</w:t>
            </w:r>
            <w:r w:rsidR="00225F41">
              <w:rPr>
                <w:rFonts w:ascii="Courier New" w:hAnsi="Courier New" w:cs="Courier New"/>
                <w:color w:val="333333"/>
                <w:sz w:val="20"/>
                <w:szCs w:val="20"/>
              </w:rPr>
              <w:t>%</w:t>
            </w:r>
          </w:p>
        </w:tc>
      </w:tr>
      <w:tr w:rsidR="00225F41" w:rsidRPr="00A706CA" w:rsidTr="00BA1A3E">
        <w:trPr>
          <w:tblCellSpacing w:w="15" w:type="dxa"/>
        </w:trPr>
        <w:tc>
          <w:tcPr>
            <w:tcW w:w="4526" w:type="dxa"/>
            <w:gridSpan w:val="4"/>
          </w:tcPr>
          <w:p w:rsidR="00225F41" w:rsidRDefault="00225F41" w:rsidP="00AC173A">
            <w:pPr>
              <w:rPr>
                <w:rFonts w:ascii="Courier New" w:hAnsi="Courier New" w:cs="Courier New"/>
                <w:color w:val="333333"/>
                <w:sz w:val="20"/>
                <w:szCs w:val="20"/>
              </w:rPr>
            </w:pPr>
            <w:r>
              <w:rPr>
                <w:rFonts w:ascii="Courier New" w:hAnsi="Courier New" w:cs="Courier New"/>
                <w:color w:val="333333"/>
                <w:sz w:val="20"/>
                <w:szCs w:val="20"/>
              </w:rPr>
              <w:t xml:space="preserve">  Tax Factor</w:t>
            </w:r>
          </w:p>
        </w:tc>
        <w:tc>
          <w:tcPr>
            <w:tcW w:w="1574" w:type="dxa"/>
          </w:tcPr>
          <w:p w:rsidR="00225F41"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7B51D4">
              <w:rPr>
                <w:rFonts w:ascii="Courier New" w:hAnsi="Courier New" w:cs="Courier New"/>
                <w:color w:val="333333"/>
                <w:sz w:val="20"/>
                <w:szCs w:val="20"/>
              </w:rPr>
              <w:t>.258</w:t>
            </w:r>
            <w:r w:rsidR="00E8146F">
              <w:rPr>
                <w:rFonts w:ascii="Courier New" w:hAnsi="Courier New" w:cs="Courier New"/>
                <w:color w:val="333333"/>
                <w:sz w:val="20"/>
                <w:szCs w:val="20"/>
              </w:rPr>
              <w:t>%</w:t>
            </w:r>
          </w:p>
        </w:tc>
        <w:tc>
          <w:tcPr>
            <w:tcW w:w="1386" w:type="dxa"/>
          </w:tcPr>
          <w:p w:rsidR="00225F41"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225F41">
              <w:rPr>
                <w:rFonts w:ascii="Courier New" w:hAnsi="Courier New" w:cs="Courier New"/>
                <w:color w:val="333333"/>
                <w:sz w:val="20"/>
                <w:szCs w:val="20"/>
              </w:rPr>
              <w:t>.275%</w:t>
            </w:r>
          </w:p>
        </w:tc>
        <w:tc>
          <w:tcPr>
            <w:tcW w:w="1390" w:type="dxa"/>
          </w:tcPr>
          <w:p w:rsidR="00225F41"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A45778">
              <w:rPr>
                <w:rFonts w:ascii="Courier New" w:hAnsi="Courier New" w:cs="Courier New"/>
                <w:color w:val="333333"/>
                <w:sz w:val="20"/>
                <w:szCs w:val="20"/>
              </w:rPr>
              <w:t>.281%</w:t>
            </w:r>
          </w:p>
        </w:tc>
      </w:tr>
      <w:tr w:rsidR="00225F41" w:rsidRPr="00A706CA" w:rsidTr="00BA1A3E">
        <w:trPr>
          <w:tblCellSpacing w:w="15" w:type="dxa"/>
        </w:trPr>
        <w:tc>
          <w:tcPr>
            <w:tcW w:w="4526" w:type="dxa"/>
            <w:gridSpan w:val="4"/>
          </w:tcPr>
          <w:p w:rsidR="00225F41" w:rsidRDefault="00225F41" w:rsidP="00AC173A">
            <w:pPr>
              <w:rPr>
                <w:rFonts w:ascii="Courier New" w:hAnsi="Courier New" w:cs="Courier New"/>
                <w:color w:val="333333"/>
                <w:sz w:val="20"/>
                <w:szCs w:val="20"/>
              </w:rPr>
            </w:pPr>
            <w:r>
              <w:rPr>
                <w:rFonts w:ascii="Courier New" w:hAnsi="Courier New" w:cs="Courier New"/>
                <w:color w:val="333333"/>
                <w:sz w:val="20"/>
                <w:szCs w:val="20"/>
              </w:rPr>
              <w:t xml:space="preserve">  Overall Capitalization Rate</w:t>
            </w:r>
          </w:p>
        </w:tc>
        <w:tc>
          <w:tcPr>
            <w:tcW w:w="1574" w:type="dxa"/>
          </w:tcPr>
          <w:p w:rsidR="00225F41"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7B51D4">
              <w:rPr>
                <w:rFonts w:ascii="Courier New" w:hAnsi="Courier New" w:cs="Courier New"/>
                <w:color w:val="333333"/>
                <w:sz w:val="20"/>
                <w:szCs w:val="20"/>
              </w:rPr>
              <w:t>9.008%</w:t>
            </w:r>
          </w:p>
        </w:tc>
        <w:tc>
          <w:tcPr>
            <w:tcW w:w="1386" w:type="dxa"/>
          </w:tcPr>
          <w:p w:rsidR="00225F41"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7B51D4">
              <w:rPr>
                <w:rFonts w:ascii="Courier New" w:hAnsi="Courier New" w:cs="Courier New"/>
                <w:color w:val="333333"/>
                <w:sz w:val="20"/>
                <w:szCs w:val="20"/>
              </w:rPr>
              <w:t>8</w:t>
            </w:r>
            <w:r w:rsidR="00E8146F">
              <w:rPr>
                <w:rFonts w:ascii="Courier New" w:hAnsi="Courier New" w:cs="Courier New"/>
                <w:color w:val="333333"/>
                <w:sz w:val="20"/>
                <w:szCs w:val="20"/>
              </w:rPr>
              <w:t>.</w:t>
            </w:r>
            <w:r w:rsidR="007B51D4">
              <w:rPr>
                <w:rFonts w:ascii="Courier New" w:hAnsi="Courier New" w:cs="Courier New"/>
                <w:color w:val="333333"/>
                <w:sz w:val="20"/>
                <w:szCs w:val="20"/>
              </w:rPr>
              <w:t>775</w:t>
            </w:r>
            <w:r w:rsidR="00E8146F">
              <w:rPr>
                <w:rFonts w:ascii="Courier New" w:hAnsi="Courier New" w:cs="Courier New"/>
                <w:color w:val="333333"/>
                <w:sz w:val="20"/>
                <w:szCs w:val="20"/>
              </w:rPr>
              <w:t>%</w:t>
            </w:r>
          </w:p>
        </w:tc>
        <w:tc>
          <w:tcPr>
            <w:tcW w:w="1390" w:type="dxa"/>
          </w:tcPr>
          <w:p w:rsidR="007B51D4" w:rsidRDefault="00BA1A3E" w:rsidP="00BA30EC">
            <w:pPr>
              <w:rPr>
                <w:rFonts w:ascii="Courier New" w:hAnsi="Courier New" w:cs="Courier New"/>
                <w:color w:val="333333"/>
                <w:sz w:val="20"/>
                <w:szCs w:val="20"/>
              </w:rPr>
            </w:pPr>
            <w:r>
              <w:rPr>
                <w:rFonts w:ascii="Courier New" w:hAnsi="Courier New" w:cs="Courier New"/>
                <w:color w:val="333333"/>
                <w:sz w:val="20"/>
                <w:szCs w:val="20"/>
              </w:rPr>
              <w:t xml:space="preserve">  </w:t>
            </w:r>
            <w:r w:rsidR="00A02D5F">
              <w:rPr>
                <w:rFonts w:ascii="Courier New" w:hAnsi="Courier New" w:cs="Courier New"/>
                <w:color w:val="333333"/>
                <w:sz w:val="20"/>
                <w:szCs w:val="20"/>
              </w:rPr>
              <w:t xml:space="preserve"> </w:t>
            </w:r>
            <w:r w:rsidR="007B51D4">
              <w:rPr>
                <w:rFonts w:ascii="Courier New" w:hAnsi="Courier New" w:cs="Courier New"/>
                <w:color w:val="333333"/>
                <w:sz w:val="20"/>
                <w:szCs w:val="20"/>
              </w:rPr>
              <w:t>8</w:t>
            </w:r>
            <w:r w:rsidR="00E8146F">
              <w:rPr>
                <w:rFonts w:ascii="Courier New" w:hAnsi="Courier New" w:cs="Courier New"/>
                <w:color w:val="333333"/>
                <w:sz w:val="20"/>
                <w:szCs w:val="20"/>
              </w:rPr>
              <w:t>.</w:t>
            </w:r>
            <w:r w:rsidR="007B51D4">
              <w:rPr>
                <w:rFonts w:ascii="Courier New" w:hAnsi="Courier New" w:cs="Courier New"/>
                <w:color w:val="333333"/>
                <w:sz w:val="20"/>
                <w:szCs w:val="20"/>
              </w:rPr>
              <w:t>531</w:t>
            </w:r>
            <w:r w:rsidR="00E8146F">
              <w:rPr>
                <w:rFonts w:ascii="Courier New" w:hAnsi="Courier New" w:cs="Courier New"/>
                <w:color w:val="333333"/>
                <w:sz w:val="20"/>
                <w:szCs w:val="20"/>
              </w:rPr>
              <w:t>%</w:t>
            </w:r>
            <w:r w:rsidR="007B51D4">
              <w:rPr>
                <w:rFonts w:ascii="Courier New" w:hAnsi="Courier New" w:cs="Courier New"/>
                <w:color w:val="333333"/>
                <w:sz w:val="20"/>
                <w:szCs w:val="20"/>
              </w:rPr>
              <w:t xml:space="preserve">                                                                                                                                                                                                                                                                                                                                                                                                                                                                                                                                                                                                                    </w:t>
            </w:r>
          </w:p>
        </w:tc>
      </w:tr>
      <w:tr w:rsidR="00B2448C" w:rsidRPr="00A706CA" w:rsidTr="00BA1A3E">
        <w:trPr>
          <w:tblCellSpacing w:w="15" w:type="dxa"/>
        </w:trPr>
        <w:tc>
          <w:tcPr>
            <w:tcW w:w="4526" w:type="dxa"/>
            <w:gridSpan w:val="4"/>
          </w:tcPr>
          <w:p w:rsidR="00B2448C" w:rsidRDefault="00B2448C" w:rsidP="00AC173A">
            <w:pPr>
              <w:rPr>
                <w:rFonts w:ascii="Courier New" w:hAnsi="Courier New" w:cs="Courier New"/>
                <w:color w:val="333333"/>
                <w:sz w:val="20"/>
                <w:szCs w:val="20"/>
              </w:rPr>
            </w:pPr>
          </w:p>
        </w:tc>
        <w:tc>
          <w:tcPr>
            <w:tcW w:w="1574" w:type="dxa"/>
          </w:tcPr>
          <w:p w:rsidR="00B2448C" w:rsidRDefault="00B2448C" w:rsidP="00BA30EC">
            <w:pPr>
              <w:rPr>
                <w:rFonts w:ascii="Courier New" w:hAnsi="Courier New" w:cs="Courier New"/>
                <w:color w:val="333333"/>
                <w:sz w:val="20"/>
                <w:szCs w:val="20"/>
              </w:rPr>
            </w:pPr>
          </w:p>
        </w:tc>
        <w:tc>
          <w:tcPr>
            <w:tcW w:w="1386" w:type="dxa"/>
          </w:tcPr>
          <w:p w:rsidR="00B2448C" w:rsidRDefault="00B2448C" w:rsidP="00BA30EC">
            <w:pPr>
              <w:rPr>
                <w:rFonts w:ascii="Courier New" w:hAnsi="Courier New" w:cs="Courier New"/>
                <w:color w:val="333333"/>
                <w:sz w:val="20"/>
                <w:szCs w:val="20"/>
              </w:rPr>
            </w:pPr>
          </w:p>
        </w:tc>
        <w:tc>
          <w:tcPr>
            <w:tcW w:w="1390" w:type="dxa"/>
          </w:tcPr>
          <w:p w:rsidR="00B2448C" w:rsidRDefault="00B2448C" w:rsidP="00BA30EC">
            <w:pPr>
              <w:rPr>
                <w:rFonts w:ascii="Courier New" w:hAnsi="Courier New" w:cs="Courier New"/>
                <w:color w:val="333333"/>
                <w:sz w:val="20"/>
                <w:szCs w:val="20"/>
              </w:rPr>
            </w:pPr>
          </w:p>
        </w:tc>
      </w:tr>
      <w:tr w:rsidR="004B35D4" w:rsidRPr="00B6071D" w:rsidTr="00BA1A3E">
        <w:trPr>
          <w:tblCellSpacing w:w="15" w:type="dxa"/>
        </w:trPr>
        <w:tc>
          <w:tcPr>
            <w:tcW w:w="4526" w:type="dxa"/>
            <w:gridSpan w:val="4"/>
          </w:tcPr>
          <w:p w:rsidR="004B35D4" w:rsidRPr="00B6071D" w:rsidRDefault="004B35D4" w:rsidP="00AC173A">
            <w:pPr>
              <w:rPr>
                <w:rFonts w:ascii="Courier New" w:hAnsi="Courier New" w:cs="Courier New"/>
                <w:b/>
                <w:color w:val="333333"/>
                <w:sz w:val="20"/>
                <w:szCs w:val="20"/>
              </w:rPr>
            </w:pPr>
            <w:r w:rsidRPr="00B6071D">
              <w:rPr>
                <w:rFonts w:ascii="Courier New" w:hAnsi="Courier New" w:cs="Courier New"/>
                <w:b/>
                <w:color w:val="333333"/>
                <w:sz w:val="20"/>
                <w:szCs w:val="20"/>
              </w:rPr>
              <w:t>Capitalized Value</w:t>
            </w:r>
          </w:p>
        </w:tc>
        <w:tc>
          <w:tcPr>
            <w:tcW w:w="1574" w:type="dxa"/>
          </w:tcPr>
          <w:p w:rsidR="004B35D4" w:rsidRPr="00B6071D" w:rsidRDefault="00BA1A3E" w:rsidP="00BA30EC">
            <w:pPr>
              <w:rPr>
                <w:rFonts w:ascii="Courier New" w:hAnsi="Courier New" w:cs="Courier New"/>
                <w:b/>
                <w:color w:val="333333"/>
                <w:sz w:val="20"/>
                <w:szCs w:val="20"/>
              </w:rPr>
            </w:pPr>
            <w:r>
              <w:rPr>
                <w:rFonts w:ascii="Courier New" w:hAnsi="Courier New" w:cs="Courier New"/>
                <w:b/>
                <w:color w:val="333333"/>
                <w:sz w:val="20"/>
                <w:szCs w:val="20"/>
              </w:rPr>
              <w:t xml:space="preserve"> </w:t>
            </w:r>
            <w:r w:rsidR="00E8146F">
              <w:rPr>
                <w:rFonts w:ascii="Courier New" w:hAnsi="Courier New" w:cs="Courier New"/>
                <w:b/>
                <w:color w:val="333333"/>
                <w:sz w:val="20"/>
                <w:szCs w:val="20"/>
              </w:rPr>
              <w:t>$</w:t>
            </w:r>
            <w:r w:rsidR="0064280E">
              <w:rPr>
                <w:rFonts w:ascii="Courier New" w:hAnsi="Courier New" w:cs="Courier New"/>
                <w:b/>
                <w:color w:val="333333"/>
                <w:sz w:val="20"/>
                <w:szCs w:val="20"/>
              </w:rPr>
              <w:t>14,888,1</w:t>
            </w:r>
            <w:r w:rsidR="002B6B66">
              <w:rPr>
                <w:rFonts w:ascii="Courier New" w:hAnsi="Courier New" w:cs="Courier New"/>
                <w:b/>
                <w:color w:val="333333"/>
                <w:sz w:val="20"/>
                <w:szCs w:val="20"/>
              </w:rPr>
              <w:t>11</w:t>
            </w:r>
          </w:p>
        </w:tc>
        <w:tc>
          <w:tcPr>
            <w:tcW w:w="1386" w:type="dxa"/>
          </w:tcPr>
          <w:p w:rsidR="004B35D4" w:rsidRPr="00B6071D" w:rsidRDefault="00B2448C" w:rsidP="0064280E">
            <w:pPr>
              <w:rPr>
                <w:rFonts w:ascii="Courier New" w:hAnsi="Courier New" w:cs="Courier New"/>
                <w:b/>
                <w:color w:val="333333"/>
                <w:sz w:val="20"/>
                <w:szCs w:val="20"/>
              </w:rPr>
            </w:pPr>
            <w:r>
              <w:rPr>
                <w:rFonts w:ascii="Courier New" w:hAnsi="Courier New" w:cs="Courier New"/>
                <w:b/>
                <w:color w:val="333333"/>
                <w:sz w:val="20"/>
                <w:szCs w:val="20"/>
              </w:rPr>
              <w:t>$1</w:t>
            </w:r>
            <w:r w:rsidR="00FF4F72">
              <w:rPr>
                <w:rFonts w:ascii="Courier New" w:hAnsi="Courier New" w:cs="Courier New"/>
                <w:b/>
                <w:color w:val="333333"/>
                <w:sz w:val="20"/>
                <w:szCs w:val="20"/>
              </w:rPr>
              <w:t>5,</w:t>
            </w:r>
            <w:r w:rsidR="0064280E">
              <w:rPr>
                <w:rFonts w:ascii="Courier New" w:hAnsi="Courier New" w:cs="Courier New"/>
                <w:b/>
                <w:color w:val="333333"/>
                <w:sz w:val="20"/>
                <w:szCs w:val="20"/>
              </w:rPr>
              <w:t>215</w:t>
            </w:r>
            <w:r w:rsidR="00FF4F72">
              <w:rPr>
                <w:rFonts w:ascii="Courier New" w:hAnsi="Courier New" w:cs="Courier New"/>
                <w:b/>
                <w:color w:val="333333"/>
                <w:sz w:val="20"/>
                <w:szCs w:val="20"/>
              </w:rPr>
              <w:t>,</w:t>
            </w:r>
            <w:r w:rsidR="006A0A50">
              <w:rPr>
                <w:rFonts w:ascii="Courier New" w:hAnsi="Courier New" w:cs="Courier New"/>
                <w:b/>
                <w:color w:val="333333"/>
                <w:sz w:val="20"/>
                <w:szCs w:val="20"/>
              </w:rPr>
              <w:t>259</w:t>
            </w:r>
          </w:p>
        </w:tc>
        <w:tc>
          <w:tcPr>
            <w:tcW w:w="1390" w:type="dxa"/>
          </w:tcPr>
          <w:p w:rsidR="004B35D4" w:rsidRPr="00B6071D" w:rsidRDefault="00B2448C" w:rsidP="006A0A50">
            <w:pPr>
              <w:rPr>
                <w:rFonts w:ascii="Courier New" w:hAnsi="Courier New" w:cs="Courier New"/>
                <w:b/>
                <w:color w:val="333333"/>
                <w:sz w:val="20"/>
                <w:szCs w:val="20"/>
              </w:rPr>
            </w:pPr>
            <w:r>
              <w:rPr>
                <w:rFonts w:ascii="Courier New" w:hAnsi="Courier New" w:cs="Courier New"/>
                <w:b/>
                <w:color w:val="333333"/>
                <w:sz w:val="20"/>
                <w:szCs w:val="20"/>
              </w:rPr>
              <w:t>$1</w:t>
            </w:r>
            <w:r w:rsidR="0064280E">
              <w:rPr>
                <w:rFonts w:ascii="Courier New" w:hAnsi="Courier New" w:cs="Courier New"/>
                <w:b/>
                <w:color w:val="333333"/>
                <w:sz w:val="20"/>
                <w:szCs w:val="20"/>
              </w:rPr>
              <w:t>5,789,</w:t>
            </w:r>
            <w:r w:rsidR="006A0A50">
              <w:rPr>
                <w:rFonts w:ascii="Courier New" w:hAnsi="Courier New" w:cs="Courier New"/>
                <w:b/>
                <w:color w:val="333333"/>
                <w:sz w:val="20"/>
                <w:szCs w:val="20"/>
              </w:rPr>
              <w:t>802</w:t>
            </w:r>
          </w:p>
        </w:tc>
      </w:tr>
    </w:tbl>
    <w:p w:rsidR="00F17CD9" w:rsidRDefault="000C12AB" w:rsidP="00075C79">
      <w:pPr>
        <w:jc w:val="both"/>
        <w:rPr>
          <w:rFonts w:ascii="Courier New" w:hAnsi="Courier New" w:cs="Courier New"/>
        </w:rPr>
      </w:pPr>
      <w:r>
        <w:rPr>
          <w:rFonts w:ascii="Courier New" w:hAnsi="Courier New" w:cs="Courier New"/>
        </w:rPr>
        <w:tab/>
      </w:r>
    </w:p>
    <w:p w:rsidR="001E1352" w:rsidRDefault="005520D8" w:rsidP="007145F7">
      <w:pPr>
        <w:spacing w:line="480" w:lineRule="auto"/>
        <w:ind w:firstLine="720"/>
        <w:jc w:val="both"/>
        <w:rPr>
          <w:rFonts w:ascii="Courier New" w:hAnsi="Courier New" w:cs="Courier New"/>
        </w:rPr>
      </w:pPr>
      <w:r>
        <w:rPr>
          <w:rFonts w:ascii="Courier New" w:hAnsi="Courier New" w:cs="Courier New"/>
        </w:rPr>
        <w:t>On this basis, t</w:t>
      </w:r>
      <w:r w:rsidR="000C12AB">
        <w:rPr>
          <w:rFonts w:ascii="Courier New" w:hAnsi="Courier New" w:cs="Courier New"/>
        </w:rPr>
        <w:t xml:space="preserve">he Board found and ruled that the appellant </w:t>
      </w:r>
      <w:r w:rsidR="003477E8">
        <w:rPr>
          <w:rFonts w:ascii="Courier New" w:hAnsi="Courier New" w:cs="Courier New"/>
        </w:rPr>
        <w:t>failed to meet its burden of proving that the subject property</w:t>
      </w:r>
      <w:r w:rsidR="00BA1A3E">
        <w:rPr>
          <w:rFonts w:ascii="Courier New" w:hAnsi="Courier New" w:cs="Courier New"/>
        </w:rPr>
        <w:t>’s assessments of $14,454,800, $14,753,00, and $14,865,300</w:t>
      </w:r>
      <w:r w:rsidR="003477E8">
        <w:rPr>
          <w:rFonts w:ascii="Courier New" w:hAnsi="Courier New" w:cs="Courier New"/>
        </w:rPr>
        <w:t xml:space="preserve"> </w:t>
      </w:r>
      <w:r w:rsidR="00BA1A3E">
        <w:rPr>
          <w:rFonts w:ascii="Courier New" w:hAnsi="Courier New" w:cs="Courier New"/>
        </w:rPr>
        <w:t>for fiscal years 2012, 2013, and 2014, respectively, exceeded t</w:t>
      </w:r>
      <w:r w:rsidR="00075C79">
        <w:rPr>
          <w:rFonts w:ascii="Courier New" w:hAnsi="Courier New" w:cs="Courier New"/>
        </w:rPr>
        <w:t xml:space="preserve">he </w:t>
      </w:r>
      <w:r w:rsidR="00BA1A3E">
        <w:rPr>
          <w:rFonts w:ascii="Courier New" w:hAnsi="Courier New" w:cs="Courier New"/>
        </w:rPr>
        <w:t>s</w:t>
      </w:r>
      <w:r w:rsidR="00075C79">
        <w:rPr>
          <w:rFonts w:ascii="Courier New" w:hAnsi="Courier New" w:cs="Courier New"/>
        </w:rPr>
        <w:t xml:space="preserve">ubject property’s </w:t>
      </w:r>
      <w:r w:rsidR="00BA1A3E">
        <w:rPr>
          <w:rFonts w:ascii="Courier New" w:hAnsi="Courier New" w:cs="Courier New"/>
        </w:rPr>
        <w:t>fair cash values for the corresponding years.</w:t>
      </w:r>
      <w:r w:rsidR="003477E8">
        <w:rPr>
          <w:rFonts w:ascii="Courier New" w:hAnsi="Courier New" w:cs="Courier New"/>
        </w:rPr>
        <w:t xml:space="preserve">  </w:t>
      </w:r>
      <w:r w:rsidR="003477E8">
        <w:rPr>
          <w:rFonts w:ascii="Courier New" w:hAnsi="Courier New" w:cs="Courier New"/>
        </w:rPr>
        <w:lastRenderedPageBreak/>
        <w:t>Accordingly, the Board issued decision</w:t>
      </w:r>
      <w:r w:rsidR="001E1352">
        <w:rPr>
          <w:rFonts w:ascii="Courier New" w:hAnsi="Courier New" w:cs="Courier New"/>
        </w:rPr>
        <w:t>s</w:t>
      </w:r>
      <w:r w:rsidR="003477E8">
        <w:rPr>
          <w:rFonts w:ascii="Courier New" w:hAnsi="Courier New" w:cs="Courier New"/>
        </w:rPr>
        <w:t xml:space="preserve"> for the appellee in these appeals.</w:t>
      </w:r>
    </w:p>
    <w:p w:rsidR="007145F7" w:rsidRDefault="007145F7" w:rsidP="007145F7">
      <w:pPr>
        <w:spacing w:line="480" w:lineRule="auto"/>
        <w:ind w:firstLine="720"/>
        <w:jc w:val="both"/>
        <w:rPr>
          <w:rFonts w:ascii="Courier New" w:hAnsi="Courier New" w:cs="Courier New"/>
        </w:rPr>
      </w:pPr>
    </w:p>
    <w:p w:rsidR="001E1352" w:rsidRDefault="001E1352" w:rsidP="00C31164">
      <w:pPr>
        <w:spacing w:line="480" w:lineRule="auto"/>
        <w:jc w:val="center"/>
        <w:rPr>
          <w:rFonts w:ascii="Courier New" w:hAnsi="Courier New" w:cs="Courier New"/>
          <w:b/>
          <w:bCs/>
        </w:rPr>
      </w:pPr>
      <w:r>
        <w:rPr>
          <w:rFonts w:ascii="Courier New" w:hAnsi="Courier New" w:cs="Courier New"/>
          <w:b/>
          <w:bCs/>
        </w:rPr>
        <w:t>OPINION</w:t>
      </w:r>
    </w:p>
    <w:p w:rsidR="003F7271" w:rsidRDefault="003F7271" w:rsidP="003F7271">
      <w:pPr>
        <w:spacing w:line="480" w:lineRule="auto"/>
        <w:jc w:val="both"/>
        <w:rPr>
          <w:rFonts w:ascii="Courier New" w:hAnsi="Courier New" w:cs="Courier New"/>
          <w:b/>
        </w:rPr>
      </w:pPr>
      <w:r>
        <w:rPr>
          <w:rFonts w:ascii="Courier New" w:hAnsi="Courier New" w:cs="Courier New"/>
          <w:b/>
        </w:rPr>
        <w:t>Jurisdiction</w:t>
      </w:r>
      <w:r w:rsidR="00FE46BA">
        <w:rPr>
          <w:rFonts w:ascii="Courier New" w:hAnsi="Courier New" w:cs="Courier New"/>
          <w:b/>
        </w:rPr>
        <w:t xml:space="preserve"> Regarding Fiscal Year 2013 Appeal</w:t>
      </w:r>
    </w:p>
    <w:p w:rsidR="00C40C2D" w:rsidRDefault="00C40C2D" w:rsidP="00C40C2D">
      <w:pPr>
        <w:spacing w:line="480" w:lineRule="auto"/>
        <w:ind w:firstLine="720"/>
        <w:jc w:val="both"/>
        <w:rPr>
          <w:rFonts w:ascii="Courier New" w:hAnsi="Courier New" w:cs="Courier New"/>
          <w:b/>
        </w:rPr>
      </w:pPr>
      <w:r>
        <w:rPr>
          <w:rFonts w:ascii="Courier New" w:hAnsi="Courier New" w:cs="Courier New"/>
        </w:rPr>
        <w:t>At the hearing of these appeals, the assessors made an oral motion to dismiss</w:t>
      </w:r>
      <w:r w:rsidRPr="00737CF7">
        <w:rPr>
          <w:rFonts w:ascii="Courier New" w:hAnsi="Courier New" w:cs="Courier New"/>
        </w:rPr>
        <w:t xml:space="preserve"> </w:t>
      </w:r>
      <w:r>
        <w:rPr>
          <w:rFonts w:ascii="Courier New" w:hAnsi="Courier New" w:cs="Courier New"/>
        </w:rPr>
        <w:t xml:space="preserve">the appellant’s fiscal year 2013 appeal, arguing that it was not timely filed with the Board.  </w:t>
      </w:r>
    </w:p>
    <w:p w:rsidR="00002760" w:rsidRDefault="00075C79" w:rsidP="00CB28E4">
      <w:pPr>
        <w:spacing w:line="480" w:lineRule="auto"/>
        <w:jc w:val="both"/>
        <w:rPr>
          <w:rFonts w:ascii="Courier New" w:hAnsi="Courier New" w:cs="Courier New"/>
          <w:color w:val="333333"/>
          <w:shd w:val="clear" w:color="auto" w:fill="FFFFFF"/>
        </w:rPr>
      </w:pPr>
      <w:r>
        <w:rPr>
          <w:rFonts w:ascii="Courier New" w:hAnsi="Courier New" w:cs="Courier New"/>
        </w:rPr>
        <w:tab/>
      </w:r>
      <w:r w:rsidR="00CB28E4">
        <w:rPr>
          <w:rFonts w:ascii="Courier New" w:hAnsi="Courier New" w:cs="Courier New"/>
        </w:rPr>
        <w:t>G</w:t>
      </w:r>
      <w:r w:rsidR="005979EA">
        <w:rPr>
          <w:rFonts w:ascii="Courier New" w:hAnsi="Courier New" w:cs="Courier New"/>
        </w:rPr>
        <w:t xml:space="preserve">eneral Laws </w:t>
      </w:r>
      <w:r w:rsidR="00CB28E4">
        <w:rPr>
          <w:rFonts w:ascii="Courier New" w:hAnsi="Courier New" w:cs="Courier New"/>
        </w:rPr>
        <w:t>c. 59, §§ 64 and 65 provide that a</w:t>
      </w:r>
      <w:r w:rsidR="00280BBD" w:rsidRPr="003F7271">
        <w:rPr>
          <w:rFonts w:ascii="Courier New" w:hAnsi="Courier New" w:cs="Courier New"/>
          <w:color w:val="333333"/>
          <w:shd w:val="clear" w:color="auto" w:fill="FFFFFF"/>
        </w:rPr>
        <w:t xml:space="preserve"> taxpayer</w:t>
      </w:r>
      <w:r w:rsidR="00477C00">
        <w:rPr>
          <w:rFonts w:ascii="Courier New" w:hAnsi="Courier New" w:cs="Courier New"/>
          <w:color w:val="333333"/>
          <w:shd w:val="clear" w:color="auto" w:fill="FFFFFF"/>
        </w:rPr>
        <w:t xml:space="preserve"> </w:t>
      </w:r>
      <w:r w:rsidR="00CB28E4">
        <w:rPr>
          <w:rFonts w:ascii="Courier New" w:hAnsi="Courier New" w:cs="Courier New"/>
          <w:color w:val="333333"/>
          <w:shd w:val="clear" w:color="auto" w:fill="FFFFFF"/>
        </w:rPr>
        <w:t>may file an appeal with the Board</w:t>
      </w:r>
      <w:r w:rsidR="00477C00">
        <w:rPr>
          <w:rFonts w:ascii="Courier New" w:hAnsi="Courier New" w:cs="Courier New"/>
          <w:color w:val="333333"/>
          <w:shd w:val="clear" w:color="auto" w:fill="FFFFFF"/>
        </w:rPr>
        <w:t xml:space="preserve">, </w:t>
      </w:r>
      <w:r w:rsidR="00280BBD" w:rsidRPr="003F7271">
        <w:rPr>
          <w:rFonts w:ascii="Courier New" w:hAnsi="Courier New" w:cs="Courier New"/>
          <w:color w:val="333333"/>
          <w:shd w:val="clear" w:color="auto" w:fill="FFFFFF"/>
        </w:rPr>
        <w:t>within three months of the assessors' decision on an abatement application or, if the assessors fail to timely act on an abatement application, within three month</w:t>
      </w:r>
      <w:r w:rsidR="00477C00">
        <w:rPr>
          <w:rFonts w:ascii="Courier New" w:hAnsi="Courier New" w:cs="Courier New"/>
          <w:color w:val="333333"/>
          <w:shd w:val="clear" w:color="auto" w:fill="FFFFFF"/>
        </w:rPr>
        <w:t>s of the date of deemed denial.</w:t>
      </w:r>
      <w:r w:rsidR="002D424B">
        <w:rPr>
          <w:rFonts w:ascii="Courier New" w:hAnsi="Courier New" w:cs="Courier New"/>
          <w:color w:val="333333"/>
          <w:shd w:val="clear" w:color="auto" w:fill="FFFFFF"/>
        </w:rPr>
        <w:t xml:space="preserve">  A</w:t>
      </w:r>
      <w:r w:rsidR="00FE46BA">
        <w:rPr>
          <w:rFonts w:ascii="Courier New" w:hAnsi="Courier New" w:cs="Courier New"/>
          <w:color w:val="333333"/>
          <w:shd w:val="clear" w:color="auto" w:fill="FFFFFF"/>
        </w:rPr>
        <w:t xml:space="preserve">ssessors are required </w:t>
      </w:r>
      <w:r w:rsidR="000B658B">
        <w:rPr>
          <w:rFonts w:ascii="Courier New" w:hAnsi="Courier New" w:cs="Courier New"/>
          <w:color w:val="333333"/>
          <w:shd w:val="clear" w:color="auto" w:fill="FFFFFF"/>
        </w:rPr>
        <w:t xml:space="preserve">under G.L. c. 59, § 63 </w:t>
      </w:r>
      <w:r w:rsidR="00FE46BA">
        <w:rPr>
          <w:rFonts w:ascii="Courier New" w:hAnsi="Courier New" w:cs="Courier New"/>
          <w:color w:val="333333"/>
          <w:shd w:val="clear" w:color="auto" w:fill="FFFFFF"/>
        </w:rPr>
        <w:t xml:space="preserve">to </w:t>
      </w:r>
      <w:r w:rsidR="002D424B">
        <w:rPr>
          <w:rFonts w:ascii="Courier New" w:hAnsi="Courier New" w:cs="Courier New"/>
          <w:color w:val="333333"/>
          <w:shd w:val="clear" w:color="auto" w:fill="FFFFFF"/>
        </w:rPr>
        <w:t xml:space="preserve">give </w:t>
      </w:r>
      <w:r w:rsidR="00FE46BA">
        <w:rPr>
          <w:rFonts w:ascii="Courier New" w:hAnsi="Courier New" w:cs="Courier New"/>
          <w:color w:val="333333"/>
          <w:shd w:val="clear" w:color="auto" w:fill="FFFFFF"/>
        </w:rPr>
        <w:t xml:space="preserve">written notice </w:t>
      </w:r>
      <w:r w:rsidR="000B658B">
        <w:rPr>
          <w:rFonts w:ascii="Courier New" w:hAnsi="Courier New" w:cs="Courier New"/>
          <w:color w:val="333333"/>
          <w:shd w:val="clear" w:color="auto" w:fill="FFFFFF"/>
        </w:rPr>
        <w:t xml:space="preserve">of their decision on an abatement application, or their deemed denial, </w:t>
      </w:r>
      <w:r w:rsidR="00C31164">
        <w:rPr>
          <w:rFonts w:ascii="Courier New" w:hAnsi="Courier New" w:cs="Courier New"/>
          <w:color w:val="333333"/>
          <w:shd w:val="clear" w:color="auto" w:fill="FFFFFF"/>
        </w:rPr>
        <w:t xml:space="preserve">to the taxpayer </w:t>
      </w:r>
      <w:r w:rsidR="00FE46BA">
        <w:rPr>
          <w:rFonts w:ascii="Courier New" w:hAnsi="Courier New" w:cs="Courier New"/>
          <w:color w:val="333333"/>
          <w:shd w:val="clear" w:color="auto" w:fill="FFFFFF"/>
        </w:rPr>
        <w:t xml:space="preserve">within </w:t>
      </w:r>
      <w:r w:rsidR="009A7138">
        <w:rPr>
          <w:rFonts w:ascii="Courier New" w:hAnsi="Courier New" w:cs="Courier New"/>
          <w:color w:val="333333"/>
          <w:shd w:val="clear" w:color="auto" w:fill="FFFFFF"/>
        </w:rPr>
        <w:t>10</w:t>
      </w:r>
      <w:r w:rsidR="00FE46BA">
        <w:rPr>
          <w:rFonts w:ascii="Courier New" w:hAnsi="Courier New" w:cs="Courier New"/>
          <w:color w:val="333333"/>
          <w:shd w:val="clear" w:color="auto" w:fill="FFFFFF"/>
        </w:rPr>
        <w:t xml:space="preserve"> days of the decision</w:t>
      </w:r>
      <w:r w:rsidR="000B658B">
        <w:rPr>
          <w:rFonts w:ascii="Courier New" w:hAnsi="Courier New" w:cs="Courier New"/>
          <w:color w:val="333333"/>
          <w:shd w:val="clear" w:color="auto" w:fill="FFFFFF"/>
        </w:rPr>
        <w:t xml:space="preserve"> or deemed denial date.</w:t>
      </w:r>
    </w:p>
    <w:p w:rsidR="00FE46BA" w:rsidRDefault="0063151C" w:rsidP="0063151C">
      <w:pPr>
        <w:spacing w:line="480" w:lineRule="auto"/>
        <w:ind w:firstLine="720"/>
        <w:jc w:val="both"/>
        <w:rPr>
          <w:rFonts w:ascii="Courier New" w:hAnsi="Courier New" w:cs="Courier New"/>
        </w:rPr>
      </w:pPr>
      <w:r>
        <w:rPr>
          <w:rFonts w:ascii="Courier New" w:hAnsi="Courier New" w:cs="Courier New"/>
          <w:color w:val="333333"/>
          <w:shd w:val="clear" w:color="auto" w:fill="FFFFFF"/>
        </w:rPr>
        <w:t xml:space="preserve">In the </w:t>
      </w:r>
      <w:r w:rsidR="00FE46BA">
        <w:rPr>
          <w:rFonts w:ascii="Courier New" w:hAnsi="Courier New" w:cs="Courier New"/>
          <w:color w:val="333333"/>
          <w:shd w:val="clear" w:color="auto" w:fill="FFFFFF"/>
        </w:rPr>
        <w:t>fiscal year 2013</w:t>
      </w:r>
      <w:r>
        <w:rPr>
          <w:rFonts w:ascii="Courier New" w:hAnsi="Courier New" w:cs="Courier New"/>
          <w:color w:val="333333"/>
          <w:shd w:val="clear" w:color="auto" w:fill="FFFFFF"/>
        </w:rPr>
        <w:t xml:space="preserve"> appeal, the appellant </w:t>
      </w:r>
      <w:r w:rsidR="00FE46BA">
        <w:rPr>
          <w:rFonts w:ascii="Courier New" w:hAnsi="Courier New" w:cs="Courier New"/>
          <w:color w:val="333333"/>
          <w:shd w:val="clear" w:color="auto" w:fill="FFFFFF"/>
        </w:rPr>
        <w:t>filed its aba</w:t>
      </w:r>
      <w:r>
        <w:rPr>
          <w:rFonts w:ascii="Courier New" w:hAnsi="Courier New" w:cs="Courier New"/>
          <w:color w:val="333333"/>
          <w:shd w:val="clear" w:color="auto" w:fill="FFFFFF"/>
        </w:rPr>
        <w:t xml:space="preserve">tement application on January 25, 2013, which was denied by the assessors on February 8, 2013.  </w:t>
      </w:r>
      <w:r w:rsidR="00C9178B">
        <w:rPr>
          <w:rFonts w:ascii="Courier New" w:hAnsi="Courier New" w:cs="Courier New"/>
          <w:color w:val="333333"/>
          <w:shd w:val="clear" w:color="auto" w:fill="FFFFFF"/>
        </w:rPr>
        <w:t>However, b</w:t>
      </w:r>
      <w:r w:rsidR="00FE46BA">
        <w:rPr>
          <w:rFonts w:ascii="Courier New" w:hAnsi="Courier New" w:cs="Courier New"/>
          <w:color w:val="333333"/>
          <w:shd w:val="clear" w:color="auto" w:fill="FFFFFF"/>
        </w:rPr>
        <w:t>ased on credible</w:t>
      </w:r>
      <w:r w:rsidR="008F593D">
        <w:rPr>
          <w:rFonts w:ascii="Courier New" w:hAnsi="Courier New" w:cs="Courier New"/>
          <w:color w:val="333333"/>
          <w:shd w:val="clear" w:color="auto" w:fill="FFFFFF"/>
        </w:rPr>
        <w:t xml:space="preserve"> evidence</w:t>
      </w:r>
      <w:r w:rsidR="00FE46BA">
        <w:rPr>
          <w:rFonts w:ascii="Courier New" w:hAnsi="Courier New" w:cs="Courier New"/>
          <w:color w:val="333333"/>
          <w:shd w:val="clear" w:color="auto" w:fill="FFFFFF"/>
        </w:rPr>
        <w:t>,</w:t>
      </w:r>
      <w:r w:rsidR="008F593D">
        <w:rPr>
          <w:rFonts w:ascii="Courier New" w:hAnsi="Courier New" w:cs="Courier New"/>
          <w:color w:val="333333"/>
          <w:shd w:val="clear" w:color="auto" w:fill="FFFFFF"/>
        </w:rPr>
        <w:t xml:space="preserve"> the Board found that the</w:t>
      </w:r>
      <w:r>
        <w:rPr>
          <w:rFonts w:ascii="Courier New" w:hAnsi="Courier New" w:cs="Courier New"/>
        </w:rPr>
        <w:t xml:space="preserve"> appellant did not receive the assessors’ fiscal year 2013 denial </w:t>
      </w:r>
      <w:r w:rsidR="008F593D">
        <w:rPr>
          <w:rFonts w:ascii="Courier New" w:hAnsi="Courier New" w:cs="Courier New"/>
        </w:rPr>
        <w:t>letter</w:t>
      </w:r>
      <w:r>
        <w:rPr>
          <w:rFonts w:ascii="Courier New" w:hAnsi="Courier New" w:cs="Courier New"/>
        </w:rPr>
        <w:t xml:space="preserve">.  </w:t>
      </w:r>
    </w:p>
    <w:p w:rsidR="00FE46BA" w:rsidRDefault="00FE46BA" w:rsidP="00541AAB">
      <w:pPr>
        <w:spacing w:line="480" w:lineRule="auto"/>
        <w:ind w:firstLine="720"/>
        <w:jc w:val="both"/>
        <w:rPr>
          <w:rFonts w:ascii="Courier New" w:hAnsi="Courier New" w:cs="Courier New"/>
          <w:color w:val="333333"/>
          <w:shd w:val="clear" w:color="auto" w:fill="FFFFFF"/>
        </w:rPr>
      </w:pPr>
      <w:r w:rsidRPr="0063151C">
        <w:rPr>
          <w:rFonts w:ascii="Courier New" w:hAnsi="Courier New" w:cs="Courier New"/>
          <w:color w:val="333333"/>
          <w:shd w:val="clear" w:color="auto" w:fill="FFFFFF"/>
        </w:rPr>
        <w:t>"</w:t>
      </w:r>
      <w:bookmarkStart w:id="1" w:name="clsccl11"/>
      <w:bookmarkEnd w:id="1"/>
      <w:r w:rsidRPr="0063151C">
        <w:rPr>
          <w:rFonts w:ascii="Courier New" w:hAnsi="Courier New" w:cs="Courier New"/>
          <w:color w:val="333333"/>
          <w:shd w:val="clear" w:color="auto" w:fill="FFFFFF"/>
        </w:rPr>
        <w:t xml:space="preserve">[S]tatutes embodying procedural requirements should be construed, when possible, to further the statutory scheme </w:t>
      </w:r>
      <w:r w:rsidRPr="0063151C">
        <w:rPr>
          <w:rFonts w:ascii="Courier New" w:hAnsi="Courier New" w:cs="Courier New"/>
          <w:color w:val="333333"/>
          <w:shd w:val="clear" w:color="auto" w:fill="FFFFFF"/>
        </w:rPr>
        <w:lastRenderedPageBreak/>
        <w:t>intended by the Legislature without creating snares for the unwary</w:t>
      </w:r>
      <w:r w:rsidRPr="009A7138">
        <w:rPr>
          <w:rFonts w:ascii="Courier New" w:hAnsi="Courier New" w:cs="Courier New"/>
          <w:b/>
          <w:color w:val="333333"/>
          <w:shd w:val="clear" w:color="auto" w:fill="FFFFFF"/>
        </w:rPr>
        <w:t>."</w:t>
      </w:r>
      <w:r w:rsidRPr="0063151C">
        <w:rPr>
          <w:rStyle w:val="apple-converted-space"/>
          <w:rFonts w:ascii="Courier New" w:hAnsi="Courier New" w:cs="Courier New"/>
          <w:color w:val="333333"/>
          <w:shd w:val="clear" w:color="auto" w:fill="FFFFFF"/>
        </w:rPr>
        <w:t> </w:t>
      </w:r>
      <w:r>
        <w:rPr>
          <w:rStyle w:val="apple-converted-space"/>
          <w:rFonts w:ascii="Courier New" w:hAnsi="Courier New" w:cs="Courier New"/>
          <w:color w:val="333333"/>
          <w:shd w:val="clear" w:color="auto" w:fill="FFFFFF"/>
        </w:rPr>
        <w:t xml:space="preserve"> </w:t>
      </w:r>
      <w:r>
        <w:rPr>
          <w:rStyle w:val="apple-converted-space"/>
          <w:rFonts w:ascii="Courier New" w:hAnsi="Courier New" w:cs="Courier New"/>
          <w:b/>
          <w:i/>
          <w:color w:val="333333"/>
          <w:shd w:val="clear" w:color="auto" w:fill="FFFFFF"/>
        </w:rPr>
        <w:t xml:space="preserve">Becton, Dickinson &amp; Co. v. State Tax Commission, </w:t>
      </w:r>
      <w:r>
        <w:rPr>
          <w:rStyle w:val="apple-converted-space"/>
          <w:rFonts w:ascii="Courier New" w:hAnsi="Courier New" w:cs="Courier New"/>
          <w:color w:val="333333"/>
          <w:shd w:val="clear" w:color="auto" w:fill="FFFFFF"/>
        </w:rPr>
        <w:t xml:space="preserve">374 Mass. 230, 233 (1978).  </w:t>
      </w:r>
      <w:r>
        <w:rPr>
          <w:rFonts w:ascii="Courier New" w:hAnsi="Courier New" w:cs="Courier New"/>
          <w:color w:val="333333"/>
          <w:shd w:val="clear" w:color="auto" w:fill="FFFFFF"/>
        </w:rPr>
        <w:t xml:space="preserve">In </w:t>
      </w:r>
      <w:r>
        <w:rPr>
          <w:rFonts w:ascii="Courier New" w:hAnsi="Courier New" w:cs="Courier New"/>
          <w:b/>
          <w:i/>
          <w:color w:val="333333"/>
          <w:shd w:val="clear" w:color="auto" w:fill="FFFFFF"/>
        </w:rPr>
        <w:t>SCA Disposal Services of New England v. State Tax Commission</w:t>
      </w:r>
      <w:r>
        <w:rPr>
          <w:rFonts w:ascii="Courier New" w:hAnsi="Courier New" w:cs="Courier New"/>
          <w:color w:val="333333"/>
          <w:shd w:val="clear" w:color="auto" w:fill="FFFFFF"/>
        </w:rPr>
        <w:t>, the Supreme Judicial Court ruled “where it has been found that notice was never received, the Legislature did not intend that proof of mere mailing of the notice</w:t>
      </w:r>
      <w:r w:rsidR="00C31164">
        <w:rPr>
          <w:rFonts w:ascii="Courier New" w:hAnsi="Courier New" w:cs="Courier New"/>
          <w:color w:val="333333"/>
          <w:shd w:val="clear" w:color="auto" w:fill="FFFFFF"/>
        </w:rPr>
        <w:t xml:space="preserve"> . . . </w:t>
      </w:r>
      <w:r>
        <w:rPr>
          <w:rFonts w:ascii="Courier New" w:hAnsi="Courier New" w:cs="Courier New"/>
          <w:color w:val="333333"/>
          <w:shd w:val="clear" w:color="auto" w:fill="FFFFFF"/>
        </w:rPr>
        <w:t>is sufficient to trigger [] the time period.”  375</w:t>
      </w:r>
      <w:r w:rsidR="007145F7">
        <w:rPr>
          <w:rFonts w:ascii="Courier New" w:hAnsi="Courier New" w:cs="Courier New"/>
          <w:color w:val="333333"/>
          <w:shd w:val="clear" w:color="auto" w:fill="FFFFFF"/>
        </w:rPr>
        <w:t>  </w:t>
      </w:r>
      <w:r>
        <w:rPr>
          <w:rFonts w:ascii="Courier New" w:hAnsi="Courier New" w:cs="Courier New"/>
          <w:color w:val="333333"/>
          <w:shd w:val="clear" w:color="auto" w:fill="FFFFFF"/>
        </w:rPr>
        <w:t>Mass. 338, 341 (1978).</w:t>
      </w:r>
      <w:r w:rsidR="00823CC2">
        <w:rPr>
          <w:rFonts w:ascii="Courier New" w:hAnsi="Courier New" w:cs="Courier New"/>
          <w:color w:val="333333"/>
          <w:shd w:val="clear" w:color="auto" w:fill="FFFFFF"/>
        </w:rPr>
        <w:t xml:space="preserve">  </w:t>
      </w:r>
      <w:r w:rsidR="00B42C4C">
        <w:rPr>
          <w:rFonts w:ascii="Courier New" w:hAnsi="Courier New" w:cs="Courier New"/>
          <w:i/>
          <w:color w:val="333333"/>
          <w:shd w:val="clear" w:color="auto" w:fill="FFFFFF"/>
        </w:rPr>
        <w:t>See</w:t>
      </w:r>
      <w:r w:rsidR="00541AAB">
        <w:rPr>
          <w:rFonts w:ascii="Courier New" w:hAnsi="Courier New" w:cs="Courier New"/>
          <w:color w:val="333333"/>
          <w:shd w:val="clear" w:color="auto" w:fill="FFFFFF"/>
        </w:rPr>
        <w:t xml:space="preserve"> </w:t>
      </w:r>
      <w:r w:rsidR="00541AAB">
        <w:rPr>
          <w:rFonts w:ascii="Courier New" w:hAnsi="Courier New" w:cs="Courier New"/>
          <w:b/>
          <w:i/>
          <w:color w:val="333333"/>
          <w:shd w:val="clear" w:color="auto" w:fill="FFFFFF"/>
        </w:rPr>
        <w:t>Boston Gas Company v. Assessors of Boston</w:t>
      </w:r>
      <w:r w:rsidR="00541AAB">
        <w:rPr>
          <w:rFonts w:ascii="Courier New" w:hAnsi="Courier New" w:cs="Courier New"/>
          <w:color w:val="333333"/>
          <w:shd w:val="clear" w:color="auto" w:fill="FFFFFF"/>
        </w:rPr>
        <w:t>, 402 Mass. 346, 348 (1988)</w:t>
      </w:r>
      <w:r w:rsidR="00C31164">
        <w:rPr>
          <w:rFonts w:ascii="Courier New" w:hAnsi="Courier New" w:cs="Courier New"/>
          <w:color w:val="333333"/>
          <w:shd w:val="clear" w:color="auto" w:fill="FFFFFF"/>
        </w:rPr>
        <w:t>(</w:t>
      </w:r>
      <w:r w:rsidR="00B42C4C">
        <w:rPr>
          <w:rFonts w:ascii="Courier New" w:hAnsi="Courier New" w:cs="Courier New"/>
          <w:color w:val="333333"/>
          <w:shd w:val="clear" w:color="auto" w:fill="FFFFFF"/>
        </w:rPr>
        <w:t xml:space="preserve">holding that the taxpayer is notified within the meaning of </w:t>
      </w:r>
      <w:r w:rsidR="00F94782">
        <w:rPr>
          <w:rFonts w:ascii="Courier New" w:hAnsi="Courier New" w:cs="Courier New"/>
          <w:color w:val="333333"/>
          <w:shd w:val="clear" w:color="auto" w:fill="FFFFFF"/>
        </w:rPr>
        <w:t>§</w:t>
      </w:r>
      <w:r w:rsidR="00B42C4C">
        <w:rPr>
          <w:rFonts w:ascii="Courier New" w:hAnsi="Courier New" w:cs="Courier New"/>
          <w:color w:val="333333"/>
          <w:shd w:val="clear" w:color="auto" w:fill="FFFFFF"/>
        </w:rPr>
        <w:t xml:space="preserve"> 63 upon receipt of the notice, not upon the sending of such notice)</w:t>
      </w:r>
      <w:r w:rsidR="00507BD6">
        <w:rPr>
          <w:rFonts w:ascii="Courier New" w:hAnsi="Courier New" w:cs="Courier New"/>
          <w:color w:val="333333"/>
          <w:shd w:val="clear" w:color="auto" w:fill="FFFFFF"/>
        </w:rPr>
        <w:t>;</w:t>
      </w:r>
      <w:r w:rsidR="00B42C4C">
        <w:rPr>
          <w:rFonts w:ascii="Courier New" w:hAnsi="Courier New" w:cs="Courier New"/>
          <w:i/>
          <w:color w:val="333333"/>
          <w:shd w:val="clear" w:color="auto" w:fill="FFFFFF"/>
        </w:rPr>
        <w:t xml:space="preserve"> </w:t>
      </w:r>
      <w:r w:rsidR="00B42C4C">
        <w:rPr>
          <w:rFonts w:ascii="Courier New" w:hAnsi="Courier New" w:cs="Courier New"/>
          <w:b/>
          <w:i/>
          <w:color w:val="333333"/>
          <w:shd w:val="clear" w:color="auto" w:fill="FFFFFF"/>
        </w:rPr>
        <w:t>Stagg Chevrolet, I</w:t>
      </w:r>
      <w:r w:rsidR="00C31164">
        <w:rPr>
          <w:rFonts w:ascii="Courier New" w:hAnsi="Courier New" w:cs="Courier New"/>
          <w:b/>
          <w:i/>
          <w:color w:val="333333"/>
          <w:shd w:val="clear" w:color="auto" w:fill="FFFFFF"/>
        </w:rPr>
        <w:t>nc. v. Bd. o</w:t>
      </w:r>
      <w:r w:rsidR="00B42C4C">
        <w:rPr>
          <w:rFonts w:ascii="Courier New" w:hAnsi="Courier New" w:cs="Courier New"/>
          <w:b/>
          <w:i/>
          <w:color w:val="333333"/>
          <w:shd w:val="clear" w:color="auto" w:fill="FFFFFF"/>
        </w:rPr>
        <w:t xml:space="preserve">f Water </w:t>
      </w:r>
      <w:r w:rsidR="00B42C4C" w:rsidRPr="00B42C4C">
        <w:rPr>
          <w:rFonts w:ascii="Courier New" w:hAnsi="Courier New" w:cs="Courier New"/>
          <w:b/>
          <w:i/>
          <w:color w:val="333333"/>
          <w:shd w:val="clear" w:color="auto" w:fill="FFFFFF"/>
        </w:rPr>
        <w:t>Comm’rs</w:t>
      </w:r>
      <w:r w:rsidR="00B42C4C">
        <w:rPr>
          <w:rFonts w:ascii="Courier New" w:hAnsi="Courier New" w:cs="Courier New"/>
          <w:color w:val="333333"/>
          <w:shd w:val="clear" w:color="auto" w:fill="FFFFFF"/>
        </w:rPr>
        <w:t>, 68 Mass. App. Ct. 120, 125 (2007)(</w:t>
      </w:r>
      <w:r w:rsidR="00C31164">
        <w:rPr>
          <w:rFonts w:ascii="Courier New" w:hAnsi="Courier New" w:cs="Courier New"/>
          <w:color w:val="333333"/>
          <w:shd w:val="clear" w:color="auto" w:fill="FFFFFF"/>
        </w:rPr>
        <w:t xml:space="preserve">holding </w:t>
      </w:r>
      <w:r w:rsidR="00BE2C05">
        <w:rPr>
          <w:rFonts w:ascii="Courier New" w:hAnsi="Courier New" w:cs="Courier New"/>
          <w:color w:val="333333"/>
          <w:shd w:val="clear" w:color="auto" w:fill="FFFFFF"/>
        </w:rPr>
        <w:t xml:space="preserve">that </w:t>
      </w:r>
      <w:r w:rsidR="00507BD6">
        <w:rPr>
          <w:rFonts w:ascii="Courier New" w:hAnsi="Courier New" w:cs="Courier New"/>
          <w:color w:val="333333"/>
          <w:shd w:val="clear" w:color="auto" w:fill="FFFFFF"/>
        </w:rPr>
        <w:t xml:space="preserve">the assessors </w:t>
      </w:r>
      <w:r w:rsidR="009A7138">
        <w:rPr>
          <w:rFonts w:ascii="Courier New" w:hAnsi="Courier New" w:cs="Courier New"/>
          <w:color w:val="333333"/>
          <w:shd w:val="clear" w:color="auto" w:fill="FFFFFF"/>
        </w:rPr>
        <w:t>non-</w:t>
      </w:r>
      <w:r w:rsidR="00507BD6">
        <w:rPr>
          <w:rFonts w:ascii="Courier New" w:hAnsi="Courier New" w:cs="Courier New"/>
          <w:color w:val="333333"/>
          <w:shd w:val="clear" w:color="auto" w:fill="FFFFFF"/>
        </w:rPr>
        <w:t>compl</w:t>
      </w:r>
      <w:r w:rsidR="009A7138">
        <w:rPr>
          <w:rFonts w:ascii="Courier New" w:hAnsi="Courier New" w:cs="Courier New"/>
          <w:color w:val="333333"/>
          <w:shd w:val="clear" w:color="auto" w:fill="FFFFFF"/>
        </w:rPr>
        <w:t>iance</w:t>
      </w:r>
      <w:r w:rsidR="00507BD6">
        <w:rPr>
          <w:rFonts w:ascii="Courier New" w:hAnsi="Courier New" w:cs="Courier New"/>
          <w:color w:val="333333"/>
          <w:shd w:val="clear" w:color="auto" w:fill="FFFFFF"/>
        </w:rPr>
        <w:t xml:space="preserve"> with </w:t>
      </w:r>
      <w:r w:rsidR="00F94782">
        <w:rPr>
          <w:rFonts w:ascii="Courier New" w:hAnsi="Courier New" w:cs="Courier New"/>
          <w:color w:val="333333"/>
          <w:shd w:val="clear" w:color="auto" w:fill="FFFFFF"/>
        </w:rPr>
        <w:t>§ 63 may be cured by allowing a reasonable time for appeal</w:t>
      </w:r>
      <w:r w:rsidR="00BE2C05">
        <w:rPr>
          <w:rFonts w:ascii="Courier New" w:hAnsi="Courier New" w:cs="Courier New"/>
          <w:color w:val="333333"/>
          <w:shd w:val="clear" w:color="auto" w:fill="FFFFFF"/>
        </w:rPr>
        <w:t xml:space="preserve"> and that the “deemed to be denied” time frame provides a reasonable time period with dates ea</w:t>
      </w:r>
      <w:r w:rsidR="00BC4A7F">
        <w:rPr>
          <w:rFonts w:ascii="Courier New" w:hAnsi="Courier New" w:cs="Courier New"/>
          <w:color w:val="333333"/>
          <w:shd w:val="clear" w:color="auto" w:fill="FFFFFF"/>
        </w:rPr>
        <w:t>s</w:t>
      </w:r>
      <w:r w:rsidR="00C31164">
        <w:rPr>
          <w:rFonts w:ascii="Courier New" w:hAnsi="Courier New" w:cs="Courier New"/>
          <w:color w:val="333333"/>
          <w:shd w:val="clear" w:color="auto" w:fill="FFFFFF"/>
        </w:rPr>
        <w:t>ily ascertainable by both parties</w:t>
      </w:r>
      <w:r w:rsidR="00F94782">
        <w:rPr>
          <w:rFonts w:ascii="Courier New" w:hAnsi="Courier New" w:cs="Courier New"/>
          <w:color w:val="333333"/>
          <w:shd w:val="clear" w:color="auto" w:fill="FFFFFF"/>
        </w:rPr>
        <w:t>)</w:t>
      </w:r>
      <w:r w:rsidR="00C31164">
        <w:rPr>
          <w:rFonts w:ascii="Courier New" w:hAnsi="Courier New" w:cs="Courier New"/>
          <w:color w:val="333333"/>
          <w:shd w:val="clear" w:color="auto" w:fill="FFFFFF"/>
        </w:rPr>
        <w:t>.</w:t>
      </w:r>
      <w:r w:rsidR="000B476D">
        <w:rPr>
          <w:rFonts w:ascii="Courier New" w:hAnsi="Courier New" w:cs="Courier New"/>
          <w:color w:val="333333"/>
          <w:shd w:val="clear" w:color="auto" w:fill="FFFFFF"/>
        </w:rPr>
        <w:t xml:space="preserve"> </w:t>
      </w:r>
      <w:r>
        <w:rPr>
          <w:rFonts w:ascii="Courier New" w:hAnsi="Courier New" w:cs="Courier New"/>
          <w:color w:val="333333"/>
          <w:shd w:val="clear" w:color="auto" w:fill="FFFFFF"/>
        </w:rPr>
        <w:t xml:space="preserve">  </w:t>
      </w:r>
    </w:p>
    <w:p w:rsidR="0063151C" w:rsidRDefault="0063151C" w:rsidP="0063151C">
      <w:pPr>
        <w:spacing w:line="480" w:lineRule="auto"/>
        <w:ind w:firstLine="720"/>
        <w:jc w:val="both"/>
        <w:rPr>
          <w:rFonts w:ascii="Verdana" w:hAnsi="Verdana"/>
          <w:color w:val="333333"/>
          <w:sz w:val="20"/>
          <w:szCs w:val="20"/>
          <w:shd w:val="clear" w:color="auto" w:fill="FFFFFF"/>
        </w:rPr>
      </w:pPr>
      <w:r>
        <w:rPr>
          <w:rFonts w:ascii="Courier New" w:hAnsi="Courier New" w:cs="Courier New"/>
        </w:rPr>
        <w:t xml:space="preserve">The Board thus found </w:t>
      </w:r>
      <w:r w:rsidR="00C31164">
        <w:rPr>
          <w:rFonts w:ascii="Courier New" w:hAnsi="Courier New" w:cs="Courier New"/>
        </w:rPr>
        <w:t xml:space="preserve">here </w:t>
      </w:r>
      <w:r>
        <w:rPr>
          <w:rFonts w:ascii="Courier New" w:hAnsi="Courier New" w:cs="Courier New"/>
        </w:rPr>
        <w:t xml:space="preserve">that the appellant’s appeal, which was filed on July 23, 2013, more than </w:t>
      </w:r>
      <w:r w:rsidR="009A7138">
        <w:rPr>
          <w:rFonts w:ascii="Courier New" w:hAnsi="Courier New" w:cs="Courier New"/>
        </w:rPr>
        <w:t>3</w:t>
      </w:r>
      <w:r>
        <w:rPr>
          <w:rFonts w:ascii="Courier New" w:hAnsi="Courier New" w:cs="Courier New"/>
        </w:rPr>
        <w:t xml:space="preserve"> months after the assessors’ denial but within </w:t>
      </w:r>
      <w:r w:rsidR="009A7138">
        <w:rPr>
          <w:rFonts w:ascii="Courier New" w:hAnsi="Courier New" w:cs="Courier New"/>
        </w:rPr>
        <w:t>3</w:t>
      </w:r>
      <w:r>
        <w:rPr>
          <w:rFonts w:ascii="Courier New" w:hAnsi="Courier New" w:cs="Courier New"/>
        </w:rPr>
        <w:t xml:space="preserve"> months of the deemed denial date</w:t>
      </w:r>
      <w:r w:rsidR="009A7138">
        <w:rPr>
          <w:rFonts w:ascii="Courier New" w:hAnsi="Courier New" w:cs="Courier New"/>
        </w:rPr>
        <w:t xml:space="preserve"> of April 25, 2013</w:t>
      </w:r>
      <w:r>
        <w:rPr>
          <w:rFonts w:ascii="Courier New" w:hAnsi="Courier New" w:cs="Courier New"/>
        </w:rPr>
        <w:t>, was timely.</w:t>
      </w:r>
      <w:r w:rsidR="00FE46BA">
        <w:rPr>
          <w:rFonts w:ascii="Courier New" w:hAnsi="Courier New" w:cs="Courier New"/>
        </w:rPr>
        <w:t xml:space="preserve">  </w:t>
      </w:r>
      <w:r>
        <w:rPr>
          <w:rFonts w:ascii="Courier New" w:hAnsi="Courier New" w:cs="Courier New"/>
        </w:rPr>
        <w:t>Accordingly, the Board found that it had jurisdiction to hear and decide the appellant’s fiscal year 2013 appeal.</w:t>
      </w:r>
    </w:p>
    <w:p w:rsidR="003F7271" w:rsidRPr="003F7271" w:rsidRDefault="00B82EAC" w:rsidP="00FB7C44">
      <w:pPr>
        <w:spacing w:line="480" w:lineRule="auto"/>
        <w:jc w:val="both"/>
        <w:rPr>
          <w:rFonts w:ascii="Courier New" w:hAnsi="Courier New" w:cs="Courier New"/>
        </w:rPr>
      </w:pPr>
      <w:r w:rsidRPr="00B82EAC">
        <w:rPr>
          <w:rFonts w:ascii="Courier New" w:hAnsi="Courier New" w:cs="Courier New"/>
          <w:b/>
        </w:rPr>
        <w:t>Valuation</w:t>
      </w:r>
    </w:p>
    <w:p w:rsidR="001E1352" w:rsidRDefault="001E1352" w:rsidP="001E1352">
      <w:pPr>
        <w:spacing w:line="480" w:lineRule="auto"/>
        <w:ind w:firstLine="720"/>
        <w:jc w:val="both"/>
        <w:rPr>
          <w:rFonts w:ascii="Courier New" w:hAnsi="Courier New" w:cs="Courier New"/>
        </w:rPr>
      </w:pPr>
      <w:r w:rsidRPr="005451E8">
        <w:rPr>
          <w:rFonts w:ascii="Courier New" w:hAnsi="Courier New" w:cs="Courier New"/>
        </w:rPr>
        <w:lastRenderedPageBreak/>
        <w:t xml:space="preserve">The assessors are required to assess real estate at its fair cash value. G.L. c. 59, § 38.  Fair cash value is defined as the price on which a willing seller and a willing buyer will agree if both of them are fully informed and under no compulsion.  </w:t>
      </w:r>
      <w:r w:rsidRPr="005451E8">
        <w:rPr>
          <w:rFonts w:ascii="Courier New" w:hAnsi="Courier New" w:cs="Courier New"/>
          <w:b/>
          <w:bCs/>
          <w:i/>
          <w:iCs/>
        </w:rPr>
        <w:t>Boston Gas Co. v. Assessors of Boston,</w:t>
      </w:r>
      <w:r w:rsidRPr="005451E8">
        <w:rPr>
          <w:rFonts w:ascii="Courier New" w:hAnsi="Courier New" w:cs="Courier New"/>
        </w:rPr>
        <w:t xml:space="preserve"> 334 Mass. 549, 566 (1956).</w:t>
      </w:r>
    </w:p>
    <w:p w:rsidR="001E1352" w:rsidRDefault="001E1352" w:rsidP="001E1352">
      <w:pPr>
        <w:spacing w:line="480" w:lineRule="auto"/>
        <w:ind w:firstLine="720"/>
        <w:jc w:val="both"/>
        <w:rPr>
          <w:rFonts w:ascii="Courier New" w:hAnsi="Courier New" w:cs="Courier New"/>
        </w:rPr>
      </w:pPr>
      <w:r>
        <w:rPr>
          <w:rFonts w:ascii="Courier New" w:hAnsi="Courier New" w:cs="Courier New"/>
        </w:rPr>
        <w:t>In determining fair cash</w:t>
      </w:r>
      <w:r w:rsidRPr="005451E8">
        <w:rPr>
          <w:rFonts w:ascii="Courier New" w:hAnsi="Courier New" w:cs="Courier New"/>
        </w:rPr>
        <w:t xml:space="preserve"> value, all uses to which the property was or could reasonably be adapted on the relevant assessment dates should be considered.  </w:t>
      </w:r>
      <w:r w:rsidRPr="005451E8">
        <w:rPr>
          <w:rFonts w:ascii="Courier New" w:hAnsi="Courier New" w:cs="Courier New"/>
          <w:b/>
          <w:bCs/>
          <w:i/>
          <w:iCs/>
        </w:rPr>
        <w:t>Irving Saunders Trust v. Assessors of Boston</w:t>
      </w:r>
      <w:r w:rsidRPr="005451E8">
        <w:rPr>
          <w:rFonts w:ascii="Courier New" w:hAnsi="Courier New" w:cs="Courier New"/>
        </w:rPr>
        <w:t>, 26 Mass. App. Ct.</w:t>
      </w:r>
      <w:r>
        <w:rPr>
          <w:rFonts w:ascii="Courier New" w:hAnsi="Courier New" w:cs="Courier New"/>
        </w:rPr>
        <w:t xml:space="preserve"> 838, 843 (1989).  The goal</w:t>
      </w:r>
      <w:r w:rsidRPr="005451E8">
        <w:rPr>
          <w:rFonts w:ascii="Courier New" w:hAnsi="Courier New" w:cs="Courier New"/>
        </w:rPr>
        <w:t xml:space="preserve"> is to ascertain the maximum value of the property for any legitimate and reasonable use.  </w:t>
      </w:r>
      <w:r w:rsidRPr="005451E8">
        <w:rPr>
          <w:rFonts w:ascii="Courier New" w:hAnsi="Courier New" w:cs="Courier New"/>
          <w:b/>
          <w:bCs/>
          <w:i/>
          <w:iCs/>
        </w:rPr>
        <w:t>Id.</w:t>
      </w:r>
      <w:r w:rsidRPr="005451E8">
        <w:rPr>
          <w:rFonts w:ascii="Courier New" w:hAnsi="Courier New" w:cs="Courier New"/>
        </w:rPr>
        <w:t xml:space="preserve">  If th</w:t>
      </w:r>
      <w:r>
        <w:rPr>
          <w:rFonts w:ascii="Courier New" w:hAnsi="Courier New" w:cs="Courier New"/>
        </w:rPr>
        <w:t>e property is particularly well-</w:t>
      </w:r>
      <w:r w:rsidRPr="005451E8">
        <w:rPr>
          <w:rFonts w:ascii="Courier New" w:hAnsi="Courier New" w:cs="Courier New"/>
        </w:rPr>
        <w:t xml:space="preserve">suited for a certain use that is not prohibited, then that use may be reflected in an estimate of its fair market value.  </w:t>
      </w:r>
      <w:r w:rsidRPr="005451E8">
        <w:rPr>
          <w:rFonts w:ascii="Courier New" w:hAnsi="Courier New" w:cs="Courier New"/>
          <w:b/>
          <w:bCs/>
          <w:i/>
          <w:iCs/>
        </w:rPr>
        <w:t xml:space="preserve">Colonial Acres, Inc. v. </w:t>
      </w:r>
      <w:r>
        <w:rPr>
          <w:rFonts w:ascii="Courier New" w:hAnsi="Courier New" w:cs="Courier New"/>
          <w:b/>
          <w:bCs/>
          <w:i/>
          <w:iCs/>
        </w:rPr>
        <w:t xml:space="preserve">Assessors of </w:t>
      </w:r>
      <w:r w:rsidRPr="005451E8">
        <w:rPr>
          <w:rFonts w:ascii="Courier New" w:hAnsi="Courier New" w:cs="Courier New"/>
          <w:b/>
          <w:bCs/>
          <w:i/>
          <w:iCs/>
        </w:rPr>
        <w:t>North Reading</w:t>
      </w:r>
      <w:r w:rsidRPr="005451E8">
        <w:rPr>
          <w:rFonts w:ascii="Courier New" w:hAnsi="Courier New" w:cs="Courier New"/>
        </w:rPr>
        <w:t>, 3</w:t>
      </w:r>
      <w:r>
        <w:rPr>
          <w:rFonts w:ascii="Courier New" w:hAnsi="Courier New" w:cs="Courier New"/>
        </w:rPr>
        <w:t> </w:t>
      </w:r>
      <w:r w:rsidRPr="005451E8">
        <w:rPr>
          <w:rFonts w:ascii="Courier New" w:hAnsi="Courier New" w:cs="Courier New"/>
        </w:rPr>
        <w:t xml:space="preserve">Mass. App. Ct. 384, 386 (1975). </w:t>
      </w:r>
      <w:r>
        <w:rPr>
          <w:rFonts w:ascii="Courier New" w:hAnsi="Courier New" w:cs="Courier New"/>
        </w:rPr>
        <w:t xml:space="preserve"> “In determining the property’s highest and best use, consideration should be given to the purpose for which the property is adapted.”  </w:t>
      </w:r>
      <w:r>
        <w:rPr>
          <w:rFonts w:ascii="Courier New" w:hAnsi="Courier New" w:cs="Courier New"/>
          <w:b/>
          <w:bCs/>
          <w:i/>
          <w:iCs/>
        </w:rPr>
        <w:t>Peterson v. Assessors of Boston</w:t>
      </w:r>
      <w:r>
        <w:rPr>
          <w:rFonts w:ascii="Courier New" w:hAnsi="Courier New" w:cs="Courier New"/>
        </w:rPr>
        <w:t xml:space="preserve">, Mass. ATB Findings of Fact and Reports 2002-573, 617 (citing </w:t>
      </w:r>
      <w:r w:rsidRPr="00924286">
        <w:rPr>
          <w:rFonts w:ascii="Courier New" w:hAnsi="Courier New" w:cs="Courier New"/>
          <w:smallCaps/>
        </w:rPr>
        <w:t>Appraisal Institute, The Appraisal of Real Estate</w:t>
      </w:r>
      <w:r>
        <w:rPr>
          <w:rFonts w:ascii="Courier New" w:hAnsi="Courier New" w:cs="Courier New"/>
        </w:rPr>
        <w:t xml:space="preserve"> 315-316 (12</w:t>
      </w:r>
      <w:r w:rsidRPr="00924286">
        <w:rPr>
          <w:rFonts w:ascii="Courier New" w:hAnsi="Courier New" w:cs="Courier New"/>
          <w:vertAlign w:val="superscript"/>
        </w:rPr>
        <w:t>th</w:t>
      </w:r>
      <w:r>
        <w:rPr>
          <w:rFonts w:ascii="Courier New" w:hAnsi="Courier New" w:cs="Courier New"/>
        </w:rPr>
        <w:t xml:space="preserve"> ed., 2001)), </w:t>
      </w:r>
      <w:r w:rsidRPr="00AE6E8E">
        <w:rPr>
          <w:rFonts w:ascii="Courier New" w:hAnsi="Courier New" w:cs="Courier New"/>
          <w:i/>
          <w:iCs/>
        </w:rPr>
        <w:t>aff’d</w:t>
      </w:r>
      <w:r>
        <w:rPr>
          <w:rFonts w:ascii="Courier New" w:hAnsi="Courier New" w:cs="Courier New"/>
        </w:rPr>
        <w:t>, 62 Mass. App. Ct. 428 (2004).</w:t>
      </w:r>
      <w:r w:rsidR="00F979F5">
        <w:rPr>
          <w:rFonts w:ascii="Courier New" w:hAnsi="Courier New" w:cs="Courier New"/>
        </w:rPr>
        <w:t xml:space="preserve">  Both valuation </w:t>
      </w:r>
      <w:r w:rsidR="00A71778">
        <w:rPr>
          <w:rFonts w:ascii="Courier New" w:hAnsi="Courier New" w:cs="Courier New"/>
        </w:rPr>
        <w:t xml:space="preserve">witnesses </w:t>
      </w:r>
      <w:r w:rsidR="009A7138">
        <w:rPr>
          <w:rFonts w:ascii="Courier New" w:hAnsi="Courier New" w:cs="Courier New"/>
        </w:rPr>
        <w:t xml:space="preserve">in this matter </w:t>
      </w:r>
      <w:r w:rsidR="00F979F5">
        <w:rPr>
          <w:rFonts w:ascii="Courier New" w:hAnsi="Courier New" w:cs="Courier New"/>
        </w:rPr>
        <w:t>recommended that the subject property’s highest</w:t>
      </w:r>
      <w:r w:rsidR="009A7138">
        <w:rPr>
          <w:rFonts w:ascii="Courier New" w:hAnsi="Courier New" w:cs="Courier New"/>
        </w:rPr>
        <w:t>-</w:t>
      </w:r>
      <w:r w:rsidR="00F979F5">
        <w:rPr>
          <w:rFonts w:ascii="Courier New" w:hAnsi="Courier New" w:cs="Courier New"/>
        </w:rPr>
        <w:t>and</w:t>
      </w:r>
      <w:r w:rsidR="009A7138">
        <w:rPr>
          <w:rFonts w:ascii="Courier New" w:hAnsi="Courier New" w:cs="Courier New"/>
        </w:rPr>
        <w:t>-</w:t>
      </w:r>
      <w:r w:rsidR="00F979F5">
        <w:rPr>
          <w:rFonts w:ascii="Courier New" w:hAnsi="Courier New" w:cs="Courier New"/>
        </w:rPr>
        <w:t>best use was its existing use.</w:t>
      </w:r>
      <w:r>
        <w:rPr>
          <w:rFonts w:ascii="Courier New" w:hAnsi="Courier New" w:cs="Courier New"/>
        </w:rPr>
        <w:t xml:space="preserve"> </w:t>
      </w:r>
      <w:r w:rsidR="00F979F5">
        <w:rPr>
          <w:rFonts w:ascii="Courier New" w:hAnsi="Courier New" w:cs="Courier New"/>
        </w:rPr>
        <w:t xml:space="preserve"> </w:t>
      </w:r>
      <w:r>
        <w:rPr>
          <w:rFonts w:ascii="Courier New" w:hAnsi="Courier New" w:cs="Courier New"/>
        </w:rPr>
        <w:lastRenderedPageBreak/>
        <w:t>On this basis, the Board found that</w:t>
      </w:r>
      <w:r w:rsidR="00F979F5">
        <w:rPr>
          <w:rFonts w:ascii="Courier New" w:hAnsi="Courier New" w:cs="Courier New"/>
        </w:rPr>
        <w:t xml:space="preserve"> the subject property’s highest and best </w:t>
      </w:r>
      <w:r>
        <w:rPr>
          <w:rFonts w:ascii="Courier New" w:hAnsi="Courier New" w:cs="Courier New"/>
        </w:rPr>
        <w:t xml:space="preserve">use was its continued use as a retail </w:t>
      </w:r>
      <w:r w:rsidR="002D1401">
        <w:rPr>
          <w:rFonts w:ascii="Courier New" w:hAnsi="Courier New" w:cs="Courier New"/>
        </w:rPr>
        <w:t>building</w:t>
      </w:r>
      <w:r>
        <w:rPr>
          <w:rFonts w:ascii="Courier New" w:hAnsi="Courier New" w:cs="Courier New"/>
        </w:rPr>
        <w:t xml:space="preserve">. </w:t>
      </w:r>
    </w:p>
    <w:p w:rsidR="001E1352" w:rsidRDefault="001E1352" w:rsidP="001E1352">
      <w:pPr>
        <w:spacing w:line="480" w:lineRule="auto"/>
        <w:ind w:firstLine="720"/>
        <w:jc w:val="both"/>
        <w:rPr>
          <w:rFonts w:ascii="Courier New" w:hAnsi="Courier New" w:cs="Courier New"/>
        </w:rPr>
      </w:pPr>
      <w:r w:rsidRPr="005451E8">
        <w:rPr>
          <w:rFonts w:ascii="Courier New" w:hAnsi="Courier New" w:cs="Courier New"/>
        </w:rPr>
        <w:t xml:space="preserve">Generally, real estate valuation experts, Massachusetts courts, and this Board rely upon </w:t>
      </w:r>
      <w:r w:rsidR="009A7138">
        <w:rPr>
          <w:rFonts w:ascii="Courier New" w:hAnsi="Courier New" w:cs="Courier New"/>
        </w:rPr>
        <w:t>3</w:t>
      </w:r>
      <w:r w:rsidRPr="005451E8">
        <w:rPr>
          <w:rFonts w:ascii="Courier New" w:hAnsi="Courier New" w:cs="Courier New"/>
        </w:rPr>
        <w:t xml:space="preserve"> approaches to determine the fair cash value of </w:t>
      </w:r>
      <w:r w:rsidR="00F979F5">
        <w:rPr>
          <w:rFonts w:ascii="Courier New" w:hAnsi="Courier New" w:cs="Courier New"/>
        </w:rPr>
        <w:t>property: income capitalization</w:t>
      </w:r>
      <w:r w:rsidR="009A7138">
        <w:rPr>
          <w:rFonts w:ascii="Courier New" w:hAnsi="Courier New" w:cs="Courier New"/>
        </w:rPr>
        <w:t>,</w:t>
      </w:r>
      <w:r w:rsidR="00F979F5">
        <w:rPr>
          <w:rFonts w:ascii="Courier New" w:hAnsi="Courier New" w:cs="Courier New"/>
        </w:rPr>
        <w:t xml:space="preserve"> sales comparison</w:t>
      </w:r>
      <w:r w:rsidR="009A7138">
        <w:rPr>
          <w:rFonts w:ascii="Courier New" w:hAnsi="Courier New" w:cs="Courier New"/>
        </w:rPr>
        <w:t>,</w:t>
      </w:r>
      <w:r w:rsidRPr="005451E8">
        <w:rPr>
          <w:rFonts w:ascii="Courier New" w:hAnsi="Courier New" w:cs="Courier New"/>
        </w:rPr>
        <w:t xml:space="preserve"> and cost</w:t>
      </w:r>
      <w:r>
        <w:rPr>
          <w:rFonts w:ascii="Courier New" w:hAnsi="Courier New" w:cs="Courier New"/>
        </w:rPr>
        <w:t xml:space="preserve"> reproduction</w:t>
      </w:r>
      <w:r w:rsidRPr="005451E8">
        <w:rPr>
          <w:rFonts w:ascii="Courier New" w:hAnsi="Courier New" w:cs="Courier New"/>
        </w:rPr>
        <w:t xml:space="preserve">.  </w:t>
      </w:r>
      <w:r w:rsidRPr="005451E8">
        <w:rPr>
          <w:rFonts w:ascii="Courier New" w:hAnsi="Courier New" w:cs="Courier New"/>
          <w:b/>
          <w:bCs/>
          <w:i/>
          <w:iCs/>
        </w:rPr>
        <w:t>Correia v. New Bedford Redevelopment Authority,</w:t>
      </w:r>
      <w:r w:rsidRPr="005451E8">
        <w:rPr>
          <w:rFonts w:ascii="Courier New" w:hAnsi="Courier New" w:cs="Courier New"/>
        </w:rPr>
        <w:t xml:space="preserve"> 375 Mass.</w:t>
      </w:r>
      <w:r>
        <w:rPr>
          <w:rFonts w:ascii="Courier New" w:hAnsi="Courier New" w:cs="Courier New"/>
        </w:rPr>
        <w:t xml:space="preserve"> 360, 362 (1978).  “The b</w:t>
      </w:r>
      <w:r w:rsidRPr="005451E8">
        <w:rPr>
          <w:rFonts w:ascii="Courier New" w:hAnsi="Courier New" w:cs="Courier New"/>
        </w:rPr>
        <w:t xml:space="preserve">oard is not required to adopt any particular method of valuation.”  </w:t>
      </w:r>
      <w:r w:rsidRPr="005451E8">
        <w:rPr>
          <w:rFonts w:ascii="Courier New" w:hAnsi="Courier New" w:cs="Courier New"/>
          <w:b/>
          <w:bCs/>
          <w:i/>
          <w:iCs/>
        </w:rPr>
        <w:t>Pepsi-Cola Bottling Co. v. Assessors of Boston,</w:t>
      </w:r>
      <w:r w:rsidRPr="005451E8">
        <w:rPr>
          <w:rFonts w:ascii="Courier New" w:hAnsi="Courier New" w:cs="Courier New"/>
        </w:rPr>
        <w:t xml:space="preserve"> 397</w:t>
      </w:r>
      <w:r>
        <w:rPr>
          <w:rFonts w:ascii="Courier New" w:hAnsi="Courier New" w:cs="Courier New"/>
        </w:rPr>
        <w:t> </w:t>
      </w:r>
      <w:r w:rsidRPr="005451E8">
        <w:rPr>
          <w:rFonts w:ascii="Courier New" w:hAnsi="Courier New" w:cs="Courier New"/>
        </w:rPr>
        <w:t>Mass. 447,</w:t>
      </w:r>
      <w:r>
        <w:rPr>
          <w:rFonts w:ascii="Courier New" w:hAnsi="Courier New" w:cs="Courier New"/>
        </w:rPr>
        <w:t xml:space="preserve"> 449 (1986).  </w:t>
      </w:r>
      <w:r w:rsidRPr="000118E7">
        <w:rPr>
          <w:rFonts w:ascii="Courier New" w:hAnsi="Courier New" w:cs="Courier New"/>
          <w:color w:val="333333"/>
        </w:rPr>
        <w:t xml:space="preserve">In the instant appeals, the valuation </w:t>
      </w:r>
      <w:r w:rsidR="00A71778">
        <w:rPr>
          <w:rFonts w:ascii="Courier New" w:hAnsi="Courier New" w:cs="Courier New"/>
          <w:color w:val="333333"/>
        </w:rPr>
        <w:t xml:space="preserve">witnesses </w:t>
      </w:r>
      <w:r w:rsidRPr="000118E7">
        <w:rPr>
          <w:rFonts w:ascii="Courier New" w:hAnsi="Courier New" w:cs="Courier New"/>
          <w:color w:val="333333"/>
        </w:rPr>
        <w:t xml:space="preserve">determined that there were insufficient fee-simple market sales of reasonably comparable properties to meaningfully estimate the value of the subject property using a sales-comparison technique. The Board agreed. </w:t>
      </w:r>
      <w:r w:rsidRPr="000118E7">
        <w:rPr>
          <w:rFonts w:ascii="Courier New" w:hAnsi="Courier New" w:cs="Courier New"/>
          <w:i/>
          <w:iCs/>
          <w:color w:val="333333"/>
        </w:rPr>
        <w:t>See</w:t>
      </w:r>
      <w:r>
        <w:rPr>
          <w:rFonts w:ascii="Courier New" w:hAnsi="Courier New" w:cs="Courier New"/>
          <w:i/>
          <w:iCs/>
          <w:color w:val="333333"/>
        </w:rPr>
        <w:t xml:space="preserve"> </w:t>
      </w:r>
      <w:r>
        <w:rPr>
          <w:rFonts w:ascii="Courier New" w:hAnsi="Courier New" w:cs="Courier New"/>
          <w:b/>
          <w:i/>
          <w:iCs/>
          <w:color w:val="333333"/>
        </w:rPr>
        <w:t xml:space="preserve">Olympia &amp; York State Street Co. v. Assessors of Boston, </w:t>
      </w:r>
      <w:r>
        <w:rPr>
          <w:rFonts w:ascii="Courier New" w:hAnsi="Courier New" w:cs="Courier New"/>
          <w:iCs/>
          <w:color w:val="333333"/>
        </w:rPr>
        <w:t>428 Mass. 236, 247 (1988)</w:t>
      </w:r>
      <w:r w:rsidRPr="000118E7">
        <w:rPr>
          <w:rFonts w:ascii="Courier New" w:hAnsi="Courier New" w:cs="Courier New"/>
          <w:color w:val="333333"/>
        </w:rPr>
        <w:t xml:space="preserve"> </w:t>
      </w:r>
      <w:r w:rsidRPr="009A7138">
        <w:rPr>
          <w:rFonts w:ascii="Courier New" w:hAnsi="Courier New" w:cs="Courier New"/>
          <w:color w:val="333333"/>
        </w:rPr>
        <w:t>(</w:t>
      </w:r>
      <w:r w:rsidR="009A7138">
        <w:rPr>
          <w:rFonts w:ascii="Courier New" w:hAnsi="Courier New" w:cs="Courier New"/>
          <w:b/>
          <w:color w:val="333333"/>
        </w:rPr>
        <w:t>“</w:t>
      </w:r>
      <w:r w:rsidRPr="009A7138">
        <w:rPr>
          <w:rFonts w:ascii="Courier New" w:hAnsi="Courier New" w:cs="Courier New"/>
          <w:color w:val="333333"/>
        </w:rPr>
        <w:t>The assessors must</w:t>
      </w:r>
      <w:r w:rsidRPr="000118E7">
        <w:rPr>
          <w:rFonts w:ascii="Courier New" w:hAnsi="Courier New" w:cs="Courier New"/>
          <w:color w:val="333333"/>
        </w:rPr>
        <w:t xml:space="preserve"> determine a fair cash value for the property as a fee simple estate, which is to say, they must value an ownership interest in the land and the building as if no leases were in effect</w:t>
      </w:r>
      <w:r w:rsidR="009A7138">
        <w:rPr>
          <w:rFonts w:ascii="Courier New" w:hAnsi="Courier New" w:cs="Courier New"/>
          <w:color w:val="333333"/>
        </w:rPr>
        <w:t>”</w:t>
      </w:r>
      <w:r w:rsidRPr="000118E7">
        <w:rPr>
          <w:rFonts w:ascii="Courier New" w:hAnsi="Courier New" w:cs="Courier New"/>
          <w:color w:val="333333"/>
        </w:rPr>
        <w:t>).  Furthermore, the “[i]ntroduction of evidence concerning the value based on [cost] computations has been limited to special situations in which data cannot be reliably computed under the other two methods</w:t>
      </w:r>
      <w:r w:rsidR="009A7138">
        <w:rPr>
          <w:rFonts w:ascii="Courier New" w:hAnsi="Courier New" w:cs="Courier New"/>
          <w:color w:val="333333"/>
        </w:rPr>
        <w:t>.”</w:t>
      </w:r>
      <w:r w:rsidRPr="000118E7">
        <w:rPr>
          <w:rFonts w:ascii="Courier New" w:hAnsi="Courier New" w:cs="Courier New"/>
          <w:color w:val="333333"/>
        </w:rPr>
        <w:t xml:space="preserve"> </w:t>
      </w:r>
      <w:r w:rsidR="009A7138">
        <w:rPr>
          <w:rFonts w:ascii="Courier New" w:hAnsi="Courier New" w:cs="Courier New"/>
          <w:color w:val="333333"/>
        </w:rPr>
        <w:t xml:space="preserve"> </w:t>
      </w:r>
      <w:r w:rsidRPr="000118E7">
        <w:rPr>
          <w:rFonts w:ascii="Courier New" w:hAnsi="Courier New" w:cs="Courier New"/>
          <w:b/>
          <w:bCs/>
          <w:i/>
          <w:iCs/>
          <w:color w:val="333333"/>
        </w:rPr>
        <w:t>Correia,</w:t>
      </w:r>
      <w:r w:rsidRPr="000118E7">
        <w:rPr>
          <w:rFonts w:ascii="Courier New" w:hAnsi="Courier New" w:cs="Courier New"/>
          <w:color w:val="333333"/>
        </w:rPr>
        <w:t xml:space="preserve"> </w:t>
      </w:r>
      <w:r w:rsidR="00B67CE7">
        <w:rPr>
          <w:rFonts w:ascii="Courier New" w:hAnsi="Courier New" w:cs="Courier New"/>
          <w:color w:val="333333"/>
        </w:rPr>
        <w:t xml:space="preserve">     </w:t>
      </w:r>
      <w:hyperlink r:id="rId9" w:history="1">
        <w:r w:rsidRPr="009E0ACD">
          <w:rPr>
            <w:rStyle w:val="Hyperlink"/>
            <w:rFonts w:ascii="Courier New" w:hAnsi="Courier New" w:cs="Courier New"/>
            <w:color w:val="000000"/>
          </w:rPr>
          <w:t>375 Mass. at 362.</w:t>
        </w:r>
      </w:hyperlink>
      <w:r w:rsidRPr="000118E7">
        <w:rPr>
          <w:rFonts w:ascii="Courier New" w:hAnsi="Courier New" w:cs="Courier New"/>
          <w:color w:val="333333"/>
        </w:rPr>
        <w:t xml:space="preserve"> </w:t>
      </w:r>
      <w:r w:rsidR="00F979F5">
        <w:rPr>
          <w:rFonts w:ascii="Courier New" w:hAnsi="Courier New" w:cs="Courier New"/>
          <w:color w:val="333333"/>
        </w:rPr>
        <w:t xml:space="preserve"> </w:t>
      </w:r>
      <w:r w:rsidRPr="000118E7">
        <w:rPr>
          <w:rFonts w:ascii="Courier New" w:hAnsi="Courier New" w:cs="Courier New"/>
          <w:color w:val="333333"/>
        </w:rPr>
        <w:t xml:space="preserve">The Board found here that no such </w:t>
      </w:r>
      <w:r w:rsidR="009A7138">
        <w:rPr>
          <w:rFonts w:ascii="Courier New" w:hAnsi="Courier New" w:cs="Courier New"/>
          <w:color w:val="333333"/>
        </w:rPr>
        <w:t>“</w:t>
      </w:r>
      <w:r w:rsidRPr="000118E7">
        <w:rPr>
          <w:rFonts w:ascii="Courier New" w:hAnsi="Courier New" w:cs="Courier New"/>
          <w:color w:val="333333"/>
        </w:rPr>
        <w:t>special situations</w:t>
      </w:r>
      <w:r w:rsidR="009A7138">
        <w:rPr>
          <w:rFonts w:ascii="Courier New" w:hAnsi="Courier New" w:cs="Courier New"/>
          <w:color w:val="333333"/>
        </w:rPr>
        <w:t>”</w:t>
      </w:r>
      <w:r w:rsidRPr="000118E7">
        <w:rPr>
          <w:rFonts w:ascii="Courier New" w:hAnsi="Courier New" w:cs="Courier New"/>
          <w:color w:val="333333"/>
        </w:rPr>
        <w:t xml:space="preserve"> existed.</w:t>
      </w:r>
      <w:r>
        <w:rPr>
          <w:rFonts w:ascii="Courier New" w:hAnsi="Courier New" w:cs="Courier New"/>
          <w:color w:val="333333"/>
        </w:rPr>
        <w:t xml:space="preserve">  </w:t>
      </w:r>
      <w:r>
        <w:rPr>
          <w:rFonts w:ascii="Courier New" w:hAnsi="Courier New" w:cs="Courier New"/>
        </w:rPr>
        <w:t>T</w:t>
      </w:r>
      <w:r w:rsidRPr="002263B8">
        <w:rPr>
          <w:rFonts w:ascii="Courier New" w:hAnsi="Courier New" w:cs="Courier New"/>
        </w:rPr>
        <w:t xml:space="preserve">he use of the </w:t>
      </w:r>
      <w:r>
        <w:rPr>
          <w:rFonts w:ascii="Courier New" w:hAnsi="Courier New" w:cs="Courier New"/>
        </w:rPr>
        <w:t>income-capitalization approach i</w:t>
      </w:r>
      <w:r w:rsidRPr="002263B8">
        <w:rPr>
          <w:rFonts w:ascii="Courier New" w:hAnsi="Courier New" w:cs="Courier New"/>
        </w:rPr>
        <w:t xml:space="preserve">s </w:t>
      </w:r>
      <w:r w:rsidRPr="002263B8">
        <w:rPr>
          <w:rFonts w:ascii="Courier New" w:hAnsi="Courier New" w:cs="Courier New"/>
        </w:rPr>
        <w:lastRenderedPageBreak/>
        <w:t xml:space="preserve">appropriate when reliable market-sales data are not available.  </w:t>
      </w:r>
      <w:r w:rsidRPr="002263B8">
        <w:rPr>
          <w:rFonts w:ascii="Courier New" w:hAnsi="Courier New" w:cs="Courier New"/>
          <w:b/>
          <w:bCs/>
          <w:i/>
          <w:iCs/>
        </w:rPr>
        <w:t>Assessors of Weymouth v. Tammy Brook Co.,</w:t>
      </w:r>
      <w:r w:rsidRPr="002263B8">
        <w:rPr>
          <w:rFonts w:ascii="Courier New" w:hAnsi="Courier New" w:cs="Courier New"/>
        </w:rPr>
        <w:t xml:space="preserve"> 368 Mass. 810, 811 (1975); </w:t>
      </w:r>
      <w:r w:rsidRPr="002263B8">
        <w:rPr>
          <w:rFonts w:ascii="Courier New" w:hAnsi="Courier New" w:cs="Courier New"/>
          <w:b/>
          <w:bCs/>
          <w:i/>
          <w:iCs/>
        </w:rPr>
        <w:t>Assessors of Lynnfield v. New England Oyster House,</w:t>
      </w:r>
      <w:r w:rsidRPr="002263B8">
        <w:rPr>
          <w:rFonts w:ascii="Courier New" w:hAnsi="Courier New" w:cs="Courier New"/>
        </w:rPr>
        <w:t xml:space="preserve"> 362 Mass. 696, 701-702 (1972); </w:t>
      </w:r>
      <w:r w:rsidRPr="002263B8">
        <w:rPr>
          <w:rFonts w:ascii="Courier New" w:hAnsi="Courier New" w:cs="Courier New"/>
          <w:b/>
          <w:bCs/>
          <w:i/>
          <w:iCs/>
        </w:rPr>
        <w:t>Assessors of Quincy v. Boston Consolidated Gas Co.,</w:t>
      </w:r>
      <w:r w:rsidRPr="002263B8">
        <w:rPr>
          <w:rFonts w:ascii="Courier New" w:hAnsi="Courier New" w:cs="Courier New"/>
        </w:rPr>
        <w:t xml:space="preserve"> 309 Mass. 60, 67 (1941).  </w:t>
      </w:r>
      <w:r>
        <w:rPr>
          <w:rFonts w:ascii="Courier New" w:hAnsi="Courier New" w:cs="Courier New"/>
        </w:rPr>
        <w:t xml:space="preserve">It is also recognized as an appropriate technique to use for valuing </w:t>
      </w:r>
      <w:r w:rsidRPr="00BD4221">
        <w:rPr>
          <w:rFonts w:ascii="Courier New" w:hAnsi="Courier New" w:cs="Courier New"/>
          <w:bCs/>
        </w:rPr>
        <w:t xml:space="preserve">income-producing </w:t>
      </w:r>
      <w:r w:rsidRPr="00BD4221">
        <w:rPr>
          <w:rFonts w:ascii="Courier New" w:hAnsi="Courier New" w:cs="Courier New"/>
        </w:rPr>
        <w:t>property</w:t>
      </w:r>
      <w:r w:rsidRPr="00BD4221">
        <w:rPr>
          <w:rFonts w:ascii="Courier New" w:hAnsi="Courier New" w:cs="Courier New"/>
          <w:bCs/>
        </w:rPr>
        <w:t xml:space="preserve">.  </w:t>
      </w:r>
      <w:r w:rsidRPr="00BD4221">
        <w:rPr>
          <w:rFonts w:ascii="Courier New" w:hAnsi="Courier New" w:cs="Courier New"/>
          <w:b/>
          <w:bCs/>
          <w:i/>
        </w:rPr>
        <w:t>Taunton Redev. Assocs. v. Assessors of Taunton</w:t>
      </w:r>
      <w:r w:rsidRPr="00BD4221">
        <w:rPr>
          <w:rFonts w:ascii="Courier New" w:hAnsi="Courier New" w:cs="Courier New"/>
          <w:bCs/>
        </w:rPr>
        <w:t>, 393 Mass. 293, 295 (1984).</w:t>
      </w:r>
      <w:r>
        <w:rPr>
          <w:rFonts w:ascii="Courier New" w:hAnsi="Courier New" w:cs="Courier New"/>
          <w:bCs/>
        </w:rPr>
        <w:t xml:space="preserve">  </w:t>
      </w:r>
      <w:r w:rsidRPr="005451E8">
        <w:rPr>
          <w:rFonts w:ascii="Courier New" w:hAnsi="Courier New" w:cs="Courier New"/>
        </w:rPr>
        <w:t>In the</w:t>
      </w:r>
      <w:r>
        <w:rPr>
          <w:rFonts w:ascii="Courier New" w:hAnsi="Courier New" w:cs="Courier New"/>
        </w:rPr>
        <w:t>se appeals,</w:t>
      </w:r>
      <w:r w:rsidRPr="005451E8">
        <w:rPr>
          <w:rFonts w:ascii="Courier New" w:hAnsi="Courier New" w:cs="Courier New"/>
        </w:rPr>
        <w:t xml:space="preserve"> the Board </w:t>
      </w:r>
      <w:r>
        <w:rPr>
          <w:rFonts w:ascii="Courier New" w:hAnsi="Courier New" w:cs="Courier New"/>
        </w:rPr>
        <w:t xml:space="preserve">agreed with both parties’ valuation </w:t>
      </w:r>
      <w:r w:rsidR="00A71778">
        <w:rPr>
          <w:rFonts w:ascii="Courier New" w:hAnsi="Courier New" w:cs="Courier New"/>
        </w:rPr>
        <w:t xml:space="preserve">witnesses </w:t>
      </w:r>
      <w:r>
        <w:rPr>
          <w:rFonts w:ascii="Courier New" w:hAnsi="Courier New" w:cs="Courier New"/>
        </w:rPr>
        <w:t xml:space="preserve">that </w:t>
      </w:r>
      <w:r w:rsidRPr="005451E8">
        <w:rPr>
          <w:rFonts w:ascii="Courier New" w:hAnsi="Courier New" w:cs="Courier New"/>
        </w:rPr>
        <w:t>the income-capitalization approach</w:t>
      </w:r>
      <w:r>
        <w:rPr>
          <w:rFonts w:ascii="Courier New" w:hAnsi="Courier New" w:cs="Courier New"/>
        </w:rPr>
        <w:t xml:space="preserve"> was the most appropriate method to value the subject property</w:t>
      </w:r>
      <w:r w:rsidRPr="005451E8">
        <w:rPr>
          <w:rFonts w:ascii="Courier New" w:hAnsi="Courier New" w:cs="Courier New"/>
        </w:rPr>
        <w:t>.</w:t>
      </w:r>
      <w:r w:rsidRPr="00BD4221">
        <w:rPr>
          <w:rFonts w:ascii="Courier New" w:hAnsi="Courier New" w:cs="Courier New"/>
          <w:bCs/>
        </w:rPr>
        <w:t xml:space="preserve">  </w:t>
      </w:r>
    </w:p>
    <w:p w:rsidR="00CE7A04" w:rsidRDefault="001E1352" w:rsidP="001E1352">
      <w:pPr>
        <w:spacing w:line="480" w:lineRule="auto"/>
        <w:ind w:firstLine="720"/>
        <w:jc w:val="both"/>
        <w:rPr>
          <w:rFonts w:ascii="Courier New" w:hAnsi="Courier New" w:cs="Courier New"/>
          <w:bCs/>
          <w:iCs/>
        </w:rPr>
      </w:pPr>
      <w:r>
        <w:rPr>
          <w:rFonts w:ascii="Courier New" w:hAnsi="Courier New" w:cs="Courier New"/>
        </w:rPr>
        <w:t xml:space="preserve"> </w:t>
      </w:r>
      <w:r>
        <w:rPr>
          <w:rFonts w:ascii="Courier New" w:hAnsi="Courier New" w:cs="Courier New"/>
          <w:color w:val="333333"/>
        </w:rPr>
        <w:t xml:space="preserve">“The direct capitalization of income method analyzes </w:t>
      </w:r>
      <w:r>
        <w:rPr>
          <w:rFonts w:ascii="Courier New" w:hAnsi="Courier New" w:cs="Courier New"/>
        </w:rPr>
        <w:t xml:space="preserve">the property’s capacity to generate income over a one-year period and converts the capacity into an indication of fair cash value by capitalizing the income at a rate determined to be appropriate for the investment risk involved.”  </w:t>
      </w:r>
      <w:r w:rsidRPr="005E0B08">
        <w:rPr>
          <w:rFonts w:ascii="Courier New" w:hAnsi="Courier New" w:cs="Courier New"/>
          <w:b/>
          <w:i/>
        </w:rPr>
        <w:t>Oly</w:t>
      </w:r>
      <w:r>
        <w:rPr>
          <w:rFonts w:ascii="Courier New" w:hAnsi="Courier New" w:cs="Courier New"/>
          <w:b/>
          <w:i/>
        </w:rPr>
        <w:t>mpia</w:t>
      </w:r>
      <w:r w:rsidR="00CE7A04">
        <w:rPr>
          <w:rFonts w:ascii="Courier New" w:hAnsi="Courier New" w:cs="Courier New"/>
          <w:b/>
          <w:i/>
        </w:rPr>
        <w:t xml:space="preserve"> &amp; York State Street, Co.</w:t>
      </w:r>
      <w:r>
        <w:rPr>
          <w:rFonts w:ascii="Courier New" w:hAnsi="Courier New" w:cs="Courier New"/>
          <w:b/>
          <w:i/>
        </w:rPr>
        <w:t xml:space="preserve">, </w:t>
      </w:r>
      <w:r>
        <w:rPr>
          <w:rFonts w:ascii="Courier New" w:hAnsi="Courier New" w:cs="Courier New"/>
        </w:rPr>
        <w:t xml:space="preserve">428 Mass. at 239.  “It is the net income that a property </w:t>
      </w:r>
      <w:r w:rsidRPr="0055776A">
        <w:rPr>
          <w:rFonts w:ascii="Courier New" w:hAnsi="Courier New" w:cs="Courier New"/>
          <w:i/>
        </w:rPr>
        <w:t>should</w:t>
      </w:r>
      <w:r>
        <w:rPr>
          <w:rFonts w:ascii="Courier New" w:hAnsi="Courier New" w:cs="Courier New"/>
        </w:rPr>
        <w:t xml:space="preserve"> be earning, not necessarily what it actually earns, that is the figure that should be capitalized.”  </w:t>
      </w:r>
      <w:r w:rsidRPr="0055776A">
        <w:rPr>
          <w:rFonts w:ascii="Courier New" w:hAnsi="Courier New" w:cs="Courier New"/>
          <w:b/>
          <w:i/>
        </w:rPr>
        <w:t>Peterson</w:t>
      </w:r>
      <w:r>
        <w:rPr>
          <w:rFonts w:ascii="Courier New" w:hAnsi="Courier New" w:cs="Courier New"/>
          <w:b/>
          <w:i/>
        </w:rPr>
        <w:t xml:space="preserve"> v. Assessors of Boston</w:t>
      </w:r>
      <w:r>
        <w:rPr>
          <w:rFonts w:ascii="Courier New" w:hAnsi="Courier New" w:cs="Courier New"/>
        </w:rPr>
        <w:t xml:space="preserve">, </w:t>
      </w:r>
      <w:r w:rsidR="009A7138">
        <w:rPr>
          <w:rFonts w:ascii="Courier New" w:hAnsi="Courier New" w:cs="Courier New"/>
        </w:rPr>
        <w:t>62 Mass. App. Ct. 428, 436 (2004</w:t>
      </w:r>
      <w:r>
        <w:rPr>
          <w:rFonts w:ascii="Courier New" w:hAnsi="Courier New" w:cs="Courier New"/>
        </w:rPr>
        <w:t>) (emphasis in original).  Accordingly, t</w:t>
      </w:r>
      <w:r w:rsidRPr="005451E8">
        <w:rPr>
          <w:rFonts w:ascii="Courier New" w:hAnsi="Courier New" w:cs="Courier New"/>
        </w:rPr>
        <w:t xml:space="preserve">he income stream used in the income-capitalization method must reflect the property’s earning capacity or economic rental value.  </w:t>
      </w:r>
      <w:r w:rsidRPr="005451E8">
        <w:rPr>
          <w:rFonts w:ascii="Courier New" w:hAnsi="Courier New" w:cs="Courier New"/>
          <w:b/>
          <w:bCs/>
          <w:i/>
          <w:iCs/>
        </w:rPr>
        <w:t>Pepsi-Cola Bot</w:t>
      </w:r>
      <w:r>
        <w:rPr>
          <w:rFonts w:ascii="Courier New" w:hAnsi="Courier New" w:cs="Courier New"/>
          <w:b/>
          <w:bCs/>
          <w:i/>
          <w:iCs/>
        </w:rPr>
        <w:t>tling Co.</w:t>
      </w:r>
      <w:r w:rsidR="004B35D4">
        <w:rPr>
          <w:rFonts w:ascii="Courier New" w:hAnsi="Courier New" w:cs="Courier New"/>
          <w:b/>
          <w:bCs/>
          <w:i/>
          <w:iCs/>
        </w:rPr>
        <w:t xml:space="preserve">, </w:t>
      </w:r>
      <w:r w:rsidRPr="005451E8">
        <w:rPr>
          <w:rFonts w:ascii="Courier New" w:hAnsi="Courier New" w:cs="Courier New"/>
        </w:rPr>
        <w:t>397</w:t>
      </w:r>
      <w:r>
        <w:rPr>
          <w:rFonts w:ascii="Courier New" w:hAnsi="Courier New" w:cs="Courier New"/>
        </w:rPr>
        <w:t> </w:t>
      </w:r>
      <w:r w:rsidRPr="005451E8">
        <w:rPr>
          <w:rFonts w:ascii="Courier New" w:hAnsi="Courier New" w:cs="Courier New"/>
        </w:rPr>
        <w:t xml:space="preserve">Mass. </w:t>
      </w:r>
      <w:r w:rsidR="004B35D4">
        <w:rPr>
          <w:rFonts w:ascii="Courier New" w:hAnsi="Courier New" w:cs="Courier New"/>
        </w:rPr>
        <w:t xml:space="preserve">at </w:t>
      </w:r>
      <w:r w:rsidRPr="005451E8">
        <w:rPr>
          <w:rFonts w:ascii="Courier New" w:hAnsi="Courier New" w:cs="Courier New"/>
        </w:rPr>
        <w:t xml:space="preserve">451.  Imputing rental income to the subject </w:t>
      </w:r>
      <w:r w:rsidRPr="005451E8">
        <w:rPr>
          <w:rFonts w:ascii="Courier New" w:hAnsi="Courier New" w:cs="Courier New"/>
        </w:rPr>
        <w:lastRenderedPageBreak/>
        <w:t xml:space="preserve">property based on fair market rentals from comparable properties is evidence of value if, once adjusted, they are indicative of the subject property’s earning capacity.  </w:t>
      </w:r>
      <w:r w:rsidRPr="005451E8">
        <w:rPr>
          <w:rFonts w:ascii="Courier New" w:hAnsi="Courier New" w:cs="Courier New"/>
          <w:i/>
          <w:iCs/>
        </w:rPr>
        <w:t xml:space="preserve">See </w:t>
      </w:r>
      <w:r w:rsidRPr="005451E8">
        <w:rPr>
          <w:rFonts w:ascii="Courier New" w:hAnsi="Courier New" w:cs="Courier New"/>
          <w:b/>
          <w:bCs/>
          <w:i/>
          <w:iCs/>
        </w:rPr>
        <w:t>Correia v. New Bedford Redevelopment Auth.</w:t>
      </w:r>
      <w:r w:rsidRPr="005451E8">
        <w:rPr>
          <w:rFonts w:ascii="Courier New" w:hAnsi="Courier New" w:cs="Courier New"/>
        </w:rPr>
        <w:t xml:space="preserve">, 5 Mass. App. Ct. 289, 293-94 (1977), </w:t>
      </w:r>
      <w:r w:rsidRPr="005451E8">
        <w:rPr>
          <w:rFonts w:ascii="Courier New" w:hAnsi="Courier New" w:cs="Courier New"/>
          <w:i/>
          <w:iCs/>
        </w:rPr>
        <w:t>rev’d on other grounds,</w:t>
      </w:r>
      <w:r w:rsidRPr="005451E8">
        <w:rPr>
          <w:rFonts w:ascii="Courier New" w:hAnsi="Courier New" w:cs="Courier New"/>
        </w:rPr>
        <w:t xml:space="preserve"> 375 Mass. 360 (1978); </w:t>
      </w:r>
      <w:r w:rsidRPr="005451E8">
        <w:rPr>
          <w:rFonts w:ascii="Courier New" w:hAnsi="Courier New" w:cs="Courier New"/>
          <w:b/>
          <w:bCs/>
          <w:i/>
          <w:iCs/>
        </w:rPr>
        <w:t>Library Services, Inc. v. Malden Redevelopment Auth.</w:t>
      </w:r>
      <w:r w:rsidRPr="005451E8">
        <w:rPr>
          <w:rFonts w:ascii="Courier New" w:hAnsi="Courier New" w:cs="Courier New"/>
        </w:rPr>
        <w:t xml:space="preserve">, 9 Mass. App. Ct. 877, 878 (1980)(rescript). </w:t>
      </w:r>
      <w:r>
        <w:rPr>
          <w:rFonts w:ascii="Courier New" w:hAnsi="Courier New" w:cs="Courier New"/>
        </w:rPr>
        <w:t xml:space="preserve"> </w:t>
      </w:r>
      <w:r w:rsidRPr="006C7758">
        <w:rPr>
          <w:rFonts w:ascii="Courier New" w:hAnsi="Courier New" w:cs="Courier New"/>
        </w:rPr>
        <w:t xml:space="preserve">Vacancy rates must also be market based when determining fair cash value.  </w:t>
      </w:r>
      <w:r w:rsidRPr="006C7758">
        <w:rPr>
          <w:rFonts w:ascii="Courier New" w:hAnsi="Courier New" w:cs="Courier New"/>
          <w:b/>
          <w:bCs/>
          <w:i/>
          <w:iCs/>
        </w:rPr>
        <w:t xml:space="preserve">Donovan v. City of Haverhill, </w:t>
      </w:r>
      <w:r w:rsidRPr="006C7758">
        <w:rPr>
          <w:rFonts w:ascii="Courier New" w:hAnsi="Courier New" w:cs="Courier New"/>
        </w:rPr>
        <w:t>247</w:t>
      </w:r>
      <w:r>
        <w:rPr>
          <w:rFonts w:ascii="Courier New" w:hAnsi="Courier New" w:cs="Courier New"/>
        </w:rPr>
        <w:t> </w:t>
      </w:r>
      <w:r w:rsidRPr="006C7758">
        <w:rPr>
          <w:rFonts w:ascii="Courier New" w:hAnsi="Courier New" w:cs="Courier New"/>
        </w:rPr>
        <w:t>Mass. 69, 71 (1923).</w:t>
      </w:r>
      <w:r>
        <w:rPr>
          <w:rFonts w:ascii="Courier New" w:hAnsi="Courier New" w:cs="Courier New"/>
        </w:rPr>
        <w:t xml:space="preserve">  </w:t>
      </w:r>
      <w:r w:rsidRPr="005451E8">
        <w:rPr>
          <w:rFonts w:ascii="Courier New" w:hAnsi="Courier New" w:cs="Courier New"/>
        </w:rPr>
        <w:t xml:space="preserve">After accounting for vacancy and rent losses, the net-operating income is obtained by deducting the landlord’s appropriate expenses.  </w:t>
      </w:r>
      <w:r w:rsidRPr="005451E8">
        <w:rPr>
          <w:rFonts w:ascii="Courier New" w:hAnsi="Courier New" w:cs="Courier New"/>
          <w:b/>
          <w:bCs/>
          <w:i/>
          <w:iCs/>
        </w:rPr>
        <w:t>General E</w:t>
      </w:r>
      <w:r>
        <w:rPr>
          <w:rFonts w:ascii="Courier New" w:hAnsi="Courier New" w:cs="Courier New"/>
          <w:b/>
          <w:bCs/>
          <w:i/>
          <w:iCs/>
        </w:rPr>
        <w:t>lectric Co.</w:t>
      </w:r>
      <w:r w:rsidR="007A760B">
        <w:rPr>
          <w:rFonts w:ascii="Courier New" w:hAnsi="Courier New" w:cs="Courier New"/>
          <w:b/>
          <w:bCs/>
          <w:i/>
          <w:iCs/>
        </w:rPr>
        <w:t xml:space="preserve"> v. Assessors of Lynn</w:t>
      </w:r>
      <w:r w:rsidRPr="005451E8">
        <w:rPr>
          <w:rFonts w:ascii="Courier New" w:hAnsi="Courier New" w:cs="Courier New"/>
          <w:b/>
          <w:bCs/>
          <w:i/>
          <w:iCs/>
        </w:rPr>
        <w:t>,</w:t>
      </w:r>
      <w:r w:rsidRPr="005451E8">
        <w:rPr>
          <w:rFonts w:ascii="Courier New" w:hAnsi="Courier New" w:cs="Courier New"/>
        </w:rPr>
        <w:t xml:space="preserve"> 393 Mass. </w:t>
      </w:r>
      <w:r w:rsidR="004B35D4">
        <w:rPr>
          <w:rFonts w:ascii="Courier New" w:hAnsi="Courier New" w:cs="Courier New"/>
        </w:rPr>
        <w:t xml:space="preserve">591, </w:t>
      </w:r>
      <w:r w:rsidRPr="005451E8">
        <w:rPr>
          <w:rFonts w:ascii="Courier New" w:hAnsi="Courier New" w:cs="Courier New"/>
        </w:rPr>
        <w:t>610</w:t>
      </w:r>
      <w:r w:rsidR="004B35D4">
        <w:rPr>
          <w:rFonts w:ascii="Courier New" w:hAnsi="Courier New" w:cs="Courier New"/>
        </w:rPr>
        <w:t xml:space="preserve"> (1984)</w:t>
      </w:r>
      <w:r w:rsidRPr="005451E8">
        <w:rPr>
          <w:rFonts w:ascii="Courier New" w:hAnsi="Courier New" w:cs="Courier New"/>
        </w:rPr>
        <w:t xml:space="preserve">.  The expenses should also reflect the market.  </w:t>
      </w:r>
      <w:r w:rsidRPr="005451E8">
        <w:rPr>
          <w:rFonts w:ascii="Courier New" w:hAnsi="Courier New" w:cs="Courier New"/>
          <w:b/>
          <w:bCs/>
          <w:i/>
          <w:iCs/>
        </w:rPr>
        <w:t>Id.</w:t>
      </w:r>
      <w:r>
        <w:rPr>
          <w:rFonts w:ascii="Courier New" w:hAnsi="Courier New" w:cs="Courier New"/>
          <w:b/>
          <w:bCs/>
          <w:i/>
          <w:iCs/>
        </w:rPr>
        <w:t xml:space="preserve">; </w:t>
      </w:r>
      <w:r>
        <w:rPr>
          <w:rFonts w:ascii="Courier New" w:hAnsi="Courier New" w:cs="Courier New"/>
          <w:bCs/>
          <w:i/>
          <w:iCs/>
        </w:rPr>
        <w:t xml:space="preserve">see </w:t>
      </w:r>
      <w:r>
        <w:rPr>
          <w:rFonts w:ascii="Courier New" w:hAnsi="Courier New" w:cs="Courier New"/>
          <w:b/>
          <w:bCs/>
          <w:i/>
          <w:iCs/>
        </w:rPr>
        <w:t>Olympia &amp; York State Street Co.</w:t>
      </w:r>
      <w:r>
        <w:rPr>
          <w:rFonts w:ascii="Courier New" w:hAnsi="Courier New" w:cs="Courier New"/>
          <w:bCs/>
          <w:iCs/>
        </w:rPr>
        <w:t>, 428 Mass. at 239, 245.</w:t>
      </w:r>
    </w:p>
    <w:p w:rsidR="001601C3" w:rsidRPr="004C0AFE" w:rsidRDefault="001E1352" w:rsidP="004C0AFE">
      <w:pPr>
        <w:spacing w:line="480" w:lineRule="auto"/>
        <w:ind w:firstLine="720"/>
        <w:jc w:val="both"/>
        <w:rPr>
          <w:rFonts w:ascii="Courier New" w:hAnsi="Courier New" w:cs="Courier New"/>
          <w:color w:val="333333"/>
        </w:rPr>
      </w:pPr>
      <w:r w:rsidRPr="008B53EB">
        <w:rPr>
          <w:rFonts w:ascii="Courier New" w:hAnsi="Courier New" w:cs="Courier New"/>
          <w:color w:val="333333"/>
        </w:rPr>
        <w:t>In the</w:t>
      </w:r>
      <w:r w:rsidR="0011732D">
        <w:rPr>
          <w:rFonts w:ascii="Courier New" w:hAnsi="Courier New" w:cs="Courier New"/>
          <w:color w:val="333333"/>
        </w:rPr>
        <w:t xml:space="preserve">se </w:t>
      </w:r>
      <w:r w:rsidRPr="008B53EB">
        <w:rPr>
          <w:rFonts w:ascii="Courier New" w:hAnsi="Courier New" w:cs="Courier New"/>
          <w:color w:val="333333"/>
        </w:rPr>
        <w:t xml:space="preserve">appeals, </w:t>
      </w:r>
      <w:r w:rsidR="000262F0">
        <w:rPr>
          <w:rFonts w:ascii="Courier New" w:hAnsi="Courier New" w:cs="Courier New"/>
        </w:rPr>
        <w:t xml:space="preserve">the Board found that </w:t>
      </w:r>
      <w:r w:rsidR="00507BD6">
        <w:rPr>
          <w:rFonts w:ascii="Courier New" w:hAnsi="Courier New" w:cs="Courier New"/>
        </w:rPr>
        <w:t>Mr. Shuka’s p</w:t>
      </w:r>
      <w:r w:rsidR="000262F0">
        <w:rPr>
          <w:rFonts w:ascii="Courier New" w:hAnsi="Courier New" w:cs="Courier New"/>
        </w:rPr>
        <w:t xml:space="preserve">rojected rental of $13.00 per square foot, which was derived from large investment-quality chain retail properties like the subject property </w:t>
      </w:r>
      <w:r w:rsidR="00507BD6">
        <w:rPr>
          <w:rFonts w:ascii="Courier New" w:hAnsi="Courier New" w:cs="Courier New"/>
        </w:rPr>
        <w:t>and was higher than the rent suggested by Mr.</w:t>
      </w:r>
      <w:r w:rsidR="007145F7">
        <w:rPr>
          <w:rFonts w:ascii="Courier New" w:hAnsi="Courier New" w:cs="Courier New"/>
        </w:rPr>
        <w:t>  </w:t>
      </w:r>
      <w:r w:rsidR="00507BD6">
        <w:rPr>
          <w:rFonts w:ascii="Courier New" w:hAnsi="Courier New" w:cs="Courier New"/>
        </w:rPr>
        <w:t xml:space="preserve">Johnston, </w:t>
      </w:r>
      <w:r w:rsidR="000262F0">
        <w:rPr>
          <w:rFonts w:ascii="Courier New" w:hAnsi="Courier New" w:cs="Courier New"/>
        </w:rPr>
        <w:t>was appropriate.</w:t>
      </w:r>
      <w:r w:rsidR="004C0AFE">
        <w:rPr>
          <w:rFonts w:ascii="Courier New" w:hAnsi="Courier New" w:cs="Courier New"/>
        </w:rPr>
        <w:t xml:space="preserve">  </w:t>
      </w:r>
      <w:r>
        <w:rPr>
          <w:rFonts w:ascii="Courier New" w:hAnsi="Courier New" w:cs="Courier New"/>
          <w:i/>
        </w:rPr>
        <w:t>See</w:t>
      </w:r>
      <w:r w:rsidRPr="006D4C3C">
        <w:rPr>
          <w:rFonts w:ascii="Courier New" w:hAnsi="Courier New" w:cs="Courier New"/>
          <w:i/>
        </w:rPr>
        <w:t xml:space="preserve"> </w:t>
      </w:r>
      <w:r>
        <w:rPr>
          <w:rFonts w:ascii="Courier New" w:hAnsi="Courier New" w:cs="Courier New"/>
          <w:b/>
          <w:i/>
        </w:rPr>
        <w:t>Fox Ridge Assoc. v. Assessors of Marshfield</w:t>
      </w:r>
      <w:r>
        <w:rPr>
          <w:rFonts w:ascii="Courier New" w:hAnsi="Courier New" w:cs="Courier New"/>
        </w:rPr>
        <w:t>, 393 Mass. 652, 654 (1984) (“Choosing an appropriate gross income figure for establishing an income stream was within the board’s discreti</w:t>
      </w:r>
      <w:r w:rsidR="002D1401">
        <w:rPr>
          <w:rFonts w:ascii="Courier New" w:hAnsi="Courier New" w:cs="Courier New"/>
        </w:rPr>
        <w:t>on and expertise.”).</w:t>
      </w:r>
      <w:r w:rsidR="00B838C7">
        <w:rPr>
          <w:rFonts w:ascii="Courier New" w:hAnsi="Courier New" w:cs="Courier New"/>
        </w:rPr>
        <w:t xml:space="preserve">  </w:t>
      </w:r>
      <w:r w:rsidR="00A77A8C">
        <w:rPr>
          <w:rFonts w:ascii="Courier New" w:hAnsi="Courier New" w:cs="Courier New"/>
        </w:rPr>
        <w:t>T</w:t>
      </w:r>
      <w:r w:rsidR="004E423A" w:rsidRPr="00621988">
        <w:rPr>
          <w:rFonts w:ascii="Courier New" w:hAnsi="Courier New" w:cs="Courier New"/>
          <w:color w:val="333333"/>
        </w:rPr>
        <w:t xml:space="preserve">he </w:t>
      </w:r>
      <w:r w:rsidR="001601C3">
        <w:rPr>
          <w:rFonts w:ascii="Courier New" w:hAnsi="Courier New" w:cs="Courier New"/>
          <w:color w:val="333333"/>
        </w:rPr>
        <w:t xml:space="preserve">Board found that Mr. Shuka’s </w:t>
      </w:r>
      <w:r w:rsidR="00A77A8C">
        <w:rPr>
          <w:rFonts w:ascii="Courier New" w:hAnsi="Courier New" w:cs="Courier New"/>
          <w:color w:val="333333"/>
        </w:rPr>
        <w:t>vacancy and collection loss rate of 15%</w:t>
      </w:r>
      <w:r w:rsidR="001601C3">
        <w:rPr>
          <w:rFonts w:ascii="Courier New" w:hAnsi="Courier New" w:cs="Courier New"/>
          <w:color w:val="333333"/>
        </w:rPr>
        <w:t xml:space="preserve"> was excessive</w:t>
      </w:r>
      <w:r w:rsidR="004C0AFE">
        <w:rPr>
          <w:rFonts w:ascii="Courier New" w:hAnsi="Courier New" w:cs="Courier New"/>
          <w:color w:val="333333"/>
        </w:rPr>
        <w:t xml:space="preserve"> and instead, </w:t>
      </w:r>
      <w:r w:rsidR="004C0AFE">
        <w:rPr>
          <w:rFonts w:ascii="Courier New" w:hAnsi="Courier New" w:cs="Courier New"/>
        </w:rPr>
        <w:t xml:space="preserve">based on the underlying </w:t>
      </w:r>
      <w:r w:rsidR="004C0AFE">
        <w:rPr>
          <w:rFonts w:ascii="Courier New" w:hAnsi="Courier New" w:cs="Courier New"/>
        </w:rPr>
        <w:lastRenderedPageBreak/>
        <w:t xml:space="preserve">statistical </w:t>
      </w:r>
      <w:r w:rsidR="00BA1A3E">
        <w:rPr>
          <w:rFonts w:ascii="Courier New" w:hAnsi="Courier New" w:cs="Courier New"/>
        </w:rPr>
        <w:t>data</w:t>
      </w:r>
      <w:r w:rsidR="004C0AFE">
        <w:rPr>
          <w:rFonts w:ascii="Courier New" w:hAnsi="Courier New" w:cs="Courier New"/>
        </w:rPr>
        <w:t xml:space="preserve"> contained in his appraisal report, </w:t>
      </w:r>
      <w:r w:rsidR="00F979F5">
        <w:rPr>
          <w:rFonts w:ascii="Courier New" w:hAnsi="Courier New" w:cs="Courier New"/>
        </w:rPr>
        <w:t xml:space="preserve">as well as Mr. Johnston’s recommendation to use a lower rate, </w:t>
      </w:r>
      <w:r w:rsidR="0064280E">
        <w:rPr>
          <w:rFonts w:ascii="Courier New" w:hAnsi="Courier New" w:cs="Courier New"/>
        </w:rPr>
        <w:t>adopted a stabilized rate of 7.5</w:t>
      </w:r>
      <w:r w:rsidR="004C0AFE">
        <w:rPr>
          <w:rFonts w:ascii="Courier New" w:hAnsi="Courier New" w:cs="Courier New"/>
        </w:rPr>
        <w:t xml:space="preserve">% for the fiscal years at issue.  </w:t>
      </w:r>
      <w:r w:rsidR="001601C3">
        <w:rPr>
          <w:rFonts w:ascii="Courier New" w:hAnsi="Courier New" w:cs="Courier New"/>
          <w:i/>
        </w:rPr>
        <w:t>See</w:t>
      </w:r>
      <w:r w:rsidR="007145F7">
        <w:rPr>
          <w:rFonts w:ascii="Courier New" w:hAnsi="Courier New" w:cs="Courier New"/>
          <w:i/>
        </w:rPr>
        <w:t> </w:t>
      </w:r>
      <w:r w:rsidR="001601C3" w:rsidRPr="006D4C3C">
        <w:rPr>
          <w:rFonts w:ascii="Courier New" w:hAnsi="Courier New" w:cs="Courier New"/>
          <w:b/>
          <w:i/>
        </w:rPr>
        <w:t>Olympia &amp; York State Street Co.</w:t>
      </w:r>
      <w:r w:rsidR="001601C3">
        <w:rPr>
          <w:rFonts w:ascii="Courier New" w:hAnsi="Courier New" w:cs="Courier New"/>
        </w:rPr>
        <w:t>, 428 Mass. at 242 (acknowledging that it is appropriate for the Board to “exercise . . . independent decision-making based on the evidence”).</w:t>
      </w:r>
      <w:r w:rsidR="00A77A8C">
        <w:rPr>
          <w:rFonts w:ascii="Courier New" w:hAnsi="Courier New" w:cs="Courier New"/>
        </w:rPr>
        <w:t xml:space="preserve">  This calculation yielded a stabilized effective gross income of $1,</w:t>
      </w:r>
      <w:r w:rsidR="009A7138">
        <w:rPr>
          <w:rFonts w:ascii="Courier New" w:hAnsi="Courier New" w:cs="Courier New"/>
        </w:rPr>
        <w:t>501,021</w:t>
      </w:r>
      <w:r w:rsidR="00A77A8C">
        <w:rPr>
          <w:rFonts w:ascii="Courier New" w:hAnsi="Courier New" w:cs="Courier New"/>
        </w:rPr>
        <w:t xml:space="preserve"> for the fiscal years at issue. </w:t>
      </w:r>
    </w:p>
    <w:p w:rsidR="004E423A" w:rsidRDefault="004E423A" w:rsidP="004E423A">
      <w:pPr>
        <w:spacing w:line="480" w:lineRule="auto"/>
        <w:ind w:firstLine="720"/>
        <w:jc w:val="both"/>
        <w:rPr>
          <w:rFonts w:ascii="Courier New" w:hAnsi="Courier New" w:cs="Courier New"/>
        </w:rPr>
      </w:pPr>
      <w:r w:rsidRPr="007D0777">
        <w:rPr>
          <w:rFonts w:ascii="Courier New" w:hAnsi="Courier New" w:cs="Courier New"/>
        </w:rPr>
        <w:t xml:space="preserve">For expenses, the Board </w:t>
      </w:r>
      <w:r>
        <w:rPr>
          <w:rFonts w:ascii="Courier New" w:hAnsi="Courier New" w:cs="Courier New"/>
        </w:rPr>
        <w:t>f</w:t>
      </w:r>
      <w:r>
        <w:rPr>
          <w:rFonts w:ascii="Courier New" w:hAnsi="Courier New" w:cs="Courier New"/>
          <w:color w:val="333333"/>
        </w:rPr>
        <w:t xml:space="preserve">ound that Mr. Shuka’s </w:t>
      </w:r>
      <w:r w:rsidR="001601C3">
        <w:rPr>
          <w:rFonts w:ascii="Courier New" w:hAnsi="Courier New" w:cs="Courier New"/>
          <w:color w:val="333333"/>
        </w:rPr>
        <w:t>operating expense figures</w:t>
      </w:r>
      <w:r w:rsidR="0071105A">
        <w:rPr>
          <w:rFonts w:ascii="Courier New" w:hAnsi="Courier New" w:cs="Courier New"/>
          <w:color w:val="333333"/>
        </w:rPr>
        <w:t xml:space="preserve"> for common area maintenance and insurance, which were based on market data, were appropriate.  However, the Board adjusted this computation to reflect its lower vacancy rate.  The Board also determined that Mr. Shuka’s expenses for </w:t>
      </w:r>
      <w:r>
        <w:rPr>
          <w:rFonts w:ascii="Courier New" w:hAnsi="Courier New" w:cs="Courier New"/>
          <w:color w:val="333333"/>
        </w:rPr>
        <w:t>reserves for replacement</w:t>
      </w:r>
      <w:r w:rsidR="0071105A">
        <w:rPr>
          <w:rFonts w:ascii="Courier New" w:hAnsi="Courier New" w:cs="Courier New"/>
          <w:color w:val="333333"/>
        </w:rPr>
        <w:t xml:space="preserve"> </w:t>
      </w:r>
      <w:r>
        <w:rPr>
          <w:rFonts w:ascii="Courier New" w:hAnsi="Courier New" w:cs="Courier New"/>
          <w:color w:val="333333"/>
        </w:rPr>
        <w:t>calculated at $0.25 per square foot</w:t>
      </w:r>
      <w:r w:rsidR="0071105A">
        <w:rPr>
          <w:rFonts w:ascii="Courier New" w:hAnsi="Courier New" w:cs="Courier New"/>
          <w:color w:val="333333"/>
        </w:rPr>
        <w:t xml:space="preserve">, </w:t>
      </w:r>
      <w:r>
        <w:rPr>
          <w:rFonts w:ascii="Courier New" w:hAnsi="Courier New" w:cs="Courier New"/>
          <w:color w:val="333333"/>
        </w:rPr>
        <w:t>leasing commission</w:t>
      </w:r>
      <w:r w:rsidR="0071105A">
        <w:rPr>
          <w:rFonts w:ascii="Courier New" w:hAnsi="Courier New" w:cs="Courier New"/>
          <w:color w:val="333333"/>
        </w:rPr>
        <w:t xml:space="preserve"> </w:t>
      </w:r>
      <w:r>
        <w:rPr>
          <w:rFonts w:ascii="Courier New" w:hAnsi="Courier New" w:cs="Courier New"/>
          <w:color w:val="333333"/>
        </w:rPr>
        <w:t xml:space="preserve">calculated at 2.8% of </w:t>
      </w:r>
      <w:r w:rsidR="0071105A">
        <w:rPr>
          <w:rFonts w:ascii="Courier New" w:hAnsi="Courier New" w:cs="Courier New"/>
          <w:color w:val="333333"/>
        </w:rPr>
        <w:t xml:space="preserve">potential </w:t>
      </w:r>
      <w:r w:rsidR="009A7138">
        <w:rPr>
          <w:rFonts w:ascii="Courier New" w:hAnsi="Courier New" w:cs="Courier New"/>
          <w:color w:val="333333"/>
        </w:rPr>
        <w:t xml:space="preserve">gross </w:t>
      </w:r>
      <w:r>
        <w:rPr>
          <w:rFonts w:ascii="Courier New" w:hAnsi="Courier New" w:cs="Courier New"/>
          <w:color w:val="333333"/>
        </w:rPr>
        <w:t>income</w:t>
      </w:r>
      <w:r w:rsidR="001601C3">
        <w:rPr>
          <w:rFonts w:ascii="Courier New" w:hAnsi="Courier New" w:cs="Courier New"/>
          <w:color w:val="333333"/>
        </w:rPr>
        <w:t>, and tenant improvement</w:t>
      </w:r>
      <w:r w:rsidR="00722448">
        <w:rPr>
          <w:rFonts w:ascii="Courier New" w:hAnsi="Courier New" w:cs="Courier New"/>
          <w:color w:val="333333"/>
        </w:rPr>
        <w:t>s</w:t>
      </w:r>
      <w:r w:rsidR="001601C3">
        <w:rPr>
          <w:rFonts w:ascii="Courier New" w:hAnsi="Courier New" w:cs="Courier New"/>
          <w:color w:val="333333"/>
        </w:rPr>
        <w:t xml:space="preserve"> calculated at $0.20 per square foot,</w:t>
      </w:r>
      <w:r>
        <w:rPr>
          <w:rFonts w:ascii="Courier New" w:hAnsi="Courier New" w:cs="Courier New"/>
          <w:color w:val="333333"/>
        </w:rPr>
        <w:t xml:space="preserve"> were market based and appropriate.  With respect to the management expense, the Board found that Mr. Shuka’s expense calculated at 3% of EGI was excessive </w:t>
      </w:r>
      <w:r w:rsidR="00BA1A3E">
        <w:rPr>
          <w:rFonts w:ascii="Courier New" w:hAnsi="Courier New" w:cs="Courier New"/>
          <w:color w:val="333333"/>
        </w:rPr>
        <w:t xml:space="preserve">given the nature of the tenancy </w:t>
      </w:r>
      <w:r>
        <w:rPr>
          <w:rFonts w:ascii="Courier New" w:hAnsi="Courier New" w:cs="Courier New"/>
          <w:color w:val="333333"/>
        </w:rPr>
        <w:t>and instead found Mr. Johnston’s expense of 2% of EGI more reasonable.</w:t>
      </w:r>
      <w:r w:rsidR="0011732D">
        <w:rPr>
          <w:rFonts w:ascii="Courier New" w:hAnsi="Courier New" w:cs="Courier New"/>
          <w:color w:val="333333"/>
        </w:rPr>
        <w:t xml:space="preserve">  </w:t>
      </w:r>
      <w:r w:rsidR="00434FC3">
        <w:rPr>
          <w:rFonts w:ascii="Courier New" w:hAnsi="Courier New" w:cs="Courier New"/>
        </w:rPr>
        <w:t xml:space="preserve">“The issue of what expenses may be considered in any particular piece of property is for the board.” </w:t>
      </w:r>
      <w:r w:rsidR="00434FC3" w:rsidRPr="00467FA3">
        <w:rPr>
          <w:rFonts w:ascii="Courier New" w:hAnsi="Courier New" w:cs="Courier New"/>
          <w:b/>
          <w:i/>
        </w:rPr>
        <w:t>Alstores Realty Corp. v</w:t>
      </w:r>
      <w:r w:rsidR="00434FC3">
        <w:rPr>
          <w:rFonts w:ascii="Courier New" w:hAnsi="Courier New" w:cs="Courier New"/>
          <w:b/>
          <w:i/>
        </w:rPr>
        <w:t>.</w:t>
      </w:r>
      <w:r w:rsidR="00434FC3" w:rsidRPr="00467FA3">
        <w:rPr>
          <w:rFonts w:ascii="Courier New" w:hAnsi="Courier New" w:cs="Courier New"/>
          <w:b/>
          <w:i/>
        </w:rPr>
        <w:t xml:space="preserve"> Assessors of Peabody</w:t>
      </w:r>
      <w:r w:rsidR="00434FC3">
        <w:rPr>
          <w:rFonts w:ascii="Courier New" w:hAnsi="Courier New" w:cs="Courier New"/>
        </w:rPr>
        <w:t xml:space="preserve">, 391 Mass. 60, 65 (1984); </w:t>
      </w:r>
      <w:r w:rsidR="00434FC3">
        <w:rPr>
          <w:rFonts w:ascii="Courier New" w:hAnsi="Courier New" w:cs="Courier New"/>
          <w:i/>
        </w:rPr>
        <w:t xml:space="preserve">see also </w:t>
      </w:r>
      <w:r w:rsidR="0011732D" w:rsidRPr="006D4C3C">
        <w:rPr>
          <w:rFonts w:ascii="Courier New" w:hAnsi="Courier New" w:cs="Courier New"/>
          <w:b/>
          <w:i/>
        </w:rPr>
        <w:t>Olympia &amp; York State Street Co.</w:t>
      </w:r>
      <w:r w:rsidR="0011732D">
        <w:rPr>
          <w:rFonts w:ascii="Courier New" w:hAnsi="Courier New" w:cs="Courier New"/>
        </w:rPr>
        <w:t xml:space="preserve">, 428 Mass. at 242.  </w:t>
      </w:r>
    </w:p>
    <w:p w:rsidR="00F979F5" w:rsidRDefault="00434FC3" w:rsidP="004E423A">
      <w:pPr>
        <w:spacing w:line="480" w:lineRule="auto"/>
        <w:ind w:firstLine="720"/>
        <w:jc w:val="both"/>
        <w:rPr>
          <w:rFonts w:ascii="Courier New" w:hAnsi="Courier New" w:cs="Courier New"/>
        </w:rPr>
      </w:pPr>
      <w:r w:rsidRPr="005451E8">
        <w:rPr>
          <w:rFonts w:ascii="Courier New" w:hAnsi="Courier New" w:cs="Courier New"/>
        </w:rPr>
        <w:lastRenderedPageBreak/>
        <w:t xml:space="preserve">The capitalization rate selected should consider the return necessary to attract investment capital. </w:t>
      </w:r>
      <w:r w:rsidR="007145F7">
        <w:rPr>
          <w:rFonts w:ascii="Courier New" w:hAnsi="Courier New" w:cs="Courier New"/>
        </w:rPr>
        <w:t> </w:t>
      </w:r>
      <w:r w:rsidRPr="005451E8">
        <w:rPr>
          <w:rFonts w:ascii="Courier New" w:hAnsi="Courier New" w:cs="Courier New"/>
          <w:b/>
          <w:bCs/>
          <w:i/>
          <w:iCs/>
        </w:rPr>
        <w:t>Taunton Redev</w:t>
      </w:r>
      <w:r w:rsidR="009A7138">
        <w:rPr>
          <w:rFonts w:ascii="Courier New" w:hAnsi="Courier New" w:cs="Courier New"/>
          <w:b/>
          <w:bCs/>
          <w:i/>
          <w:iCs/>
        </w:rPr>
        <w:t>.</w:t>
      </w:r>
      <w:r w:rsidRPr="005451E8">
        <w:rPr>
          <w:rFonts w:ascii="Courier New" w:hAnsi="Courier New" w:cs="Courier New"/>
          <w:b/>
          <w:bCs/>
          <w:i/>
          <w:iCs/>
        </w:rPr>
        <w:t xml:space="preserve"> Assoc</w:t>
      </w:r>
      <w:r w:rsidR="009A7138">
        <w:rPr>
          <w:rFonts w:ascii="Courier New" w:hAnsi="Courier New" w:cs="Courier New"/>
          <w:b/>
          <w:bCs/>
          <w:i/>
          <w:iCs/>
        </w:rPr>
        <w:t>s.</w:t>
      </w:r>
      <w:r w:rsidRPr="005451E8">
        <w:rPr>
          <w:rFonts w:ascii="Courier New" w:hAnsi="Courier New" w:cs="Courier New"/>
          <w:b/>
          <w:bCs/>
          <w:i/>
          <w:iCs/>
        </w:rPr>
        <w:t>,</w:t>
      </w:r>
      <w:r w:rsidRPr="005451E8">
        <w:rPr>
          <w:rFonts w:ascii="Courier New" w:hAnsi="Courier New" w:cs="Courier New"/>
        </w:rPr>
        <w:t xml:space="preserve"> 393 Mass. </w:t>
      </w:r>
      <w:r w:rsidR="009E25D2">
        <w:rPr>
          <w:rFonts w:ascii="Courier New" w:hAnsi="Courier New" w:cs="Courier New"/>
        </w:rPr>
        <w:t>at 295</w:t>
      </w:r>
      <w:r w:rsidRPr="005451E8">
        <w:rPr>
          <w:rFonts w:ascii="Courier New" w:hAnsi="Courier New" w:cs="Courier New"/>
        </w:rPr>
        <w:t xml:space="preserve">.  </w:t>
      </w:r>
      <w:r>
        <w:rPr>
          <w:rFonts w:ascii="Courier New" w:hAnsi="Courier New" w:cs="Courier New"/>
        </w:rPr>
        <w:t>Based on the evidence presented in the instant appeals, the Board found that base capitalization rate</w:t>
      </w:r>
      <w:r w:rsidR="0071105A">
        <w:rPr>
          <w:rFonts w:ascii="Courier New" w:hAnsi="Courier New" w:cs="Courier New"/>
        </w:rPr>
        <w:t>s</w:t>
      </w:r>
      <w:r>
        <w:rPr>
          <w:rFonts w:ascii="Courier New" w:hAnsi="Courier New" w:cs="Courier New"/>
        </w:rPr>
        <w:t xml:space="preserve"> </w:t>
      </w:r>
      <w:r w:rsidR="00507BD6">
        <w:rPr>
          <w:rFonts w:ascii="Courier New" w:hAnsi="Courier New" w:cs="Courier New"/>
        </w:rPr>
        <w:t xml:space="preserve">were within the range offered by the parties’ </w:t>
      </w:r>
      <w:r w:rsidR="00A71778">
        <w:rPr>
          <w:rFonts w:ascii="Courier New" w:hAnsi="Courier New" w:cs="Courier New"/>
        </w:rPr>
        <w:t>valuation</w:t>
      </w:r>
      <w:r w:rsidR="00507BD6">
        <w:rPr>
          <w:rFonts w:ascii="Courier New" w:hAnsi="Courier New" w:cs="Courier New"/>
        </w:rPr>
        <w:t xml:space="preserve"> witnesses: </w:t>
      </w:r>
      <w:r w:rsidR="0064280E">
        <w:rPr>
          <w:rFonts w:ascii="Courier New" w:hAnsi="Courier New" w:cs="Courier New"/>
        </w:rPr>
        <w:t xml:space="preserve"> </w:t>
      </w:r>
      <w:r w:rsidR="00F71C25">
        <w:rPr>
          <w:rFonts w:ascii="Courier New" w:hAnsi="Courier New" w:cs="Courier New"/>
        </w:rPr>
        <w:t xml:space="preserve"> </w:t>
      </w:r>
      <w:r>
        <w:rPr>
          <w:rFonts w:ascii="Courier New" w:hAnsi="Courier New" w:cs="Courier New"/>
        </w:rPr>
        <w:t>8.</w:t>
      </w:r>
      <w:r w:rsidR="0071105A">
        <w:rPr>
          <w:rFonts w:ascii="Courier New" w:hAnsi="Courier New" w:cs="Courier New"/>
        </w:rPr>
        <w:t>75</w:t>
      </w:r>
      <w:r w:rsidR="00722448">
        <w:rPr>
          <w:rFonts w:ascii="Courier New" w:hAnsi="Courier New" w:cs="Courier New"/>
        </w:rPr>
        <w:t>%</w:t>
      </w:r>
      <w:r w:rsidR="0071105A">
        <w:rPr>
          <w:rFonts w:ascii="Courier New" w:hAnsi="Courier New" w:cs="Courier New"/>
        </w:rPr>
        <w:t xml:space="preserve"> for fiscal year 2012, 8.5% for fiscal year 2013, and 8.25% for fiscal year 2014,</w:t>
      </w:r>
      <w:r w:rsidR="00722448">
        <w:rPr>
          <w:rFonts w:ascii="Courier New" w:hAnsi="Courier New" w:cs="Courier New"/>
        </w:rPr>
        <w:t xml:space="preserve"> w</w:t>
      </w:r>
      <w:r w:rsidR="0071105A">
        <w:rPr>
          <w:rFonts w:ascii="Courier New" w:hAnsi="Courier New" w:cs="Courier New"/>
        </w:rPr>
        <w:t>ere</w:t>
      </w:r>
      <w:r w:rsidR="00722448">
        <w:rPr>
          <w:rFonts w:ascii="Courier New" w:hAnsi="Courier New" w:cs="Courier New"/>
        </w:rPr>
        <w:t xml:space="preserve"> appropriate</w:t>
      </w:r>
      <w:r>
        <w:rPr>
          <w:rFonts w:ascii="Courier New" w:hAnsi="Courier New" w:cs="Courier New"/>
        </w:rPr>
        <w:t>.</w:t>
      </w:r>
      <w:r w:rsidR="00722448">
        <w:rPr>
          <w:rFonts w:ascii="Courier New" w:hAnsi="Courier New" w:cs="Courier New"/>
        </w:rPr>
        <w:t xml:space="preserve">  T</w:t>
      </w:r>
      <w:r w:rsidR="0071105A">
        <w:rPr>
          <w:rFonts w:ascii="Courier New" w:hAnsi="Courier New" w:cs="Courier New"/>
        </w:rPr>
        <w:t>he Board then added the applicable</w:t>
      </w:r>
      <w:r w:rsidR="00722448">
        <w:rPr>
          <w:rFonts w:ascii="Courier New" w:hAnsi="Courier New" w:cs="Courier New"/>
        </w:rPr>
        <w:t xml:space="preserve"> prorated tax factor to account for vacancy for each of the fiscal years at issue</w:t>
      </w:r>
      <w:r w:rsidR="0071105A">
        <w:rPr>
          <w:rFonts w:ascii="Courier New" w:hAnsi="Courier New" w:cs="Courier New"/>
        </w:rPr>
        <w:t xml:space="preserve">.  </w:t>
      </w:r>
      <w:r w:rsidRPr="005451E8">
        <w:rPr>
          <w:rFonts w:ascii="Courier New" w:hAnsi="Courier New" w:cs="Courier New"/>
        </w:rPr>
        <w:t xml:space="preserve">The “tax factor” is a percentage added to the capitalization rate “to reflect the tax which will be payable on the assessed valuation produced by the [capitalization] formula.”  </w:t>
      </w:r>
      <w:r w:rsidRPr="005451E8">
        <w:rPr>
          <w:rFonts w:ascii="Courier New" w:hAnsi="Courier New" w:cs="Courier New"/>
          <w:b/>
          <w:bCs/>
          <w:i/>
          <w:iCs/>
        </w:rPr>
        <w:t xml:space="preserve">Assessors of Lynn v. Shop-Lease Co., </w:t>
      </w:r>
      <w:r w:rsidRPr="005451E8">
        <w:rPr>
          <w:rFonts w:ascii="Courier New" w:hAnsi="Courier New" w:cs="Courier New"/>
        </w:rPr>
        <w:t>364 Mass. 569, 573 (1974).</w:t>
      </w:r>
      <w:r>
        <w:rPr>
          <w:rFonts w:ascii="Courier New" w:hAnsi="Courier New" w:cs="Courier New"/>
        </w:rPr>
        <w:t xml:space="preserve"> </w:t>
      </w:r>
    </w:p>
    <w:p w:rsidR="00434FC3" w:rsidRDefault="00F979F5" w:rsidP="007A760B">
      <w:pPr>
        <w:spacing w:line="480" w:lineRule="auto"/>
        <w:ind w:firstLine="720"/>
        <w:jc w:val="both"/>
        <w:rPr>
          <w:rFonts w:ascii="Courier New" w:hAnsi="Courier New" w:cs="Courier New"/>
        </w:rPr>
      </w:pPr>
      <w:r>
        <w:rPr>
          <w:rFonts w:ascii="Courier New" w:hAnsi="Courier New" w:cs="Courier New"/>
        </w:rPr>
        <w:t xml:space="preserve">On this basis the Board found and ruled that the assessments did not exceed the subject property’s fair cash values for the fiscal years at issue, which the Board determined to be </w:t>
      </w:r>
      <w:r w:rsidR="007A760B">
        <w:rPr>
          <w:rFonts w:ascii="Courier New" w:hAnsi="Courier New" w:cs="Courier New"/>
        </w:rPr>
        <w:t>$14,</w:t>
      </w:r>
      <w:r w:rsidR="0065699B">
        <w:rPr>
          <w:rFonts w:ascii="Courier New" w:hAnsi="Courier New" w:cs="Courier New"/>
        </w:rPr>
        <w:t>888,111</w:t>
      </w:r>
      <w:r w:rsidR="007A760B">
        <w:rPr>
          <w:rFonts w:ascii="Courier New" w:hAnsi="Courier New" w:cs="Courier New"/>
        </w:rPr>
        <w:t xml:space="preserve"> for fiscal year 2012, $</w:t>
      </w:r>
      <w:r w:rsidR="0065699B">
        <w:rPr>
          <w:rFonts w:ascii="Courier New" w:hAnsi="Courier New" w:cs="Courier New"/>
        </w:rPr>
        <w:t>15,215,259</w:t>
      </w:r>
      <w:r w:rsidR="007A760B">
        <w:rPr>
          <w:rFonts w:ascii="Courier New" w:hAnsi="Courier New" w:cs="Courier New"/>
        </w:rPr>
        <w:t xml:space="preserve"> for fiscal year 2013, and $15,</w:t>
      </w:r>
      <w:r w:rsidR="0065699B">
        <w:rPr>
          <w:rFonts w:ascii="Courier New" w:hAnsi="Courier New" w:cs="Courier New"/>
        </w:rPr>
        <w:t>789,801</w:t>
      </w:r>
      <w:r w:rsidR="007A760B">
        <w:rPr>
          <w:rFonts w:ascii="Courier New" w:hAnsi="Courier New" w:cs="Courier New"/>
        </w:rPr>
        <w:t xml:space="preserve"> for fiscal year 2014.</w:t>
      </w:r>
      <w:r w:rsidR="00434FC3">
        <w:rPr>
          <w:rFonts w:ascii="Courier New" w:hAnsi="Courier New" w:cs="Courier New"/>
        </w:rPr>
        <w:t xml:space="preserve"> </w:t>
      </w:r>
    </w:p>
    <w:p w:rsidR="001E1352" w:rsidRPr="005451E8" w:rsidRDefault="001E1352" w:rsidP="001E1352">
      <w:pPr>
        <w:spacing w:line="480" w:lineRule="auto"/>
        <w:ind w:firstLine="720"/>
        <w:jc w:val="both"/>
        <w:rPr>
          <w:rFonts w:ascii="Courier New" w:hAnsi="Courier New" w:cs="Courier New"/>
        </w:rPr>
      </w:pPr>
      <w:r w:rsidRPr="005451E8">
        <w:rPr>
          <w:rFonts w:ascii="Courier New" w:hAnsi="Courier New" w:cs="Courier New"/>
        </w:rPr>
        <w:t>In reaching its opinion of fair cash value in these appeals, the Board was not required to believe the testimony of any particular witness or to adopt any particular method of valuation that an expert witness suggested.  Rather, the Board could accept those portions of the evidence that the Board determined had more convincing weight</w:t>
      </w:r>
      <w:r>
        <w:rPr>
          <w:rFonts w:ascii="Courier New" w:hAnsi="Courier New" w:cs="Courier New"/>
        </w:rPr>
        <w:t>,</w:t>
      </w:r>
      <w:r w:rsidRPr="005451E8">
        <w:rPr>
          <w:rFonts w:ascii="Courier New" w:hAnsi="Courier New" w:cs="Courier New"/>
        </w:rPr>
        <w:t xml:space="preserve"> </w:t>
      </w:r>
      <w:r w:rsidR="00A765E4">
        <w:rPr>
          <w:rFonts w:ascii="Courier New" w:hAnsi="Courier New" w:cs="Courier New"/>
          <w:b/>
          <w:bCs/>
          <w:i/>
          <w:iCs/>
        </w:rPr>
        <w:t xml:space="preserve">Foxboro Associates v. </w:t>
      </w:r>
      <w:r w:rsidR="00A765E4">
        <w:rPr>
          <w:rFonts w:ascii="Courier New" w:hAnsi="Courier New" w:cs="Courier New"/>
          <w:b/>
          <w:bCs/>
          <w:i/>
          <w:iCs/>
        </w:rPr>
        <w:lastRenderedPageBreak/>
        <w:t>Assessors of Foxborough</w:t>
      </w:r>
      <w:r w:rsidRPr="005451E8">
        <w:rPr>
          <w:rFonts w:ascii="Courier New" w:hAnsi="Courier New" w:cs="Courier New"/>
          <w:b/>
          <w:bCs/>
          <w:i/>
          <w:iCs/>
        </w:rPr>
        <w:t>,</w:t>
      </w:r>
      <w:r>
        <w:rPr>
          <w:rFonts w:ascii="Courier New" w:hAnsi="Courier New" w:cs="Courier New"/>
        </w:rPr>
        <w:t xml:space="preserve"> 385 Mass. </w:t>
      </w:r>
      <w:r w:rsidR="00A765E4">
        <w:rPr>
          <w:rFonts w:ascii="Courier New" w:hAnsi="Courier New" w:cs="Courier New"/>
        </w:rPr>
        <w:t>679,</w:t>
      </w:r>
      <w:r>
        <w:rPr>
          <w:rFonts w:ascii="Courier New" w:hAnsi="Courier New" w:cs="Courier New"/>
        </w:rPr>
        <w:t xml:space="preserve"> 683</w:t>
      </w:r>
      <w:r w:rsidR="00A765E4">
        <w:rPr>
          <w:rFonts w:ascii="Courier New" w:hAnsi="Courier New" w:cs="Courier New"/>
        </w:rPr>
        <w:t xml:space="preserve"> (1982)</w:t>
      </w:r>
      <w:r w:rsidRPr="005451E8">
        <w:rPr>
          <w:rFonts w:ascii="Courier New" w:hAnsi="Courier New" w:cs="Courier New"/>
        </w:rPr>
        <w:t>;</w:t>
      </w:r>
      <w:r w:rsidRPr="005451E8">
        <w:rPr>
          <w:rFonts w:ascii="Courier New" w:hAnsi="Courier New" w:cs="Courier New"/>
          <w:b/>
          <w:bCs/>
          <w:i/>
          <w:iCs/>
        </w:rPr>
        <w:t xml:space="preserve"> New Boston Gar</w:t>
      </w:r>
      <w:r>
        <w:rPr>
          <w:rFonts w:ascii="Courier New" w:hAnsi="Courier New" w:cs="Courier New"/>
          <w:b/>
          <w:bCs/>
          <w:i/>
          <w:iCs/>
        </w:rPr>
        <w:t>den Corp.</w:t>
      </w:r>
      <w:r w:rsidR="00596F62">
        <w:rPr>
          <w:rFonts w:ascii="Courier New" w:hAnsi="Courier New" w:cs="Courier New"/>
          <w:b/>
          <w:bCs/>
          <w:i/>
          <w:iCs/>
        </w:rPr>
        <w:t xml:space="preserve"> v. Assessors of Boston</w:t>
      </w:r>
      <w:r w:rsidRPr="005451E8">
        <w:rPr>
          <w:rFonts w:ascii="Courier New" w:hAnsi="Courier New" w:cs="Courier New"/>
          <w:b/>
          <w:bCs/>
          <w:i/>
          <w:iCs/>
        </w:rPr>
        <w:t>,</w:t>
      </w:r>
      <w:r>
        <w:rPr>
          <w:rFonts w:ascii="Courier New" w:hAnsi="Courier New" w:cs="Courier New"/>
        </w:rPr>
        <w:t xml:space="preserve"> 383 Mass. </w:t>
      </w:r>
      <w:r w:rsidR="00596F62">
        <w:rPr>
          <w:rFonts w:ascii="Courier New" w:hAnsi="Courier New" w:cs="Courier New"/>
        </w:rPr>
        <w:t>456,</w:t>
      </w:r>
      <w:r w:rsidRPr="005451E8">
        <w:rPr>
          <w:rFonts w:ascii="Courier New" w:hAnsi="Courier New" w:cs="Courier New"/>
        </w:rPr>
        <w:t xml:space="preserve"> 473</w:t>
      </w:r>
      <w:r w:rsidR="00596F62">
        <w:rPr>
          <w:rFonts w:ascii="Courier New" w:hAnsi="Courier New" w:cs="Courier New"/>
        </w:rPr>
        <w:t xml:space="preserve"> (1981)</w:t>
      </w:r>
      <w:r w:rsidRPr="005451E8">
        <w:rPr>
          <w:rFonts w:ascii="Courier New" w:hAnsi="Courier New" w:cs="Courier New"/>
        </w:rPr>
        <w:t xml:space="preserve">; </w:t>
      </w:r>
      <w:r w:rsidRPr="005451E8">
        <w:rPr>
          <w:rFonts w:ascii="Courier New" w:hAnsi="Courier New" w:cs="Courier New"/>
          <w:b/>
          <w:bCs/>
          <w:i/>
          <w:iCs/>
        </w:rPr>
        <w:t>New England Oyster House, Inc.,</w:t>
      </w:r>
      <w:r w:rsidRPr="005451E8">
        <w:rPr>
          <w:rFonts w:ascii="Courier New" w:hAnsi="Courier New" w:cs="Courier New"/>
        </w:rPr>
        <w:t xml:space="preserve"> 362 Mass. at 702</w:t>
      </w:r>
      <w:r w:rsidR="00BA1A3E">
        <w:rPr>
          <w:rFonts w:ascii="Courier New" w:hAnsi="Courier New" w:cs="Courier New"/>
        </w:rPr>
        <w:t xml:space="preserve">.  </w:t>
      </w:r>
      <w:r w:rsidRPr="005451E8">
        <w:rPr>
          <w:rFonts w:ascii="Courier New" w:hAnsi="Courier New" w:cs="Courier New"/>
        </w:rPr>
        <w:t xml:space="preserve">In evaluating the evidence before it, the Board selected among the various elements of value and </w:t>
      </w:r>
      <w:r>
        <w:rPr>
          <w:rFonts w:ascii="Courier New" w:hAnsi="Courier New" w:cs="Courier New"/>
        </w:rPr>
        <w:t xml:space="preserve">appropriately </w:t>
      </w:r>
      <w:r w:rsidRPr="005451E8">
        <w:rPr>
          <w:rFonts w:ascii="Courier New" w:hAnsi="Courier New" w:cs="Courier New"/>
        </w:rPr>
        <w:t xml:space="preserve">formed its own independent judgment of fair cash value.  </w:t>
      </w:r>
      <w:r w:rsidRPr="005451E8">
        <w:rPr>
          <w:rFonts w:ascii="Courier New" w:hAnsi="Courier New" w:cs="Courier New"/>
          <w:b/>
          <w:bCs/>
          <w:i/>
          <w:iCs/>
        </w:rPr>
        <w:t>Gener</w:t>
      </w:r>
      <w:r>
        <w:rPr>
          <w:rFonts w:ascii="Courier New" w:hAnsi="Courier New" w:cs="Courier New"/>
          <w:b/>
          <w:bCs/>
          <w:i/>
          <w:iCs/>
        </w:rPr>
        <w:t>al Electric Co.</w:t>
      </w:r>
      <w:r w:rsidRPr="005451E8">
        <w:rPr>
          <w:rFonts w:ascii="Courier New" w:hAnsi="Courier New" w:cs="Courier New"/>
          <w:b/>
          <w:bCs/>
          <w:i/>
          <w:iCs/>
        </w:rPr>
        <w:t>,</w:t>
      </w:r>
      <w:r w:rsidRPr="005451E8">
        <w:rPr>
          <w:rFonts w:ascii="Courier New" w:hAnsi="Courier New" w:cs="Courier New"/>
        </w:rPr>
        <w:t xml:space="preserve"> 393 Mass. at 605; </w:t>
      </w:r>
      <w:r w:rsidRPr="005451E8">
        <w:rPr>
          <w:rFonts w:ascii="Courier New" w:hAnsi="Courier New" w:cs="Courier New"/>
          <w:b/>
          <w:bCs/>
          <w:i/>
          <w:iCs/>
        </w:rPr>
        <w:t>North American Philips Lighting Corp. v. Assessors of Lynn,</w:t>
      </w:r>
      <w:r w:rsidRPr="005451E8">
        <w:rPr>
          <w:rFonts w:ascii="Courier New" w:hAnsi="Courier New" w:cs="Courier New"/>
        </w:rPr>
        <w:t xml:space="preserve"> 392 Mass</w:t>
      </w:r>
      <w:r>
        <w:rPr>
          <w:rFonts w:ascii="Courier New" w:hAnsi="Courier New" w:cs="Courier New"/>
        </w:rPr>
        <w:t>.</w:t>
      </w:r>
      <w:r w:rsidRPr="005451E8">
        <w:rPr>
          <w:rFonts w:ascii="Courier New" w:hAnsi="Courier New" w:cs="Courier New"/>
        </w:rPr>
        <w:t xml:space="preserve"> 296, 300 (1984).</w:t>
      </w:r>
    </w:p>
    <w:p w:rsidR="001E1352" w:rsidRPr="005451E8" w:rsidRDefault="001E1352" w:rsidP="001E1352">
      <w:pPr>
        <w:spacing w:line="480" w:lineRule="auto"/>
        <w:ind w:firstLine="720"/>
        <w:jc w:val="both"/>
        <w:rPr>
          <w:rFonts w:ascii="Courier New" w:hAnsi="Courier New" w:cs="Courier New"/>
        </w:rPr>
      </w:pPr>
      <w:r w:rsidRPr="005451E8">
        <w:rPr>
          <w:rFonts w:ascii="Courier New" w:hAnsi="Courier New" w:cs="Courier New"/>
        </w:rPr>
        <w:t xml:space="preserve">The fair cash value of property cannot be proven with “mathematical certainty and must ultimately rest in the realm of opinion, estimate and judgment.”  </w:t>
      </w:r>
      <w:r w:rsidRPr="005451E8">
        <w:rPr>
          <w:rFonts w:ascii="Courier New" w:hAnsi="Courier New" w:cs="Courier New"/>
          <w:b/>
          <w:bCs/>
          <w:i/>
          <w:iCs/>
        </w:rPr>
        <w:t>Boston Consol</w:t>
      </w:r>
      <w:r w:rsidR="0065699B">
        <w:rPr>
          <w:rFonts w:ascii="Courier New" w:hAnsi="Courier New" w:cs="Courier New"/>
          <w:b/>
          <w:bCs/>
          <w:i/>
          <w:iCs/>
        </w:rPr>
        <w:t>idated</w:t>
      </w:r>
      <w:r w:rsidRPr="005451E8">
        <w:rPr>
          <w:rFonts w:ascii="Courier New" w:hAnsi="Courier New" w:cs="Courier New"/>
          <w:b/>
          <w:bCs/>
          <w:i/>
          <w:iCs/>
        </w:rPr>
        <w:t xml:space="preserve"> Gas Co.,</w:t>
      </w:r>
      <w:r w:rsidRPr="005451E8">
        <w:rPr>
          <w:rFonts w:ascii="Courier New" w:hAnsi="Courier New" w:cs="Courier New"/>
        </w:rPr>
        <w:t xml:space="preserve"> </w:t>
      </w:r>
      <w:r w:rsidR="00B67CE7">
        <w:rPr>
          <w:rFonts w:ascii="Courier New" w:hAnsi="Courier New" w:cs="Courier New"/>
        </w:rPr>
        <w:t xml:space="preserve">    </w:t>
      </w:r>
      <w:r w:rsidRPr="005451E8">
        <w:rPr>
          <w:rFonts w:ascii="Courier New" w:hAnsi="Courier New" w:cs="Courier New"/>
        </w:rPr>
        <w:t xml:space="preserve">309 Mass. at 72.  “The credibility of witnesses, the weight of the evidence, and inferences to be drawn from the </w:t>
      </w:r>
      <w:r>
        <w:rPr>
          <w:rFonts w:ascii="Courier New" w:hAnsi="Courier New" w:cs="Courier New"/>
        </w:rPr>
        <w:t>evidence are matters for the b</w:t>
      </w:r>
      <w:r w:rsidRPr="005451E8">
        <w:rPr>
          <w:rFonts w:ascii="Courier New" w:hAnsi="Courier New" w:cs="Courier New"/>
        </w:rPr>
        <w:t xml:space="preserve">oard.”  </w:t>
      </w:r>
      <w:r w:rsidRPr="005451E8">
        <w:rPr>
          <w:rFonts w:ascii="Courier New" w:hAnsi="Courier New" w:cs="Courier New"/>
          <w:b/>
          <w:bCs/>
          <w:i/>
          <w:iCs/>
        </w:rPr>
        <w:t xml:space="preserve"> Cummington School of the Arts, Inc. v. Assessors of Cummington, </w:t>
      </w:r>
      <w:r w:rsidRPr="005451E8">
        <w:rPr>
          <w:rFonts w:ascii="Courier New" w:hAnsi="Courier New" w:cs="Courier New"/>
        </w:rPr>
        <w:t xml:space="preserve">373 Mass. 597, 605 (1977).  </w:t>
      </w:r>
    </w:p>
    <w:p w:rsidR="001E1352" w:rsidRDefault="001E1352" w:rsidP="001E1352">
      <w:pPr>
        <w:spacing w:line="480" w:lineRule="auto"/>
        <w:ind w:firstLine="720"/>
        <w:jc w:val="both"/>
        <w:rPr>
          <w:rFonts w:ascii="Courier New" w:hAnsi="Courier New" w:cs="Courier New"/>
        </w:rPr>
      </w:pPr>
      <w:r w:rsidRPr="005451E8">
        <w:rPr>
          <w:rFonts w:ascii="Courier New" w:hAnsi="Courier New" w:cs="Courier New"/>
        </w:rPr>
        <w:t>“</w:t>
      </w:r>
      <w:r>
        <w:rPr>
          <w:rFonts w:ascii="Courier New" w:hAnsi="Courier New" w:cs="Courier New"/>
        </w:rPr>
        <w:t>‘</w:t>
      </w:r>
      <w:r w:rsidRPr="005451E8">
        <w:rPr>
          <w:rFonts w:ascii="Courier New" w:hAnsi="Courier New" w:cs="Courier New"/>
        </w:rPr>
        <w:t>The burden of proof is upon the [appellant] to make out its right as a matter of law to abatement of the tax.</w:t>
      </w:r>
      <w:r>
        <w:rPr>
          <w:rFonts w:ascii="Courier New" w:hAnsi="Courier New" w:cs="Courier New"/>
        </w:rPr>
        <w:t>’</w:t>
      </w:r>
      <w:r w:rsidRPr="005451E8">
        <w:rPr>
          <w:rFonts w:ascii="Courier New" w:hAnsi="Courier New" w:cs="Courier New"/>
        </w:rPr>
        <w:t xml:space="preserve">”  </w:t>
      </w:r>
      <w:r>
        <w:rPr>
          <w:rFonts w:ascii="Courier New" w:hAnsi="Courier New" w:cs="Courier New"/>
          <w:b/>
          <w:bCs/>
          <w:i/>
          <w:iCs/>
        </w:rPr>
        <w:t xml:space="preserve">Schlaiker v. </w:t>
      </w:r>
      <w:r w:rsidRPr="005451E8">
        <w:rPr>
          <w:rFonts w:ascii="Courier New" w:hAnsi="Courier New" w:cs="Courier New"/>
          <w:b/>
          <w:bCs/>
          <w:i/>
          <w:iCs/>
        </w:rPr>
        <w:t>Assessors of Great Barrington,</w:t>
      </w:r>
      <w:r>
        <w:rPr>
          <w:rFonts w:ascii="Courier New" w:hAnsi="Courier New" w:cs="Courier New"/>
        </w:rPr>
        <w:t xml:space="preserve"> 365 Mass. 243, 245 (1974)(</w:t>
      </w:r>
      <w:r w:rsidRPr="00B400F8">
        <w:rPr>
          <w:rFonts w:ascii="Courier New" w:hAnsi="Courier New" w:cs="Courier New"/>
          <w:iCs/>
        </w:rPr>
        <w:t>quoting</w:t>
      </w:r>
      <w:r w:rsidRPr="005451E8">
        <w:rPr>
          <w:rFonts w:ascii="Courier New" w:hAnsi="Courier New" w:cs="Courier New"/>
          <w:i/>
          <w:iCs/>
        </w:rPr>
        <w:t xml:space="preserve"> </w:t>
      </w:r>
      <w:r w:rsidRPr="005451E8">
        <w:rPr>
          <w:rFonts w:ascii="Courier New" w:hAnsi="Courier New" w:cs="Courier New"/>
          <w:b/>
          <w:bCs/>
          <w:i/>
          <w:iCs/>
        </w:rPr>
        <w:t>Judson Freight Forwarding Co. v. Commonwealth</w:t>
      </w:r>
      <w:r w:rsidRPr="005451E8">
        <w:rPr>
          <w:rFonts w:ascii="Courier New" w:hAnsi="Courier New" w:cs="Courier New"/>
        </w:rPr>
        <w:t>, 242 Mass. 47, 55 (1922)</w:t>
      </w:r>
      <w:r>
        <w:rPr>
          <w:rFonts w:ascii="Courier New" w:hAnsi="Courier New" w:cs="Courier New"/>
        </w:rPr>
        <w:t>)</w:t>
      </w:r>
      <w:r w:rsidRPr="005451E8">
        <w:rPr>
          <w:rFonts w:ascii="Courier New" w:hAnsi="Courier New" w:cs="Courier New"/>
        </w:rPr>
        <w:t xml:space="preserve">.  The appellant must show that it has complied with the statutory prerequisites to its appeal, </w:t>
      </w:r>
      <w:r w:rsidRPr="005451E8">
        <w:rPr>
          <w:rFonts w:ascii="Courier New" w:hAnsi="Courier New" w:cs="Courier New"/>
          <w:b/>
          <w:bCs/>
          <w:i/>
          <w:iCs/>
        </w:rPr>
        <w:t>Cohen v. Assessors of Boston,</w:t>
      </w:r>
      <w:r w:rsidRPr="005451E8">
        <w:rPr>
          <w:rFonts w:ascii="Courier New" w:hAnsi="Courier New" w:cs="Courier New"/>
        </w:rPr>
        <w:t xml:space="preserve"> 344 Mass. 268, 271 (1962), and that the assessed valuation of its property was improper.  </w:t>
      </w:r>
      <w:r w:rsidRPr="00B400F8">
        <w:rPr>
          <w:rFonts w:ascii="Courier New" w:hAnsi="Courier New" w:cs="Courier New"/>
          <w:i/>
        </w:rPr>
        <w:t>See</w:t>
      </w:r>
      <w:r w:rsidRPr="005451E8">
        <w:rPr>
          <w:rFonts w:ascii="Courier New" w:hAnsi="Courier New" w:cs="Courier New"/>
        </w:rPr>
        <w:t xml:space="preserve"> </w:t>
      </w:r>
      <w:r>
        <w:rPr>
          <w:rFonts w:ascii="Courier New" w:hAnsi="Courier New" w:cs="Courier New"/>
          <w:b/>
          <w:bCs/>
          <w:i/>
          <w:iCs/>
        </w:rPr>
        <w:t>Foxboro Assoc.</w:t>
      </w:r>
      <w:r w:rsidRPr="005451E8">
        <w:rPr>
          <w:rFonts w:ascii="Courier New" w:hAnsi="Courier New" w:cs="Courier New"/>
          <w:b/>
          <w:bCs/>
          <w:i/>
          <w:iCs/>
        </w:rPr>
        <w:t>,</w:t>
      </w:r>
      <w:r w:rsidRPr="005451E8">
        <w:rPr>
          <w:rFonts w:ascii="Courier New" w:hAnsi="Courier New" w:cs="Courier New"/>
        </w:rPr>
        <w:t xml:space="preserve"> 385 Mass. at 691.  The assessment is presumed valid </w:t>
      </w:r>
      <w:r w:rsidRPr="005451E8">
        <w:rPr>
          <w:rFonts w:ascii="Courier New" w:hAnsi="Courier New" w:cs="Courier New"/>
        </w:rPr>
        <w:lastRenderedPageBreak/>
        <w:t xml:space="preserve">until the taxpayer sustains its burden of proving otherwise.  </w:t>
      </w:r>
      <w:r>
        <w:rPr>
          <w:rFonts w:ascii="Courier New" w:hAnsi="Courier New" w:cs="Courier New"/>
          <w:b/>
          <w:bCs/>
          <w:i/>
          <w:iCs/>
        </w:rPr>
        <w:t>Schlaiker</w:t>
      </w:r>
      <w:r w:rsidRPr="005451E8">
        <w:rPr>
          <w:rFonts w:ascii="Courier New" w:hAnsi="Courier New" w:cs="Courier New"/>
          <w:b/>
          <w:bCs/>
          <w:i/>
          <w:iCs/>
        </w:rPr>
        <w:t>,</w:t>
      </w:r>
      <w:r w:rsidRPr="005451E8">
        <w:rPr>
          <w:rFonts w:ascii="Courier New" w:hAnsi="Courier New" w:cs="Courier New"/>
        </w:rPr>
        <w:t xml:space="preserve"> 365 Mass. at 245.  </w:t>
      </w:r>
    </w:p>
    <w:p w:rsidR="001E1352" w:rsidRDefault="001E1352" w:rsidP="001E1352">
      <w:pPr>
        <w:spacing w:line="480" w:lineRule="auto"/>
        <w:ind w:firstLine="720"/>
        <w:jc w:val="both"/>
        <w:rPr>
          <w:rFonts w:ascii="Courier New" w:hAnsi="Courier New" w:cs="Courier New"/>
        </w:rPr>
      </w:pPr>
      <w:r>
        <w:rPr>
          <w:rFonts w:ascii="Courier New" w:hAnsi="Courier New" w:cs="Courier New"/>
        </w:rPr>
        <w:t>Based on the evidence presented in th</w:t>
      </w:r>
      <w:r w:rsidR="0065699B">
        <w:rPr>
          <w:rFonts w:ascii="Courier New" w:hAnsi="Courier New" w:cs="Courier New"/>
        </w:rPr>
        <w:t>ese</w:t>
      </w:r>
      <w:r>
        <w:rPr>
          <w:rFonts w:ascii="Courier New" w:hAnsi="Courier New" w:cs="Courier New"/>
        </w:rPr>
        <w:t xml:space="preserve"> appeal</w:t>
      </w:r>
      <w:r w:rsidR="0065699B">
        <w:rPr>
          <w:rFonts w:ascii="Courier New" w:hAnsi="Courier New" w:cs="Courier New"/>
        </w:rPr>
        <w:t>s</w:t>
      </w:r>
      <w:r>
        <w:rPr>
          <w:rFonts w:ascii="Courier New" w:hAnsi="Courier New" w:cs="Courier New"/>
        </w:rPr>
        <w:t>, and reasonable inferences drawn therefrom, the Board found and ruled that the appellant failed to meet its burden of proving that the subject property was overvalued</w:t>
      </w:r>
      <w:r w:rsidR="0071105A">
        <w:rPr>
          <w:rFonts w:ascii="Courier New" w:hAnsi="Courier New" w:cs="Courier New"/>
        </w:rPr>
        <w:t xml:space="preserve"> for the fiscal years at issue</w:t>
      </w:r>
      <w:r>
        <w:rPr>
          <w:rFonts w:ascii="Courier New" w:hAnsi="Courier New" w:cs="Courier New"/>
        </w:rPr>
        <w:t xml:space="preserve">. </w:t>
      </w:r>
    </w:p>
    <w:p w:rsidR="00C9115F" w:rsidRDefault="001E1352" w:rsidP="001E1352">
      <w:pPr>
        <w:spacing w:line="480" w:lineRule="auto"/>
        <w:ind w:firstLine="720"/>
        <w:jc w:val="both"/>
        <w:rPr>
          <w:rFonts w:ascii="Courier New" w:hAnsi="Courier New" w:cs="Courier New"/>
        </w:rPr>
      </w:pPr>
      <w:r>
        <w:rPr>
          <w:rFonts w:ascii="Courier New" w:hAnsi="Courier New" w:cs="Courier New"/>
        </w:rPr>
        <w:t xml:space="preserve">Accordingly, the Board issued decisions for the appellee in these appeals. </w:t>
      </w:r>
    </w:p>
    <w:p w:rsidR="001E1352" w:rsidRDefault="001E1352" w:rsidP="001E1352">
      <w:pPr>
        <w:spacing w:line="480" w:lineRule="auto"/>
        <w:ind w:firstLine="720"/>
        <w:jc w:val="both"/>
        <w:rPr>
          <w:rFonts w:ascii="Courier New" w:hAnsi="Courier New" w:cs="Courier New"/>
        </w:rPr>
      </w:pPr>
      <w:r>
        <w:rPr>
          <w:rFonts w:ascii="Courier New" w:hAnsi="Courier New" w:cs="Courier New"/>
        </w:rPr>
        <w:t xml:space="preserve"> </w:t>
      </w:r>
    </w:p>
    <w:p w:rsidR="001E1352" w:rsidRDefault="001E1352" w:rsidP="001E1352">
      <w:pPr>
        <w:spacing w:line="480" w:lineRule="auto"/>
        <w:jc w:val="both"/>
        <w:rPr>
          <w:rFonts w:ascii="Courier New" w:hAnsi="Courier New" w:cs="Courier New"/>
          <w:b/>
          <w:bCs/>
        </w:rPr>
      </w:pPr>
      <w:r>
        <w:rPr>
          <w:rFonts w:ascii="Courier New" w:hAnsi="Courier New" w:cs="Courier New"/>
          <w:b/>
          <w:bCs/>
        </w:rPr>
        <w:t xml:space="preserve">   </w:t>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  </w:t>
      </w:r>
      <w:r w:rsidRPr="005451E8">
        <w:rPr>
          <w:rFonts w:ascii="Courier New" w:hAnsi="Courier New" w:cs="Courier New"/>
          <w:b/>
          <w:bCs/>
        </w:rPr>
        <w:t xml:space="preserve">  THE APPELLATE TAX BOARD</w:t>
      </w:r>
    </w:p>
    <w:p w:rsidR="00000002" w:rsidRPr="005451E8" w:rsidRDefault="00000002" w:rsidP="001E1352">
      <w:pPr>
        <w:spacing w:line="480" w:lineRule="auto"/>
        <w:jc w:val="both"/>
        <w:rPr>
          <w:rFonts w:ascii="Courier New" w:hAnsi="Courier New" w:cs="Courier New"/>
          <w:b/>
          <w:bCs/>
        </w:rPr>
      </w:pPr>
    </w:p>
    <w:p w:rsidR="001E1352" w:rsidRDefault="001E1352" w:rsidP="001E1352">
      <w:pPr>
        <w:pStyle w:val="Heading3"/>
        <w:ind w:left="3600"/>
        <w:jc w:val="left"/>
        <w:rPr>
          <w:u w:val="none"/>
        </w:rPr>
      </w:pPr>
    </w:p>
    <w:p w:rsidR="001E1352" w:rsidRPr="00DB1DFE" w:rsidRDefault="001E1352" w:rsidP="001E1352"/>
    <w:p w:rsidR="001E1352" w:rsidRPr="005451E8" w:rsidRDefault="001E1352" w:rsidP="001E1352">
      <w:pPr>
        <w:pStyle w:val="Heading3"/>
        <w:ind w:left="3600"/>
        <w:jc w:val="left"/>
      </w:pPr>
      <w:r w:rsidRPr="005451E8">
        <w:rPr>
          <w:u w:val="none"/>
        </w:rPr>
        <w:t>By:</w:t>
      </w:r>
      <w:r>
        <w:rPr>
          <w:u w:val="none"/>
        </w:rPr>
        <w:t xml:space="preserve"> ______________________________</w:t>
      </w:r>
      <w:r w:rsidR="007145F7">
        <w:rPr>
          <w:u w:val="none"/>
        </w:rPr>
        <w:t>_</w:t>
      </w:r>
      <w:r>
        <w:rPr>
          <w:u w:val="none"/>
        </w:rPr>
        <w:t>_</w:t>
      </w:r>
    </w:p>
    <w:p w:rsidR="001E1352" w:rsidRPr="005451E8" w:rsidRDefault="001E1352" w:rsidP="001E1352">
      <w:pPr>
        <w:ind w:left="3600"/>
        <w:jc w:val="both"/>
        <w:rPr>
          <w:rFonts w:ascii="Courier New" w:hAnsi="Courier New" w:cs="Courier New"/>
          <w:b/>
          <w:bCs/>
        </w:rPr>
      </w:pPr>
      <w:r>
        <w:rPr>
          <w:rFonts w:ascii="Courier New" w:hAnsi="Courier New" w:cs="Courier New"/>
          <w:b/>
          <w:bCs/>
        </w:rPr>
        <w:t xml:space="preserve">    Thomas W. Hammond</w:t>
      </w:r>
      <w:r w:rsidRPr="005451E8">
        <w:rPr>
          <w:rFonts w:ascii="Courier New" w:hAnsi="Courier New" w:cs="Courier New"/>
          <w:b/>
          <w:bCs/>
        </w:rPr>
        <w:t>,</w:t>
      </w:r>
      <w:r>
        <w:rPr>
          <w:rFonts w:ascii="Courier New" w:hAnsi="Courier New" w:cs="Courier New"/>
          <w:b/>
          <w:bCs/>
        </w:rPr>
        <w:t xml:space="preserve"> Jr.</w:t>
      </w:r>
      <w:r w:rsidR="007145F7">
        <w:rPr>
          <w:rFonts w:ascii="Courier New" w:hAnsi="Courier New" w:cs="Courier New"/>
          <w:b/>
          <w:bCs/>
        </w:rPr>
        <w:t>,</w:t>
      </w:r>
      <w:r w:rsidRPr="005451E8">
        <w:rPr>
          <w:rFonts w:ascii="Courier New" w:hAnsi="Courier New" w:cs="Courier New"/>
          <w:b/>
          <w:bCs/>
        </w:rPr>
        <w:t xml:space="preserve"> Chairman</w:t>
      </w:r>
    </w:p>
    <w:p w:rsidR="001E1352" w:rsidRDefault="001E1352" w:rsidP="001E1352">
      <w:pPr>
        <w:jc w:val="both"/>
        <w:rPr>
          <w:rFonts w:ascii="Courier New" w:hAnsi="Courier New" w:cs="Courier New"/>
          <w:b/>
          <w:bCs/>
        </w:rPr>
      </w:pPr>
    </w:p>
    <w:p w:rsidR="004C5468" w:rsidRDefault="004C5468" w:rsidP="004C5468">
      <w:pPr>
        <w:jc w:val="both"/>
        <w:rPr>
          <w:rFonts w:ascii="Courier New" w:hAnsi="Courier New" w:cs="Courier New"/>
          <w:b/>
          <w:bCs/>
        </w:rPr>
      </w:pPr>
    </w:p>
    <w:p w:rsidR="007145F7" w:rsidRDefault="007145F7" w:rsidP="004C5468">
      <w:pPr>
        <w:jc w:val="both"/>
        <w:rPr>
          <w:rFonts w:ascii="Courier New" w:hAnsi="Courier New" w:cs="Courier New"/>
          <w:b/>
          <w:bCs/>
        </w:rPr>
      </w:pPr>
    </w:p>
    <w:p w:rsidR="007145F7" w:rsidRDefault="007145F7" w:rsidP="004C5468">
      <w:pPr>
        <w:jc w:val="both"/>
        <w:rPr>
          <w:rFonts w:ascii="Courier New" w:hAnsi="Courier New" w:cs="Courier New"/>
          <w:b/>
          <w:bCs/>
        </w:rPr>
      </w:pPr>
    </w:p>
    <w:p w:rsidR="00000002" w:rsidRDefault="00000002" w:rsidP="00000002">
      <w:pPr>
        <w:jc w:val="both"/>
        <w:rPr>
          <w:rFonts w:ascii="Courier New" w:hAnsi="Courier New" w:cs="Courier New"/>
          <w:b/>
          <w:bCs/>
        </w:rPr>
      </w:pPr>
      <w:r>
        <w:rPr>
          <w:rFonts w:ascii="Courier New" w:hAnsi="Courier New" w:cs="Courier New"/>
          <w:b/>
          <w:bCs/>
        </w:rPr>
        <w:t>A</w:t>
      </w:r>
      <w:r w:rsidRPr="005451E8">
        <w:rPr>
          <w:rFonts w:ascii="Courier New" w:hAnsi="Courier New" w:cs="Courier New"/>
          <w:b/>
          <w:bCs/>
        </w:rPr>
        <w:t xml:space="preserve"> true copy,</w:t>
      </w:r>
    </w:p>
    <w:p w:rsidR="00000002" w:rsidRDefault="00000002" w:rsidP="00000002">
      <w:pPr>
        <w:jc w:val="both"/>
        <w:rPr>
          <w:rFonts w:ascii="Courier New" w:hAnsi="Courier New" w:cs="Courier New"/>
          <w:b/>
          <w:bCs/>
        </w:rPr>
      </w:pPr>
    </w:p>
    <w:p w:rsidR="00000002" w:rsidRDefault="00000002" w:rsidP="00000002">
      <w:pPr>
        <w:jc w:val="both"/>
        <w:rPr>
          <w:rFonts w:ascii="Courier New" w:hAnsi="Courier New" w:cs="Courier New"/>
          <w:b/>
          <w:bCs/>
        </w:rPr>
      </w:pPr>
    </w:p>
    <w:p w:rsidR="00000002" w:rsidRPr="00DF6062" w:rsidRDefault="00000002" w:rsidP="00000002">
      <w:pPr>
        <w:pStyle w:val="Heading4"/>
        <w:jc w:val="left"/>
        <w:rPr>
          <w:sz w:val="24"/>
          <w:szCs w:val="24"/>
          <w:u w:val="none"/>
        </w:rPr>
      </w:pPr>
      <w:r w:rsidRPr="00DF6062">
        <w:rPr>
          <w:sz w:val="24"/>
          <w:szCs w:val="24"/>
          <w:u w:val="none"/>
        </w:rPr>
        <w:t>Attest: ______________________</w:t>
      </w:r>
      <w:r>
        <w:rPr>
          <w:sz w:val="24"/>
          <w:szCs w:val="24"/>
          <w:u w:val="none"/>
        </w:rPr>
        <w:t>__</w:t>
      </w:r>
    </w:p>
    <w:p w:rsidR="00000002" w:rsidRPr="005451E8" w:rsidRDefault="00000002" w:rsidP="00000002">
      <w:pPr>
        <w:pStyle w:val="Heading1"/>
        <w:ind w:left="720"/>
      </w:pPr>
      <w:r>
        <w:t xml:space="preserve">   </w:t>
      </w:r>
      <w:r w:rsidRPr="005451E8">
        <w:t>Clerk of the Board</w:t>
      </w:r>
    </w:p>
    <w:p w:rsidR="001E1352" w:rsidRDefault="001E1352" w:rsidP="004C0AFE">
      <w:pPr>
        <w:jc w:val="both"/>
        <w:rPr>
          <w:rFonts w:ascii="Courier New" w:hAnsi="Courier New" w:cs="Courier New"/>
          <w:b/>
          <w:bCs/>
        </w:rPr>
      </w:pPr>
    </w:p>
    <w:sectPr w:rsidR="001E1352" w:rsidSect="00000002">
      <w:footerReference w:type="even" r:id="rId10"/>
      <w:footerReference w:type="default" r:id="rId11"/>
      <w:pgSz w:w="12240" w:h="15840"/>
      <w:pgMar w:top="1440" w:right="1440" w:bottom="1440" w:left="1440" w:header="720" w:footer="288" w:gutter="0"/>
      <w:pgNumType w:start="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EF7" w:rsidRDefault="00F31EF7">
      <w:r>
        <w:separator/>
      </w:r>
    </w:p>
  </w:endnote>
  <w:endnote w:type="continuationSeparator" w:id="0">
    <w:p w:rsidR="00F31EF7" w:rsidRDefault="00F3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AE" w:rsidRDefault="00910EAE" w:rsidP="00E75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0EAE" w:rsidRDefault="00910EAE" w:rsidP="007134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01" w:rsidRPr="00000002" w:rsidRDefault="00000002" w:rsidP="00000002">
    <w:pPr>
      <w:pStyle w:val="Footer"/>
      <w:jc w:val="center"/>
      <w:rPr>
        <w:rFonts w:ascii="Courier New" w:hAnsi="Courier New" w:cs="Courier New"/>
        <w:b/>
        <w:noProof/>
      </w:rPr>
    </w:pPr>
    <w:r w:rsidRPr="00000002">
      <w:rPr>
        <w:rFonts w:ascii="Courier New" w:hAnsi="Courier New" w:cs="Courier New"/>
        <w:b/>
      </w:rPr>
      <w:t>ATB 2018-</w:t>
    </w:r>
    <w:r w:rsidR="00661B01" w:rsidRPr="00000002">
      <w:rPr>
        <w:rFonts w:ascii="Courier New" w:hAnsi="Courier New" w:cs="Courier New"/>
        <w:b/>
      </w:rPr>
      <w:fldChar w:fldCharType="begin"/>
    </w:r>
    <w:r w:rsidR="00661B01" w:rsidRPr="00000002">
      <w:rPr>
        <w:rFonts w:ascii="Courier New" w:hAnsi="Courier New" w:cs="Courier New"/>
        <w:b/>
      </w:rPr>
      <w:instrText xml:space="preserve"> PAGE   \* MERGEFORMAT </w:instrText>
    </w:r>
    <w:r w:rsidR="00661B01" w:rsidRPr="00000002">
      <w:rPr>
        <w:rFonts w:ascii="Courier New" w:hAnsi="Courier New" w:cs="Courier New"/>
        <w:b/>
      </w:rPr>
      <w:fldChar w:fldCharType="separate"/>
    </w:r>
    <w:r w:rsidR="00FC44E4">
      <w:rPr>
        <w:rFonts w:ascii="Courier New" w:hAnsi="Courier New" w:cs="Courier New"/>
        <w:b/>
        <w:noProof/>
      </w:rPr>
      <w:t>42</w:t>
    </w:r>
    <w:r w:rsidR="00661B01" w:rsidRPr="00000002">
      <w:rPr>
        <w:rFonts w:ascii="Courier New" w:hAnsi="Courier New" w:cs="Courier New"/>
        <w:b/>
        <w:noProof/>
      </w:rPr>
      <w:fldChar w:fldCharType="end"/>
    </w:r>
  </w:p>
  <w:p w:rsidR="00661B01" w:rsidRDefault="00661B01">
    <w:pPr>
      <w:pStyle w:val="Footer"/>
      <w:jc w:val="right"/>
    </w:pPr>
  </w:p>
  <w:p w:rsidR="00910EAE" w:rsidRDefault="00910EAE" w:rsidP="007134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EF7" w:rsidRDefault="00F31EF7">
      <w:r>
        <w:separator/>
      </w:r>
    </w:p>
  </w:footnote>
  <w:footnote w:type="continuationSeparator" w:id="0">
    <w:p w:rsidR="00F31EF7" w:rsidRDefault="00F31EF7">
      <w:r>
        <w:continuationSeparator/>
      </w:r>
    </w:p>
  </w:footnote>
  <w:footnote w:id="1">
    <w:p w:rsidR="00584335" w:rsidRPr="00054B7B" w:rsidRDefault="00584335" w:rsidP="00DD6352">
      <w:pPr>
        <w:pStyle w:val="FootnoteText"/>
        <w:jc w:val="both"/>
        <w:rPr>
          <w:rFonts w:ascii="Courier New" w:hAnsi="Courier New" w:cs="Courier New"/>
        </w:rPr>
      </w:pPr>
      <w:r w:rsidRPr="00054B7B">
        <w:rPr>
          <w:rStyle w:val="FootnoteReference"/>
          <w:rFonts w:ascii="Courier New" w:hAnsi="Courier New" w:cs="Courier New"/>
        </w:rPr>
        <w:footnoteRef/>
      </w:r>
      <w:r w:rsidR="00DD6352">
        <w:rPr>
          <w:rFonts w:ascii="Courier New" w:hAnsi="Courier New" w:cs="Courier New"/>
        </w:rPr>
        <w:t>  </w:t>
      </w:r>
      <w:r w:rsidRPr="00054B7B">
        <w:rPr>
          <w:rFonts w:ascii="Courier New" w:hAnsi="Courier New" w:cs="Courier New"/>
        </w:rPr>
        <w:t xml:space="preserve">This </w:t>
      </w:r>
      <w:r w:rsidR="00373DB0" w:rsidRPr="00054B7B">
        <w:rPr>
          <w:rFonts w:ascii="Courier New" w:hAnsi="Courier New" w:cs="Courier New"/>
        </w:rPr>
        <w:t xml:space="preserve">amount </w:t>
      </w:r>
      <w:r w:rsidRPr="00054B7B">
        <w:rPr>
          <w:rFonts w:ascii="Courier New" w:hAnsi="Courier New" w:cs="Courier New"/>
        </w:rPr>
        <w:t xml:space="preserve">includes a Community Preservation Act (“CPA”) </w:t>
      </w:r>
      <w:r w:rsidR="00651728" w:rsidRPr="00054B7B">
        <w:rPr>
          <w:rFonts w:ascii="Courier New" w:hAnsi="Courier New" w:cs="Courier New"/>
        </w:rPr>
        <w:t xml:space="preserve">assessment </w:t>
      </w:r>
      <w:r w:rsidR="00373DB0" w:rsidRPr="00054B7B">
        <w:rPr>
          <w:rFonts w:ascii="Courier New" w:hAnsi="Courier New" w:cs="Courier New"/>
        </w:rPr>
        <w:t>of $4,142.75 and also a special a</w:t>
      </w:r>
      <w:r w:rsidRPr="00054B7B">
        <w:rPr>
          <w:rFonts w:ascii="Courier New" w:hAnsi="Courier New" w:cs="Courier New"/>
        </w:rPr>
        <w:t>ssessment in the amount of $250.00.</w:t>
      </w:r>
    </w:p>
  </w:footnote>
  <w:footnote w:id="2">
    <w:p w:rsidR="00584335" w:rsidRPr="00054B7B" w:rsidRDefault="00584335" w:rsidP="00DD6352">
      <w:pPr>
        <w:pStyle w:val="FootnoteText"/>
        <w:jc w:val="both"/>
        <w:rPr>
          <w:rFonts w:ascii="Courier New" w:hAnsi="Courier New" w:cs="Courier New"/>
        </w:rPr>
      </w:pPr>
      <w:r w:rsidRPr="00054B7B">
        <w:rPr>
          <w:rStyle w:val="FootnoteReference"/>
          <w:rFonts w:ascii="Courier New" w:hAnsi="Courier New" w:cs="Courier New"/>
        </w:rPr>
        <w:footnoteRef/>
      </w:r>
      <w:r w:rsidR="00C31164">
        <w:rPr>
          <w:rFonts w:ascii="Courier New" w:hAnsi="Courier New" w:cs="Courier New"/>
        </w:rPr>
        <w:t xml:space="preserve"> </w:t>
      </w:r>
      <w:r w:rsidR="00DD6352">
        <w:rPr>
          <w:rFonts w:ascii="Courier New" w:hAnsi="Courier New" w:cs="Courier New"/>
        </w:rPr>
        <w:t> </w:t>
      </w:r>
      <w:r w:rsidR="00651728" w:rsidRPr="00054B7B">
        <w:rPr>
          <w:rFonts w:ascii="Courier New" w:hAnsi="Courier New" w:cs="Courier New"/>
        </w:rPr>
        <w:t xml:space="preserve">This </w:t>
      </w:r>
      <w:r w:rsidR="00373DB0" w:rsidRPr="00054B7B">
        <w:rPr>
          <w:rFonts w:ascii="Courier New" w:hAnsi="Courier New" w:cs="Courier New"/>
        </w:rPr>
        <w:t xml:space="preserve">amount </w:t>
      </w:r>
      <w:r w:rsidR="00651728" w:rsidRPr="00054B7B">
        <w:rPr>
          <w:rFonts w:ascii="Courier New" w:hAnsi="Courier New" w:cs="Courier New"/>
        </w:rPr>
        <w:t>includes a CPA assessment of $4,515.89.</w:t>
      </w:r>
    </w:p>
  </w:footnote>
  <w:footnote w:id="3">
    <w:p w:rsidR="00651728" w:rsidRPr="00054B7B" w:rsidRDefault="00651728" w:rsidP="001E4271">
      <w:pPr>
        <w:pStyle w:val="FootnoteText"/>
        <w:jc w:val="both"/>
        <w:rPr>
          <w:rFonts w:ascii="Courier New" w:hAnsi="Courier New" w:cs="Courier New"/>
        </w:rPr>
      </w:pPr>
      <w:r w:rsidRPr="00054B7B">
        <w:rPr>
          <w:rStyle w:val="FootnoteReference"/>
          <w:rFonts w:ascii="Courier New" w:hAnsi="Courier New" w:cs="Courier New"/>
        </w:rPr>
        <w:footnoteRef/>
      </w:r>
      <w:r w:rsidR="00C31164">
        <w:rPr>
          <w:rFonts w:ascii="Courier New" w:hAnsi="Courier New" w:cs="Courier New"/>
        </w:rPr>
        <w:t xml:space="preserve"> </w:t>
      </w:r>
      <w:r w:rsidRPr="00054B7B">
        <w:rPr>
          <w:rFonts w:ascii="Courier New" w:hAnsi="Courier New" w:cs="Courier New"/>
        </w:rPr>
        <w:t xml:space="preserve">This </w:t>
      </w:r>
      <w:r w:rsidR="00373DB0" w:rsidRPr="00054B7B">
        <w:rPr>
          <w:rFonts w:ascii="Courier New" w:hAnsi="Courier New" w:cs="Courier New"/>
        </w:rPr>
        <w:t xml:space="preserve">amount </w:t>
      </w:r>
      <w:r w:rsidRPr="00054B7B">
        <w:rPr>
          <w:rFonts w:ascii="Courier New" w:hAnsi="Courier New" w:cs="Courier New"/>
        </w:rPr>
        <w:t xml:space="preserve">includes a CPA assessment </w:t>
      </w:r>
      <w:r w:rsidR="00373DB0" w:rsidRPr="00054B7B">
        <w:rPr>
          <w:rFonts w:ascii="Courier New" w:hAnsi="Courier New" w:cs="Courier New"/>
        </w:rPr>
        <w:t>of $4,642.43 and also a special a</w:t>
      </w:r>
      <w:r w:rsidRPr="00054B7B">
        <w:rPr>
          <w:rFonts w:ascii="Courier New" w:hAnsi="Courier New" w:cs="Courier New"/>
        </w:rPr>
        <w:t>ssessment in the amount of $250.00.</w:t>
      </w:r>
    </w:p>
    <w:p w:rsidR="00651728" w:rsidRPr="00373DB0" w:rsidRDefault="00651728" w:rsidP="00373DB0">
      <w:pPr>
        <w:pStyle w:val="FootnoteText"/>
        <w:jc w:val="both"/>
        <w:rPr>
          <w:sz w:val="24"/>
          <w:szCs w:val="24"/>
        </w:rPr>
      </w:pPr>
    </w:p>
  </w:footnote>
  <w:footnote w:id="4">
    <w:p w:rsidR="00851088" w:rsidRPr="00054B7B" w:rsidRDefault="00851088" w:rsidP="00D710C8">
      <w:pPr>
        <w:pStyle w:val="FootnoteText"/>
        <w:jc w:val="both"/>
        <w:rPr>
          <w:rFonts w:ascii="Courier New" w:hAnsi="Courier New" w:cs="Courier New"/>
        </w:rPr>
      </w:pPr>
      <w:r w:rsidRPr="00054B7B">
        <w:rPr>
          <w:rStyle w:val="FootnoteReference"/>
          <w:rFonts w:ascii="Courier New" w:hAnsi="Courier New" w:cs="Courier New"/>
        </w:rPr>
        <w:footnoteRef/>
      </w:r>
      <w:r w:rsidRPr="00054B7B">
        <w:rPr>
          <w:rFonts w:ascii="Courier New" w:hAnsi="Courier New" w:cs="Courier New"/>
        </w:rPr>
        <w:t xml:space="preserve"> </w:t>
      </w:r>
      <w:r w:rsidR="00296D0F" w:rsidRPr="00054B7B">
        <w:rPr>
          <w:rFonts w:ascii="Courier New" w:hAnsi="Courier New" w:cs="Courier New"/>
        </w:rPr>
        <w:t>Alt</w:t>
      </w:r>
      <w:r w:rsidR="0092534E" w:rsidRPr="00054B7B">
        <w:rPr>
          <w:rFonts w:ascii="Courier New" w:hAnsi="Courier New" w:cs="Courier New"/>
        </w:rPr>
        <w:t xml:space="preserve">hough Mr. Shuka included in his appraisal report a sales-comparison analysis for each of the fiscal years at issue, he ultimately concluded that this methodology </w:t>
      </w:r>
      <w:r w:rsidR="00D710C8" w:rsidRPr="00054B7B">
        <w:rPr>
          <w:rFonts w:ascii="Courier New" w:hAnsi="Courier New" w:cs="Courier New"/>
        </w:rPr>
        <w:t xml:space="preserve">required </w:t>
      </w:r>
      <w:r w:rsidR="00054B7B">
        <w:rPr>
          <w:rFonts w:ascii="Courier New" w:hAnsi="Courier New" w:cs="Courier New"/>
        </w:rPr>
        <w:t>excessive</w:t>
      </w:r>
      <w:r w:rsidR="0092534E" w:rsidRPr="00054B7B">
        <w:rPr>
          <w:rFonts w:ascii="Courier New" w:hAnsi="Courier New" w:cs="Courier New"/>
        </w:rPr>
        <w:t xml:space="preserve"> adjustments</w:t>
      </w:r>
      <w:r w:rsidR="00D710C8" w:rsidRPr="00054B7B">
        <w:rPr>
          <w:rFonts w:ascii="Courier New" w:hAnsi="Courier New" w:cs="Courier New"/>
        </w:rPr>
        <w:t xml:space="preserve"> render</w:t>
      </w:r>
      <w:r w:rsidR="00054B7B">
        <w:rPr>
          <w:rFonts w:ascii="Courier New" w:hAnsi="Courier New" w:cs="Courier New"/>
        </w:rPr>
        <w:t>ing</w:t>
      </w:r>
      <w:r w:rsidR="00D710C8" w:rsidRPr="00054B7B">
        <w:rPr>
          <w:rFonts w:ascii="Courier New" w:hAnsi="Courier New" w:cs="Courier New"/>
        </w:rPr>
        <w:t xml:space="preserve"> the derived values unreliable.  Therefore, Mr. Shuka placed no weight on the values derived from his sales-comparison analyses.</w:t>
      </w:r>
    </w:p>
  </w:footnote>
  <w:footnote w:id="5">
    <w:p w:rsidR="00C805A0" w:rsidRPr="00C805A0" w:rsidRDefault="00C805A0" w:rsidP="00C805A0">
      <w:pPr>
        <w:pStyle w:val="FootnoteText"/>
        <w:jc w:val="both"/>
        <w:rPr>
          <w:rFonts w:ascii="Courier New" w:hAnsi="Courier New" w:cs="Courier New"/>
        </w:rPr>
      </w:pPr>
      <w:r w:rsidRPr="00C805A0">
        <w:rPr>
          <w:rStyle w:val="FootnoteReference"/>
          <w:rFonts w:ascii="Courier New" w:hAnsi="Courier New" w:cs="Courier New"/>
        </w:rPr>
        <w:footnoteRef/>
      </w:r>
      <w:r w:rsidRPr="00C805A0">
        <w:rPr>
          <w:rFonts w:ascii="Courier New" w:hAnsi="Courier New" w:cs="Courier New"/>
        </w:rPr>
        <w:t xml:space="preserve"> The Board noted that there were several minor mathematical errors in Mr.</w:t>
      </w:r>
      <w:r w:rsidR="00DD6352">
        <w:rPr>
          <w:rFonts w:ascii="Courier New" w:hAnsi="Courier New" w:cs="Courier New"/>
        </w:rPr>
        <w:t> </w:t>
      </w:r>
      <w:r w:rsidRPr="00C805A0">
        <w:rPr>
          <w:rFonts w:ascii="Courier New" w:hAnsi="Courier New" w:cs="Courier New"/>
        </w:rPr>
        <w:t>Shuka’s income-capitalization analyses but found that these errors did not impact his overall estimates of value for the fiscal years at issue.</w:t>
      </w:r>
    </w:p>
  </w:footnote>
  <w:footnote w:id="6">
    <w:p w:rsidR="001328AD" w:rsidRPr="00AB470B" w:rsidRDefault="001328AD" w:rsidP="00682D47">
      <w:pPr>
        <w:pStyle w:val="FootnoteText"/>
        <w:jc w:val="both"/>
        <w:rPr>
          <w:rFonts w:ascii="Courier New" w:hAnsi="Courier New" w:cs="Courier New"/>
        </w:rPr>
      </w:pPr>
      <w:r w:rsidRPr="00682D47">
        <w:rPr>
          <w:rStyle w:val="FootnoteReference"/>
          <w:rFonts w:ascii="Courier New" w:hAnsi="Courier New" w:cs="Courier New"/>
          <w:sz w:val="24"/>
          <w:szCs w:val="24"/>
        </w:rPr>
        <w:footnoteRef/>
      </w:r>
      <w:r w:rsidRPr="00682D47">
        <w:rPr>
          <w:rFonts w:ascii="Courier New" w:hAnsi="Courier New" w:cs="Courier New"/>
          <w:sz w:val="24"/>
          <w:szCs w:val="24"/>
        </w:rPr>
        <w:t xml:space="preserve"> </w:t>
      </w:r>
      <w:r w:rsidR="00682D47" w:rsidRPr="00AB470B">
        <w:rPr>
          <w:rFonts w:ascii="Courier New" w:hAnsi="Courier New" w:cs="Courier New"/>
        </w:rPr>
        <w:t xml:space="preserve">Although </w:t>
      </w:r>
      <w:r w:rsidRPr="00AB470B">
        <w:rPr>
          <w:rFonts w:ascii="Courier New" w:hAnsi="Courier New" w:cs="Courier New"/>
        </w:rPr>
        <w:t xml:space="preserve">Mr. Johnston included in his appraisal </w:t>
      </w:r>
      <w:r w:rsidR="00682D47" w:rsidRPr="00AB470B">
        <w:rPr>
          <w:rFonts w:ascii="Courier New" w:hAnsi="Courier New" w:cs="Courier New"/>
        </w:rPr>
        <w:t xml:space="preserve">report the </w:t>
      </w:r>
      <w:r w:rsidRPr="00AB470B">
        <w:rPr>
          <w:rFonts w:ascii="Courier New" w:hAnsi="Courier New" w:cs="Courier New"/>
        </w:rPr>
        <w:t xml:space="preserve">sales </w:t>
      </w:r>
      <w:r w:rsidR="00682D47" w:rsidRPr="00AB470B">
        <w:rPr>
          <w:rFonts w:ascii="Courier New" w:hAnsi="Courier New" w:cs="Courier New"/>
        </w:rPr>
        <w:t xml:space="preserve">information for </w:t>
      </w:r>
      <w:r w:rsidR="00497C71">
        <w:rPr>
          <w:rFonts w:ascii="Courier New" w:hAnsi="Courier New" w:cs="Courier New"/>
        </w:rPr>
        <w:t>6</w:t>
      </w:r>
      <w:r w:rsidR="00682D47" w:rsidRPr="00AB470B">
        <w:rPr>
          <w:rFonts w:ascii="Courier New" w:hAnsi="Courier New" w:cs="Courier New"/>
        </w:rPr>
        <w:t xml:space="preserve"> </w:t>
      </w:r>
      <w:r w:rsidRPr="00AB470B">
        <w:rPr>
          <w:rFonts w:ascii="Courier New" w:hAnsi="Courier New" w:cs="Courier New"/>
        </w:rPr>
        <w:t xml:space="preserve">big-box </w:t>
      </w:r>
      <w:r w:rsidR="00682D47" w:rsidRPr="00AB470B">
        <w:rPr>
          <w:rFonts w:ascii="Courier New" w:hAnsi="Courier New" w:cs="Courier New"/>
        </w:rPr>
        <w:t>retail</w:t>
      </w:r>
      <w:r w:rsidRPr="00AB470B">
        <w:rPr>
          <w:rFonts w:ascii="Courier New" w:hAnsi="Courier New" w:cs="Courier New"/>
        </w:rPr>
        <w:t xml:space="preserve"> stores that sold</w:t>
      </w:r>
      <w:r w:rsidR="00682D47" w:rsidRPr="00AB470B">
        <w:rPr>
          <w:rFonts w:ascii="Courier New" w:hAnsi="Courier New" w:cs="Courier New"/>
        </w:rPr>
        <w:t xml:space="preserve"> between October 2009 and February 2014, he did not </w:t>
      </w:r>
      <w:r w:rsidR="00295D94">
        <w:rPr>
          <w:rFonts w:ascii="Courier New" w:hAnsi="Courier New" w:cs="Courier New"/>
        </w:rPr>
        <w:t>complete</w:t>
      </w:r>
      <w:r w:rsidR="00682D47" w:rsidRPr="00AB470B">
        <w:rPr>
          <w:rFonts w:ascii="Courier New" w:hAnsi="Courier New" w:cs="Courier New"/>
        </w:rPr>
        <w:t xml:space="preserve"> a full sales</w:t>
      </w:r>
      <w:r w:rsidR="00AB470B">
        <w:rPr>
          <w:rFonts w:ascii="Courier New" w:hAnsi="Courier New" w:cs="Courier New"/>
        </w:rPr>
        <w:t>-</w:t>
      </w:r>
      <w:r w:rsidR="00682D47" w:rsidRPr="00AB470B">
        <w:rPr>
          <w:rFonts w:ascii="Courier New" w:hAnsi="Courier New" w:cs="Courier New"/>
        </w:rPr>
        <w:t>comparison analysis.</w:t>
      </w:r>
    </w:p>
  </w:footnote>
  <w:footnote w:id="7">
    <w:p w:rsidR="00D95FFA" w:rsidRPr="00295D94" w:rsidRDefault="00D95FFA" w:rsidP="00D95FFA">
      <w:pPr>
        <w:pStyle w:val="FootnoteText"/>
        <w:jc w:val="both"/>
        <w:rPr>
          <w:rFonts w:ascii="Courier New" w:hAnsi="Courier New" w:cs="Courier New"/>
        </w:rPr>
      </w:pPr>
      <w:r w:rsidRPr="00DD6352">
        <w:rPr>
          <w:rStyle w:val="FootnoteReference"/>
          <w:rFonts w:ascii="Courier New" w:hAnsi="Courier New" w:cs="Courier New"/>
        </w:rPr>
        <w:footnoteRef/>
      </w:r>
      <w:r w:rsidRPr="00DD6352">
        <w:rPr>
          <w:rFonts w:ascii="Courier New" w:hAnsi="Courier New" w:cs="Courier New"/>
        </w:rPr>
        <w:t xml:space="preserve"> </w:t>
      </w:r>
      <w:r w:rsidR="00DD6352">
        <w:rPr>
          <w:rFonts w:ascii="Courier New" w:hAnsi="Courier New" w:cs="Courier New"/>
        </w:rPr>
        <w:t> </w:t>
      </w:r>
      <w:r w:rsidRPr="00295D94">
        <w:rPr>
          <w:rFonts w:ascii="Courier New" w:hAnsi="Courier New" w:cs="Courier New"/>
        </w:rPr>
        <w:t>This figure differed only slightly from Mr. Shuka’s building area of 124,825 square feet.</w:t>
      </w:r>
    </w:p>
  </w:footnote>
  <w:footnote w:id="8">
    <w:p w:rsidR="00472486" w:rsidRPr="004A6975" w:rsidRDefault="00472486" w:rsidP="004A6975">
      <w:pPr>
        <w:pStyle w:val="FootnoteText"/>
        <w:jc w:val="both"/>
        <w:rPr>
          <w:rFonts w:ascii="Courier New" w:hAnsi="Courier New" w:cs="Courier New"/>
        </w:rPr>
      </w:pPr>
      <w:r w:rsidRPr="004A6975">
        <w:rPr>
          <w:rStyle w:val="FootnoteReference"/>
          <w:rFonts w:ascii="Courier New" w:hAnsi="Courier New" w:cs="Courier New"/>
        </w:rPr>
        <w:footnoteRef/>
      </w:r>
      <w:r w:rsidR="00DD6352">
        <w:rPr>
          <w:rFonts w:ascii="Courier New" w:hAnsi="Courier New" w:cs="Courier New"/>
        </w:rPr>
        <w:t>  </w:t>
      </w:r>
      <w:r w:rsidRPr="004A6975">
        <w:rPr>
          <w:rFonts w:ascii="Courier New" w:hAnsi="Courier New" w:cs="Courier New"/>
        </w:rPr>
        <w:t xml:space="preserve"> Mr. Johnston </w:t>
      </w:r>
      <w:r w:rsidR="004A6975" w:rsidRPr="004A6975">
        <w:rPr>
          <w:rFonts w:ascii="Courier New" w:hAnsi="Courier New" w:cs="Courier New"/>
        </w:rPr>
        <w:t xml:space="preserve">reported that he </w:t>
      </w:r>
      <w:r w:rsidR="00075C79">
        <w:rPr>
          <w:rFonts w:ascii="Courier New" w:hAnsi="Courier New" w:cs="Courier New"/>
        </w:rPr>
        <w:t xml:space="preserve">did not add a tax </w:t>
      </w:r>
      <w:r w:rsidRPr="004A6975">
        <w:rPr>
          <w:rFonts w:ascii="Courier New" w:hAnsi="Courier New" w:cs="Courier New"/>
        </w:rPr>
        <w:t>factor to reflect his 5% vacancy</w:t>
      </w:r>
      <w:r w:rsidR="00004542" w:rsidRPr="004A6975">
        <w:rPr>
          <w:rFonts w:ascii="Courier New" w:hAnsi="Courier New" w:cs="Courier New"/>
        </w:rPr>
        <w:t xml:space="preserve"> to “keep th</w:t>
      </w:r>
      <w:r w:rsidR="004A6975" w:rsidRPr="004A6975">
        <w:rPr>
          <w:rFonts w:ascii="Courier New" w:hAnsi="Courier New" w:cs="Courier New"/>
        </w:rPr>
        <w:t>e capitalization process simple.</w:t>
      </w:r>
      <w:r w:rsidR="00004542" w:rsidRPr="004A6975">
        <w:rPr>
          <w:rFonts w:ascii="Courier New" w:hAnsi="Courier New" w:cs="Courier New"/>
        </w:rPr>
        <w:t>”</w:t>
      </w:r>
    </w:p>
  </w:footnote>
  <w:footnote w:id="9">
    <w:p w:rsidR="007C0948" w:rsidRPr="004A6975" w:rsidRDefault="007C0948" w:rsidP="004A6975">
      <w:pPr>
        <w:pStyle w:val="FootnoteText"/>
        <w:jc w:val="both"/>
        <w:rPr>
          <w:rFonts w:ascii="Courier New" w:hAnsi="Courier New" w:cs="Courier New"/>
        </w:rPr>
      </w:pPr>
      <w:r w:rsidRPr="004A6975">
        <w:rPr>
          <w:rStyle w:val="FootnoteReference"/>
          <w:rFonts w:ascii="Courier New" w:hAnsi="Courier New" w:cs="Courier New"/>
        </w:rPr>
        <w:footnoteRef/>
      </w:r>
      <w:r w:rsidRPr="004A6975">
        <w:t xml:space="preserve"> </w:t>
      </w:r>
      <w:r w:rsidR="00DD6352">
        <w:t>   </w:t>
      </w:r>
      <w:r w:rsidRPr="004A6975">
        <w:rPr>
          <w:rFonts w:ascii="Courier New" w:hAnsi="Courier New" w:cs="Courier New"/>
        </w:rPr>
        <w:t xml:space="preserve">The Board noted that </w:t>
      </w:r>
      <w:r w:rsidR="0060144F">
        <w:rPr>
          <w:rFonts w:ascii="Courier New" w:hAnsi="Courier New" w:cs="Courier New"/>
        </w:rPr>
        <w:t xml:space="preserve">while </w:t>
      </w:r>
      <w:r w:rsidRPr="004A6975">
        <w:rPr>
          <w:rFonts w:ascii="Courier New" w:hAnsi="Courier New" w:cs="Courier New"/>
        </w:rPr>
        <w:t>there w</w:t>
      </w:r>
      <w:r w:rsidR="0058147F" w:rsidRPr="004A6975">
        <w:rPr>
          <w:rFonts w:ascii="Courier New" w:hAnsi="Courier New" w:cs="Courier New"/>
        </w:rPr>
        <w:t xml:space="preserve">as a slight difference in </w:t>
      </w:r>
      <w:r w:rsidR="0060144F">
        <w:rPr>
          <w:rFonts w:ascii="Courier New" w:hAnsi="Courier New" w:cs="Courier New"/>
        </w:rPr>
        <w:t xml:space="preserve">the </w:t>
      </w:r>
      <w:r w:rsidR="0058147F" w:rsidRPr="004A6975">
        <w:rPr>
          <w:rFonts w:ascii="Courier New" w:hAnsi="Courier New" w:cs="Courier New"/>
        </w:rPr>
        <w:t>net leasable area</w:t>
      </w:r>
      <w:r w:rsidR="0060144F">
        <w:rPr>
          <w:rFonts w:ascii="Courier New" w:hAnsi="Courier New" w:cs="Courier New"/>
        </w:rPr>
        <w:t>s used by the parties’ real estate valuation experts,</w:t>
      </w:r>
      <w:r w:rsidR="0058147F" w:rsidRPr="004A6975">
        <w:rPr>
          <w:rFonts w:ascii="Courier New" w:hAnsi="Courier New" w:cs="Courier New"/>
        </w:rPr>
        <w:t xml:space="preserve"> the impact on the </w:t>
      </w:r>
      <w:r w:rsidR="0060144F">
        <w:rPr>
          <w:rFonts w:ascii="Courier New" w:hAnsi="Courier New" w:cs="Courier New"/>
        </w:rPr>
        <w:t xml:space="preserve">subject property’s </w:t>
      </w:r>
      <w:r w:rsidR="0058147F" w:rsidRPr="004A6975">
        <w:rPr>
          <w:rFonts w:ascii="Courier New" w:hAnsi="Courier New" w:cs="Courier New"/>
        </w:rPr>
        <w:t>overall values was negligible</w:t>
      </w:r>
      <w:r w:rsidRPr="004A6975">
        <w:rPr>
          <w:rFonts w:ascii="Courier New" w:hAnsi="Courier New" w:cs="Courier Ne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9AB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F62C49"/>
    <w:multiLevelType w:val="hybridMultilevel"/>
    <w:tmpl w:val="5EF0B9F8"/>
    <w:lvl w:ilvl="0" w:tplc="0538B3BA">
      <w:numFmt w:val="bullet"/>
      <w:lvlText w:val="-"/>
      <w:lvlJc w:val="left"/>
      <w:pPr>
        <w:ind w:left="5700" w:hanging="360"/>
      </w:pPr>
      <w:rPr>
        <w:rFonts w:ascii="Courier New" w:eastAsia="Times New Roman" w:hAnsi="Courier New" w:hint="default"/>
      </w:rPr>
    </w:lvl>
    <w:lvl w:ilvl="1" w:tplc="04090003" w:tentative="1">
      <w:start w:val="1"/>
      <w:numFmt w:val="bullet"/>
      <w:lvlText w:val="o"/>
      <w:lvlJc w:val="left"/>
      <w:pPr>
        <w:ind w:left="6420" w:hanging="360"/>
      </w:pPr>
      <w:rPr>
        <w:rFonts w:ascii="Courier New" w:hAnsi="Courier New" w:hint="default"/>
      </w:rPr>
    </w:lvl>
    <w:lvl w:ilvl="2" w:tplc="04090005" w:tentative="1">
      <w:start w:val="1"/>
      <w:numFmt w:val="bullet"/>
      <w:lvlText w:val=""/>
      <w:lvlJc w:val="left"/>
      <w:pPr>
        <w:ind w:left="7140" w:hanging="360"/>
      </w:pPr>
      <w:rPr>
        <w:rFonts w:ascii="Wingdings" w:hAnsi="Wingdings" w:hint="default"/>
      </w:rPr>
    </w:lvl>
    <w:lvl w:ilvl="3" w:tplc="04090001" w:tentative="1">
      <w:start w:val="1"/>
      <w:numFmt w:val="bullet"/>
      <w:lvlText w:val=""/>
      <w:lvlJc w:val="left"/>
      <w:pPr>
        <w:ind w:left="7860" w:hanging="360"/>
      </w:pPr>
      <w:rPr>
        <w:rFonts w:ascii="Symbol" w:hAnsi="Symbol" w:hint="default"/>
      </w:rPr>
    </w:lvl>
    <w:lvl w:ilvl="4" w:tplc="04090003" w:tentative="1">
      <w:start w:val="1"/>
      <w:numFmt w:val="bullet"/>
      <w:lvlText w:val="o"/>
      <w:lvlJc w:val="left"/>
      <w:pPr>
        <w:ind w:left="8580" w:hanging="360"/>
      </w:pPr>
      <w:rPr>
        <w:rFonts w:ascii="Courier New" w:hAnsi="Courier New" w:hint="default"/>
      </w:rPr>
    </w:lvl>
    <w:lvl w:ilvl="5" w:tplc="04090005" w:tentative="1">
      <w:start w:val="1"/>
      <w:numFmt w:val="bullet"/>
      <w:lvlText w:val=""/>
      <w:lvlJc w:val="left"/>
      <w:pPr>
        <w:ind w:left="9300" w:hanging="360"/>
      </w:pPr>
      <w:rPr>
        <w:rFonts w:ascii="Wingdings" w:hAnsi="Wingdings" w:hint="default"/>
      </w:rPr>
    </w:lvl>
    <w:lvl w:ilvl="6" w:tplc="04090001" w:tentative="1">
      <w:start w:val="1"/>
      <w:numFmt w:val="bullet"/>
      <w:lvlText w:val=""/>
      <w:lvlJc w:val="left"/>
      <w:pPr>
        <w:ind w:left="10020" w:hanging="360"/>
      </w:pPr>
      <w:rPr>
        <w:rFonts w:ascii="Symbol" w:hAnsi="Symbol" w:hint="default"/>
      </w:rPr>
    </w:lvl>
    <w:lvl w:ilvl="7" w:tplc="04090003" w:tentative="1">
      <w:start w:val="1"/>
      <w:numFmt w:val="bullet"/>
      <w:lvlText w:val="o"/>
      <w:lvlJc w:val="left"/>
      <w:pPr>
        <w:ind w:left="10740" w:hanging="360"/>
      </w:pPr>
      <w:rPr>
        <w:rFonts w:ascii="Courier New" w:hAnsi="Courier New" w:hint="default"/>
      </w:rPr>
    </w:lvl>
    <w:lvl w:ilvl="8" w:tplc="04090005" w:tentative="1">
      <w:start w:val="1"/>
      <w:numFmt w:val="bullet"/>
      <w:lvlText w:val=""/>
      <w:lvlJc w:val="left"/>
      <w:pPr>
        <w:ind w:left="11460" w:hanging="360"/>
      </w:pPr>
      <w:rPr>
        <w:rFonts w:ascii="Wingdings" w:hAnsi="Wingdings" w:hint="default"/>
      </w:rPr>
    </w:lvl>
  </w:abstractNum>
  <w:abstractNum w:abstractNumId="2">
    <w:nsid w:val="4188333A"/>
    <w:multiLevelType w:val="hybridMultilevel"/>
    <w:tmpl w:val="1BC6FD48"/>
    <w:lvl w:ilvl="0" w:tplc="736A1384">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nsid w:val="52F41D4E"/>
    <w:multiLevelType w:val="hybridMultilevel"/>
    <w:tmpl w:val="382EB1CC"/>
    <w:lvl w:ilvl="0" w:tplc="6EB81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32705E"/>
    <w:multiLevelType w:val="hybridMultilevel"/>
    <w:tmpl w:val="084A757E"/>
    <w:lvl w:ilvl="0" w:tplc="A4DAE9C6">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73A67D08"/>
    <w:multiLevelType w:val="hybridMultilevel"/>
    <w:tmpl w:val="E56E3A90"/>
    <w:lvl w:ilvl="0" w:tplc="0E701D0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1F"/>
    <w:rsid w:val="00000002"/>
    <w:rsid w:val="00002760"/>
    <w:rsid w:val="00003262"/>
    <w:rsid w:val="00004542"/>
    <w:rsid w:val="00004BF6"/>
    <w:rsid w:val="00006BD0"/>
    <w:rsid w:val="00006C09"/>
    <w:rsid w:val="00007853"/>
    <w:rsid w:val="00011D30"/>
    <w:rsid w:val="000244D6"/>
    <w:rsid w:val="00024684"/>
    <w:rsid w:val="00025AD8"/>
    <w:rsid w:val="000262F0"/>
    <w:rsid w:val="00026453"/>
    <w:rsid w:val="00027B03"/>
    <w:rsid w:val="00033138"/>
    <w:rsid w:val="000332A6"/>
    <w:rsid w:val="0003774F"/>
    <w:rsid w:val="00037C3F"/>
    <w:rsid w:val="000456C9"/>
    <w:rsid w:val="00046E78"/>
    <w:rsid w:val="0004700E"/>
    <w:rsid w:val="00050C26"/>
    <w:rsid w:val="00051A93"/>
    <w:rsid w:val="0005405C"/>
    <w:rsid w:val="00054B7B"/>
    <w:rsid w:val="000562F2"/>
    <w:rsid w:val="00060F92"/>
    <w:rsid w:val="00061B91"/>
    <w:rsid w:val="00062143"/>
    <w:rsid w:val="000628ED"/>
    <w:rsid w:val="00064B9B"/>
    <w:rsid w:val="0007034A"/>
    <w:rsid w:val="00074F22"/>
    <w:rsid w:val="000759C1"/>
    <w:rsid w:val="00075C79"/>
    <w:rsid w:val="0007622F"/>
    <w:rsid w:val="00080E61"/>
    <w:rsid w:val="0008308F"/>
    <w:rsid w:val="0008373D"/>
    <w:rsid w:val="000837E6"/>
    <w:rsid w:val="0008534C"/>
    <w:rsid w:val="0008638B"/>
    <w:rsid w:val="00086F9A"/>
    <w:rsid w:val="00097827"/>
    <w:rsid w:val="000A31F9"/>
    <w:rsid w:val="000A3648"/>
    <w:rsid w:val="000A4D8F"/>
    <w:rsid w:val="000A5756"/>
    <w:rsid w:val="000A579C"/>
    <w:rsid w:val="000A6AFF"/>
    <w:rsid w:val="000B1D8B"/>
    <w:rsid w:val="000B376B"/>
    <w:rsid w:val="000B3AE3"/>
    <w:rsid w:val="000B476D"/>
    <w:rsid w:val="000B6494"/>
    <w:rsid w:val="000B658B"/>
    <w:rsid w:val="000C0CEC"/>
    <w:rsid w:val="000C0F13"/>
    <w:rsid w:val="000C12AB"/>
    <w:rsid w:val="000C2505"/>
    <w:rsid w:val="000D131B"/>
    <w:rsid w:val="000D2E28"/>
    <w:rsid w:val="000D36C5"/>
    <w:rsid w:val="000D478A"/>
    <w:rsid w:val="000D572B"/>
    <w:rsid w:val="000D75B5"/>
    <w:rsid w:val="000D76D2"/>
    <w:rsid w:val="000E2CEB"/>
    <w:rsid w:val="000E553C"/>
    <w:rsid w:val="000E6F4D"/>
    <w:rsid w:val="000F0772"/>
    <w:rsid w:val="000F4A69"/>
    <w:rsid w:val="000F6A59"/>
    <w:rsid w:val="00100250"/>
    <w:rsid w:val="001002F6"/>
    <w:rsid w:val="0010297B"/>
    <w:rsid w:val="00103738"/>
    <w:rsid w:val="001058E5"/>
    <w:rsid w:val="00105B87"/>
    <w:rsid w:val="001100E3"/>
    <w:rsid w:val="00110872"/>
    <w:rsid w:val="001116FC"/>
    <w:rsid w:val="00115EA6"/>
    <w:rsid w:val="001161F2"/>
    <w:rsid w:val="0011732D"/>
    <w:rsid w:val="0011752F"/>
    <w:rsid w:val="00123A60"/>
    <w:rsid w:val="001328AD"/>
    <w:rsid w:val="00133703"/>
    <w:rsid w:val="00133717"/>
    <w:rsid w:val="00133ECD"/>
    <w:rsid w:val="00140235"/>
    <w:rsid w:val="00143137"/>
    <w:rsid w:val="0014410B"/>
    <w:rsid w:val="00144DBA"/>
    <w:rsid w:val="00152054"/>
    <w:rsid w:val="00152575"/>
    <w:rsid w:val="0015265D"/>
    <w:rsid w:val="001601C3"/>
    <w:rsid w:val="001662F9"/>
    <w:rsid w:val="00167631"/>
    <w:rsid w:val="00170100"/>
    <w:rsid w:val="00171869"/>
    <w:rsid w:val="001719CD"/>
    <w:rsid w:val="00172276"/>
    <w:rsid w:val="00173E35"/>
    <w:rsid w:val="001742B2"/>
    <w:rsid w:val="001758E1"/>
    <w:rsid w:val="00176484"/>
    <w:rsid w:val="00176A5B"/>
    <w:rsid w:val="001823FA"/>
    <w:rsid w:val="00186654"/>
    <w:rsid w:val="00190776"/>
    <w:rsid w:val="00195F7E"/>
    <w:rsid w:val="00197F2F"/>
    <w:rsid w:val="001A0EC0"/>
    <w:rsid w:val="001A17D4"/>
    <w:rsid w:val="001A4547"/>
    <w:rsid w:val="001B0DD4"/>
    <w:rsid w:val="001B1375"/>
    <w:rsid w:val="001B1BB4"/>
    <w:rsid w:val="001B485A"/>
    <w:rsid w:val="001C0EDB"/>
    <w:rsid w:val="001C1758"/>
    <w:rsid w:val="001C1F0A"/>
    <w:rsid w:val="001C3B24"/>
    <w:rsid w:val="001C3F19"/>
    <w:rsid w:val="001C44D4"/>
    <w:rsid w:val="001C6F9C"/>
    <w:rsid w:val="001D2F05"/>
    <w:rsid w:val="001E1352"/>
    <w:rsid w:val="001E4271"/>
    <w:rsid w:val="001E4B90"/>
    <w:rsid w:val="001F1B72"/>
    <w:rsid w:val="001F330D"/>
    <w:rsid w:val="001F5309"/>
    <w:rsid w:val="001F6C7F"/>
    <w:rsid w:val="00201940"/>
    <w:rsid w:val="00204C19"/>
    <w:rsid w:val="00205601"/>
    <w:rsid w:val="00210442"/>
    <w:rsid w:val="00213F77"/>
    <w:rsid w:val="00223836"/>
    <w:rsid w:val="00224C95"/>
    <w:rsid w:val="00225F41"/>
    <w:rsid w:val="002269B9"/>
    <w:rsid w:val="0022756E"/>
    <w:rsid w:val="00230268"/>
    <w:rsid w:val="00230285"/>
    <w:rsid w:val="00231479"/>
    <w:rsid w:val="00232E8C"/>
    <w:rsid w:val="00233A91"/>
    <w:rsid w:val="0023410D"/>
    <w:rsid w:val="00236294"/>
    <w:rsid w:val="0023677D"/>
    <w:rsid w:val="00240810"/>
    <w:rsid w:val="00240F1C"/>
    <w:rsid w:val="0024124A"/>
    <w:rsid w:val="00252CAA"/>
    <w:rsid w:val="002544FF"/>
    <w:rsid w:val="0026120F"/>
    <w:rsid w:val="00261A82"/>
    <w:rsid w:val="002620B9"/>
    <w:rsid w:val="00262A40"/>
    <w:rsid w:val="00263C25"/>
    <w:rsid w:val="00265809"/>
    <w:rsid w:val="00265E9B"/>
    <w:rsid w:val="00266E56"/>
    <w:rsid w:val="0027041D"/>
    <w:rsid w:val="00273BEB"/>
    <w:rsid w:val="00280BBD"/>
    <w:rsid w:val="002822B2"/>
    <w:rsid w:val="00282DEE"/>
    <w:rsid w:val="00284E2E"/>
    <w:rsid w:val="00285293"/>
    <w:rsid w:val="0029000F"/>
    <w:rsid w:val="00292300"/>
    <w:rsid w:val="00294A92"/>
    <w:rsid w:val="00294B73"/>
    <w:rsid w:val="00295071"/>
    <w:rsid w:val="00295D94"/>
    <w:rsid w:val="00296D0F"/>
    <w:rsid w:val="002A069E"/>
    <w:rsid w:val="002A07EF"/>
    <w:rsid w:val="002A2E11"/>
    <w:rsid w:val="002A6635"/>
    <w:rsid w:val="002B5AEE"/>
    <w:rsid w:val="002B6B66"/>
    <w:rsid w:val="002B7B07"/>
    <w:rsid w:val="002C66A6"/>
    <w:rsid w:val="002D1401"/>
    <w:rsid w:val="002D424B"/>
    <w:rsid w:val="002D45D9"/>
    <w:rsid w:val="002D68D2"/>
    <w:rsid w:val="002D7276"/>
    <w:rsid w:val="002E271A"/>
    <w:rsid w:val="002F33D5"/>
    <w:rsid w:val="002F3F2A"/>
    <w:rsid w:val="002F76D4"/>
    <w:rsid w:val="0030074B"/>
    <w:rsid w:val="00302108"/>
    <w:rsid w:val="00304B25"/>
    <w:rsid w:val="00305E1C"/>
    <w:rsid w:val="003061DC"/>
    <w:rsid w:val="00306FCA"/>
    <w:rsid w:val="003071FD"/>
    <w:rsid w:val="0030736D"/>
    <w:rsid w:val="0030736E"/>
    <w:rsid w:val="00310A5F"/>
    <w:rsid w:val="00310D0C"/>
    <w:rsid w:val="0031132D"/>
    <w:rsid w:val="00312663"/>
    <w:rsid w:val="00313060"/>
    <w:rsid w:val="00313B19"/>
    <w:rsid w:val="0031530C"/>
    <w:rsid w:val="003223CB"/>
    <w:rsid w:val="003238EA"/>
    <w:rsid w:val="003240FB"/>
    <w:rsid w:val="00325F91"/>
    <w:rsid w:val="00327CBA"/>
    <w:rsid w:val="003315E3"/>
    <w:rsid w:val="00333455"/>
    <w:rsid w:val="0033433B"/>
    <w:rsid w:val="00334ADE"/>
    <w:rsid w:val="00337E4F"/>
    <w:rsid w:val="00341B74"/>
    <w:rsid w:val="0034277D"/>
    <w:rsid w:val="003477E8"/>
    <w:rsid w:val="0035080B"/>
    <w:rsid w:val="00350864"/>
    <w:rsid w:val="003529B1"/>
    <w:rsid w:val="00353186"/>
    <w:rsid w:val="00354084"/>
    <w:rsid w:val="00354378"/>
    <w:rsid w:val="003556BE"/>
    <w:rsid w:val="00355B58"/>
    <w:rsid w:val="00361D40"/>
    <w:rsid w:val="00362E74"/>
    <w:rsid w:val="00363E4E"/>
    <w:rsid w:val="00365365"/>
    <w:rsid w:val="00370912"/>
    <w:rsid w:val="00371A8E"/>
    <w:rsid w:val="003738BB"/>
    <w:rsid w:val="00373DB0"/>
    <w:rsid w:val="00374C4A"/>
    <w:rsid w:val="0037513D"/>
    <w:rsid w:val="00376931"/>
    <w:rsid w:val="00383DDE"/>
    <w:rsid w:val="00384739"/>
    <w:rsid w:val="00384DA5"/>
    <w:rsid w:val="003856D5"/>
    <w:rsid w:val="003859D6"/>
    <w:rsid w:val="00385BAF"/>
    <w:rsid w:val="00386D6C"/>
    <w:rsid w:val="00387E23"/>
    <w:rsid w:val="00390423"/>
    <w:rsid w:val="003925E1"/>
    <w:rsid w:val="003963B3"/>
    <w:rsid w:val="00397A54"/>
    <w:rsid w:val="003A021D"/>
    <w:rsid w:val="003A3981"/>
    <w:rsid w:val="003A3F0B"/>
    <w:rsid w:val="003A43B3"/>
    <w:rsid w:val="003A5754"/>
    <w:rsid w:val="003A647A"/>
    <w:rsid w:val="003A687C"/>
    <w:rsid w:val="003A7C13"/>
    <w:rsid w:val="003B03FC"/>
    <w:rsid w:val="003B0927"/>
    <w:rsid w:val="003B4F28"/>
    <w:rsid w:val="003B5917"/>
    <w:rsid w:val="003B5E34"/>
    <w:rsid w:val="003B5E94"/>
    <w:rsid w:val="003B60D5"/>
    <w:rsid w:val="003B64BA"/>
    <w:rsid w:val="003C29C7"/>
    <w:rsid w:val="003C3596"/>
    <w:rsid w:val="003C5B21"/>
    <w:rsid w:val="003C6099"/>
    <w:rsid w:val="003D0A55"/>
    <w:rsid w:val="003D252C"/>
    <w:rsid w:val="003D279F"/>
    <w:rsid w:val="003E1D1A"/>
    <w:rsid w:val="003E529A"/>
    <w:rsid w:val="003F0156"/>
    <w:rsid w:val="003F2F6D"/>
    <w:rsid w:val="003F56E9"/>
    <w:rsid w:val="003F7271"/>
    <w:rsid w:val="003F7BB2"/>
    <w:rsid w:val="003F7CC3"/>
    <w:rsid w:val="004010BF"/>
    <w:rsid w:val="0040160D"/>
    <w:rsid w:val="00406295"/>
    <w:rsid w:val="004130CC"/>
    <w:rsid w:val="0041314A"/>
    <w:rsid w:val="00413C01"/>
    <w:rsid w:val="00416CB4"/>
    <w:rsid w:val="0042174B"/>
    <w:rsid w:val="00425F07"/>
    <w:rsid w:val="00430493"/>
    <w:rsid w:val="00433E63"/>
    <w:rsid w:val="0043418B"/>
    <w:rsid w:val="00434FC3"/>
    <w:rsid w:val="00435042"/>
    <w:rsid w:val="0043640E"/>
    <w:rsid w:val="00437FDA"/>
    <w:rsid w:val="004403AA"/>
    <w:rsid w:val="004424A8"/>
    <w:rsid w:val="00443453"/>
    <w:rsid w:val="00446B02"/>
    <w:rsid w:val="004519CC"/>
    <w:rsid w:val="00451E1B"/>
    <w:rsid w:val="00452DF5"/>
    <w:rsid w:val="0045417B"/>
    <w:rsid w:val="004551E9"/>
    <w:rsid w:val="004575E1"/>
    <w:rsid w:val="004610CD"/>
    <w:rsid w:val="00467399"/>
    <w:rsid w:val="00467CD8"/>
    <w:rsid w:val="00472486"/>
    <w:rsid w:val="00476A14"/>
    <w:rsid w:val="00477C00"/>
    <w:rsid w:val="00484A17"/>
    <w:rsid w:val="00491326"/>
    <w:rsid w:val="00491E4C"/>
    <w:rsid w:val="00497C71"/>
    <w:rsid w:val="004A1063"/>
    <w:rsid w:val="004A2A04"/>
    <w:rsid w:val="004A3003"/>
    <w:rsid w:val="004A3261"/>
    <w:rsid w:val="004A4B77"/>
    <w:rsid w:val="004A5502"/>
    <w:rsid w:val="004A5E20"/>
    <w:rsid w:val="004A6975"/>
    <w:rsid w:val="004B0637"/>
    <w:rsid w:val="004B0D8E"/>
    <w:rsid w:val="004B1350"/>
    <w:rsid w:val="004B35D4"/>
    <w:rsid w:val="004B4938"/>
    <w:rsid w:val="004B5EB0"/>
    <w:rsid w:val="004C0131"/>
    <w:rsid w:val="004C0AFE"/>
    <w:rsid w:val="004C1457"/>
    <w:rsid w:val="004C1BDB"/>
    <w:rsid w:val="004C3928"/>
    <w:rsid w:val="004C47F0"/>
    <w:rsid w:val="004C5468"/>
    <w:rsid w:val="004C78C2"/>
    <w:rsid w:val="004D0188"/>
    <w:rsid w:val="004D04EF"/>
    <w:rsid w:val="004D0F00"/>
    <w:rsid w:val="004D4D33"/>
    <w:rsid w:val="004D69B1"/>
    <w:rsid w:val="004E1EF2"/>
    <w:rsid w:val="004E214E"/>
    <w:rsid w:val="004E3148"/>
    <w:rsid w:val="004E3ECA"/>
    <w:rsid w:val="004E423A"/>
    <w:rsid w:val="004E4B94"/>
    <w:rsid w:val="004E542F"/>
    <w:rsid w:val="004E5CE6"/>
    <w:rsid w:val="004E60E6"/>
    <w:rsid w:val="004F069C"/>
    <w:rsid w:val="004F133D"/>
    <w:rsid w:val="004F3A43"/>
    <w:rsid w:val="00500B75"/>
    <w:rsid w:val="00501751"/>
    <w:rsid w:val="00502DDD"/>
    <w:rsid w:val="00507223"/>
    <w:rsid w:val="00507BD6"/>
    <w:rsid w:val="00510263"/>
    <w:rsid w:val="00510677"/>
    <w:rsid w:val="00511F80"/>
    <w:rsid w:val="00514E9C"/>
    <w:rsid w:val="005172F4"/>
    <w:rsid w:val="00522F65"/>
    <w:rsid w:val="00525C05"/>
    <w:rsid w:val="0052609A"/>
    <w:rsid w:val="00526C20"/>
    <w:rsid w:val="00526C3C"/>
    <w:rsid w:val="00527A2D"/>
    <w:rsid w:val="00531C11"/>
    <w:rsid w:val="0053207B"/>
    <w:rsid w:val="005324E2"/>
    <w:rsid w:val="00533F51"/>
    <w:rsid w:val="00535218"/>
    <w:rsid w:val="00535C9E"/>
    <w:rsid w:val="00535D19"/>
    <w:rsid w:val="0053693A"/>
    <w:rsid w:val="00541118"/>
    <w:rsid w:val="00541AAB"/>
    <w:rsid w:val="00542292"/>
    <w:rsid w:val="00542969"/>
    <w:rsid w:val="00543143"/>
    <w:rsid w:val="00545A1F"/>
    <w:rsid w:val="005460F5"/>
    <w:rsid w:val="005520D8"/>
    <w:rsid w:val="00552D7C"/>
    <w:rsid w:val="00555CCA"/>
    <w:rsid w:val="00557E05"/>
    <w:rsid w:val="00561F70"/>
    <w:rsid w:val="005628F3"/>
    <w:rsid w:val="005638E3"/>
    <w:rsid w:val="00565608"/>
    <w:rsid w:val="00565AD9"/>
    <w:rsid w:val="0057010C"/>
    <w:rsid w:val="0057449A"/>
    <w:rsid w:val="005747BF"/>
    <w:rsid w:val="00575277"/>
    <w:rsid w:val="0058147F"/>
    <w:rsid w:val="00584335"/>
    <w:rsid w:val="00590814"/>
    <w:rsid w:val="005915CA"/>
    <w:rsid w:val="00592034"/>
    <w:rsid w:val="0059301B"/>
    <w:rsid w:val="00594B4D"/>
    <w:rsid w:val="00596F62"/>
    <w:rsid w:val="005979EA"/>
    <w:rsid w:val="005A06DB"/>
    <w:rsid w:val="005A6199"/>
    <w:rsid w:val="005A6274"/>
    <w:rsid w:val="005A6DA1"/>
    <w:rsid w:val="005B06B3"/>
    <w:rsid w:val="005B17EF"/>
    <w:rsid w:val="005B1CA1"/>
    <w:rsid w:val="005B4705"/>
    <w:rsid w:val="005C0392"/>
    <w:rsid w:val="005C32B0"/>
    <w:rsid w:val="005C36E6"/>
    <w:rsid w:val="005C3E65"/>
    <w:rsid w:val="005C5052"/>
    <w:rsid w:val="005C699B"/>
    <w:rsid w:val="005C7C2E"/>
    <w:rsid w:val="005D0FD6"/>
    <w:rsid w:val="005D1AC1"/>
    <w:rsid w:val="005D25DE"/>
    <w:rsid w:val="005D41CD"/>
    <w:rsid w:val="005D4DB5"/>
    <w:rsid w:val="005D52E9"/>
    <w:rsid w:val="005D565B"/>
    <w:rsid w:val="005D77F8"/>
    <w:rsid w:val="005E00B1"/>
    <w:rsid w:val="005E2328"/>
    <w:rsid w:val="005E26C9"/>
    <w:rsid w:val="005E47F4"/>
    <w:rsid w:val="005E5697"/>
    <w:rsid w:val="005E60F0"/>
    <w:rsid w:val="005E6403"/>
    <w:rsid w:val="005E67D1"/>
    <w:rsid w:val="005F06DA"/>
    <w:rsid w:val="005F346E"/>
    <w:rsid w:val="005F62DB"/>
    <w:rsid w:val="00600442"/>
    <w:rsid w:val="0060144F"/>
    <w:rsid w:val="006014D0"/>
    <w:rsid w:val="00603D48"/>
    <w:rsid w:val="0060418B"/>
    <w:rsid w:val="00606E86"/>
    <w:rsid w:val="006078BB"/>
    <w:rsid w:val="00612EDC"/>
    <w:rsid w:val="0062187F"/>
    <w:rsid w:val="0062188C"/>
    <w:rsid w:val="006218B8"/>
    <w:rsid w:val="00621988"/>
    <w:rsid w:val="00621D37"/>
    <w:rsid w:val="006269CC"/>
    <w:rsid w:val="00626FE1"/>
    <w:rsid w:val="006271E2"/>
    <w:rsid w:val="006274E5"/>
    <w:rsid w:val="00627F92"/>
    <w:rsid w:val="00630D4F"/>
    <w:rsid w:val="0063151C"/>
    <w:rsid w:val="00631FDE"/>
    <w:rsid w:val="00632A2C"/>
    <w:rsid w:val="00634028"/>
    <w:rsid w:val="006348D9"/>
    <w:rsid w:val="00641014"/>
    <w:rsid w:val="0064280E"/>
    <w:rsid w:val="0064416B"/>
    <w:rsid w:val="00644327"/>
    <w:rsid w:val="00646BC9"/>
    <w:rsid w:val="00647D98"/>
    <w:rsid w:val="006500D4"/>
    <w:rsid w:val="00651728"/>
    <w:rsid w:val="0065699B"/>
    <w:rsid w:val="00661B01"/>
    <w:rsid w:val="00661D23"/>
    <w:rsid w:val="00663724"/>
    <w:rsid w:val="0066378D"/>
    <w:rsid w:val="00666316"/>
    <w:rsid w:val="00670C8C"/>
    <w:rsid w:val="0067455E"/>
    <w:rsid w:val="0068254C"/>
    <w:rsid w:val="00682D47"/>
    <w:rsid w:val="0068330F"/>
    <w:rsid w:val="0068472F"/>
    <w:rsid w:val="006858E6"/>
    <w:rsid w:val="006861AC"/>
    <w:rsid w:val="006878A6"/>
    <w:rsid w:val="00690D17"/>
    <w:rsid w:val="00693C94"/>
    <w:rsid w:val="00695454"/>
    <w:rsid w:val="006A0A50"/>
    <w:rsid w:val="006A3F58"/>
    <w:rsid w:val="006A61C7"/>
    <w:rsid w:val="006A7D24"/>
    <w:rsid w:val="006B460D"/>
    <w:rsid w:val="006B4A30"/>
    <w:rsid w:val="006B71E4"/>
    <w:rsid w:val="006C09AD"/>
    <w:rsid w:val="006C3AF0"/>
    <w:rsid w:val="006C3EAC"/>
    <w:rsid w:val="006C78C4"/>
    <w:rsid w:val="006D1518"/>
    <w:rsid w:val="006D2A38"/>
    <w:rsid w:val="006D2B82"/>
    <w:rsid w:val="006E162F"/>
    <w:rsid w:val="006E22DC"/>
    <w:rsid w:val="006E50A0"/>
    <w:rsid w:val="006E5932"/>
    <w:rsid w:val="006F4135"/>
    <w:rsid w:val="006F4A4B"/>
    <w:rsid w:val="006F5FD3"/>
    <w:rsid w:val="006F7382"/>
    <w:rsid w:val="0070447A"/>
    <w:rsid w:val="0070447C"/>
    <w:rsid w:val="0070496C"/>
    <w:rsid w:val="0070585B"/>
    <w:rsid w:val="00706E43"/>
    <w:rsid w:val="00710BD0"/>
    <w:rsid w:val="0071105A"/>
    <w:rsid w:val="007119FC"/>
    <w:rsid w:val="0071341F"/>
    <w:rsid w:val="007145F7"/>
    <w:rsid w:val="00714C4E"/>
    <w:rsid w:val="00715163"/>
    <w:rsid w:val="007202B6"/>
    <w:rsid w:val="00720E73"/>
    <w:rsid w:val="00722448"/>
    <w:rsid w:val="00727E20"/>
    <w:rsid w:val="00730314"/>
    <w:rsid w:val="007345AB"/>
    <w:rsid w:val="00735728"/>
    <w:rsid w:val="007367EA"/>
    <w:rsid w:val="00737CF7"/>
    <w:rsid w:val="007414FC"/>
    <w:rsid w:val="007420A8"/>
    <w:rsid w:val="00743F87"/>
    <w:rsid w:val="00747974"/>
    <w:rsid w:val="00750833"/>
    <w:rsid w:val="00752B57"/>
    <w:rsid w:val="00756900"/>
    <w:rsid w:val="00756D70"/>
    <w:rsid w:val="00757370"/>
    <w:rsid w:val="00757CFA"/>
    <w:rsid w:val="00760E22"/>
    <w:rsid w:val="0076713A"/>
    <w:rsid w:val="00771613"/>
    <w:rsid w:val="00772B86"/>
    <w:rsid w:val="00774F0C"/>
    <w:rsid w:val="00776125"/>
    <w:rsid w:val="007825F6"/>
    <w:rsid w:val="00784A73"/>
    <w:rsid w:val="0078509E"/>
    <w:rsid w:val="00785882"/>
    <w:rsid w:val="0078782E"/>
    <w:rsid w:val="00790512"/>
    <w:rsid w:val="00791A45"/>
    <w:rsid w:val="007A7533"/>
    <w:rsid w:val="007A760B"/>
    <w:rsid w:val="007A7825"/>
    <w:rsid w:val="007B032F"/>
    <w:rsid w:val="007B363D"/>
    <w:rsid w:val="007B51D4"/>
    <w:rsid w:val="007B5B78"/>
    <w:rsid w:val="007B753B"/>
    <w:rsid w:val="007C0948"/>
    <w:rsid w:val="007C0BDA"/>
    <w:rsid w:val="007C0DB2"/>
    <w:rsid w:val="007C2909"/>
    <w:rsid w:val="007C3BA0"/>
    <w:rsid w:val="007C510E"/>
    <w:rsid w:val="007C78A4"/>
    <w:rsid w:val="007D0741"/>
    <w:rsid w:val="007D1E32"/>
    <w:rsid w:val="007E1730"/>
    <w:rsid w:val="007E2B0A"/>
    <w:rsid w:val="007E2C7E"/>
    <w:rsid w:val="007E3596"/>
    <w:rsid w:val="007E35DE"/>
    <w:rsid w:val="007E3F2E"/>
    <w:rsid w:val="007E7E2E"/>
    <w:rsid w:val="007F1191"/>
    <w:rsid w:val="007F3B2D"/>
    <w:rsid w:val="007F3F64"/>
    <w:rsid w:val="008016EA"/>
    <w:rsid w:val="00803334"/>
    <w:rsid w:val="0080373F"/>
    <w:rsid w:val="00807114"/>
    <w:rsid w:val="00807DE8"/>
    <w:rsid w:val="008119E1"/>
    <w:rsid w:val="00815EEC"/>
    <w:rsid w:val="008162C9"/>
    <w:rsid w:val="00821C2B"/>
    <w:rsid w:val="008232A0"/>
    <w:rsid w:val="00823CC2"/>
    <w:rsid w:val="008244B9"/>
    <w:rsid w:val="008255EF"/>
    <w:rsid w:val="0082631D"/>
    <w:rsid w:val="00826EFB"/>
    <w:rsid w:val="0082740F"/>
    <w:rsid w:val="008315CD"/>
    <w:rsid w:val="00833807"/>
    <w:rsid w:val="00837D2B"/>
    <w:rsid w:val="0084021B"/>
    <w:rsid w:val="00840357"/>
    <w:rsid w:val="00841586"/>
    <w:rsid w:val="00842AD4"/>
    <w:rsid w:val="008460A6"/>
    <w:rsid w:val="00851088"/>
    <w:rsid w:val="00852402"/>
    <w:rsid w:val="00853953"/>
    <w:rsid w:val="00856C47"/>
    <w:rsid w:val="00857BAD"/>
    <w:rsid w:val="00857F3D"/>
    <w:rsid w:val="008623B1"/>
    <w:rsid w:val="008641A4"/>
    <w:rsid w:val="0086459B"/>
    <w:rsid w:val="00865821"/>
    <w:rsid w:val="00866245"/>
    <w:rsid w:val="00872523"/>
    <w:rsid w:val="00872AC3"/>
    <w:rsid w:val="0087575A"/>
    <w:rsid w:val="008759ED"/>
    <w:rsid w:val="00876468"/>
    <w:rsid w:val="008774BC"/>
    <w:rsid w:val="008776B1"/>
    <w:rsid w:val="00877973"/>
    <w:rsid w:val="008818D1"/>
    <w:rsid w:val="008825CB"/>
    <w:rsid w:val="00883638"/>
    <w:rsid w:val="00883C2D"/>
    <w:rsid w:val="008855F9"/>
    <w:rsid w:val="00887655"/>
    <w:rsid w:val="0089028D"/>
    <w:rsid w:val="00893389"/>
    <w:rsid w:val="008A016A"/>
    <w:rsid w:val="008A107D"/>
    <w:rsid w:val="008A16F1"/>
    <w:rsid w:val="008A37B3"/>
    <w:rsid w:val="008A42C6"/>
    <w:rsid w:val="008B098D"/>
    <w:rsid w:val="008B178E"/>
    <w:rsid w:val="008B52C1"/>
    <w:rsid w:val="008B551C"/>
    <w:rsid w:val="008B5FA6"/>
    <w:rsid w:val="008B78D2"/>
    <w:rsid w:val="008C126D"/>
    <w:rsid w:val="008D2B2E"/>
    <w:rsid w:val="008D4494"/>
    <w:rsid w:val="008D75D6"/>
    <w:rsid w:val="008E0FB4"/>
    <w:rsid w:val="008E24AE"/>
    <w:rsid w:val="008E3976"/>
    <w:rsid w:val="008E3AD7"/>
    <w:rsid w:val="008E6B73"/>
    <w:rsid w:val="008F01C8"/>
    <w:rsid w:val="008F1513"/>
    <w:rsid w:val="008F1C25"/>
    <w:rsid w:val="008F4886"/>
    <w:rsid w:val="008F593D"/>
    <w:rsid w:val="008F5F31"/>
    <w:rsid w:val="00900A24"/>
    <w:rsid w:val="00910DB2"/>
    <w:rsid w:val="00910EAE"/>
    <w:rsid w:val="00912FDE"/>
    <w:rsid w:val="009158C1"/>
    <w:rsid w:val="0092534E"/>
    <w:rsid w:val="00926C3C"/>
    <w:rsid w:val="00931DA8"/>
    <w:rsid w:val="00934094"/>
    <w:rsid w:val="00934AAD"/>
    <w:rsid w:val="00935271"/>
    <w:rsid w:val="0093645D"/>
    <w:rsid w:val="00940652"/>
    <w:rsid w:val="00941A40"/>
    <w:rsid w:val="00941D4F"/>
    <w:rsid w:val="00941EF7"/>
    <w:rsid w:val="00945A19"/>
    <w:rsid w:val="00947514"/>
    <w:rsid w:val="00951175"/>
    <w:rsid w:val="009513AA"/>
    <w:rsid w:val="00955A04"/>
    <w:rsid w:val="009567F4"/>
    <w:rsid w:val="00956947"/>
    <w:rsid w:val="009572E5"/>
    <w:rsid w:val="00957573"/>
    <w:rsid w:val="009579AF"/>
    <w:rsid w:val="00957F2D"/>
    <w:rsid w:val="009609FF"/>
    <w:rsid w:val="00961361"/>
    <w:rsid w:val="00961935"/>
    <w:rsid w:val="00962D9A"/>
    <w:rsid w:val="00964712"/>
    <w:rsid w:val="00965E4D"/>
    <w:rsid w:val="00970B32"/>
    <w:rsid w:val="00972176"/>
    <w:rsid w:val="0097493D"/>
    <w:rsid w:val="00980713"/>
    <w:rsid w:val="00982F4F"/>
    <w:rsid w:val="009832D9"/>
    <w:rsid w:val="009835F4"/>
    <w:rsid w:val="00985CAB"/>
    <w:rsid w:val="009862FF"/>
    <w:rsid w:val="00986AB6"/>
    <w:rsid w:val="00991637"/>
    <w:rsid w:val="009A4ADD"/>
    <w:rsid w:val="009A5271"/>
    <w:rsid w:val="009A6585"/>
    <w:rsid w:val="009A7138"/>
    <w:rsid w:val="009A7B85"/>
    <w:rsid w:val="009B4C0F"/>
    <w:rsid w:val="009B7294"/>
    <w:rsid w:val="009C221B"/>
    <w:rsid w:val="009C2874"/>
    <w:rsid w:val="009C36FB"/>
    <w:rsid w:val="009C5FA1"/>
    <w:rsid w:val="009D0277"/>
    <w:rsid w:val="009E0ACD"/>
    <w:rsid w:val="009E25D2"/>
    <w:rsid w:val="009E6696"/>
    <w:rsid w:val="009E7917"/>
    <w:rsid w:val="009F0494"/>
    <w:rsid w:val="009F1F7A"/>
    <w:rsid w:val="009F5356"/>
    <w:rsid w:val="009F7832"/>
    <w:rsid w:val="00A00647"/>
    <w:rsid w:val="00A02CAA"/>
    <w:rsid w:val="00A02D5F"/>
    <w:rsid w:val="00A02ECE"/>
    <w:rsid w:val="00A04E06"/>
    <w:rsid w:val="00A05064"/>
    <w:rsid w:val="00A0569C"/>
    <w:rsid w:val="00A07521"/>
    <w:rsid w:val="00A11C9C"/>
    <w:rsid w:val="00A132E1"/>
    <w:rsid w:val="00A1633B"/>
    <w:rsid w:val="00A16D37"/>
    <w:rsid w:val="00A225DF"/>
    <w:rsid w:val="00A228AE"/>
    <w:rsid w:val="00A24C9E"/>
    <w:rsid w:val="00A30F11"/>
    <w:rsid w:val="00A31038"/>
    <w:rsid w:val="00A32B8C"/>
    <w:rsid w:val="00A348B6"/>
    <w:rsid w:val="00A3691C"/>
    <w:rsid w:val="00A378BA"/>
    <w:rsid w:val="00A4011C"/>
    <w:rsid w:val="00A41F3F"/>
    <w:rsid w:val="00A4272C"/>
    <w:rsid w:val="00A44C37"/>
    <w:rsid w:val="00A45778"/>
    <w:rsid w:val="00A4586F"/>
    <w:rsid w:val="00A46A84"/>
    <w:rsid w:val="00A47112"/>
    <w:rsid w:val="00A4753C"/>
    <w:rsid w:val="00A478C4"/>
    <w:rsid w:val="00A52250"/>
    <w:rsid w:val="00A52621"/>
    <w:rsid w:val="00A53152"/>
    <w:rsid w:val="00A53D62"/>
    <w:rsid w:val="00A55107"/>
    <w:rsid w:val="00A57778"/>
    <w:rsid w:val="00A619DC"/>
    <w:rsid w:val="00A625FB"/>
    <w:rsid w:val="00A64CBB"/>
    <w:rsid w:val="00A706CA"/>
    <w:rsid w:val="00A70C8D"/>
    <w:rsid w:val="00A71778"/>
    <w:rsid w:val="00A71903"/>
    <w:rsid w:val="00A722A6"/>
    <w:rsid w:val="00A73876"/>
    <w:rsid w:val="00A765E4"/>
    <w:rsid w:val="00A77223"/>
    <w:rsid w:val="00A77A8C"/>
    <w:rsid w:val="00A81A79"/>
    <w:rsid w:val="00A83807"/>
    <w:rsid w:val="00A8713B"/>
    <w:rsid w:val="00A87C54"/>
    <w:rsid w:val="00A9105E"/>
    <w:rsid w:val="00A91A4A"/>
    <w:rsid w:val="00A9212A"/>
    <w:rsid w:val="00A928B2"/>
    <w:rsid w:val="00A971B1"/>
    <w:rsid w:val="00A97ACC"/>
    <w:rsid w:val="00AA1512"/>
    <w:rsid w:val="00AA619D"/>
    <w:rsid w:val="00AA632D"/>
    <w:rsid w:val="00AB1381"/>
    <w:rsid w:val="00AB2BB8"/>
    <w:rsid w:val="00AB460C"/>
    <w:rsid w:val="00AB470B"/>
    <w:rsid w:val="00AB4FDF"/>
    <w:rsid w:val="00AB51B9"/>
    <w:rsid w:val="00AB5828"/>
    <w:rsid w:val="00AB5CC1"/>
    <w:rsid w:val="00AC085C"/>
    <w:rsid w:val="00AC173A"/>
    <w:rsid w:val="00AC2274"/>
    <w:rsid w:val="00AC340A"/>
    <w:rsid w:val="00AC351B"/>
    <w:rsid w:val="00AC581A"/>
    <w:rsid w:val="00AD1F30"/>
    <w:rsid w:val="00AD4DBD"/>
    <w:rsid w:val="00AD5A62"/>
    <w:rsid w:val="00AD6A43"/>
    <w:rsid w:val="00AE13C1"/>
    <w:rsid w:val="00AE1989"/>
    <w:rsid w:val="00AE2A3D"/>
    <w:rsid w:val="00AE3224"/>
    <w:rsid w:val="00AE3B1C"/>
    <w:rsid w:val="00AE47EE"/>
    <w:rsid w:val="00AE4D93"/>
    <w:rsid w:val="00AE5D77"/>
    <w:rsid w:val="00AE670A"/>
    <w:rsid w:val="00AE76F0"/>
    <w:rsid w:val="00AE7A7D"/>
    <w:rsid w:val="00AF14A1"/>
    <w:rsid w:val="00AF1BEE"/>
    <w:rsid w:val="00AF3473"/>
    <w:rsid w:val="00AF78E3"/>
    <w:rsid w:val="00AF79C2"/>
    <w:rsid w:val="00B00633"/>
    <w:rsid w:val="00B00682"/>
    <w:rsid w:val="00B02544"/>
    <w:rsid w:val="00B03137"/>
    <w:rsid w:val="00B04DA7"/>
    <w:rsid w:val="00B05965"/>
    <w:rsid w:val="00B10EB3"/>
    <w:rsid w:val="00B12A2F"/>
    <w:rsid w:val="00B1423D"/>
    <w:rsid w:val="00B16AFC"/>
    <w:rsid w:val="00B2139D"/>
    <w:rsid w:val="00B21B2A"/>
    <w:rsid w:val="00B221D1"/>
    <w:rsid w:val="00B225FF"/>
    <w:rsid w:val="00B243DC"/>
    <w:rsid w:val="00B2448C"/>
    <w:rsid w:val="00B30723"/>
    <w:rsid w:val="00B30F1A"/>
    <w:rsid w:val="00B3223D"/>
    <w:rsid w:val="00B341D2"/>
    <w:rsid w:val="00B343D9"/>
    <w:rsid w:val="00B348F2"/>
    <w:rsid w:val="00B34EEB"/>
    <w:rsid w:val="00B36C63"/>
    <w:rsid w:val="00B41B19"/>
    <w:rsid w:val="00B42C4C"/>
    <w:rsid w:val="00B43AFF"/>
    <w:rsid w:val="00B440D3"/>
    <w:rsid w:val="00B446EA"/>
    <w:rsid w:val="00B45497"/>
    <w:rsid w:val="00B4551E"/>
    <w:rsid w:val="00B464E4"/>
    <w:rsid w:val="00B47D64"/>
    <w:rsid w:val="00B52505"/>
    <w:rsid w:val="00B5432F"/>
    <w:rsid w:val="00B55F73"/>
    <w:rsid w:val="00B6071D"/>
    <w:rsid w:val="00B61C93"/>
    <w:rsid w:val="00B62CCE"/>
    <w:rsid w:val="00B66ABC"/>
    <w:rsid w:val="00B66ACC"/>
    <w:rsid w:val="00B672A0"/>
    <w:rsid w:val="00B67C52"/>
    <w:rsid w:val="00B67CE7"/>
    <w:rsid w:val="00B70D11"/>
    <w:rsid w:val="00B710ED"/>
    <w:rsid w:val="00B719DB"/>
    <w:rsid w:val="00B72484"/>
    <w:rsid w:val="00B729FF"/>
    <w:rsid w:val="00B72A89"/>
    <w:rsid w:val="00B74FFE"/>
    <w:rsid w:val="00B75078"/>
    <w:rsid w:val="00B75E9E"/>
    <w:rsid w:val="00B80DDD"/>
    <w:rsid w:val="00B812E0"/>
    <w:rsid w:val="00B82E91"/>
    <w:rsid w:val="00B82EAC"/>
    <w:rsid w:val="00B838C7"/>
    <w:rsid w:val="00BA13D3"/>
    <w:rsid w:val="00BA1A3E"/>
    <w:rsid w:val="00BA1A70"/>
    <w:rsid w:val="00BA30EC"/>
    <w:rsid w:val="00BA428E"/>
    <w:rsid w:val="00BA48CF"/>
    <w:rsid w:val="00BA5B3E"/>
    <w:rsid w:val="00BA6FDE"/>
    <w:rsid w:val="00BA7711"/>
    <w:rsid w:val="00BB0E06"/>
    <w:rsid w:val="00BB1224"/>
    <w:rsid w:val="00BB610F"/>
    <w:rsid w:val="00BB7775"/>
    <w:rsid w:val="00BC171D"/>
    <w:rsid w:val="00BC33F3"/>
    <w:rsid w:val="00BC4A7F"/>
    <w:rsid w:val="00BC4D7D"/>
    <w:rsid w:val="00BC69EF"/>
    <w:rsid w:val="00BD4F01"/>
    <w:rsid w:val="00BD533A"/>
    <w:rsid w:val="00BD54E2"/>
    <w:rsid w:val="00BD6D30"/>
    <w:rsid w:val="00BE2C05"/>
    <w:rsid w:val="00BE4FA7"/>
    <w:rsid w:val="00BE6130"/>
    <w:rsid w:val="00BE7A70"/>
    <w:rsid w:val="00BF0BCC"/>
    <w:rsid w:val="00BF2913"/>
    <w:rsid w:val="00BF3A6A"/>
    <w:rsid w:val="00BF3E33"/>
    <w:rsid w:val="00BF4358"/>
    <w:rsid w:val="00C02C16"/>
    <w:rsid w:val="00C04078"/>
    <w:rsid w:val="00C04172"/>
    <w:rsid w:val="00C04BBC"/>
    <w:rsid w:val="00C05AC9"/>
    <w:rsid w:val="00C06B76"/>
    <w:rsid w:val="00C102CB"/>
    <w:rsid w:val="00C12628"/>
    <w:rsid w:val="00C17773"/>
    <w:rsid w:val="00C17F17"/>
    <w:rsid w:val="00C25180"/>
    <w:rsid w:val="00C252B4"/>
    <w:rsid w:val="00C31164"/>
    <w:rsid w:val="00C3167B"/>
    <w:rsid w:val="00C34D80"/>
    <w:rsid w:val="00C362DC"/>
    <w:rsid w:val="00C40C2D"/>
    <w:rsid w:val="00C42380"/>
    <w:rsid w:val="00C457F4"/>
    <w:rsid w:val="00C469B4"/>
    <w:rsid w:val="00C46FD6"/>
    <w:rsid w:val="00C50007"/>
    <w:rsid w:val="00C51FF4"/>
    <w:rsid w:val="00C529A2"/>
    <w:rsid w:val="00C53A90"/>
    <w:rsid w:val="00C65059"/>
    <w:rsid w:val="00C66AE5"/>
    <w:rsid w:val="00C760B4"/>
    <w:rsid w:val="00C7648B"/>
    <w:rsid w:val="00C77A4D"/>
    <w:rsid w:val="00C77BE4"/>
    <w:rsid w:val="00C805A0"/>
    <w:rsid w:val="00C80D15"/>
    <w:rsid w:val="00C81BC6"/>
    <w:rsid w:val="00C87D52"/>
    <w:rsid w:val="00C90B0E"/>
    <w:rsid w:val="00C90D17"/>
    <w:rsid w:val="00C9115F"/>
    <w:rsid w:val="00C9178B"/>
    <w:rsid w:val="00C975C4"/>
    <w:rsid w:val="00CA0C1D"/>
    <w:rsid w:val="00CA15B7"/>
    <w:rsid w:val="00CA2EAA"/>
    <w:rsid w:val="00CA3EBF"/>
    <w:rsid w:val="00CA55DF"/>
    <w:rsid w:val="00CB10FE"/>
    <w:rsid w:val="00CB1470"/>
    <w:rsid w:val="00CB2668"/>
    <w:rsid w:val="00CB28E4"/>
    <w:rsid w:val="00CB2998"/>
    <w:rsid w:val="00CB699D"/>
    <w:rsid w:val="00CB7AEE"/>
    <w:rsid w:val="00CC2C7E"/>
    <w:rsid w:val="00CC30AD"/>
    <w:rsid w:val="00CC3282"/>
    <w:rsid w:val="00CC3FAE"/>
    <w:rsid w:val="00CC5406"/>
    <w:rsid w:val="00CD14F9"/>
    <w:rsid w:val="00CD273D"/>
    <w:rsid w:val="00CD2BB7"/>
    <w:rsid w:val="00CD3B10"/>
    <w:rsid w:val="00CD3DE3"/>
    <w:rsid w:val="00CD3F94"/>
    <w:rsid w:val="00CD4F76"/>
    <w:rsid w:val="00CD7A26"/>
    <w:rsid w:val="00CE3F9F"/>
    <w:rsid w:val="00CE5AB8"/>
    <w:rsid w:val="00CE5F7F"/>
    <w:rsid w:val="00CE7063"/>
    <w:rsid w:val="00CE7A04"/>
    <w:rsid w:val="00CF0075"/>
    <w:rsid w:val="00CF7BC7"/>
    <w:rsid w:val="00D00CAE"/>
    <w:rsid w:val="00D05305"/>
    <w:rsid w:val="00D069ED"/>
    <w:rsid w:val="00D0739A"/>
    <w:rsid w:val="00D07B34"/>
    <w:rsid w:val="00D1159F"/>
    <w:rsid w:val="00D13BCD"/>
    <w:rsid w:val="00D25A64"/>
    <w:rsid w:val="00D25AD5"/>
    <w:rsid w:val="00D270C6"/>
    <w:rsid w:val="00D2779C"/>
    <w:rsid w:val="00D30702"/>
    <w:rsid w:val="00D33D0F"/>
    <w:rsid w:val="00D33E8C"/>
    <w:rsid w:val="00D36CE4"/>
    <w:rsid w:val="00D36D57"/>
    <w:rsid w:val="00D37726"/>
    <w:rsid w:val="00D37F26"/>
    <w:rsid w:val="00D401E6"/>
    <w:rsid w:val="00D43D66"/>
    <w:rsid w:val="00D43DC4"/>
    <w:rsid w:val="00D4536E"/>
    <w:rsid w:val="00D461E5"/>
    <w:rsid w:val="00D46FF6"/>
    <w:rsid w:val="00D52967"/>
    <w:rsid w:val="00D604EA"/>
    <w:rsid w:val="00D60F6A"/>
    <w:rsid w:val="00D67BD8"/>
    <w:rsid w:val="00D70549"/>
    <w:rsid w:val="00D707A5"/>
    <w:rsid w:val="00D710C8"/>
    <w:rsid w:val="00D72218"/>
    <w:rsid w:val="00D7382E"/>
    <w:rsid w:val="00D74583"/>
    <w:rsid w:val="00D75592"/>
    <w:rsid w:val="00D75A33"/>
    <w:rsid w:val="00D76D67"/>
    <w:rsid w:val="00D83BC6"/>
    <w:rsid w:val="00D84629"/>
    <w:rsid w:val="00D84F37"/>
    <w:rsid w:val="00D87240"/>
    <w:rsid w:val="00D92471"/>
    <w:rsid w:val="00D926A6"/>
    <w:rsid w:val="00D943A0"/>
    <w:rsid w:val="00D95FFA"/>
    <w:rsid w:val="00D96878"/>
    <w:rsid w:val="00DA5527"/>
    <w:rsid w:val="00DB33E8"/>
    <w:rsid w:val="00DB3B02"/>
    <w:rsid w:val="00DB3B08"/>
    <w:rsid w:val="00DB4D28"/>
    <w:rsid w:val="00DB4FA8"/>
    <w:rsid w:val="00DB6BF0"/>
    <w:rsid w:val="00DC3F3C"/>
    <w:rsid w:val="00DC6F45"/>
    <w:rsid w:val="00DD0B57"/>
    <w:rsid w:val="00DD1F7A"/>
    <w:rsid w:val="00DD24D7"/>
    <w:rsid w:val="00DD4640"/>
    <w:rsid w:val="00DD6352"/>
    <w:rsid w:val="00DD63BF"/>
    <w:rsid w:val="00DD6FF2"/>
    <w:rsid w:val="00DD7457"/>
    <w:rsid w:val="00DE0628"/>
    <w:rsid w:val="00DE07B5"/>
    <w:rsid w:val="00DE0B85"/>
    <w:rsid w:val="00DE2CEF"/>
    <w:rsid w:val="00DE400E"/>
    <w:rsid w:val="00DE491B"/>
    <w:rsid w:val="00DE6C0E"/>
    <w:rsid w:val="00DF0BBA"/>
    <w:rsid w:val="00DF17A8"/>
    <w:rsid w:val="00DF3292"/>
    <w:rsid w:val="00DF4447"/>
    <w:rsid w:val="00E048B5"/>
    <w:rsid w:val="00E051FD"/>
    <w:rsid w:val="00E07A1A"/>
    <w:rsid w:val="00E07B2B"/>
    <w:rsid w:val="00E11CAC"/>
    <w:rsid w:val="00E13A01"/>
    <w:rsid w:val="00E21BBF"/>
    <w:rsid w:val="00E267EA"/>
    <w:rsid w:val="00E327A5"/>
    <w:rsid w:val="00E332B8"/>
    <w:rsid w:val="00E34C77"/>
    <w:rsid w:val="00E371E8"/>
    <w:rsid w:val="00E51525"/>
    <w:rsid w:val="00E51C74"/>
    <w:rsid w:val="00E5223D"/>
    <w:rsid w:val="00E6136C"/>
    <w:rsid w:val="00E62CFB"/>
    <w:rsid w:val="00E64118"/>
    <w:rsid w:val="00E64C64"/>
    <w:rsid w:val="00E65E55"/>
    <w:rsid w:val="00E661B8"/>
    <w:rsid w:val="00E72826"/>
    <w:rsid w:val="00E74B0B"/>
    <w:rsid w:val="00E75C93"/>
    <w:rsid w:val="00E76857"/>
    <w:rsid w:val="00E768A1"/>
    <w:rsid w:val="00E80789"/>
    <w:rsid w:val="00E8146F"/>
    <w:rsid w:val="00E84D67"/>
    <w:rsid w:val="00E853DC"/>
    <w:rsid w:val="00E86EB4"/>
    <w:rsid w:val="00E87C4E"/>
    <w:rsid w:val="00E87CEE"/>
    <w:rsid w:val="00E9126F"/>
    <w:rsid w:val="00E91796"/>
    <w:rsid w:val="00E925CB"/>
    <w:rsid w:val="00E96E29"/>
    <w:rsid w:val="00EA1416"/>
    <w:rsid w:val="00EA16B2"/>
    <w:rsid w:val="00EA1D75"/>
    <w:rsid w:val="00EA20DF"/>
    <w:rsid w:val="00EA36E3"/>
    <w:rsid w:val="00EA46EC"/>
    <w:rsid w:val="00EA75F1"/>
    <w:rsid w:val="00EB0568"/>
    <w:rsid w:val="00EB06A1"/>
    <w:rsid w:val="00EB06B0"/>
    <w:rsid w:val="00EB0B5B"/>
    <w:rsid w:val="00EB3241"/>
    <w:rsid w:val="00EB4B47"/>
    <w:rsid w:val="00EB508E"/>
    <w:rsid w:val="00EB58CE"/>
    <w:rsid w:val="00EB603C"/>
    <w:rsid w:val="00EB71BD"/>
    <w:rsid w:val="00EC0710"/>
    <w:rsid w:val="00EC1D39"/>
    <w:rsid w:val="00EC3020"/>
    <w:rsid w:val="00EC7BF2"/>
    <w:rsid w:val="00ED1EE8"/>
    <w:rsid w:val="00ED2140"/>
    <w:rsid w:val="00ED3715"/>
    <w:rsid w:val="00ED4384"/>
    <w:rsid w:val="00ED6C6E"/>
    <w:rsid w:val="00EE193B"/>
    <w:rsid w:val="00EE2599"/>
    <w:rsid w:val="00EE35AA"/>
    <w:rsid w:val="00EF2B05"/>
    <w:rsid w:val="00EF71DB"/>
    <w:rsid w:val="00F0095D"/>
    <w:rsid w:val="00F02E5B"/>
    <w:rsid w:val="00F030A8"/>
    <w:rsid w:val="00F06BF5"/>
    <w:rsid w:val="00F07CDE"/>
    <w:rsid w:val="00F100CD"/>
    <w:rsid w:val="00F11C51"/>
    <w:rsid w:val="00F137B5"/>
    <w:rsid w:val="00F13888"/>
    <w:rsid w:val="00F1513A"/>
    <w:rsid w:val="00F1634B"/>
    <w:rsid w:val="00F1720D"/>
    <w:rsid w:val="00F17CD9"/>
    <w:rsid w:val="00F22BC5"/>
    <w:rsid w:val="00F23BD8"/>
    <w:rsid w:val="00F23D8E"/>
    <w:rsid w:val="00F24A45"/>
    <w:rsid w:val="00F31EF7"/>
    <w:rsid w:val="00F34447"/>
    <w:rsid w:val="00F364E5"/>
    <w:rsid w:val="00F44C27"/>
    <w:rsid w:val="00F465CB"/>
    <w:rsid w:val="00F47F95"/>
    <w:rsid w:val="00F50E7D"/>
    <w:rsid w:val="00F55F0B"/>
    <w:rsid w:val="00F61859"/>
    <w:rsid w:val="00F6287B"/>
    <w:rsid w:val="00F6459A"/>
    <w:rsid w:val="00F65A83"/>
    <w:rsid w:val="00F71C25"/>
    <w:rsid w:val="00F75701"/>
    <w:rsid w:val="00F76F4B"/>
    <w:rsid w:val="00F818CA"/>
    <w:rsid w:val="00F83714"/>
    <w:rsid w:val="00F84135"/>
    <w:rsid w:val="00F8564C"/>
    <w:rsid w:val="00F87EF4"/>
    <w:rsid w:val="00F91124"/>
    <w:rsid w:val="00F92EB7"/>
    <w:rsid w:val="00F94782"/>
    <w:rsid w:val="00F979F5"/>
    <w:rsid w:val="00FA01FC"/>
    <w:rsid w:val="00FA1928"/>
    <w:rsid w:val="00FA3394"/>
    <w:rsid w:val="00FA3C2F"/>
    <w:rsid w:val="00FA4AAA"/>
    <w:rsid w:val="00FA4B35"/>
    <w:rsid w:val="00FA6348"/>
    <w:rsid w:val="00FA76B8"/>
    <w:rsid w:val="00FA7CA6"/>
    <w:rsid w:val="00FB12AE"/>
    <w:rsid w:val="00FB1A2B"/>
    <w:rsid w:val="00FB1BC6"/>
    <w:rsid w:val="00FB441A"/>
    <w:rsid w:val="00FB5AC3"/>
    <w:rsid w:val="00FB6A04"/>
    <w:rsid w:val="00FB7C44"/>
    <w:rsid w:val="00FC1B22"/>
    <w:rsid w:val="00FC34FE"/>
    <w:rsid w:val="00FC44E4"/>
    <w:rsid w:val="00FC5EDB"/>
    <w:rsid w:val="00FC6295"/>
    <w:rsid w:val="00FC747D"/>
    <w:rsid w:val="00FD09C6"/>
    <w:rsid w:val="00FD1578"/>
    <w:rsid w:val="00FD34EC"/>
    <w:rsid w:val="00FD3C46"/>
    <w:rsid w:val="00FD42A1"/>
    <w:rsid w:val="00FD7FA5"/>
    <w:rsid w:val="00FE0AFB"/>
    <w:rsid w:val="00FE153E"/>
    <w:rsid w:val="00FE4560"/>
    <w:rsid w:val="00FE46BA"/>
    <w:rsid w:val="00FF02FC"/>
    <w:rsid w:val="00FF392D"/>
    <w:rsid w:val="00FF4F72"/>
    <w:rsid w:val="00FF57A1"/>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paragraph" w:styleId="Heading1">
    <w:name w:val="heading 1"/>
    <w:basedOn w:val="Normal"/>
    <w:next w:val="Normal"/>
    <w:link w:val="Heading1Char"/>
    <w:uiPriority w:val="99"/>
    <w:qFormat/>
    <w:rsid w:val="00CC3FAE"/>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CC3FAE"/>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CC3FAE"/>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rsid w:val="00FA3C2F"/>
    <w:rPr>
      <w:b/>
      <w:bCs/>
    </w:rPr>
  </w:style>
  <w:style w:type="paragraph" w:styleId="FootnoteText">
    <w:name w:val="footnote text"/>
    <w:basedOn w:val="Normal"/>
    <w:link w:val="FootnoteTextChar"/>
    <w:uiPriority w:val="99"/>
    <w:semiHidden/>
    <w:rsid w:val="00FA3C2F"/>
    <w:rPr>
      <w:sz w:val="20"/>
      <w:szCs w:val="20"/>
    </w:rPr>
  </w:style>
  <w:style w:type="character" w:styleId="FootnoteReference">
    <w:name w:val="footnote reference"/>
    <w:uiPriority w:val="99"/>
    <w:semiHidden/>
    <w:rsid w:val="00FA3C2F"/>
    <w:rPr>
      <w:vertAlign w:val="superscript"/>
    </w:rPr>
  </w:style>
  <w:style w:type="table" w:styleId="TableGrid">
    <w:name w:val="Table Grid"/>
    <w:basedOn w:val="TableNormal"/>
    <w:rsid w:val="00F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rsid w:val="005B4705"/>
    <w:rPr>
      <w:b/>
      <w:bCs/>
      <w:i w:val="0"/>
      <w:iCs w:val="0"/>
      <w:color w:val="000000"/>
    </w:rPr>
  </w:style>
  <w:style w:type="paragraph" w:styleId="Header">
    <w:name w:val="header"/>
    <w:basedOn w:val="Normal"/>
    <w:link w:val="HeaderChar"/>
    <w:uiPriority w:val="99"/>
    <w:rsid w:val="003D0A55"/>
    <w:pPr>
      <w:tabs>
        <w:tab w:val="center" w:pos="4320"/>
        <w:tab w:val="right" w:pos="8640"/>
      </w:tabs>
    </w:pPr>
  </w:style>
  <w:style w:type="paragraph" w:styleId="BalloonText">
    <w:name w:val="Balloon Text"/>
    <w:basedOn w:val="Normal"/>
    <w:link w:val="BalloonTextChar"/>
    <w:uiPriority w:val="99"/>
    <w:semiHidden/>
    <w:rsid w:val="00B04DA7"/>
    <w:rPr>
      <w:rFonts w:ascii="Tahoma" w:hAnsi="Tahoma" w:cs="Tahoma"/>
      <w:sz w:val="16"/>
      <w:szCs w:val="16"/>
    </w:rPr>
  </w:style>
  <w:style w:type="character" w:customStyle="1" w:styleId="HeaderChar">
    <w:name w:val="Header Char"/>
    <w:link w:val="Header"/>
    <w:uiPriority w:val="99"/>
    <w:rsid w:val="000C12AB"/>
    <w:rPr>
      <w:sz w:val="24"/>
      <w:szCs w:val="24"/>
    </w:rPr>
  </w:style>
  <w:style w:type="character" w:customStyle="1" w:styleId="FooterChar">
    <w:name w:val="Footer Char"/>
    <w:link w:val="Footer"/>
    <w:uiPriority w:val="99"/>
    <w:rsid w:val="000C12AB"/>
    <w:rPr>
      <w:sz w:val="24"/>
      <w:szCs w:val="24"/>
    </w:rPr>
  </w:style>
  <w:style w:type="character" w:customStyle="1" w:styleId="FootnoteTextChar">
    <w:name w:val="Footnote Text Char"/>
    <w:link w:val="FootnoteText"/>
    <w:uiPriority w:val="99"/>
    <w:semiHidden/>
    <w:rsid w:val="000C12AB"/>
  </w:style>
  <w:style w:type="paragraph" w:styleId="BodyTextIndent2">
    <w:name w:val="Body Text Indent 2"/>
    <w:basedOn w:val="Normal"/>
    <w:link w:val="BodyTextIndent2Char"/>
    <w:unhideWhenUsed/>
    <w:rsid w:val="000C12AB"/>
    <w:pPr>
      <w:ind w:left="720"/>
      <w:jc w:val="both"/>
    </w:pPr>
    <w:rPr>
      <w:rFonts w:ascii="Courier New" w:hAnsi="Courier New"/>
      <w:szCs w:val="20"/>
    </w:rPr>
  </w:style>
  <w:style w:type="character" w:customStyle="1" w:styleId="BodyTextIndent2Char">
    <w:name w:val="Body Text Indent 2 Char"/>
    <w:link w:val="BodyTextIndent2"/>
    <w:rsid w:val="000C12AB"/>
    <w:rPr>
      <w:rFonts w:ascii="Courier New" w:hAnsi="Courier New"/>
      <w:sz w:val="24"/>
    </w:rPr>
  </w:style>
  <w:style w:type="character" w:styleId="Hyperlink">
    <w:name w:val="Hyperlink"/>
    <w:uiPriority w:val="99"/>
    <w:unhideWhenUsed/>
    <w:rsid w:val="000C12AB"/>
    <w:rPr>
      <w:strike w:val="0"/>
      <w:dstrike w:val="0"/>
      <w:color w:val="004B91"/>
      <w:u w:val="none"/>
      <w:effect w:val="none"/>
    </w:rPr>
  </w:style>
  <w:style w:type="character" w:customStyle="1" w:styleId="BalloonTextChar">
    <w:name w:val="Balloon Text Char"/>
    <w:link w:val="BalloonText"/>
    <w:uiPriority w:val="99"/>
    <w:semiHidden/>
    <w:rsid w:val="000C12AB"/>
    <w:rPr>
      <w:rFonts w:ascii="Tahoma" w:hAnsi="Tahoma" w:cs="Tahoma"/>
      <w:sz w:val="16"/>
      <w:szCs w:val="16"/>
    </w:rPr>
  </w:style>
  <w:style w:type="character" w:customStyle="1" w:styleId="Heading1Char">
    <w:name w:val="Heading 1 Char"/>
    <w:link w:val="Heading1"/>
    <w:uiPriority w:val="99"/>
    <w:rsid w:val="00CC3FAE"/>
    <w:rPr>
      <w:rFonts w:ascii="Courier New" w:hAnsi="Courier New" w:cs="Courier New"/>
      <w:b/>
      <w:bCs/>
      <w:sz w:val="24"/>
      <w:szCs w:val="24"/>
    </w:rPr>
  </w:style>
  <w:style w:type="character" w:customStyle="1" w:styleId="Heading3Char">
    <w:name w:val="Heading 3 Char"/>
    <w:link w:val="Heading3"/>
    <w:uiPriority w:val="99"/>
    <w:rsid w:val="00CC3FAE"/>
    <w:rPr>
      <w:rFonts w:ascii="Courier New" w:hAnsi="Courier New" w:cs="Courier New"/>
      <w:b/>
      <w:bCs/>
      <w:sz w:val="24"/>
      <w:szCs w:val="24"/>
      <w:u w:val="single"/>
    </w:rPr>
  </w:style>
  <w:style w:type="character" w:customStyle="1" w:styleId="Heading4Char">
    <w:name w:val="Heading 4 Char"/>
    <w:link w:val="Heading4"/>
    <w:uiPriority w:val="99"/>
    <w:rsid w:val="00CC3FAE"/>
    <w:rPr>
      <w:rFonts w:ascii="Courier New" w:hAnsi="Courier New" w:cs="Courier New"/>
      <w:b/>
      <w:bCs/>
      <w:u w:val="single"/>
    </w:rPr>
  </w:style>
  <w:style w:type="character" w:customStyle="1" w:styleId="apple-converted-space">
    <w:name w:val="apple-converted-space"/>
    <w:rsid w:val="002B7B07"/>
  </w:style>
  <w:style w:type="character" w:customStyle="1" w:styleId="term">
    <w:name w:val="term"/>
    <w:rsid w:val="002B7B07"/>
  </w:style>
  <w:style w:type="paragraph" w:styleId="BodyText">
    <w:name w:val="Body Text"/>
    <w:basedOn w:val="Normal"/>
    <w:link w:val="BodyTextChar"/>
    <w:rsid w:val="006858E6"/>
    <w:pPr>
      <w:spacing w:after="120"/>
    </w:pPr>
  </w:style>
  <w:style w:type="character" w:customStyle="1" w:styleId="BodyTextChar">
    <w:name w:val="Body Text Char"/>
    <w:link w:val="BodyText"/>
    <w:rsid w:val="006858E6"/>
    <w:rPr>
      <w:sz w:val="24"/>
      <w:szCs w:val="24"/>
    </w:rPr>
  </w:style>
  <w:style w:type="paragraph" w:styleId="BodyTextIndent">
    <w:name w:val="Body Text Indent"/>
    <w:basedOn w:val="Normal"/>
    <w:link w:val="BodyTextIndentChar"/>
    <w:uiPriority w:val="99"/>
    <w:unhideWhenUsed/>
    <w:rsid w:val="006858E6"/>
    <w:pPr>
      <w:spacing w:after="120"/>
      <w:ind w:left="360"/>
    </w:pPr>
    <w:rPr>
      <w:rFonts w:ascii="Courier New" w:hAnsi="Courier New"/>
      <w:szCs w:val="20"/>
    </w:rPr>
  </w:style>
  <w:style w:type="character" w:customStyle="1" w:styleId="BodyTextIndentChar">
    <w:name w:val="Body Text Indent Char"/>
    <w:link w:val="BodyTextIndent"/>
    <w:uiPriority w:val="99"/>
    <w:rsid w:val="006858E6"/>
    <w:rPr>
      <w:rFonts w:ascii="Courier New" w:hAnsi="Courier New"/>
      <w:sz w:val="24"/>
    </w:rPr>
  </w:style>
  <w:style w:type="paragraph" w:styleId="EndnoteText">
    <w:name w:val="endnote text"/>
    <w:basedOn w:val="Normal"/>
    <w:link w:val="EndnoteTextChar"/>
    <w:rsid w:val="003C3596"/>
    <w:rPr>
      <w:sz w:val="20"/>
      <w:szCs w:val="20"/>
    </w:rPr>
  </w:style>
  <w:style w:type="character" w:customStyle="1" w:styleId="EndnoteTextChar">
    <w:name w:val="Endnote Text Char"/>
    <w:basedOn w:val="DefaultParagraphFont"/>
    <w:link w:val="EndnoteText"/>
    <w:rsid w:val="003C3596"/>
  </w:style>
  <w:style w:type="character" w:styleId="EndnoteReference">
    <w:name w:val="endnote reference"/>
    <w:rsid w:val="003C3596"/>
    <w:rPr>
      <w:vertAlign w:val="superscript"/>
    </w:rPr>
  </w:style>
  <w:style w:type="character" w:styleId="CommentReference">
    <w:name w:val="annotation reference"/>
    <w:rsid w:val="00B72484"/>
    <w:rPr>
      <w:sz w:val="16"/>
      <w:szCs w:val="16"/>
    </w:rPr>
  </w:style>
  <w:style w:type="paragraph" w:styleId="CommentText">
    <w:name w:val="annotation text"/>
    <w:basedOn w:val="Normal"/>
    <w:link w:val="CommentTextChar"/>
    <w:rsid w:val="00B72484"/>
    <w:rPr>
      <w:sz w:val="20"/>
      <w:szCs w:val="20"/>
    </w:rPr>
  </w:style>
  <w:style w:type="character" w:customStyle="1" w:styleId="CommentTextChar">
    <w:name w:val="Comment Text Char"/>
    <w:basedOn w:val="DefaultParagraphFont"/>
    <w:link w:val="CommentText"/>
    <w:rsid w:val="00B72484"/>
  </w:style>
  <w:style w:type="paragraph" w:styleId="CommentSubject">
    <w:name w:val="annotation subject"/>
    <w:basedOn w:val="CommentText"/>
    <w:next w:val="CommentText"/>
    <w:link w:val="CommentSubjectChar"/>
    <w:rsid w:val="00B72484"/>
    <w:rPr>
      <w:b/>
      <w:bCs/>
    </w:rPr>
  </w:style>
  <w:style w:type="character" w:customStyle="1" w:styleId="CommentSubjectChar">
    <w:name w:val="Comment Subject Char"/>
    <w:link w:val="CommentSubject"/>
    <w:rsid w:val="00B72484"/>
    <w:rPr>
      <w:b/>
      <w:bCs/>
    </w:rPr>
  </w:style>
  <w:style w:type="paragraph" w:customStyle="1" w:styleId="ColorfulShading-Accent11">
    <w:name w:val="Colorful Shading - Accent 11"/>
    <w:hidden/>
    <w:uiPriority w:val="71"/>
    <w:rsid w:val="007E3F2E"/>
    <w:rPr>
      <w:sz w:val="24"/>
      <w:szCs w:val="24"/>
    </w:rPr>
  </w:style>
  <w:style w:type="character" w:customStyle="1" w:styleId="pmterms1">
    <w:name w:val="pmterms1"/>
    <w:rsid w:val="003F7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paragraph" w:styleId="Heading1">
    <w:name w:val="heading 1"/>
    <w:basedOn w:val="Normal"/>
    <w:next w:val="Normal"/>
    <w:link w:val="Heading1Char"/>
    <w:uiPriority w:val="99"/>
    <w:qFormat/>
    <w:rsid w:val="00CC3FAE"/>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CC3FAE"/>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CC3FAE"/>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rsid w:val="00FA3C2F"/>
    <w:rPr>
      <w:b/>
      <w:bCs/>
    </w:rPr>
  </w:style>
  <w:style w:type="paragraph" w:styleId="FootnoteText">
    <w:name w:val="footnote text"/>
    <w:basedOn w:val="Normal"/>
    <w:link w:val="FootnoteTextChar"/>
    <w:uiPriority w:val="99"/>
    <w:semiHidden/>
    <w:rsid w:val="00FA3C2F"/>
    <w:rPr>
      <w:sz w:val="20"/>
      <w:szCs w:val="20"/>
    </w:rPr>
  </w:style>
  <w:style w:type="character" w:styleId="FootnoteReference">
    <w:name w:val="footnote reference"/>
    <w:uiPriority w:val="99"/>
    <w:semiHidden/>
    <w:rsid w:val="00FA3C2F"/>
    <w:rPr>
      <w:vertAlign w:val="superscript"/>
    </w:rPr>
  </w:style>
  <w:style w:type="table" w:styleId="TableGrid">
    <w:name w:val="Table Grid"/>
    <w:basedOn w:val="TableNormal"/>
    <w:rsid w:val="00F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rsid w:val="005B4705"/>
    <w:rPr>
      <w:b/>
      <w:bCs/>
      <w:i w:val="0"/>
      <w:iCs w:val="0"/>
      <w:color w:val="000000"/>
    </w:rPr>
  </w:style>
  <w:style w:type="paragraph" w:styleId="Header">
    <w:name w:val="header"/>
    <w:basedOn w:val="Normal"/>
    <w:link w:val="HeaderChar"/>
    <w:uiPriority w:val="99"/>
    <w:rsid w:val="003D0A55"/>
    <w:pPr>
      <w:tabs>
        <w:tab w:val="center" w:pos="4320"/>
        <w:tab w:val="right" w:pos="8640"/>
      </w:tabs>
    </w:pPr>
  </w:style>
  <w:style w:type="paragraph" w:styleId="BalloonText">
    <w:name w:val="Balloon Text"/>
    <w:basedOn w:val="Normal"/>
    <w:link w:val="BalloonTextChar"/>
    <w:uiPriority w:val="99"/>
    <w:semiHidden/>
    <w:rsid w:val="00B04DA7"/>
    <w:rPr>
      <w:rFonts w:ascii="Tahoma" w:hAnsi="Tahoma" w:cs="Tahoma"/>
      <w:sz w:val="16"/>
      <w:szCs w:val="16"/>
    </w:rPr>
  </w:style>
  <w:style w:type="character" w:customStyle="1" w:styleId="HeaderChar">
    <w:name w:val="Header Char"/>
    <w:link w:val="Header"/>
    <w:uiPriority w:val="99"/>
    <w:rsid w:val="000C12AB"/>
    <w:rPr>
      <w:sz w:val="24"/>
      <w:szCs w:val="24"/>
    </w:rPr>
  </w:style>
  <w:style w:type="character" w:customStyle="1" w:styleId="FooterChar">
    <w:name w:val="Footer Char"/>
    <w:link w:val="Footer"/>
    <w:uiPriority w:val="99"/>
    <w:rsid w:val="000C12AB"/>
    <w:rPr>
      <w:sz w:val="24"/>
      <w:szCs w:val="24"/>
    </w:rPr>
  </w:style>
  <w:style w:type="character" w:customStyle="1" w:styleId="FootnoteTextChar">
    <w:name w:val="Footnote Text Char"/>
    <w:link w:val="FootnoteText"/>
    <w:uiPriority w:val="99"/>
    <w:semiHidden/>
    <w:rsid w:val="000C12AB"/>
  </w:style>
  <w:style w:type="paragraph" w:styleId="BodyTextIndent2">
    <w:name w:val="Body Text Indent 2"/>
    <w:basedOn w:val="Normal"/>
    <w:link w:val="BodyTextIndent2Char"/>
    <w:unhideWhenUsed/>
    <w:rsid w:val="000C12AB"/>
    <w:pPr>
      <w:ind w:left="720"/>
      <w:jc w:val="both"/>
    </w:pPr>
    <w:rPr>
      <w:rFonts w:ascii="Courier New" w:hAnsi="Courier New"/>
      <w:szCs w:val="20"/>
    </w:rPr>
  </w:style>
  <w:style w:type="character" w:customStyle="1" w:styleId="BodyTextIndent2Char">
    <w:name w:val="Body Text Indent 2 Char"/>
    <w:link w:val="BodyTextIndent2"/>
    <w:rsid w:val="000C12AB"/>
    <w:rPr>
      <w:rFonts w:ascii="Courier New" w:hAnsi="Courier New"/>
      <w:sz w:val="24"/>
    </w:rPr>
  </w:style>
  <w:style w:type="character" w:styleId="Hyperlink">
    <w:name w:val="Hyperlink"/>
    <w:uiPriority w:val="99"/>
    <w:unhideWhenUsed/>
    <w:rsid w:val="000C12AB"/>
    <w:rPr>
      <w:strike w:val="0"/>
      <w:dstrike w:val="0"/>
      <w:color w:val="004B91"/>
      <w:u w:val="none"/>
      <w:effect w:val="none"/>
    </w:rPr>
  </w:style>
  <w:style w:type="character" w:customStyle="1" w:styleId="BalloonTextChar">
    <w:name w:val="Balloon Text Char"/>
    <w:link w:val="BalloonText"/>
    <w:uiPriority w:val="99"/>
    <w:semiHidden/>
    <w:rsid w:val="000C12AB"/>
    <w:rPr>
      <w:rFonts w:ascii="Tahoma" w:hAnsi="Tahoma" w:cs="Tahoma"/>
      <w:sz w:val="16"/>
      <w:szCs w:val="16"/>
    </w:rPr>
  </w:style>
  <w:style w:type="character" w:customStyle="1" w:styleId="Heading1Char">
    <w:name w:val="Heading 1 Char"/>
    <w:link w:val="Heading1"/>
    <w:uiPriority w:val="99"/>
    <w:rsid w:val="00CC3FAE"/>
    <w:rPr>
      <w:rFonts w:ascii="Courier New" w:hAnsi="Courier New" w:cs="Courier New"/>
      <w:b/>
      <w:bCs/>
      <w:sz w:val="24"/>
      <w:szCs w:val="24"/>
    </w:rPr>
  </w:style>
  <w:style w:type="character" w:customStyle="1" w:styleId="Heading3Char">
    <w:name w:val="Heading 3 Char"/>
    <w:link w:val="Heading3"/>
    <w:uiPriority w:val="99"/>
    <w:rsid w:val="00CC3FAE"/>
    <w:rPr>
      <w:rFonts w:ascii="Courier New" w:hAnsi="Courier New" w:cs="Courier New"/>
      <w:b/>
      <w:bCs/>
      <w:sz w:val="24"/>
      <w:szCs w:val="24"/>
      <w:u w:val="single"/>
    </w:rPr>
  </w:style>
  <w:style w:type="character" w:customStyle="1" w:styleId="Heading4Char">
    <w:name w:val="Heading 4 Char"/>
    <w:link w:val="Heading4"/>
    <w:uiPriority w:val="99"/>
    <w:rsid w:val="00CC3FAE"/>
    <w:rPr>
      <w:rFonts w:ascii="Courier New" w:hAnsi="Courier New" w:cs="Courier New"/>
      <w:b/>
      <w:bCs/>
      <w:u w:val="single"/>
    </w:rPr>
  </w:style>
  <w:style w:type="character" w:customStyle="1" w:styleId="apple-converted-space">
    <w:name w:val="apple-converted-space"/>
    <w:rsid w:val="002B7B07"/>
  </w:style>
  <w:style w:type="character" w:customStyle="1" w:styleId="term">
    <w:name w:val="term"/>
    <w:rsid w:val="002B7B07"/>
  </w:style>
  <w:style w:type="paragraph" w:styleId="BodyText">
    <w:name w:val="Body Text"/>
    <w:basedOn w:val="Normal"/>
    <w:link w:val="BodyTextChar"/>
    <w:rsid w:val="006858E6"/>
    <w:pPr>
      <w:spacing w:after="120"/>
    </w:pPr>
  </w:style>
  <w:style w:type="character" w:customStyle="1" w:styleId="BodyTextChar">
    <w:name w:val="Body Text Char"/>
    <w:link w:val="BodyText"/>
    <w:rsid w:val="006858E6"/>
    <w:rPr>
      <w:sz w:val="24"/>
      <w:szCs w:val="24"/>
    </w:rPr>
  </w:style>
  <w:style w:type="paragraph" w:styleId="BodyTextIndent">
    <w:name w:val="Body Text Indent"/>
    <w:basedOn w:val="Normal"/>
    <w:link w:val="BodyTextIndentChar"/>
    <w:uiPriority w:val="99"/>
    <w:unhideWhenUsed/>
    <w:rsid w:val="006858E6"/>
    <w:pPr>
      <w:spacing w:after="120"/>
      <w:ind w:left="360"/>
    </w:pPr>
    <w:rPr>
      <w:rFonts w:ascii="Courier New" w:hAnsi="Courier New"/>
      <w:szCs w:val="20"/>
    </w:rPr>
  </w:style>
  <w:style w:type="character" w:customStyle="1" w:styleId="BodyTextIndentChar">
    <w:name w:val="Body Text Indent Char"/>
    <w:link w:val="BodyTextIndent"/>
    <w:uiPriority w:val="99"/>
    <w:rsid w:val="006858E6"/>
    <w:rPr>
      <w:rFonts w:ascii="Courier New" w:hAnsi="Courier New"/>
      <w:sz w:val="24"/>
    </w:rPr>
  </w:style>
  <w:style w:type="paragraph" w:styleId="EndnoteText">
    <w:name w:val="endnote text"/>
    <w:basedOn w:val="Normal"/>
    <w:link w:val="EndnoteTextChar"/>
    <w:rsid w:val="003C3596"/>
    <w:rPr>
      <w:sz w:val="20"/>
      <w:szCs w:val="20"/>
    </w:rPr>
  </w:style>
  <w:style w:type="character" w:customStyle="1" w:styleId="EndnoteTextChar">
    <w:name w:val="Endnote Text Char"/>
    <w:basedOn w:val="DefaultParagraphFont"/>
    <w:link w:val="EndnoteText"/>
    <w:rsid w:val="003C3596"/>
  </w:style>
  <w:style w:type="character" w:styleId="EndnoteReference">
    <w:name w:val="endnote reference"/>
    <w:rsid w:val="003C3596"/>
    <w:rPr>
      <w:vertAlign w:val="superscript"/>
    </w:rPr>
  </w:style>
  <w:style w:type="character" w:styleId="CommentReference">
    <w:name w:val="annotation reference"/>
    <w:rsid w:val="00B72484"/>
    <w:rPr>
      <w:sz w:val="16"/>
      <w:szCs w:val="16"/>
    </w:rPr>
  </w:style>
  <w:style w:type="paragraph" w:styleId="CommentText">
    <w:name w:val="annotation text"/>
    <w:basedOn w:val="Normal"/>
    <w:link w:val="CommentTextChar"/>
    <w:rsid w:val="00B72484"/>
    <w:rPr>
      <w:sz w:val="20"/>
      <w:szCs w:val="20"/>
    </w:rPr>
  </w:style>
  <w:style w:type="character" w:customStyle="1" w:styleId="CommentTextChar">
    <w:name w:val="Comment Text Char"/>
    <w:basedOn w:val="DefaultParagraphFont"/>
    <w:link w:val="CommentText"/>
    <w:rsid w:val="00B72484"/>
  </w:style>
  <w:style w:type="paragraph" w:styleId="CommentSubject">
    <w:name w:val="annotation subject"/>
    <w:basedOn w:val="CommentText"/>
    <w:next w:val="CommentText"/>
    <w:link w:val="CommentSubjectChar"/>
    <w:rsid w:val="00B72484"/>
    <w:rPr>
      <w:b/>
      <w:bCs/>
    </w:rPr>
  </w:style>
  <w:style w:type="character" w:customStyle="1" w:styleId="CommentSubjectChar">
    <w:name w:val="Comment Subject Char"/>
    <w:link w:val="CommentSubject"/>
    <w:rsid w:val="00B72484"/>
    <w:rPr>
      <w:b/>
      <w:bCs/>
    </w:rPr>
  </w:style>
  <w:style w:type="paragraph" w:customStyle="1" w:styleId="ColorfulShading-Accent11">
    <w:name w:val="Colorful Shading - Accent 11"/>
    <w:hidden/>
    <w:uiPriority w:val="71"/>
    <w:rsid w:val="007E3F2E"/>
    <w:rPr>
      <w:sz w:val="24"/>
      <w:szCs w:val="24"/>
    </w:rPr>
  </w:style>
  <w:style w:type="character" w:customStyle="1" w:styleId="pmterms1">
    <w:name w:val="pmterms1"/>
    <w:rsid w:val="003F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6296">
      <w:bodyDiv w:val="1"/>
      <w:marLeft w:val="0"/>
      <w:marRight w:val="0"/>
      <w:marTop w:val="0"/>
      <w:marBottom w:val="0"/>
      <w:divBdr>
        <w:top w:val="none" w:sz="0" w:space="0" w:color="auto"/>
        <w:left w:val="none" w:sz="0" w:space="0" w:color="auto"/>
        <w:bottom w:val="none" w:sz="0" w:space="0" w:color="auto"/>
        <w:right w:val="none" w:sz="0" w:space="0" w:color="auto"/>
      </w:divBdr>
      <w:divsChild>
        <w:div w:id="972254346">
          <w:marLeft w:val="0"/>
          <w:marRight w:val="0"/>
          <w:marTop w:val="0"/>
          <w:marBottom w:val="0"/>
          <w:divBdr>
            <w:top w:val="none" w:sz="0" w:space="0" w:color="auto"/>
            <w:left w:val="none" w:sz="0" w:space="0" w:color="auto"/>
            <w:bottom w:val="none" w:sz="0" w:space="0" w:color="auto"/>
            <w:right w:val="none" w:sz="0" w:space="0" w:color="auto"/>
          </w:divBdr>
          <w:divsChild>
            <w:div w:id="1786777466">
              <w:marLeft w:val="0"/>
              <w:marRight w:val="0"/>
              <w:marTop w:val="0"/>
              <w:marBottom w:val="0"/>
              <w:divBdr>
                <w:top w:val="none" w:sz="0" w:space="0" w:color="auto"/>
                <w:left w:val="none" w:sz="0" w:space="0" w:color="auto"/>
                <w:bottom w:val="none" w:sz="0" w:space="0" w:color="auto"/>
                <w:right w:val="none" w:sz="0" w:space="0" w:color="auto"/>
              </w:divBdr>
              <w:divsChild>
                <w:div w:id="1367752661">
                  <w:marLeft w:val="0"/>
                  <w:marRight w:val="0"/>
                  <w:marTop w:val="0"/>
                  <w:marBottom w:val="0"/>
                  <w:divBdr>
                    <w:top w:val="none" w:sz="0" w:space="0" w:color="auto"/>
                    <w:left w:val="none" w:sz="0" w:space="0" w:color="auto"/>
                    <w:bottom w:val="none" w:sz="0" w:space="0" w:color="auto"/>
                    <w:right w:val="none" w:sz="0" w:space="0" w:color="auto"/>
                  </w:divBdr>
                  <w:divsChild>
                    <w:div w:id="35947499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7104">
      <w:bodyDiv w:val="1"/>
      <w:marLeft w:val="0"/>
      <w:marRight w:val="0"/>
      <w:marTop w:val="0"/>
      <w:marBottom w:val="0"/>
      <w:divBdr>
        <w:top w:val="none" w:sz="0" w:space="0" w:color="auto"/>
        <w:left w:val="none" w:sz="0" w:space="0" w:color="auto"/>
        <w:bottom w:val="none" w:sz="0" w:space="0" w:color="auto"/>
        <w:right w:val="none" w:sz="0" w:space="0" w:color="auto"/>
      </w:divBdr>
      <w:divsChild>
        <w:div w:id="2134715819">
          <w:marLeft w:val="0"/>
          <w:marRight w:val="0"/>
          <w:marTop w:val="0"/>
          <w:marBottom w:val="0"/>
          <w:divBdr>
            <w:top w:val="none" w:sz="0" w:space="0" w:color="auto"/>
            <w:left w:val="none" w:sz="0" w:space="0" w:color="auto"/>
            <w:bottom w:val="none" w:sz="0" w:space="0" w:color="auto"/>
            <w:right w:val="none" w:sz="0" w:space="0" w:color="auto"/>
          </w:divBdr>
          <w:divsChild>
            <w:div w:id="369495371">
              <w:marLeft w:val="0"/>
              <w:marRight w:val="0"/>
              <w:marTop w:val="0"/>
              <w:marBottom w:val="0"/>
              <w:divBdr>
                <w:top w:val="none" w:sz="0" w:space="0" w:color="auto"/>
                <w:left w:val="none" w:sz="0" w:space="0" w:color="auto"/>
                <w:bottom w:val="none" w:sz="0" w:space="0" w:color="auto"/>
                <w:right w:val="none" w:sz="0" w:space="0" w:color="auto"/>
              </w:divBdr>
              <w:divsChild>
                <w:div w:id="1936012099">
                  <w:marLeft w:val="0"/>
                  <w:marRight w:val="0"/>
                  <w:marTop w:val="0"/>
                  <w:marBottom w:val="0"/>
                  <w:divBdr>
                    <w:top w:val="none" w:sz="0" w:space="0" w:color="auto"/>
                    <w:left w:val="none" w:sz="0" w:space="0" w:color="auto"/>
                    <w:bottom w:val="none" w:sz="0" w:space="0" w:color="auto"/>
                    <w:right w:val="none" w:sz="0" w:space="0" w:color="auto"/>
                  </w:divBdr>
                  <w:divsChild>
                    <w:div w:id="16373694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0369">
      <w:bodyDiv w:val="1"/>
      <w:marLeft w:val="0"/>
      <w:marRight w:val="0"/>
      <w:marTop w:val="0"/>
      <w:marBottom w:val="0"/>
      <w:divBdr>
        <w:top w:val="none" w:sz="0" w:space="0" w:color="auto"/>
        <w:left w:val="none" w:sz="0" w:space="0" w:color="auto"/>
        <w:bottom w:val="none" w:sz="0" w:space="0" w:color="auto"/>
        <w:right w:val="none" w:sz="0" w:space="0" w:color="auto"/>
      </w:divBdr>
    </w:div>
    <w:div w:id="44389150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sChild>
        <w:div w:id="1221137600">
          <w:marLeft w:val="0"/>
          <w:marRight w:val="0"/>
          <w:marTop w:val="0"/>
          <w:marBottom w:val="0"/>
          <w:divBdr>
            <w:top w:val="none" w:sz="0" w:space="0" w:color="auto"/>
            <w:left w:val="none" w:sz="0" w:space="0" w:color="auto"/>
            <w:bottom w:val="none" w:sz="0" w:space="0" w:color="auto"/>
            <w:right w:val="none" w:sz="0" w:space="0" w:color="auto"/>
          </w:divBdr>
          <w:divsChild>
            <w:div w:id="669528630">
              <w:marLeft w:val="0"/>
              <w:marRight w:val="0"/>
              <w:marTop w:val="0"/>
              <w:marBottom w:val="0"/>
              <w:divBdr>
                <w:top w:val="none" w:sz="0" w:space="0" w:color="auto"/>
                <w:left w:val="none" w:sz="0" w:space="0" w:color="auto"/>
                <w:bottom w:val="none" w:sz="0" w:space="0" w:color="auto"/>
                <w:right w:val="none" w:sz="0" w:space="0" w:color="auto"/>
              </w:divBdr>
              <w:divsChild>
                <w:div w:id="1755205158">
                  <w:marLeft w:val="0"/>
                  <w:marRight w:val="0"/>
                  <w:marTop w:val="0"/>
                  <w:marBottom w:val="0"/>
                  <w:divBdr>
                    <w:top w:val="none" w:sz="0" w:space="0" w:color="auto"/>
                    <w:left w:val="none" w:sz="0" w:space="0" w:color="auto"/>
                    <w:bottom w:val="none" w:sz="0" w:space="0" w:color="auto"/>
                    <w:right w:val="none" w:sz="0" w:space="0" w:color="auto"/>
                  </w:divBdr>
                  <w:divsChild>
                    <w:div w:id="591356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80626">
      <w:bodyDiv w:val="1"/>
      <w:marLeft w:val="0"/>
      <w:marRight w:val="0"/>
      <w:marTop w:val="0"/>
      <w:marBottom w:val="0"/>
      <w:divBdr>
        <w:top w:val="none" w:sz="0" w:space="0" w:color="auto"/>
        <w:left w:val="none" w:sz="0" w:space="0" w:color="auto"/>
        <w:bottom w:val="none" w:sz="0" w:space="0" w:color="auto"/>
        <w:right w:val="none" w:sz="0" w:space="0" w:color="auto"/>
      </w:divBdr>
      <w:divsChild>
        <w:div w:id="1790732920">
          <w:marLeft w:val="0"/>
          <w:marRight w:val="0"/>
          <w:marTop w:val="0"/>
          <w:marBottom w:val="0"/>
          <w:divBdr>
            <w:top w:val="none" w:sz="0" w:space="0" w:color="auto"/>
            <w:left w:val="none" w:sz="0" w:space="0" w:color="auto"/>
            <w:bottom w:val="none" w:sz="0" w:space="0" w:color="auto"/>
            <w:right w:val="none" w:sz="0" w:space="0" w:color="auto"/>
          </w:divBdr>
          <w:divsChild>
            <w:div w:id="718280795">
              <w:marLeft w:val="0"/>
              <w:marRight w:val="0"/>
              <w:marTop w:val="0"/>
              <w:marBottom w:val="0"/>
              <w:divBdr>
                <w:top w:val="none" w:sz="0" w:space="0" w:color="auto"/>
                <w:left w:val="none" w:sz="0" w:space="0" w:color="auto"/>
                <w:bottom w:val="none" w:sz="0" w:space="0" w:color="auto"/>
                <w:right w:val="none" w:sz="0" w:space="0" w:color="auto"/>
              </w:divBdr>
              <w:divsChild>
                <w:div w:id="1459298244">
                  <w:marLeft w:val="0"/>
                  <w:marRight w:val="0"/>
                  <w:marTop w:val="0"/>
                  <w:marBottom w:val="0"/>
                  <w:divBdr>
                    <w:top w:val="none" w:sz="0" w:space="0" w:color="auto"/>
                    <w:left w:val="none" w:sz="0" w:space="0" w:color="auto"/>
                    <w:bottom w:val="none" w:sz="0" w:space="0" w:color="auto"/>
                    <w:right w:val="none" w:sz="0" w:space="0" w:color="auto"/>
                  </w:divBdr>
                  <w:divsChild>
                    <w:div w:id="12815687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73937">
      <w:bodyDiv w:val="1"/>
      <w:marLeft w:val="0"/>
      <w:marRight w:val="0"/>
      <w:marTop w:val="0"/>
      <w:marBottom w:val="0"/>
      <w:divBdr>
        <w:top w:val="none" w:sz="0" w:space="0" w:color="auto"/>
        <w:left w:val="none" w:sz="0" w:space="0" w:color="auto"/>
        <w:bottom w:val="none" w:sz="0" w:space="0" w:color="auto"/>
        <w:right w:val="none" w:sz="0" w:space="0" w:color="auto"/>
      </w:divBdr>
    </w:div>
    <w:div w:id="1270746359">
      <w:bodyDiv w:val="1"/>
      <w:marLeft w:val="0"/>
      <w:marRight w:val="0"/>
      <w:marTop w:val="0"/>
      <w:marBottom w:val="0"/>
      <w:divBdr>
        <w:top w:val="none" w:sz="0" w:space="0" w:color="auto"/>
        <w:left w:val="none" w:sz="0" w:space="0" w:color="auto"/>
        <w:bottom w:val="none" w:sz="0" w:space="0" w:color="auto"/>
        <w:right w:val="none" w:sz="0" w:space="0" w:color="auto"/>
      </w:divBdr>
    </w:div>
    <w:div w:id="1700275350">
      <w:bodyDiv w:val="1"/>
      <w:marLeft w:val="0"/>
      <w:marRight w:val="0"/>
      <w:marTop w:val="0"/>
      <w:marBottom w:val="0"/>
      <w:divBdr>
        <w:top w:val="none" w:sz="0" w:space="0" w:color="auto"/>
        <w:left w:val="none" w:sz="0" w:space="0" w:color="auto"/>
        <w:bottom w:val="none" w:sz="0" w:space="0" w:color="auto"/>
        <w:right w:val="none" w:sz="0" w:space="0" w:color="auto"/>
      </w:divBdr>
    </w:div>
    <w:div w:id="17264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xis.com/research/buttonTFLink?_m=5b792ac3e4bebdafe533aa3d22643bbe&amp;_xfercite=%3ccite%20cc%3d%22USA%22%3e%3c%21%5bCDATA%5b2013%20Mass.%20Tax%20LEXIS%2052%5d%5d%3e%3c%2fcite%3e&amp;_butType=3&amp;_butStat=2&amp;_butNum=9&amp;_butInline=1&amp;_butinfo=%3ccite%20cc%3d%22USA%22%3e%3c%21%5bCDATA%5b375%20Mass.%20360%2cat%20362%5d%5d%3e%3c%2fcite%3e&amp;_fmtstr=FULL&amp;docnum=54&amp;_startdoc=51&amp;wchp=dGLzVzt-zSkAb&amp;_md5=17209c8d4a54a05efb5a6558698cd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E363-0E1B-45F2-8FCC-F8C994A2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6262</Words>
  <Characters>35736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ATB, Comm of Mass.</Company>
  <LinksUpToDate>false</LinksUpToDate>
  <CharactersWithSpaces>41915</CharactersWithSpaces>
  <SharedDoc>false</SharedDoc>
  <HLinks>
    <vt:vector size="6" baseType="variant">
      <vt:variant>
        <vt:i4>655482</vt:i4>
      </vt:variant>
      <vt:variant>
        <vt:i4>0</vt:i4>
      </vt:variant>
      <vt:variant>
        <vt:i4>0</vt:i4>
      </vt:variant>
      <vt:variant>
        <vt:i4>5</vt:i4>
      </vt:variant>
      <vt:variant>
        <vt:lpwstr>http://www.lexis.com/research/buttonTFLink?_m=5b792ac3e4bebdafe533aa3d22643bbe&amp;_xfercite=%3ccite%20cc%3d%22USA%22%3e%3c%21%5bCDATA%5b2013%20Mass.%20Tax%20LEXIS%2052%5d%5d%3e%3c%2fcite%3e&amp;_butType=3&amp;_butStat=2&amp;_butNum=9&amp;_butInline=1&amp;_butinfo=%3ccite%20cc%3d%22USA%22%3e%3c%21%5bCDATA%5b375%20Mass.%20360%2cat%20362%5d%5d%3e%3c%2fcite%3e&amp;_fmtstr=FULL&amp;docnum=54&amp;_startdoc=51&amp;wchp=dGLzVzt-zSkAb&amp;_md5=17209c8d4a54a05efb5a6558698cd8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ANF</cp:lastModifiedBy>
  <cp:revision>2</cp:revision>
  <cp:lastPrinted>2018-03-23T12:41:00Z</cp:lastPrinted>
  <dcterms:created xsi:type="dcterms:W3CDTF">2018-03-23T12:41:00Z</dcterms:created>
  <dcterms:modified xsi:type="dcterms:W3CDTF">2018-03-23T12:41:00Z</dcterms:modified>
</cp:coreProperties>
</file>