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5D7E" w14:textId="77777777" w:rsidR="00073FB9" w:rsidRDefault="00073FB9" w:rsidP="00073FB9">
      <w:pPr>
        <w:rPr>
          <w:rFonts w:ascii="Montserrat" w:hAnsi="Montserrat"/>
          <w:b/>
          <w:bCs/>
          <w:color w:val="00703C"/>
          <w:sz w:val="24"/>
          <w:szCs w:val="24"/>
        </w:rPr>
      </w:pPr>
    </w:p>
    <w:p w14:paraId="7B9A18EB" w14:textId="7980ED3C" w:rsidR="00073FB9" w:rsidRDefault="00073FB9" w:rsidP="00073FB9">
      <w:pPr>
        <w:rPr>
          <w:rFonts w:ascii="Montserrat" w:hAnsi="Montserrat"/>
          <w:b/>
          <w:bCs/>
          <w:color w:val="00703C"/>
          <w:sz w:val="24"/>
          <w:szCs w:val="24"/>
        </w:rPr>
      </w:pPr>
      <w:r w:rsidRPr="00EB6B1D">
        <w:rPr>
          <w:rFonts w:ascii="Montserrat" w:hAnsi="Montserrat"/>
          <w:b/>
          <w:bCs/>
          <w:noProof/>
          <w:color w:val="00703C"/>
          <w:sz w:val="24"/>
          <w:szCs w:val="24"/>
        </w:rPr>
        <w:drawing>
          <wp:anchor distT="0" distB="0" distL="0" distR="0" simplePos="0" relativeHeight="251661312" behindDoc="0" locked="0" layoutInCell="1" allowOverlap="1" wp14:anchorId="37578437" wp14:editId="76E01A50">
            <wp:simplePos x="0" y="0"/>
            <wp:positionH relativeFrom="page">
              <wp:posOffset>1352284</wp:posOffset>
            </wp:positionH>
            <wp:positionV relativeFrom="paragraph">
              <wp:posOffset>1061749</wp:posOffset>
            </wp:positionV>
            <wp:extent cx="4456556" cy="137159"/>
            <wp:effectExtent l="0" t="0" r="0" b="0"/>
            <wp:wrapNone/>
            <wp:docPr id="3" name="Image 3" descr="100 Cambridge Street, Suite 900, Boston, MA 02114. Telephone 617-292-5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100 Cambridge Street, Suite 900, Boston, MA 02114. Telephone 617-292-5500."/>
                    <pic:cNvPicPr/>
                  </pic:nvPicPr>
                  <pic:blipFill>
                    <a:blip r:embed="rId10" cstate="print"/>
                    <a:stretch>
                      <a:fillRect/>
                    </a:stretch>
                  </pic:blipFill>
                  <pic:spPr>
                    <a:xfrm>
                      <a:off x="0" y="0"/>
                      <a:ext cx="4456556" cy="137159"/>
                    </a:xfrm>
                    <a:prstGeom prst="rect">
                      <a:avLst/>
                    </a:prstGeom>
                  </pic:spPr>
                </pic:pic>
              </a:graphicData>
            </a:graphic>
          </wp:anchor>
        </w:drawing>
      </w:r>
      <w:r w:rsidRPr="00EB6B1D">
        <w:rPr>
          <w:rFonts w:ascii="Montserrat" w:hAnsi="Montserrat"/>
          <w:b/>
          <w:bCs/>
          <w:noProof/>
          <w:color w:val="00703C"/>
          <w:sz w:val="24"/>
          <w:szCs w:val="24"/>
        </w:rPr>
        <w:drawing>
          <wp:anchor distT="0" distB="0" distL="0" distR="0" simplePos="0" relativeHeight="251664384" behindDoc="0" locked="0" layoutInCell="1" allowOverlap="1" wp14:anchorId="5FF668CA" wp14:editId="63D59050">
            <wp:simplePos x="0" y="0"/>
            <wp:positionH relativeFrom="page">
              <wp:posOffset>1372441</wp:posOffset>
            </wp:positionH>
            <wp:positionV relativeFrom="paragraph">
              <wp:posOffset>178435</wp:posOffset>
            </wp:positionV>
            <wp:extent cx="5793260" cy="810768"/>
            <wp:effectExtent l="0" t="0" r="0" b="0"/>
            <wp:wrapNone/>
            <wp:docPr id="381185129" name="Image 2" descr="Commonwealth of Massachusetts, Executive Office of Energy and Environmental Affairs, Mass DE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Massachusetts, Executive Office of Energy and Environmental Affairs, Mass DEP"/>
                    <pic:cNvPicPr/>
                  </pic:nvPicPr>
                  <pic:blipFill>
                    <a:blip r:embed="rId11" cstate="print"/>
                    <a:stretch>
                      <a:fillRect/>
                    </a:stretch>
                  </pic:blipFill>
                  <pic:spPr>
                    <a:xfrm>
                      <a:off x="0" y="0"/>
                      <a:ext cx="5793260" cy="810768"/>
                    </a:xfrm>
                    <a:prstGeom prst="rect">
                      <a:avLst/>
                    </a:prstGeom>
                  </pic:spPr>
                </pic:pic>
              </a:graphicData>
            </a:graphic>
          </wp:anchor>
        </w:drawing>
      </w:r>
      <w:r w:rsidRPr="00EB6B1D">
        <w:rPr>
          <w:rFonts w:ascii="Montserrat" w:hAnsi="Montserrat"/>
          <w:b/>
          <w:bCs/>
          <w:noProof/>
          <w:color w:val="00703C"/>
          <w:sz w:val="24"/>
          <w:szCs w:val="24"/>
        </w:rPr>
        <w:drawing>
          <wp:inline distT="0" distB="0" distL="0" distR="0" wp14:anchorId="551BE29F" wp14:editId="29D1C9B3">
            <wp:extent cx="848964" cy="1109472"/>
            <wp:effectExtent l="0" t="0" r="8890" b="0"/>
            <wp:docPr id="638795659" name="Image 1" descr="MassDE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DEP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8964" cy="1109472"/>
                    </a:xfrm>
                    <a:prstGeom prst="rect">
                      <a:avLst/>
                    </a:prstGeom>
                  </pic:spPr>
                </pic:pic>
              </a:graphicData>
            </a:graphic>
          </wp:inline>
        </w:drawing>
      </w:r>
    </w:p>
    <w:p w14:paraId="58F369D7" w14:textId="77777777" w:rsidR="00073FB9" w:rsidRDefault="00073FB9" w:rsidP="00073FB9">
      <w:pPr>
        <w:rPr>
          <w:rFonts w:ascii="Montserrat" w:hAnsi="Montserrat"/>
          <w:b/>
          <w:bCs/>
          <w:color w:val="00703C"/>
          <w:sz w:val="24"/>
          <w:szCs w:val="24"/>
        </w:rPr>
      </w:pPr>
    </w:p>
    <w:p w14:paraId="56E69B78" w14:textId="7A9E0003" w:rsidR="00073FB9" w:rsidRPr="00EB6B1D" w:rsidRDefault="00073FB9" w:rsidP="00073FB9">
      <w:pPr>
        <w:rPr>
          <w:rFonts w:ascii="Montserrat" w:hAnsi="Montserrat"/>
          <w:b/>
          <w:bCs/>
          <w:color w:val="00703C"/>
          <w:sz w:val="24"/>
          <w:szCs w:val="24"/>
        </w:rPr>
      </w:pPr>
      <w:r w:rsidRPr="00EB6B1D">
        <w:rPr>
          <w:rFonts w:ascii="Montserrat" w:hAnsi="Montserrat"/>
          <w:b/>
          <w:bCs/>
          <w:color w:val="00703C"/>
          <w:sz w:val="24"/>
          <w:szCs w:val="24"/>
        </w:rPr>
        <w:t xml:space="preserve">Maura T. Healey, Governor </w:t>
      </w:r>
      <w:r w:rsidRPr="00EB6B1D">
        <w:rPr>
          <w:rFonts w:ascii="Montserrat" w:hAnsi="Montserrat"/>
          <w:b/>
          <w:bCs/>
          <w:color w:val="00703C"/>
          <w:sz w:val="24"/>
          <w:szCs w:val="24"/>
        </w:rPr>
        <w:tab/>
      </w:r>
      <w:r w:rsidRPr="00EB6B1D">
        <w:rPr>
          <w:rFonts w:ascii="Montserrat" w:hAnsi="Montserrat"/>
          <w:b/>
          <w:bCs/>
          <w:color w:val="00703C"/>
          <w:sz w:val="24"/>
          <w:szCs w:val="24"/>
        </w:rPr>
        <w:tab/>
      </w:r>
      <w:r w:rsidRPr="00EB6B1D">
        <w:rPr>
          <w:rFonts w:ascii="Montserrat" w:hAnsi="Montserrat"/>
          <w:b/>
          <w:bCs/>
          <w:color w:val="00703C"/>
          <w:sz w:val="24"/>
          <w:szCs w:val="24"/>
        </w:rPr>
        <w:tab/>
      </w:r>
      <w:r>
        <w:rPr>
          <w:rFonts w:ascii="Montserrat" w:hAnsi="Montserrat"/>
          <w:b/>
          <w:bCs/>
          <w:color w:val="00703C"/>
          <w:sz w:val="24"/>
          <w:szCs w:val="24"/>
        </w:rPr>
        <w:t xml:space="preserve"> </w:t>
      </w:r>
      <w:r w:rsidRPr="00EB6B1D">
        <w:rPr>
          <w:rFonts w:ascii="Montserrat" w:hAnsi="Montserrat"/>
          <w:b/>
          <w:bCs/>
          <w:color w:val="00703C"/>
          <w:sz w:val="24"/>
          <w:szCs w:val="24"/>
        </w:rPr>
        <w:t>Kimberley Driscoll</w:t>
      </w:r>
      <w:r>
        <w:rPr>
          <w:rFonts w:ascii="Montserrat" w:hAnsi="Montserrat"/>
          <w:b/>
          <w:bCs/>
          <w:color w:val="00703C"/>
          <w:sz w:val="24"/>
          <w:szCs w:val="24"/>
        </w:rPr>
        <w:t>,</w:t>
      </w:r>
      <w:r w:rsidRPr="00EB6B1D">
        <w:rPr>
          <w:rFonts w:ascii="Montserrat" w:hAnsi="Montserrat"/>
          <w:b/>
          <w:bCs/>
          <w:color w:val="00703C"/>
          <w:sz w:val="24"/>
          <w:szCs w:val="24"/>
        </w:rPr>
        <w:t xml:space="preserve"> Lieutenant Governor</w:t>
      </w:r>
    </w:p>
    <w:p w14:paraId="67E740E7" w14:textId="1A73661B" w:rsidR="00073FB9" w:rsidRPr="00EB6B1D" w:rsidRDefault="00073FB9" w:rsidP="00073FB9">
      <w:pPr>
        <w:rPr>
          <w:rFonts w:ascii="Montserrat" w:hAnsi="Montserrat"/>
          <w:b/>
          <w:bCs/>
          <w:color w:val="00703C"/>
          <w:sz w:val="24"/>
          <w:szCs w:val="24"/>
        </w:rPr>
      </w:pPr>
      <w:r w:rsidRPr="00EB6B1D">
        <w:rPr>
          <w:rFonts w:ascii="Montserrat" w:hAnsi="Montserrat"/>
          <w:b/>
          <w:bCs/>
          <w:color w:val="00703C"/>
          <w:sz w:val="24"/>
          <w:szCs w:val="24"/>
        </w:rPr>
        <w:t xml:space="preserve">Rebecca L. Tepper Secretary </w:t>
      </w:r>
      <w:r w:rsidRPr="00EB6B1D">
        <w:rPr>
          <w:rFonts w:ascii="Montserrat" w:hAnsi="Montserrat"/>
          <w:b/>
          <w:bCs/>
          <w:color w:val="00703C"/>
          <w:sz w:val="24"/>
          <w:szCs w:val="24"/>
        </w:rPr>
        <w:tab/>
      </w:r>
      <w:r w:rsidRPr="00EB6B1D">
        <w:rPr>
          <w:rFonts w:ascii="Montserrat" w:hAnsi="Montserrat"/>
          <w:b/>
          <w:bCs/>
          <w:color w:val="00703C"/>
          <w:sz w:val="24"/>
          <w:szCs w:val="24"/>
        </w:rPr>
        <w:tab/>
      </w:r>
      <w:r w:rsidRPr="00EB6B1D">
        <w:rPr>
          <w:rFonts w:ascii="Montserrat" w:hAnsi="Montserrat"/>
          <w:b/>
          <w:bCs/>
          <w:color w:val="00703C"/>
          <w:sz w:val="24"/>
          <w:szCs w:val="24"/>
        </w:rPr>
        <w:tab/>
      </w:r>
      <w:r w:rsidRPr="00EB6B1D">
        <w:rPr>
          <w:rFonts w:ascii="Montserrat" w:hAnsi="Montserrat"/>
          <w:b/>
          <w:bCs/>
          <w:color w:val="00703C"/>
          <w:sz w:val="24"/>
          <w:szCs w:val="24"/>
        </w:rPr>
        <w:tab/>
        <w:t>Bonnie Heiple</w:t>
      </w:r>
      <w:r>
        <w:rPr>
          <w:rFonts w:ascii="Montserrat" w:hAnsi="Montserrat"/>
          <w:b/>
          <w:bCs/>
          <w:color w:val="00703C"/>
          <w:sz w:val="24"/>
          <w:szCs w:val="24"/>
        </w:rPr>
        <w:t>,</w:t>
      </w:r>
      <w:r w:rsidRPr="00EB6B1D">
        <w:rPr>
          <w:rFonts w:ascii="Montserrat" w:hAnsi="Montserrat"/>
          <w:b/>
          <w:bCs/>
          <w:color w:val="00703C"/>
          <w:sz w:val="24"/>
          <w:szCs w:val="24"/>
        </w:rPr>
        <w:t xml:space="preserve"> Commissioner</w:t>
      </w:r>
    </w:p>
    <w:p w14:paraId="578FF6B5" w14:textId="32009270" w:rsidR="00EB6B1D" w:rsidRDefault="00EB6B1D" w:rsidP="00073FB9">
      <w:pPr>
        <w:pStyle w:val="Title"/>
        <w:spacing w:before="240"/>
        <w:jc w:val="center"/>
        <w:rPr>
          <w:b/>
          <w:spacing w:val="-4"/>
        </w:rPr>
      </w:pPr>
      <w:r>
        <w:rPr>
          <w:b/>
          <w:spacing w:val="-4"/>
        </w:rPr>
        <w:t>M36 Water Audit Program</w:t>
      </w:r>
    </w:p>
    <w:p w14:paraId="2DDA6268" w14:textId="066F7B10" w:rsidR="00FA1BFB" w:rsidRDefault="00EB6B1D" w:rsidP="00EB6B1D">
      <w:pPr>
        <w:pStyle w:val="Title"/>
        <w:jc w:val="center"/>
      </w:pPr>
      <w:r>
        <w:t>Notice of Intent:</w:t>
      </w:r>
      <w:r>
        <w:rPr>
          <w:spacing w:val="-5"/>
        </w:rPr>
        <w:t xml:space="preserve"> </w:t>
      </w:r>
      <w:r>
        <w:t>Request</w:t>
      </w:r>
      <w:r>
        <w:rPr>
          <w:spacing w:val="1"/>
        </w:rPr>
        <w:t xml:space="preserve"> </w:t>
      </w:r>
      <w:r>
        <w:t>for</w:t>
      </w:r>
      <w:r>
        <w:rPr>
          <w:spacing w:val="-5"/>
        </w:rPr>
        <w:t xml:space="preserve"> </w:t>
      </w:r>
      <w:r>
        <w:t>Interest</w:t>
      </w:r>
    </w:p>
    <w:p w14:paraId="2DDA6269" w14:textId="0924749C" w:rsidR="00FA1BFB" w:rsidRPr="00EB6B1D" w:rsidRDefault="00EB6B1D" w:rsidP="00EB6B1D">
      <w:pPr>
        <w:pStyle w:val="Subtitle"/>
        <w:jc w:val="center"/>
        <w:rPr>
          <w:sz w:val="24"/>
          <w:szCs w:val="24"/>
        </w:rPr>
      </w:pPr>
      <w:r w:rsidRPr="00EB6B1D">
        <w:rPr>
          <w:sz w:val="24"/>
          <w:szCs w:val="24"/>
        </w:rPr>
        <w:t xml:space="preserve">Statewide Water Management Act Permit </w:t>
      </w:r>
      <w:r>
        <w:rPr>
          <w:sz w:val="24"/>
          <w:szCs w:val="24"/>
        </w:rPr>
        <w:t>a</w:t>
      </w:r>
      <w:r w:rsidRPr="00EB6B1D">
        <w:rPr>
          <w:sz w:val="24"/>
          <w:szCs w:val="24"/>
        </w:rPr>
        <w:t>nd Registration Holders Water</w:t>
      </w:r>
      <w:r w:rsidRPr="00EB6B1D">
        <w:rPr>
          <w:spacing w:val="-5"/>
          <w:sz w:val="24"/>
          <w:szCs w:val="24"/>
        </w:rPr>
        <w:t xml:space="preserve"> </w:t>
      </w:r>
      <w:r w:rsidRPr="00EB6B1D">
        <w:rPr>
          <w:sz w:val="24"/>
          <w:szCs w:val="24"/>
        </w:rPr>
        <w:t>Audit</w:t>
      </w:r>
    </w:p>
    <w:p w14:paraId="2DDA626A" w14:textId="4E1BA447" w:rsidR="00FA1BFB" w:rsidRPr="00EB6B1D" w:rsidRDefault="00EB6B1D" w:rsidP="00EB6B1D">
      <w:pPr>
        <w:pStyle w:val="Subtitle"/>
        <w:jc w:val="center"/>
        <w:rPr>
          <w:sz w:val="24"/>
          <w:szCs w:val="24"/>
        </w:rPr>
      </w:pPr>
      <w:r w:rsidRPr="00EB6B1D">
        <w:rPr>
          <w:sz w:val="24"/>
          <w:szCs w:val="24"/>
        </w:rPr>
        <w:t>RFI</w:t>
      </w:r>
      <w:r w:rsidRPr="00EB6B1D">
        <w:rPr>
          <w:spacing w:val="-11"/>
          <w:sz w:val="24"/>
          <w:szCs w:val="24"/>
        </w:rPr>
        <w:t xml:space="preserve"> </w:t>
      </w:r>
      <w:r w:rsidRPr="00EB6B1D">
        <w:rPr>
          <w:sz w:val="24"/>
          <w:szCs w:val="24"/>
        </w:rPr>
        <w:t>#</w:t>
      </w:r>
      <w:r w:rsidRPr="00EB6B1D">
        <w:rPr>
          <w:spacing w:val="-10"/>
          <w:sz w:val="24"/>
          <w:szCs w:val="24"/>
        </w:rPr>
        <w:t xml:space="preserve"> </w:t>
      </w:r>
      <w:r w:rsidRPr="00EB6B1D">
        <w:rPr>
          <w:sz w:val="24"/>
          <w:szCs w:val="24"/>
        </w:rPr>
        <w:t>BWR</w:t>
      </w:r>
      <w:r w:rsidRPr="00EB6B1D">
        <w:rPr>
          <w:spacing w:val="-8"/>
          <w:sz w:val="24"/>
          <w:szCs w:val="24"/>
        </w:rPr>
        <w:t xml:space="preserve"> </w:t>
      </w:r>
      <w:r w:rsidRPr="00EB6B1D">
        <w:rPr>
          <w:sz w:val="24"/>
          <w:szCs w:val="24"/>
        </w:rPr>
        <w:t>202</w:t>
      </w:r>
      <w:r>
        <w:rPr>
          <w:sz w:val="24"/>
          <w:szCs w:val="24"/>
        </w:rPr>
        <w:t>6</w:t>
      </w:r>
      <w:r w:rsidRPr="00EB6B1D">
        <w:rPr>
          <w:sz w:val="24"/>
          <w:szCs w:val="24"/>
        </w:rPr>
        <w:t>-AWWA-M36-Water</w:t>
      </w:r>
      <w:r w:rsidRPr="00EB6B1D">
        <w:rPr>
          <w:spacing w:val="-6"/>
          <w:sz w:val="24"/>
          <w:szCs w:val="24"/>
        </w:rPr>
        <w:t xml:space="preserve"> </w:t>
      </w:r>
      <w:r w:rsidRPr="00EB6B1D">
        <w:rPr>
          <w:spacing w:val="-2"/>
          <w:sz w:val="24"/>
          <w:szCs w:val="24"/>
        </w:rPr>
        <w:t>Audits</w:t>
      </w:r>
    </w:p>
    <w:p w14:paraId="22AAAA2D" w14:textId="273369FD" w:rsidR="00EB6B1D" w:rsidRDefault="00EB6B1D" w:rsidP="00EB6B1D">
      <w:pPr>
        <w:pStyle w:val="Heading1"/>
      </w:pPr>
      <w:r>
        <w:t>Summary</w:t>
      </w:r>
    </w:p>
    <w:p w14:paraId="2DDA626C" w14:textId="6090C13D" w:rsidR="00FA1BFB" w:rsidRPr="006D4921" w:rsidRDefault="00FA13AC" w:rsidP="006D4921">
      <w:pPr>
        <w:pStyle w:val="BodyText"/>
      </w:pPr>
      <w:r w:rsidRPr="006D4921">
        <w:t>The Commonwealth of Massachusetts Department of Environmental Protection (MassDEP) is soliciting interest from Water Management Act (WMA) registrants and permit holders to receive a free American Water Works Association (AWWA) M36 “Top-Down” Audit from a private consulting firm, which MassDEP will hire through a public procurement process at a later date. For certain facilities that meet the outlined data criteria, a “Bottom-Up Component Analysis” can also be done as part of the Audit.</w:t>
      </w:r>
      <w:r w:rsidR="00EB6B1D" w:rsidRPr="006D4921">
        <w:t xml:space="preserve"> </w:t>
      </w:r>
      <w:r w:rsidR="00D2461A">
        <w:t xml:space="preserve">It is anticipated the RFI will be posted to </w:t>
      </w:r>
      <w:hyperlink r:id="rId13" w:history="1">
        <w:r w:rsidR="00D2461A" w:rsidRPr="00D2461A">
          <w:rPr>
            <w:rStyle w:val="Hyperlink"/>
          </w:rPr>
          <w:t>COMMBUYS</w:t>
        </w:r>
      </w:hyperlink>
      <w:r w:rsidR="00D2461A">
        <w:t xml:space="preserve"> and </w:t>
      </w:r>
      <w:hyperlink r:id="rId14" w:anchor="water-management-act-grant-programs-for-public-water-suppliers" w:history="1">
        <w:r w:rsidR="00D2461A">
          <w:rPr>
            <w:rStyle w:val="Hyperlink"/>
          </w:rPr>
          <w:t>MassDEP’s Water Management Act website</w:t>
        </w:r>
      </w:hyperlink>
      <w:r w:rsidR="00D2461A">
        <w:t xml:space="preserve"> on </w:t>
      </w:r>
      <w:r w:rsidR="00D2461A" w:rsidRPr="00D2461A">
        <w:rPr>
          <w:b/>
          <w:bCs/>
        </w:rPr>
        <w:t>September 30, 2025</w:t>
      </w:r>
      <w:r w:rsidR="00D2461A" w:rsidRPr="00D2461A">
        <w:rPr>
          <w:color w:val="595959" w:themeColor="text1" w:themeTint="A6"/>
        </w:rPr>
        <w:t xml:space="preserve">. </w:t>
      </w:r>
      <w:r w:rsidRPr="00D2461A">
        <w:rPr>
          <w:b/>
          <w:bCs/>
          <w:color w:val="595959" w:themeColor="text1" w:themeTint="A6"/>
        </w:rPr>
        <w:t>Once selected, the WMA public water suppliers (PWSs) are required to participate in the AWWA M36 Audit</w:t>
      </w:r>
      <w:r w:rsidRPr="006D4921">
        <w:t>; however, the consulting firm hired by MassDEP will guide the Audit and provide a report to each PWS and MassDEP following completion of the Audit process.</w:t>
      </w:r>
    </w:p>
    <w:p w14:paraId="2DDA626D" w14:textId="77777777" w:rsidR="00FA1BFB" w:rsidRPr="00EB6B1D" w:rsidRDefault="00FA13AC" w:rsidP="006D4921">
      <w:pPr>
        <w:pStyle w:val="BodyText"/>
      </w:pPr>
      <w:r w:rsidRPr="00EB6B1D">
        <w:t>Based upon the response to this Request for Interest (RFI), a list of WMA PWSs approved for the completion of a “Top-Down” M36 Audit, or a “Top-Down M36 Audit with a Bottom-Up Component Analysis”</w:t>
      </w:r>
      <w:r w:rsidRPr="00EB6B1D">
        <w:rPr>
          <w:spacing w:val="-4"/>
        </w:rPr>
        <w:t xml:space="preserve"> </w:t>
      </w:r>
      <w:r w:rsidRPr="00EB6B1D">
        <w:t>will</w:t>
      </w:r>
      <w:r w:rsidRPr="00EB6B1D">
        <w:rPr>
          <w:spacing w:val="-2"/>
        </w:rPr>
        <w:t xml:space="preserve"> </w:t>
      </w:r>
      <w:r w:rsidRPr="00EB6B1D">
        <w:t>be</w:t>
      </w:r>
      <w:r w:rsidRPr="00EB6B1D">
        <w:rPr>
          <w:spacing w:val="-5"/>
        </w:rPr>
        <w:t xml:space="preserve"> </w:t>
      </w:r>
      <w:r w:rsidRPr="00EB6B1D">
        <w:t>included</w:t>
      </w:r>
      <w:r w:rsidRPr="00EB6B1D">
        <w:rPr>
          <w:spacing w:val="-2"/>
        </w:rPr>
        <w:t xml:space="preserve"> </w:t>
      </w:r>
      <w:r w:rsidRPr="00EB6B1D">
        <w:t>in</w:t>
      </w:r>
      <w:r w:rsidRPr="00EB6B1D">
        <w:rPr>
          <w:spacing w:val="-3"/>
        </w:rPr>
        <w:t xml:space="preserve"> </w:t>
      </w:r>
      <w:r w:rsidRPr="00EB6B1D">
        <w:t>a competitive</w:t>
      </w:r>
      <w:r w:rsidRPr="00EB6B1D">
        <w:rPr>
          <w:spacing w:val="-2"/>
        </w:rPr>
        <w:t xml:space="preserve"> </w:t>
      </w:r>
      <w:r w:rsidRPr="00EB6B1D">
        <w:t>procurement</w:t>
      </w:r>
      <w:r w:rsidRPr="00EB6B1D">
        <w:rPr>
          <w:spacing w:val="-2"/>
        </w:rPr>
        <w:t xml:space="preserve"> </w:t>
      </w:r>
      <w:r w:rsidRPr="00EB6B1D">
        <w:t>solicitation</w:t>
      </w:r>
      <w:r w:rsidRPr="00EB6B1D">
        <w:rPr>
          <w:spacing w:val="-3"/>
        </w:rPr>
        <w:t xml:space="preserve"> </w:t>
      </w:r>
      <w:r w:rsidRPr="00EB6B1D">
        <w:t>for</w:t>
      </w:r>
      <w:r w:rsidRPr="00EB6B1D">
        <w:rPr>
          <w:spacing w:val="-5"/>
        </w:rPr>
        <w:t xml:space="preserve"> </w:t>
      </w:r>
      <w:r w:rsidRPr="00EB6B1D">
        <w:t>the</w:t>
      </w:r>
      <w:r w:rsidRPr="00EB6B1D">
        <w:rPr>
          <w:spacing w:val="-4"/>
        </w:rPr>
        <w:t xml:space="preserve"> </w:t>
      </w:r>
      <w:r w:rsidRPr="00EB6B1D">
        <w:t>services</w:t>
      </w:r>
      <w:r w:rsidRPr="00EB6B1D">
        <w:rPr>
          <w:spacing w:val="-1"/>
        </w:rPr>
        <w:t xml:space="preserve"> </w:t>
      </w:r>
      <w:r w:rsidRPr="00EB6B1D">
        <w:t>of</w:t>
      </w:r>
      <w:r w:rsidRPr="00EB6B1D">
        <w:rPr>
          <w:spacing w:val="-5"/>
        </w:rPr>
        <w:t xml:space="preserve"> </w:t>
      </w:r>
      <w:r w:rsidRPr="00EB6B1D">
        <w:t>a</w:t>
      </w:r>
      <w:r w:rsidRPr="00EB6B1D">
        <w:rPr>
          <w:spacing w:val="-2"/>
        </w:rPr>
        <w:t xml:space="preserve"> </w:t>
      </w:r>
      <w:r w:rsidRPr="00EB6B1D">
        <w:t>consulting</w:t>
      </w:r>
      <w:r w:rsidRPr="00EB6B1D">
        <w:rPr>
          <w:spacing w:val="-3"/>
        </w:rPr>
        <w:t xml:space="preserve"> </w:t>
      </w:r>
      <w:r w:rsidRPr="00EB6B1D">
        <w:t>firm, to be released by MassDEP later this year.</w:t>
      </w:r>
      <w:r w:rsidRPr="00EB6B1D">
        <w:rPr>
          <w:spacing w:val="40"/>
        </w:rPr>
        <w:t xml:space="preserve"> </w:t>
      </w:r>
      <w:r w:rsidRPr="00EB6B1D">
        <w:t>The purpose of that procurement will be to select the consulting firm that will conduct the AWWA M36 Audits. A final list of WMA PWSs that will receive an AWWA M36 Audit will not be available until after a consulting firm is selected by MassDEP, given that time and funding constraints may limit the number of AWWA M36 Audits that can be conducted.</w:t>
      </w:r>
    </w:p>
    <w:p w14:paraId="2DDA626E" w14:textId="77777777" w:rsidR="00FA1BFB" w:rsidRPr="00EB6B1D" w:rsidRDefault="00FA13AC" w:rsidP="006D4921">
      <w:pPr>
        <w:pStyle w:val="BodyText"/>
      </w:pPr>
      <w:r w:rsidRPr="00EB6B1D">
        <w:t>Funding</w:t>
      </w:r>
      <w:r w:rsidRPr="00EB6B1D">
        <w:rPr>
          <w:spacing w:val="-8"/>
        </w:rPr>
        <w:t xml:space="preserve"> </w:t>
      </w:r>
      <w:r w:rsidRPr="00EB6B1D">
        <w:t>for</w:t>
      </w:r>
      <w:r w:rsidRPr="00EB6B1D">
        <w:rPr>
          <w:spacing w:val="-4"/>
        </w:rPr>
        <w:t xml:space="preserve"> </w:t>
      </w:r>
      <w:r w:rsidRPr="00EB6B1D">
        <w:t>this</w:t>
      </w:r>
      <w:r w:rsidRPr="00EB6B1D">
        <w:rPr>
          <w:spacing w:val="-4"/>
        </w:rPr>
        <w:t xml:space="preserve"> </w:t>
      </w:r>
      <w:r w:rsidRPr="00EB6B1D">
        <w:t>program</w:t>
      </w:r>
      <w:r w:rsidRPr="00EB6B1D">
        <w:rPr>
          <w:spacing w:val="-3"/>
        </w:rPr>
        <w:t xml:space="preserve"> </w:t>
      </w:r>
      <w:r w:rsidRPr="00EB6B1D">
        <w:t>is</w:t>
      </w:r>
      <w:r w:rsidRPr="00EB6B1D">
        <w:rPr>
          <w:spacing w:val="-7"/>
        </w:rPr>
        <w:t xml:space="preserve"> </w:t>
      </w:r>
      <w:r w:rsidRPr="00EB6B1D">
        <w:t>contingent</w:t>
      </w:r>
      <w:r w:rsidRPr="00EB6B1D">
        <w:rPr>
          <w:spacing w:val="-7"/>
        </w:rPr>
        <w:t xml:space="preserve"> </w:t>
      </w:r>
      <w:r w:rsidRPr="00EB6B1D">
        <w:t>upon</w:t>
      </w:r>
      <w:r w:rsidRPr="00EB6B1D">
        <w:rPr>
          <w:spacing w:val="-5"/>
        </w:rPr>
        <w:t xml:space="preserve"> </w:t>
      </w:r>
      <w:r w:rsidRPr="00EB6B1D">
        <w:t>appropriation</w:t>
      </w:r>
      <w:r w:rsidRPr="00EB6B1D">
        <w:rPr>
          <w:spacing w:val="-5"/>
        </w:rPr>
        <w:t xml:space="preserve"> </w:t>
      </w:r>
      <w:r w:rsidRPr="00EB6B1D">
        <w:t>by</w:t>
      </w:r>
      <w:r w:rsidRPr="00EB6B1D">
        <w:rPr>
          <w:spacing w:val="-6"/>
        </w:rPr>
        <w:t xml:space="preserve"> </w:t>
      </w:r>
      <w:r w:rsidRPr="00EB6B1D">
        <w:t>the</w:t>
      </w:r>
      <w:r w:rsidRPr="00EB6B1D">
        <w:rPr>
          <w:spacing w:val="-6"/>
        </w:rPr>
        <w:t xml:space="preserve"> </w:t>
      </w:r>
      <w:r w:rsidRPr="00EB6B1D">
        <w:t>Massachusetts</w:t>
      </w:r>
      <w:r w:rsidRPr="00EB6B1D">
        <w:rPr>
          <w:spacing w:val="-3"/>
        </w:rPr>
        <w:t xml:space="preserve"> </w:t>
      </w:r>
      <w:r w:rsidRPr="00EB6B1D">
        <w:rPr>
          <w:spacing w:val="-2"/>
        </w:rPr>
        <w:t>legislature.</w:t>
      </w:r>
    </w:p>
    <w:p w14:paraId="2DDA626F" w14:textId="286E5BC5" w:rsidR="00FA1BFB" w:rsidRPr="00EB6B1D" w:rsidRDefault="00EB6B1D" w:rsidP="00EB6B1D">
      <w:pPr>
        <w:pStyle w:val="Heading1"/>
      </w:pPr>
      <w:r w:rsidRPr="00EB6B1D">
        <w:t>Eligibility</w:t>
      </w:r>
      <w:r w:rsidRPr="00EB6B1D">
        <w:rPr>
          <w:spacing w:val="11"/>
        </w:rPr>
        <w:t xml:space="preserve"> </w:t>
      </w:r>
      <w:r w:rsidRPr="00EB6B1D">
        <w:rPr>
          <w:spacing w:val="-2"/>
        </w:rPr>
        <w:t>Criteria</w:t>
      </w:r>
    </w:p>
    <w:p w14:paraId="2DDA6270" w14:textId="77777777" w:rsidR="00FA1BFB" w:rsidRPr="00EB6B1D" w:rsidRDefault="00FA13AC" w:rsidP="006D4921">
      <w:pPr>
        <w:pStyle w:val="BodyText"/>
      </w:pPr>
      <w:r w:rsidRPr="00EB6B1D">
        <w:t xml:space="preserve">Any Massachusetts public water supplier or municipality with a valid Water Management Act </w:t>
      </w:r>
      <w:r w:rsidRPr="00EB6B1D">
        <w:lastRenderedPageBreak/>
        <w:t>permit or registration is eligible to submit a Response to this RFI. Public water suppliers must be able to commit significant personnel time as an in-kind match and work with MassDEP’s consultant in order to produce accurate audit results and validation.</w:t>
      </w:r>
    </w:p>
    <w:p w14:paraId="12E1B5A9" w14:textId="1320470C" w:rsidR="00073FB9" w:rsidRDefault="00EB6B1D" w:rsidP="00073FB9">
      <w:pPr>
        <w:pStyle w:val="Heading2"/>
      </w:pPr>
      <w:r w:rsidRPr="00EB6B1D">
        <w:t xml:space="preserve">MBTA Communities Act: </w:t>
      </w:r>
    </w:p>
    <w:p w14:paraId="48B3291D" w14:textId="71AEBEAC" w:rsidR="004131A2" w:rsidRPr="004131A2" w:rsidRDefault="00073FB9" w:rsidP="004131A2">
      <w:pPr>
        <w:pStyle w:val="BodyText"/>
        <w:rPr>
          <w:color w:val="0000FF"/>
          <w:u w:val="single"/>
        </w:rPr>
      </w:pPr>
      <w:r>
        <w:t>P</w:t>
      </w:r>
      <w:r w:rsidR="00EB6B1D" w:rsidRPr="00EB6B1D">
        <w:t xml:space="preserve">lease note participation in the M36 program will be limited to Public Water Suppliers that are located within communities that are either not subject to, or in compliance with M.G.L. CH.40A §3A, the MBTA Communities Act Law. For more information, </w:t>
      </w:r>
      <w:r w:rsidR="004131A2">
        <w:t>visit</w:t>
      </w:r>
      <w:r w:rsidR="00EB6B1D" w:rsidRPr="00EB6B1D">
        <w:t xml:space="preserve"> </w:t>
      </w:r>
      <w:hyperlink r:id="rId15">
        <w:r w:rsidR="004131A2">
          <w:rPr>
            <w:rStyle w:val="Hyperlink"/>
            <w:color w:val="0000FF"/>
          </w:rPr>
          <w:t>MBTA Communities Act Compliance Resources</w:t>
        </w:r>
      </w:hyperlink>
      <w:r w:rsidR="004131A2">
        <w:t xml:space="preserve"> on Mass.gov. </w:t>
      </w:r>
    </w:p>
    <w:p w14:paraId="2DDA6279" w14:textId="797583E4" w:rsidR="00FA1BFB" w:rsidRDefault="00FA13AC" w:rsidP="006D4921">
      <w:pPr>
        <w:pStyle w:val="Heading1"/>
      </w:pPr>
      <w:r>
        <w:t>RFI</w:t>
      </w:r>
      <w:r>
        <w:rPr>
          <w:spacing w:val="-6"/>
        </w:rPr>
        <w:t xml:space="preserve"> </w:t>
      </w:r>
      <w:r w:rsidR="00073FB9">
        <w:t>Application</w:t>
      </w:r>
      <w:r w:rsidR="00073FB9">
        <w:rPr>
          <w:spacing w:val="-5"/>
        </w:rPr>
        <w:t xml:space="preserve"> </w:t>
      </w:r>
      <w:r w:rsidR="00073FB9" w:rsidRPr="006D4921">
        <w:rPr>
          <w:rStyle w:val="Heading1Char"/>
        </w:rPr>
        <w:t>Process</w:t>
      </w:r>
    </w:p>
    <w:p w14:paraId="2DDA627A" w14:textId="77777777" w:rsidR="00FA1BFB" w:rsidRPr="006D4921" w:rsidRDefault="00FA13AC" w:rsidP="006D4921">
      <w:pPr>
        <w:pStyle w:val="BodyText"/>
      </w:pPr>
      <w:r w:rsidRPr="006D4921">
        <w:t>RFI Applications are reviewed and recommended by a screening committee at MassDEP.</w:t>
      </w:r>
    </w:p>
    <w:p w14:paraId="2DDA627B" w14:textId="6051D091" w:rsidR="00FA1BFB" w:rsidRDefault="00FA13AC" w:rsidP="006D4921">
      <w:pPr>
        <w:pStyle w:val="Heading1"/>
      </w:pPr>
      <w:r>
        <w:t>RFI</w:t>
      </w:r>
      <w:r>
        <w:rPr>
          <w:spacing w:val="-6"/>
        </w:rPr>
        <w:t xml:space="preserve"> </w:t>
      </w:r>
      <w:r w:rsidR="00073FB9">
        <w:t>Evaluation</w:t>
      </w:r>
      <w:r w:rsidR="00073FB9">
        <w:rPr>
          <w:spacing w:val="-6"/>
        </w:rPr>
        <w:t xml:space="preserve"> </w:t>
      </w:r>
      <w:r w:rsidR="00073FB9">
        <w:t>Criteria</w:t>
      </w:r>
    </w:p>
    <w:p w14:paraId="2DDA627C" w14:textId="32CDB446" w:rsidR="00FA1BFB" w:rsidRDefault="00FA13AC" w:rsidP="006D4921">
      <w:pPr>
        <w:pStyle w:val="BodyText"/>
      </w:pPr>
      <w:r>
        <w:t>Special</w:t>
      </w:r>
      <w:r>
        <w:rPr>
          <w:spacing w:val="-10"/>
        </w:rPr>
        <w:t xml:space="preserve"> </w:t>
      </w:r>
      <w:r>
        <w:t>consideration</w:t>
      </w:r>
      <w:r>
        <w:rPr>
          <w:spacing w:val="-10"/>
        </w:rPr>
        <w:t xml:space="preserve"> </w:t>
      </w:r>
      <w:r>
        <w:t>will</w:t>
      </w:r>
      <w:r>
        <w:rPr>
          <w:spacing w:val="-10"/>
        </w:rPr>
        <w:t xml:space="preserve"> </w:t>
      </w:r>
      <w:r>
        <w:t>be</w:t>
      </w:r>
      <w:r>
        <w:rPr>
          <w:spacing w:val="-9"/>
        </w:rPr>
        <w:t xml:space="preserve"> </w:t>
      </w:r>
      <w:r>
        <w:t>given</w:t>
      </w:r>
      <w:r>
        <w:rPr>
          <w:spacing w:val="-10"/>
        </w:rPr>
        <w:t xml:space="preserve"> </w:t>
      </w:r>
      <w:r>
        <w:t>to</w:t>
      </w:r>
      <w:r>
        <w:rPr>
          <w:spacing w:val="-8"/>
        </w:rPr>
        <w:t xml:space="preserve"> </w:t>
      </w:r>
      <w:r>
        <w:t>public</w:t>
      </w:r>
      <w:r>
        <w:rPr>
          <w:spacing w:val="-9"/>
        </w:rPr>
        <w:t xml:space="preserve"> </w:t>
      </w:r>
      <w:r>
        <w:t>water</w:t>
      </w:r>
      <w:r>
        <w:rPr>
          <w:spacing w:val="-10"/>
        </w:rPr>
        <w:t xml:space="preserve"> </w:t>
      </w:r>
      <w:r>
        <w:t>suppliers</w:t>
      </w:r>
      <w:r>
        <w:rPr>
          <w:spacing w:val="-10"/>
        </w:rPr>
        <w:t xml:space="preserve"> </w:t>
      </w:r>
      <w:r>
        <w:t>that</w:t>
      </w:r>
      <w:r>
        <w:rPr>
          <w:spacing w:val="-9"/>
        </w:rPr>
        <w:t xml:space="preserve"> </w:t>
      </w:r>
      <w:r>
        <w:t>have</w:t>
      </w:r>
      <w:r>
        <w:rPr>
          <w:spacing w:val="-9"/>
        </w:rPr>
        <w:t xml:space="preserve"> </w:t>
      </w:r>
      <w:r>
        <w:t>had</w:t>
      </w:r>
      <w:r>
        <w:rPr>
          <w:spacing w:val="-10"/>
        </w:rPr>
        <w:t xml:space="preserve"> </w:t>
      </w:r>
      <w:r>
        <w:t>a</w:t>
      </w:r>
      <w:r>
        <w:rPr>
          <w:spacing w:val="-10"/>
        </w:rPr>
        <w:t xml:space="preserve"> </w:t>
      </w:r>
      <w:r>
        <w:t>consistently</w:t>
      </w:r>
      <w:r>
        <w:rPr>
          <w:spacing w:val="-9"/>
        </w:rPr>
        <w:t xml:space="preserve"> </w:t>
      </w:r>
      <w:r>
        <w:t>high</w:t>
      </w:r>
      <w:r>
        <w:rPr>
          <w:spacing w:val="-7"/>
        </w:rPr>
        <w:t xml:space="preserve"> </w:t>
      </w:r>
      <w:r>
        <w:t>MassDEP- accepted</w:t>
      </w:r>
      <w:r>
        <w:rPr>
          <w:spacing w:val="-13"/>
        </w:rPr>
        <w:t xml:space="preserve"> </w:t>
      </w:r>
      <w:r>
        <w:t>Unaccounted</w:t>
      </w:r>
      <w:r>
        <w:rPr>
          <w:spacing w:val="-12"/>
        </w:rPr>
        <w:t xml:space="preserve"> </w:t>
      </w:r>
      <w:r>
        <w:t>for</w:t>
      </w:r>
      <w:r>
        <w:rPr>
          <w:spacing w:val="-13"/>
        </w:rPr>
        <w:t xml:space="preserve"> </w:t>
      </w:r>
      <w:r>
        <w:t>Water</w:t>
      </w:r>
      <w:r>
        <w:rPr>
          <w:spacing w:val="-12"/>
        </w:rPr>
        <w:t xml:space="preserve"> </w:t>
      </w:r>
      <w:r>
        <w:t>(UAW)</w:t>
      </w:r>
      <w:r>
        <w:rPr>
          <w:spacing w:val="-13"/>
        </w:rPr>
        <w:t xml:space="preserve"> </w:t>
      </w:r>
      <w:r w:rsidR="005060E2">
        <w:t>percentage or</w:t>
      </w:r>
      <w:r>
        <w:rPr>
          <w:spacing w:val="-13"/>
        </w:rPr>
        <w:t xml:space="preserve"> </w:t>
      </w:r>
      <w:r>
        <w:t>have</w:t>
      </w:r>
      <w:r>
        <w:rPr>
          <w:spacing w:val="-12"/>
        </w:rPr>
        <w:t xml:space="preserve"> </w:t>
      </w:r>
      <w:r>
        <w:t>been</w:t>
      </w:r>
      <w:r>
        <w:rPr>
          <w:spacing w:val="-12"/>
        </w:rPr>
        <w:t xml:space="preserve"> </w:t>
      </w:r>
      <w:r>
        <w:t>unable</w:t>
      </w:r>
      <w:r>
        <w:rPr>
          <w:spacing w:val="-13"/>
        </w:rPr>
        <w:t xml:space="preserve"> </w:t>
      </w:r>
      <w:r>
        <w:t>to</w:t>
      </w:r>
      <w:r>
        <w:rPr>
          <w:spacing w:val="-12"/>
        </w:rPr>
        <w:t xml:space="preserve"> </w:t>
      </w:r>
      <w:r>
        <w:t>receive</w:t>
      </w:r>
      <w:r>
        <w:rPr>
          <w:spacing w:val="-13"/>
        </w:rPr>
        <w:t xml:space="preserve"> </w:t>
      </w:r>
      <w:r>
        <w:t>a</w:t>
      </w:r>
      <w:r>
        <w:rPr>
          <w:spacing w:val="-12"/>
        </w:rPr>
        <w:t xml:space="preserve"> </w:t>
      </w:r>
      <w:r>
        <w:t>final</w:t>
      </w:r>
      <w:r>
        <w:rPr>
          <w:spacing w:val="-13"/>
        </w:rPr>
        <w:t xml:space="preserve"> </w:t>
      </w:r>
      <w:r>
        <w:t>water</w:t>
      </w:r>
      <w:r>
        <w:rPr>
          <w:spacing w:val="-12"/>
        </w:rPr>
        <w:t xml:space="preserve"> </w:t>
      </w:r>
      <w:r>
        <w:t xml:space="preserve">needs </w:t>
      </w:r>
      <w:r>
        <w:rPr>
          <w:spacing w:val="-2"/>
        </w:rPr>
        <w:t>forecast</w:t>
      </w:r>
      <w:r>
        <w:rPr>
          <w:spacing w:val="-4"/>
        </w:rPr>
        <w:t xml:space="preserve"> </w:t>
      </w:r>
      <w:r>
        <w:rPr>
          <w:spacing w:val="-2"/>
        </w:rPr>
        <w:t>from</w:t>
      </w:r>
      <w:r>
        <w:rPr>
          <w:spacing w:val="-6"/>
        </w:rPr>
        <w:t xml:space="preserve"> </w:t>
      </w:r>
      <w:r>
        <w:rPr>
          <w:spacing w:val="-2"/>
        </w:rPr>
        <w:t>the</w:t>
      </w:r>
      <w:r>
        <w:rPr>
          <w:spacing w:val="-4"/>
        </w:rPr>
        <w:t xml:space="preserve"> </w:t>
      </w:r>
      <w:r>
        <w:rPr>
          <w:spacing w:val="-2"/>
        </w:rPr>
        <w:t>Department</w:t>
      </w:r>
      <w:r>
        <w:rPr>
          <w:spacing w:val="-4"/>
        </w:rPr>
        <w:t xml:space="preserve"> </w:t>
      </w:r>
      <w:r>
        <w:rPr>
          <w:spacing w:val="-2"/>
        </w:rPr>
        <w:t>of</w:t>
      </w:r>
      <w:r>
        <w:rPr>
          <w:spacing w:val="-5"/>
        </w:rPr>
        <w:t xml:space="preserve"> </w:t>
      </w:r>
      <w:r>
        <w:rPr>
          <w:spacing w:val="-2"/>
        </w:rPr>
        <w:t>Conservation</w:t>
      </w:r>
      <w:r>
        <w:rPr>
          <w:spacing w:val="-5"/>
        </w:rPr>
        <w:t xml:space="preserve"> </w:t>
      </w:r>
      <w:r>
        <w:rPr>
          <w:spacing w:val="-2"/>
        </w:rPr>
        <w:t>and</w:t>
      </w:r>
      <w:r>
        <w:rPr>
          <w:spacing w:val="-5"/>
        </w:rPr>
        <w:t xml:space="preserve"> </w:t>
      </w:r>
      <w:r>
        <w:rPr>
          <w:spacing w:val="-2"/>
        </w:rPr>
        <w:t>Recreation</w:t>
      </w:r>
      <w:r>
        <w:rPr>
          <w:spacing w:val="-5"/>
        </w:rPr>
        <w:t xml:space="preserve"> </w:t>
      </w:r>
      <w:r>
        <w:rPr>
          <w:spacing w:val="-2"/>
        </w:rPr>
        <w:t>because</w:t>
      </w:r>
      <w:r>
        <w:rPr>
          <w:spacing w:val="-4"/>
        </w:rPr>
        <w:t xml:space="preserve"> </w:t>
      </w:r>
      <w:r>
        <w:rPr>
          <w:spacing w:val="-2"/>
        </w:rPr>
        <w:t>of</w:t>
      </w:r>
      <w:r>
        <w:rPr>
          <w:spacing w:val="-5"/>
        </w:rPr>
        <w:t xml:space="preserve"> </w:t>
      </w:r>
      <w:r>
        <w:rPr>
          <w:spacing w:val="-2"/>
        </w:rPr>
        <w:t>high</w:t>
      </w:r>
      <w:r>
        <w:rPr>
          <w:spacing w:val="-5"/>
        </w:rPr>
        <w:t xml:space="preserve"> </w:t>
      </w:r>
      <w:r>
        <w:rPr>
          <w:spacing w:val="-2"/>
        </w:rPr>
        <w:t>UAW</w:t>
      </w:r>
      <w:r>
        <w:rPr>
          <w:spacing w:val="-4"/>
        </w:rPr>
        <w:t xml:space="preserve"> </w:t>
      </w:r>
      <w:r>
        <w:rPr>
          <w:spacing w:val="-2"/>
        </w:rPr>
        <w:t>or</w:t>
      </w:r>
      <w:r>
        <w:rPr>
          <w:spacing w:val="-5"/>
        </w:rPr>
        <w:t xml:space="preserve"> </w:t>
      </w:r>
      <w:r>
        <w:rPr>
          <w:spacing w:val="-2"/>
        </w:rPr>
        <w:t>other</w:t>
      </w:r>
      <w:r>
        <w:rPr>
          <w:spacing w:val="-5"/>
        </w:rPr>
        <w:t xml:space="preserve"> </w:t>
      </w:r>
      <w:r>
        <w:rPr>
          <w:spacing w:val="-2"/>
        </w:rPr>
        <w:t xml:space="preserve">accounting </w:t>
      </w:r>
      <w:r>
        <w:t>issues.</w:t>
      </w:r>
      <w:r>
        <w:rPr>
          <w:spacing w:val="40"/>
        </w:rPr>
        <w:t xml:space="preserve"> </w:t>
      </w:r>
      <w:r>
        <w:t>Please</w:t>
      </w:r>
      <w:r>
        <w:rPr>
          <w:spacing w:val="-5"/>
        </w:rPr>
        <w:t xml:space="preserve"> </w:t>
      </w:r>
      <w:r>
        <w:t>see</w:t>
      </w:r>
      <w:r>
        <w:rPr>
          <w:spacing w:val="-4"/>
        </w:rPr>
        <w:t xml:space="preserve"> </w:t>
      </w:r>
      <w:hyperlink r:id="rId16">
        <w:r w:rsidR="004131A2">
          <w:rPr>
            <w:color w:val="0000FF"/>
            <w:u w:val="single" w:color="0000FF"/>
          </w:rPr>
          <w:t>Public Water Supply Tools, Resources &amp; Performance Standards</w:t>
        </w:r>
      </w:hyperlink>
      <w:r w:rsidR="004131A2">
        <w:t xml:space="preserve"> Mass.gov f</w:t>
      </w:r>
      <w:r>
        <w:t>or</w:t>
      </w:r>
      <w:r>
        <w:rPr>
          <w:spacing w:val="-6"/>
        </w:rPr>
        <w:t xml:space="preserve"> </w:t>
      </w:r>
      <w:r>
        <w:t>a current</w:t>
      </w:r>
      <w:r>
        <w:rPr>
          <w:spacing w:val="-7"/>
        </w:rPr>
        <w:t xml:space="preserve"> </w:t>
      </w:r>
      <w:r>
        <w:t>list</w:t>
      </w:r>
      <w:r>
        <w:rPr>
          <w:spacing w:val="-7"/>
        </w:rPr>
        <w:t xml:space="preserve"> </w:t>
      </w:r>
      <w:r>
        <w:t>of</w:t>
      </w:r>
      <w:r>
        <w:rPr>
          <w:spacing w:val="-8"/>
        </w:rPr>
        <w:t xml:space="preserve"> </w:t>
      </w:r>
      <w:r>
        <w:t>public</w:t>
      </w:r>
      <w:r>
        <w:rPr>
          <w:spacing w:val="-7"/>
        </w:rPr>
        <w:t xml:space="preserve"> </w:t>
      </w:r>
      <w:r>
        <w:t>water</w:t>
      </w:r>
      <w:r>
        <w:rPr>
          <w:spacing w:val="-8"/>
        </w:rPr>
        <w:t xml:space="preserve"> </w:t>
      </w:r>
      <w:r>
        <w:t>suppliers</w:t>
      </w:r>
      <w:r>
        <w:rPr>
          <w:spacing w:val="-8"/>
        </w:rPr>
        <w:t xml:space="preserve"> </w:t>
      </w:r>
      <w:r>
        <w:t>and</w:t>
      </w:r>
      <w:r>
        <w:rPr>
          <w:spacing w:val="-8"/>
        </w:rPr>
        <w:t xml:space="preserve"> </w:t>
      </w:r>
      <w:r>
        <w:t>their</w:t>
      </w:r>
      <w:r>
        <w:rPr>
          <w:spacing w:val="-6"/>
        </w:rPr>
        <w:t xml:space="preserve"> </w:t>
      </w:r>
      <w:r>
        <w:t>MassDEP-approved</w:t>
      </w:r>
      <w:r>
        <w:rPr>
          <w:spacing w:val="-8"/>
        </w:rPr>
        <w:t xml:space="preserve"> </w:t>
      </w:r>
      <w:r>
        <w:t>UAW</w:t>
      </w:r>
      <w:r>
        <w:rPr>
          <w:spacing w:val="-7"/>
        </w:rPr>
        <w:t xml:space="preserve"> </w:t>
      </w:r>
      <w:r>
        <w:t>values.</w:t>
      </w:r>
      <w:r>
        <w:rPr>
          <w:spacing w:val="37"/>
        </w:rPr>
        <w:t xml:space="preserve"> </w:t>
      </w:r>
      <w:r>
        <w:t>For</w:t>
      </w:r>
      <w:r>
        <w:rPr>
          <w:spacing w:val="-8"/>
        </w:rPr>
        <w:t xml:space="preserve"> </w:t>
      </w:r>
      <w:r>
        <w:t>a</w:t>
      </w:r>
      <w:r>
        <w:rPr>
          <w:spacing w:val="-8"/>
        </w:rPr>
        <w:t xml:space="preserve"> </w:t>
      </w:r>
      <w:r>
        <w:t>full</w:t>
      </w:r>
      <w:r>
        <w:rPr>
          <w:spacing w:val="-8"/>
        </w:rPr>
        <w:t xml:space="preserve"> </w:t>
      </w:r>
      <w:r>
        <w:t>description</w:t>
      </w:r>
      <w:r>
        <w:rPr>
          <w:spacing w:val="-8"/>
        </w:rPr>
        <w:t xml:space="preserve"> </w:t>
      </w:r>
      <w:r>
        <w:t>of the</w:t>
      </w:r>
      <w:r>
        <w:rPr>
          <w:spacing w:val="-5"/>
        </w:rPr>
        <w:t xml:space="preserve"> </w:t>
      </w:r>
      <w:r>
        <w:t>RFI</w:t>
      </w:r>
      <w:r>
        <w:rPr>
          <w:spacing w:val="-6"/>
        </w:rPr>
        <w:t xml:space="preserve"> </w:t>
      </w:r>
      <w:r>
        <w:t>Evaluation</w:t>
      </w:r>
      <w:r>
        <w:rPr>
          <w:spacing w:val="-6"/>
        </w:rPr>
        <w:t xml:space="preserve"> </w:t>
      </w:r>
      <w:r>
        <w:t>Criteria,</w:t>
      </w:r>
      <w:r>
        <w:rPr>
          <w:spacing w:val="-4"/>
        </w:rPr>
        <w:t xml:space="preserve"> </w:t>
      </w:r>
      <w:r>
        <w:t>please</w:t>
      </w:r>
      <w:r>
        <w:rPr>
          <w:spacing w:val="-5"/>
        </w:rPr>
        <w:t xml:space="preserve"> </w:t>
      </w:r>
      <w:r>
        <w:t>see</w:t>
      </w:r>
      <w:r>
        <w:rPr>
          <w:spacing w:val="-5"/>
        </w:rPr>
        <w:t xml:space="preserve"> </w:t>
      </w:r>
      <w:r>
        <w:t>the</w:t>
      </w:r>
      <w:r>
        <w:rPr>
          <w:spacing w:val="-5"/>
        </w:rPr>
        <w:t xml:space="preserve"> </w:t>
      </w:r>
      <w:r>
        <w:t>RFI,</w:t>
      </w:r>
      <w:r>
        <w:rPr>
          <w:spacing w:val="-6"/>
        </w:rPr>
        <w:t xml:space="preserve"> </w:t>
      </w:r>
      <w:r>
        <w:t>which</w:t>
      </w:r>
      <w:r>
        <w:rPr>
          <w:spacing w:val="-6"/>
        </w:rPr>
        <w:t xml:space="preserve"> </w:t>
      </w:r>
      <w:r>
        <w:t>is</w:t>
      </w:r>
      <w:r>
        <w:rPr>
          <w:spacing w:val="-6"/>
        </w:rPr>
        <w:t xml:space="preserve"> </w:t>
      </w:r>
      <w:r>
        <w:t>posted</w:t>
      </w:r>
      <w:r>
        <w:rPr>
          <w:spacing w:val="-6"/>
        </w:rPr>
        <w:t xml:space="preserve"> </w:t>
      </w:r>
      <w:r>
        <w:t>on</w:t>
      </w:r>
      <w:r>
        <w:rPr>
          <w:spacing w:val="-6"/>
        </w:rPr>
        <w:t xml:space="preserve"> </w:t>
      </w:r>
      <w:r>
        <w:t>MassDEP’s</w:t>
      </w:r>
      <w:r>
        <w:rPr>
          <w:spacing w:val="-6"/>
        </w:rPr>
        <w:t xml:space="preserve"> </w:t>
      </w:r>
      <w:r>
        <w:t>website</w:t>
      </w:r>
      <w:r>
        <w:rPr>
          <w:spacing w:val="-5"/>
        </w:rPr>
        <w:t xml:space="preserve"> </w:t>
      </w:r>
      <w:r>
        <w:t>at</w:t>
      </w:r>
      <w:r>
        <w:rPr>
          <w:spacing w:val="-5"/>
        </w:rPr>
        <w:t xml:space="preserve"> </w:t>
      </w:r>
      <w:r>
        <w:t>the</w:t>
      </w:r>
      <w:r>
        <w:rPr>
          <w:spacing w:val="-5"/>
        </w:rPr>
        <w:t xml:space="preserve"> </w:t>
      </w:r>
      <w:r>
        <w:t>link</w:t>
      </w:r>
      <w:r>
        <w:rPr>
          <w:spacing w:val="-5"/>
        </w:rPr>
        <w:t xml:space="preserve"> </w:t>
      </w:r>
      <w:r>
        <w:t>below.</w:t>
      </w:r>
    </w:p>
    <w:p w14:paraId="3B41F5F9" w14:textId="647D2AB3" w:rsidR="00073FB9" w:rsidRPr="00073FB9" w:rsidRDefault="00073FB9" w:rsidP="00073FB9">
      <w:pPr>
        <w:pStyle w:val="Heading2"/>
      </w:pPr>
      <w:r w:rsidRPr="00073FB9">
        <w:t>Disadvantaged Communities</w:t>
      </w:r>
    </w:p>
    <w:p w14:paraId="5A7BE8F7" w14:textId="36BAEE15" w:rsidR="00073FB9" w:rsidRDefault="00073FB9" w:rsidP="00073FB9">
      <w:pPr>
        <w:pStyle w:val="BodyText"/>
      </w:pPr>
      <w:r w:rsidRPr="00B73CE6">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17" w:anchor="disadvantaged-community-designation" w:tgtFrame="_blank" w:tooltip="https://www.mass.gov/info-details/the-disadvantaged-community-loan-forgiveness-program#disadvantaged-community-designation" w:history="1">
        <w:r w:rsidRPr="00073FB9">
          <w:rPr>
            <w:rStyle w:val="Hyperlink"/>
          </w:rPr>
          <w:t>The Disadvantaged Community Loan Forgiveness Program</w:t>
        </w:r>
      </w:hyperlink>
      <w:r>
        <w:t xml:space="preserve"> website on Mass.gov. </w:t>
      </w:r>
    </w:p>
    <w:p w14:paraId="2DDA627F" w14:textId="2B93ADF6" w:rsidR="00FA1BFB" w:rsidRDefault="00073FB9" w:rsidP="00073FB9">
      <w:pPr>
        <w:pStyle w:val="Heading1"/>
      </w:pPr>
      <w:r>
        <w:t>Additional</w:t>
      </w:r>
      <w:r>
        <w:rPr>
          <w:spacing w:val="-9"/>
        </w:rPr>
        <w:t xml:space="preserve"> </w:t>
      </w:r>
      <w:r>
        <w:rPr>
          <w:spacing w:val="-2"/>
        </w:rPr>
        <w:t>Information</w:t>
      </w:r>
    </w:p>
    <w:p w14:paraId="2DDA6281" w14:textId="25D2402B" w:rsidR="00FA1BFB" w:rsidRDefault="00FA13AC" w:rsidP="006D4921">
      <w:pPr>
        <w:pStyle w:val="BodyText"/>
      </w:pPr>
      <w:r>
        <w:t>Please</w:t>
      </w:r>
      <w:r>
        <w:rPr>
          <w:spacing w:val="-13"/>
        </w:rPr>
        <w:t xml:space="preserve"> </w:t>
      </w:r>
      <w:r>
        <w:t>see</w:t>
      </w:r>
      <w:r>
        <w:rPr>
          <w:spacing w:val="-12"/>
        </w:rPr>
        <w:t xml:space="preserve"> </w:t>
      </w:r>
      <w:hyperlink r:id="rId18">
        <w:r w:rsidR="00073FB9">
          <w:rPr>
            <w:color w:val="0000FF"/>
            <w:u w:val="single" w:color="0000FF"/>
          </w:rPr>
          <w:t>the Water Management Act website</w:t>
        </w:r>
      </w:hyperlink>
      <w:r>
        <w:rPr>
          <w:color w:val="0000FF"/>
        </w:rPr>
        <w:t xml:space="preserve"> </w:t>
      </w:r>
      <w:r w:rsidR="005060E2">
        <w:t>f</w:t>
      </w:r>
      <w:r>
        <w:t>or</w:t>
      </w:r>
      <w:r>
        <w:rPr>
          <w:spacing w:val="-3"/>
        </w:rPr>
        <w:t xml:space="preserve"> </w:t>
      </w:r>
      <w:r>
        <w:t>the</w:t>
      </w:r>
      <w:r>
        <w:rPr>
          <w:spacing w:val="-3"/>
        </w:rPr>
        <w:t xml:space="preserve"> </w:t>
      </w:r>
      <w:r>
        <w:t>RFI</w:t>
      </w:r>
      <w:r>
        <w:rPr>
          <w:spacing w:val="-3"/>
        </w:rPr>
        <w:t xml:space="preserve"> </w:t>
      </w:r>
      <w:r>
        <w:t>document,</w:t>
      </w:r>
      <w:r>
        <w:rPr>
          <w:spacing w:val="-3"/>
        </w:rPr>
        <w:t xml:space="preserve"> </w:t>
      </w:r>
      <w:r>
        <w:t>and</w:t>
      </w:r>
      <w:r>
        <w:rPr>
          <w:spacing w:val="-5"/>
        </w:rPr>
        <w:t xml:space="preserve"> </w:t>
      </w:r>
      <w:r>
        <w:t>for</w:t>
      </w:r>
      <w:r>
        <w:rPr>
          <w:spacing w:val="-3"/>
        </w:rPr>
        <w:t xml:space="preserve"> </w:t>
      </w:r>
      <w:r>
        <w:t>details</w:t>
      </w:r>
      <w:r>
        <w:rPr>
          <w:spacing w:val="-5"/>
        </w:rPr>
        <w:t xml:space="preserve"> </w:t>
      </w:r>
      <w:r>
        <w:t>on</w:t>
      </w:r>
      <w:r>
        <w:rPr>
          <w:spacing w:val="-4"/>
        </w:rPr>
        <w:t xml:space="preserve"> </w:t>
      </w:r>
      <w:r>
        <w:t>how</w:t>
      </w:r>
      <w:r>
        <w:rPr>
          <w:spacing w:val="-1"/>
        </w:rPr>
        <w:t xml:space="preserve"> </w:t>
      </w:r>
      <w:r>
        <w:t>to</w:t>
      </w:r>
      <w:r>
        <w:rPr>
          <w:spacing w:val="-2"/>
        </w:rPr>
        <w:t xml:space="preserve"> </w:t>
      </w:r>
      <w:r>
        <w:t>respond</w:t>
      </w:r>
      <w:r>
        <w:rPr>
          <w:spacing w:val="-3"/>
        </w:rPr>
        <w:t xml:space="preserve"> </w:t>
      </w:r>
      <w:r>
        <w:t>to</w:t>
      </w:r>
      <w:r>
        <w:rPr>
          <w:spacing w:val="-2"/>
        </w:rPr>
        <w:t xml:space="preserve"> </w:t>
      </w:r>
      <w:r>
        <w:t>this</w:t>
      </w:r>
      <w:r>
        <w:rPr>
          <w:spacing w:val="-5"/>
        </w:rPr>
        <w:t xml:space="preserve"> </w:t>
      </w:r>
      <w:r>
        <w:rPr>
          <w:spacing w:val="-4"/>
        </w:rPr>
        <w:t>RFI.</w:t>
      </w:r>
    </w:p>
    <w:p w14:paraId="2DDA6283" w14:textId="77777777" w:rsidR="00FA1BFB" w:rsidRDefault="00FA1BFB" w:rsidP="006D4921">
      <w:pPr>
        <w:pStyle w:val="BodyText"/>
      </w:pPr>
    </w:p>
    <w:p w14:paraId="2DDA6284" w14:textId="77777777" w:rsidR="00FA1BFB" w:rsidRDefault="00FA1BFB" w:rsidP="006D4921">
      <w:pPr>
        <w:pStyle w:val="BodyText"/>
      </w:pPr>
    </w:p>
    <w:p w14:paraId="2DDA6285" w14:textId="77777777" w:rsidR="00FA1BFB" w:rsidRDefault="00FA1BFB" w:rsidP="006D4921">
      <w:pPr>
        <w:pStyle w:val="BodyText"/>
      </w:pPr>
    </w:p>
    <w:p w14:paraId="0110FC24" w14:textId="77777777" w:rsidR="00073FB9" w:rsidRPr="00073FB9" w:rsidRDefault="00073FB9" w:rsidP="00073FB9">
      <w:pPr>
        <w:pStyle w:val="BodyText"/>
        <w:spacing w:before="120"/>
        <w:ind w:left="734"/>
        <w:jc w:val="center"/>
        <w:rPr>
          <w:b/>
          <w:bCs/>
          <w:color w:val="00703C"/>
        </w:rPr>
      </w:pPr>
      <w:r w:rsidRPr="00073FB9">
        <w:rPr>
          <w:b/>
          <w:bCs/>
          <w:color w:val="00703C"/>
        </w:rPr>
        <w:t>This information is available in alternate format. Contact Glynis Bugg at 617-348-4040.</w:t>
      </w:r>
    </w:p>
    <w:p w14:paraId="03A59712" w14:textId="77777777" w:rsidR="00073FB9" w:rsidRPr="00073FB9" w:rsidRDefault="00073FB9" w:rsidP="00073FB9">
      <w:pPr>
        <w:pStyle w:val="BodyText"/>
        <w:spacing w:before="120"/>
        <w:ind w:left="734"/>
        <w:jc w:val="center"/>
        <w:rPr>
          <w:b/>
          <w:bCs/>
          <w:color w:val="00703C"/>
        </w:rPr>
      </w:pPr>
      <w:r w:rsidRPr="00073FB9">
        <w:rPr>
          <w:b/>
          <w:bCs/>
          <w:color w:val="00703C"/>
        </w:rPr>
        <w:t>TTY# MassRelay Service 1-800-439-2370</w:t>
      </w:r>
    </w:p>
    <w:p w14:paraId="2DDA6286" w14:textId="02A1448B" w:rsidR="00FA1BFB" w:rsidRPr="00073FB9" w:rsidRDefault="00073FB9" w:rsidP="00073FB9">
      <w:pPr>
        <w:pStyle w:val="BodyText"/>
        <w:spacing w:before="120"/>
        <w:ind w:left="734"/>
        <w:jc w:val="center"/>
        <w:rPr>
          <w:b/>
          <w:bCs/>
          <w:color w:val="00703C"/>
        </w:rPr>
      </w:pPr>
      <w:r w:rsidRPr="00073FB9">
        <w:rPr>
          <w:b/>
          <w:bCs/>
          <w:color w:val="00703C"/>
        </w:rPr>
        <w:t>MassDEP Website: www.mass.gov/dep</w:t>
      </w:r>
    </w:p>
    <w:sectPr w:rsidR="00FA1BFB" w:rsidRPr="00073FB9" w:rsidSect="00073FB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AD89" w14:textId="77777777" w:rsidR="0026726E" w:rsidRDefault="0026726E" w:rsidP="00073FB9">
      <w:r>
        <w:separator/>
      </w:r>
    </w:p>
  </w:endnote>
  <w:endnote w:type="continuationSeparator" w:id="0">
    <w:p w14:paraId="23F19A46" w14:textId="77777777" w:rsidR="0026726E" w:rsidRDefault="0026726E" w:rsidP="0007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ECAB" w14:textId="77777777" w:rsidR="0026726E" w:rsidRDefault="0026726E" w:rsidP="00073FB9">
      <w:r>
        <w:separator/>
      </w:r>
    </w:p>
  </w:footnote>
  <w:footnote w:type="continuationSeparator" w:id="0">
    <w:p w14:paraId="1D978649" w14:textId="77777777" w:rsidR="0026726E" w:rsidRDefault="0026726E" w:rsidP="0007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FB"/>
    <w:rsid w:val="00073FB9"/>
    <w:rsid w:val="0026726E"/>
    <w:rsid w:val="004131A2"/>
    <w:rsid w:val="005060E2"/>
    <w:rsid w:val="0065045E"/>
    <w:rsid w:val="006D4921"/>
    <w:rsid w:val="00860CFD"/>
    <w:rsid w:val="00B06978"/>
    <w:rsid w:val="00D2461A"/>
    <w:rsid w:val="00D33200"/>
    <w:rsid w:val="00D9098F"/>
    <w:rsid w:val="00E86DC6"/>
    <w:rsid w:val="00EB6B1D"/>
    <w:rsid w:val="00FA13AC"/>
    <w:rsid w:val="00FA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A6256"/>
  <w15:docId w15:val="{ACD4B069-6F8C-4091-AB3D-ACEA6D4E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EB6B1D"/>
    <w:pPr>
      <w:keepNext/>
      <w:keepLines/>
      <w:spacing w:before="240"/>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unhideWhenUsed/>
    <w:qFormat/>
    <w:rsid w:val="00073FB9"/>
    <w:pPr>
      <w:keepNext/>
      <w:keepLines/>
      <w:tabs>
        <w:tab w:val="left" w:pos="720"/>
      </w:tabs>
      <w:spacing w:before="120" w:after="120"/>
      <w:ind w:left="810"/>
      <w:outlineLvl w:val="1"/>
    </w:pPr>
    <w:rPr>
      <w:rFonts w:asciiTheme="majorHAnsi" w:eastAsiaTheme="majorEastAsia" w:hAnsiTheme="majorHAnsi" w:cstheme="majorBidi"/>
      <w:color w:val="00703C"/>
      <w:spacing w:val="2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4921"/>
    <w:pPr>
      <w:spacing w:before="240" w:line="276" w:lineRule="auto"/>
      <w:ind w:left="740"/>
    </w:pPr>
    <w:rPr>
      <w:rFonts w:asciiTheme="minorHAnsi" w:hAnsiTheme="minorHAns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6B1D"/>
    <w:rPr>
      <w:color w:val="0000FF" w:themeColor="hyperlink"/>
      <w:u w:val="single"/>
    </w:rPr>
  </w:style>
  <w:style w:type="paragraph" w:styleId="Title">
    <w:name w:val="Title"/>
    <w:basedOn w:val="Normal"/>
    <w:next w:val="Normal"/>
    <w:link w:val="TitleChar"/>
    <w:uiPriority w:val="10"/>
    <w:qFormat/>
    <w:rsid w:val="00EB6B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B1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B6B1D"/>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B6B1D"/>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9"/>
    <w:rsid w:val="00073FB9"/>
    <w:rPr>
      <w:rFonts w:asciiTheme="majorHAnsi" w:eastAsiaTheme="majorEastAsia" w:hAnsiTheme="majorHAnsi" w:cstheme="majorBidi"/>
      <w:color w:val="00703C"/>
      <w:spacing w:val="24"/>
      <w:sz w:val="26"/>
      <w:szCs w:val="26"/>
    </w:rPr>
  </w:style>
  <w:style w:type="character" w:styleId="UnresolvedMention">
    <w:name w:val="Unresolved Mention"/>
    <w:basedOn w:val="DefaultParagraphFont"/>
    <w:uiPriority w:val="99"/>
    <w:semiHidden/>
    <w:unhideWhenUsed/>
    <w:rsid w:val="00073FB9"/>
    <w:rPr>
      <w:color w:val="605E5C"/>
      <w:shd w:val="clear" w:color="auto" w:fill="E1DFDD"/>
    </w:rPr>
  </w:style>
  <w:style w:type="paragraph" w:styleId="Header">
    <w:name w:val="header"/>
    <w:basedOn w:val="Normal"/>
    <w:link w:val="HeaderChar"/>
    <w:uiPriority w:val="99"/>
    <w:unhideWhenUsed/>
    <w:rsid w:val="00073FB9"/>
    <w:pPr>
      <w:tabs>
        <w:tab w:val="center" w:pos="4680"/>
        <w:tab w:val="right" w:pos="9360"/>
      </w:tabs>
    </w:pPr>
  </w:style>
  <w:style w:type="character" w:customStyle="1" w:styleId="HeaderChar">
    <w:name w:val="Header Char"/>
    <w:basedOn w:val="DefaultParagraphFont"/>
    <w:link w:val="Header"/>
    <w:uiPriority w:val="99"/>
    <w:rsid w:val="00073FB9"/>
    <w:rPr>
      <w:rFonts w:ascii="Calibri" w:eastAsia="Calibri" w:hAnsi="Calibri" w:cs="Calibri"/>
    </w:rPr>
  </w:style>
  <w:style w:type="paragraph" w:styleId="Footer">
    <w:name w:val="footer"/>
    <w:basedOn w:val="Normal"/>
    <w:link w:val="FooterChar"/>
    <w:uiPriority w:val="99"/>
    <w:unhideWhenUsed/>
    <w:rsid w:val="00073FB9"/>
    <w:pPr>
      <w:tabs>
        <w:tab w:val="center" w:pos="4680"/>
        <w:tab w:val="right" w:pos="9360"/>
      </w:tabs>
    </w:pPr>
  </w:style>
  <w:style w:type="character" w:customStyle="1" w:styleId="FooterChar">
    <w:name w:val="Footer Char"/>
    <w:basedOn w:val="DefaultParagraphFont"/>
    <w:link w:val="Footer"/>
    <w:uiPriority w:val="99"/>
    <w:rsid w:val="00073FB9"/>
    <w:rPr>
      <w:rFonts w:ascii="Calibri" w:eastAsia="Calibri" w:hAnsi="Calibri" w:cs="Calibri"/>
    </w:rPr>
  </w:style>
  <w:style w:type="character" w:styleId="FollowedHyperlink">
    <w:name w:val="FollowedHyperlink"/>
    <w:basedOn w:val="DefaultParagraphFont"/>
    <w:uiPriority w:val="99"/>
    <w:semiHidden/>
    <w:unhideWhenUsed/>
    <w:rsid w:val="00073FB9"/>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mbuys.com" TargetMode="External"/><Relationship Id="rId18" Type="http://schemas.openxmlformats.org/officeDocument/2006/relationships/hyperlink" Target="https://www.mass.gov/service-details/water-management-act-grant-programs-for-public-water-suppli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mass.gov/info-details/the-disadvantaged-community-loan-forgiveness-program" TargetMode="External"/><Relationship Id="rId2" Type="http://schemas.openxmlformats.org/officeDocument/2006/relationships/customXml" Target="../customXml/item2.xml"/><Relationship Id="rId16" Type="http://schemas.openxmlformats.org/officeDocument/2006/relationships/hyperlink" Target="https://www.mass.gov/service-details/public-water-supply-tools-resources-performance-stand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mass.gov/info-details/multi-family-zoning-requirement-for-mbta-communitie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mass.gov/info-details/water-resources-grants-financial-assistance"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1D86-5B8E-4657-97E5-E9CD4259EAD6}">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customXml/itemProps2.xml><?xml version="1.0" encoding="utf-8"?>
<ds:datastoreItem xmlns:ds="http://schemas.openxmlformats.org/officeDocument/2006/customXml" ds:itemID="{7D52D247-BCCE-4F60-A8ED-07B00F5B9BED}">
  <ds:schemaRefs>
    <ds:schemaRef ds:uri="http://schemas.microsoft.com/sharepoint/v3/contenttype/forms"/>
  </ds:schemaRefs>
</ds:datastoreItem>
</file>

<file path=customXml/itemProps3.xml><?xml version="1.0" encoding="utf-8"?>
<ds:datastoreItem xmlns:ds="http://schemas.openxmlformats.org/officeDocument/2006/customXml" ds:itemID="{73AA5AF3-8944-4DFE-80FC-A29DB386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F28FE-6A0F-4EB6-A241-389ACE9D7E6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Russian, Rhonda (DEP)</dc:creator>
  <cp:lastModifiedBy>Starling, Courtney (DEP)</cp:lastModifiedBy>
  <cp:revision>7</cp:revision>
  <dcterms:created xsi:type="dcterms:W3CDTF">2025-09-25T17:30:00Z</dcterms:created>
  <dcterms:modified xsi:type="dcterms:W3CDTF">2025-09-25T18:09:00Z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for Microsoft 365</vt:lpwstr>
  </property>
  <property fmtid="{D5CDD505-2E9C-101B-9397-08002B2CF9AE}" pid="4" name="LastSaved">
    <vt:filetime>2024-09-26T00:00:00Z</vt:filetime>
  </property>
  <property fmtid="{D5CDD505-2E9C-101B-9397-08002B2CF9AE}" pid="5" name="Producer">
    <vt:lpwstr>Microsoft® Word for Microsoft 365</vt:lpwstr>
  </property>
  <property fmtid="{D5CDD505-2E9C-101B-9397-08002B2CF9AE}" pid="6" name="ContentTypeId">
    <vt:lpwstr>0x010100EC4DC73760088B44ABF93A5FB50D0363</vt:lpwstr>
  </property>
  <property fmtid="{D5CDD505-2E9C-101B-9397-08002B2CF9AE}" pid="7" name="MediaServiceImageTags">
    <vt:lpwstr/>
  </property>
</Properties>
</file>