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326586" w:rsidR="006418DE" w:rsidP="006418DE" w:rsidRDefault="006418DE" w14:paraId="790B121C" w14:textId="34895732">
      <w:pPr>
        <w:pStyle w:val="Title"/>
        <w:rPr>
          <w:color w:val="333399"/>
          <w:spacing w:val="-2"/>
          <w:sz w:val="28"/>
          <w:szCs w:val="28"/>
        </w:rPr>
      </w:pPr>
      <w:r w:rsidRPr="00326586">
        <w:rPr>
          <w:noProof/>
          <w:sz w:val="18"/>
          <w:szCs w:val="28"/>
        </w:rPr>
        <w:drawing>
          <wp:anchor distT="0" distB="0" distL="114300" distR="114300" simplePos="0" relativeHeight="251660288" behindDoc="1" locked="0" layoutInCell="1" allowOverlap="1" wp14:anchorId="0680EBB2" wp14:editId="569DFBEE">
            <wp:simplePos x="0" y="0"/>
            <wp:positionH relativeFrom="column">
              <wp:posOffset>209550</wp:posOffset>
            </wp:positionH>
            <wp:positionV relativeFrom="paragraph">
              <wp:posOffset>181610</wp:posOffset>
            </wp:positionV>
            <wp:extent cx="876300" cy="1112937"/>
            <wp:effectExtent l="0" t="0" r="0" b="0"/>
            <wp:wrapTight wrapText="bothSides">
              <wp:wrapPolygon edited="0">
                <wp:start x="0" y="0"/>
                <wp:lineTo x="0" y="21082"/>
                <wp:lineTo x="21130" y="21082"/>
                <wp:lineTo x="21130" y="0"/>
                <wp:lineTo x="0" y="0"/>
              </wp:wrapPolygon>
            </wp:wrapTight>
            <wp:docPr id="1" name="image1.png" descr="Massachusett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6300" cy="1112937"/>
                    </a:xfrm>
                    <a:prstGeom prst="rect">
                      <a:avLst/>
                    </a:prstGeom>
                  </pic:spPr>
                </pic:pic>
              </a:graphicData>
            </a:graphic>
          </wp:anchor>
        </w:drawing>
      </w:r>
      <w:r w:rsidRPr="00326586" w:rsidR="00200136">
        <w:rPr>
          <w:sz w:val="28"/>
          <w:szCs w:val="28"/>
        </w:rPr>
        <w:br/>
      </w:r>
      <w:r w:rsidRPr="00326586">
        <w:rPr>
          <w:color w:val="333399"/>
          <w:sz w:val="28"/>
          <w:szCs w:val="28"/>
        </w:rPr>
        <w:t>Commonwealth</w:t>
      </w:r>
      <w:r w:rsidRPr="00326586">
        <w:rPr>
          <w:color w:val="333399"/>
          <w:spacing w:val="-1"/>
          <w:sz w:val="28"/>
          <w:szCs w:val="28"/>
        </w:rPr>
        <w:t xml:space="preserve"> </w:t>
      </w:r>
      <w:r w:rsidRPr="00326586">
        <w:rPr>
          <w:color w:val="333399"/>
          <w:sz w:val="28"/>
          <w:szCs w:val="28"/>
        </w:rPr>
        <w:t>of</w:t>
      </w:r>
      <w:r w:rsidRPr="00326586">
        <w:rPr>
          <w:color w:val="333399"/>
          <w:spacing w:val="-1"/>
          <w:sz w:val="28"/>
          <w:szCs w:val="28"/>
        </w:rPr>
        <w:t xml:space="preserve"> </w:t>
      </w:r>
      <w:r w:rsidRPr="00326586">
        <w:rPr>
          <w:color w:val="333399"/>
          <w:spacing w:val="-2"/>
          <w:sz w:val="28"/>
          <w:szCs w:val="28"/>
        </w:rPr>
        <w:t>Massachusetts</w:t>
      </w:r>
    </w:p>
    <w:p w:rsidRPr="00326586" w:rsidR="006418DE" w:rsidP="006418DE" w:rsidRDefault="006418DE" w14:paraId="38C2C55E" w14:textId="21CE3C45">
      <w:pPr>
        <w:pStyle w:val="Title"/>
        <w:rPr>
          <w:sz w:val="28"/>
          <w:szCs w:val="28"/>
        </w:rPr>
      </w:pPr>
      <w:r w:rsidRPr="00326586">
        <w:rPr>
          <w:b/>
          <w:color w:val="333399"/>
          <w:sz w:val="28"/>
          <w:szCs w:val="28"/>
        </w:rPr>
        <w:t xml:space="preserve">EXECUTIVE OFFICE OF </w:t>
      </w:r>
      <w:r w:rsidRPr="00326586">
        <w:rPr>
          <w:b/>
          <w:color w:val="333399"/>
          <w:sz w:val="28"/>
          <w:szCs w:val="28"/>
        </w:rPr>
        <w:br/>
      </w:r>
      <w:r w:rsidRPr="00326586">
        <w:rPr>
          <w:b/>
          <w:color w:val="333399"/>
          <w:sz w:val="28"/>
          <w:szCs w:val="28"/>
        </w:rPr>
        <w:t>HOUSING</w:t>
      </w:r>
      <w:r w:rsidRPr="00326586">
        <w:rPr>
          <w:b/>
          <w:color w:val="333399"/>
          <w:spacing w:val="-13"/>
          <w:sz w:val="28"/>
          <w:szCs w:val="28"/>
        </w:rPr>
        <w:t xml:space="preserve"> </w:t>
      </w:r>
      <w:r w:rsidRPr="00326586">
        <w:rPr>
          <w:b/>
          <w:color w:val="333399"/>
          <w:sz w:val="28"/>
          <w:szCs w:val="28"/>
        </w:rPr>
        <w:t>&amp;</w:t>
      </w:r>
      <w:r w:rsidRPr="00326586">
        <w:rPr>
          <w:b/>
          <w:color w:val="333399"/>
          <w:spacing w:val="-13"/>
          <w:sz w:val="28"/>
          <w:szCs w:val="28"/>
        </w:rPr>
        <w:t xml:space="preserve"> </w:t>
      </w:r>
      <w:r w:rsidRPr="00326586">
        <w:rPr>
          <w:b/>
          <w:color w:val="333399"/>
          <w:sz w:val="28"/>
          <w:szCs w:val="28"/>
        </w:rPr>
        <w:t>LIVABLE</w:t>
      </w:r>
      <w:r w:rsidRPr="00326586">
        <w:rPr>
          <w:b/>
          <w:color w:val="333399"/>
          <w:spacing w:val="-13"/>
          <w:sz w:val="28"/>
          <w:szCs w:val="28"/>
        </w:rPr>
        <w:t xml:space="preserve"> </w:t>
      </w:r>
      <w:r w:rsidRPr="00326586">
        <w:rPr>
          <w:b/>
          <w:color w:val="333399"/>
          <w:sz w:val="28"/>
          <w:szCs w:val="28"/>
        </w:rPr>
        <w:t>COMMUNITIES</w:t>
      </w:r>
    </w:p>
    <w:p w:rsidRPr="00326586" w:rsidR="00261606" w:rsidP="00261606" w:rsidRDefault="006418DE" w14:paraId="42D356E3" w14:textId="21EF80DC">
      <w:pPr>
        <w:spacing w:before="285"/>
        <w:ind w:left="462" w:right="1258"/>
        <w:jc w:val="center"/>
        <w:rPr>
          <w:rFonts w:ascii="Times New Roman" w:hAnsi="Times New Roman" w:cs="Times New Roman"/>
          <w:color w:val="333399"/>
          <w:sz w:val="14"/>
          <w:szCs w:val="20"/>
        </w:rPr>
      </w:pPr>
      <w:r w:rsidRPr="00326586">
        <w:rPr>
          <w:rFonts w:ascii="Times New Roman" w:hAnsi="Times New Roman" w:cs="Times New Roman"/>
          <w:color w:val="333399"/>
          <w:sz w:val="14"/>
          <w:szCs w:val="20"/>
        </w:rPr>
        <w:t>Maura</w:t>
      </w:r>
      <w:r w:rsidRPr="00326586">
        <w:rPr>
          <w:rFonts w:ascii="Times New Roman" w:hAnsi="Times New Roman" w:cs="Times New Roman"/>
          <w:color w:val="333399"/>
          <w:spacing w:val="-5"/>
          <w:sz w:val="14"/>
          <w:szCs w:val="20"/>
        </w:rPr>
        <w:t xml:space="preserve"> </w:t>
      </w:r>
      <w:r w:rsidRPr="00326586">
        <w:rPr>
          <w:rFonts w:ascii="Times New Roman" w:hAnsi="Times New Roman" w:cs="Times New Roman"/>
          <w:color w:val="333399"/>
          <w:sz w:val="14"/>
          <w:szCs w:val="20"/>
        </w:rPr>
        <w:t>T.</w:t>
      </w:r>
      <w:r w:rsidRPr="00326586">
        <w:rPr>
          <w:rFonts w:ascii="Times New Roman" w:hAnsi="Times New Roman" w:cs="Times New Roman"/>
          <w:color w:val="333399"/>
          <w:spacing w:val="-5"/>
          <w:sz w:val="14"/>
          <w:szCs w:val="20"/>
        </w:rPr>
        <w:t xml:space="preserve"> </w:t>
      </w:r>
      <w:r w:rsidRPr="00326586">
        <w:rPr>
          <w:rFonts w:ascii="Times New Roman" w:hAnsi="Times New Roman" w:cs="Times New Roman"/>
          <w:color w:val="333399"/>
          <w:sz w:val="14"/>
          <w:szCs w:val="20"/>
        </w:rPr>
        <w:t>Healey,</w:t>
      </w:r>
      <w:r w:rsidRPr="00326586">
        <w:rPr>
          <w:rFonts w:ascii="Times New Roman" w:hAnsi="Times New Roman" w:cs="Times New Roman"/>
          <w:color w:val="333399"/>
          <w:spacing w:val="-4"/>
          <w:sz w:val="14"/>
          <w:szCs w:val="20"/>
        </w:rPr>
        <w:t xml:space="preserve"> </w:t>
      </w:r>
      <w:r w:rsidRPr="00326586">
        <w:rPr>
          <w:rFonts w:ascii="Times New Roman" w:hAnsi="Times New Roman" w:cs="Times New Roman"/>
          <w:color w:val="333399"/>
          <w:sz w:val="14"/>
          <w:szCs w:val="20"/>
        </w:rPr>
        <w:t>Governor</w:t>
      </w:r>
      <w:r w:rsidRPr="00326586">
        <w:rPr>
          <w:rFonts w:ascii="Times New Roman" w:hAnsi="Times New Roman" w:cs="Times New Roman"/>
          <w:color w:val="333399"/>
          <w:spacing w:val="65"/>
          <w:sz w:val="14"/>
          <w:szCs w:val="20"/>
        </w:rPr>
        <w:t xml:space="preserve"> </w:t>
      </w:r>
      <w:r w:rsidRPr="00326586">
        <w:rPr>
          <w:rFonts w:ascii="Wingdings" w:hAnsi="Wingdings"/>
          <w:color w:val="333399"/>
          <w:sz w:val="14"/>
          <w:szCs w:val="20"/>
        </w:rPr>
        <w:t></w:t>
      </w:r>
      <w:r w:rsidRPr="00326586">
        <w:rPr>
          <w:rFonts w:ascii="Times New Roman" w:hAnsi="Times New Roman" w:cs="Times New Roman"/>
          <w:color w:val="333399"/>
          <w:spacing w:val="66"/>
          <w:sz w:val="14"/>
          <w:szCs w:val="20"/>
        </w:rPr>
        <w:t xml:space="preserve"> </w:t>
      </w:r>
      <w:r w:rsidRPr="00326586">
        <w:rPr>
          <w:rFonts w:ascii="Times New Roman" w:hAnsi="Times New Roman" w:cs="Times New Roman"/>
          <w:color w:val="333399"/>
          <w:sz w:val="14"/>
          <w:szCs w:val="20"/>
        </w:rPr>
        <w:t>Kimberley</w:t>
      </w:r>
      <w:r w:rsidRPr="00326586">
        <w:rPr>
          <w:rFonts w:ascii="Times New Roman" w:hAnsi="Times New Roman" w:cs="Times New Roman"/>
          <w:color w:val="333399"/>
          <w:spacing w:val="-5"/>
          <w:sz w:val="14"/>
          <w:szCs w:val="20"/>
        </w:rPr>
        <w:t xml:space="preserve"> </w:t>
      </w:r>
      <w:r w:rsidRPr="00326586">
        <w:rPr>
          <w:rFonts w:ascii="Times New Roman" w:hAnsi="Times New Roman" w:cs="Times New Roman"/>
          <w:color w:val="333399"/>
          <w:sz w:val="14"/>
          <w:szCs w:val="20"/>
        </w:rPr>
        <w:t>Driscoll,</w:t>
      </w:r>
      <w:r w:rsidRPr="00326586">
        <w:rPr>
          <w:rFonts w:ascii="Times New Roman" w:hAnsi="Times New Roman" w:cs="Times New Roman"/>
          <w:color w:val="333399"/>
          <w:spacing w:val="-4"/>
          <w:sz w:val="14"/>
          <w:szCs w:val="20"/>
        </w:rPr>
        <w:t xml:space="preserve"> </w:t>
      </w:r>
      <w:r w:rsidRPr="00326586">
        <w:rPr>
          <w:rFonts w:ascii="Times New Roman" w:hAnsi="Times New Roman" w:cs="Times New Roman"/>
          <w:color w:val="333399"/>
          <w:sz w:val="14"/>
          <w:szCs w:val="20"/>
        </w:rPr>
        <w:t>Lieutenant</w:t>
      </w:r>
      <w:r w:rsidRPr="00326586">
        <w:rPr>
          <w:rFonts w:ascii="Times New Roman" w:hAnsi="Times New Roman" w:cs="Times New Roman"/>
          <w:color w:val="333399"/>
          <w:spacing w:val="-6"/>
          <w:sz w:val="14"/>
          <w:szCs w:val="20"/>
        </w:rPr>
        <w:t xml:space="preserve"> </w:t>
      </w:r>
      <w:r w:rsidRPr="00326586">
        <w:rPr>
          <w:rFonts w:ascii="Times New Roman" w:hAnsi="Times New Roman" w:cs="Times New Roman"/>
          <w:color w:val="333399"/>
          <w:spacing w:val="-2"/>
          <w:sz w:val="14"/>
          <w:szCs w:val="20"/>
        </w:rPr>
        <w:t>Govern</w:t>
      </w:r>
      <w:r w:rsidRPr="00326586" w:rsidR="00F11416">
        <w:rPr>
          <w:rFonts w:ascii="Times New Roman" w:hAnsi="Times New Roman" w:cs="Times New Roman"/>
          <w:color w:val="333399"/>
          <w:spacing w:val="-2"/>
          <w:sz w:val="14"/>
          <w:szCs w:val="20"/>
        </w:rPr>
        <w:t>o</w:t>
      </w:r>
      <w:r w:rsidRPr="00326586" w:rsidR="00261606">
        <w:rPr>
          <w:rFonts w:ascii="Times New Roman" w:hAnsi="Times New Roman" w:cs="Times New Roman"/>
          <w:color w:val="333399"/>
          <w:spacing w:val="-2"/>
          <w:sz w:val="14"/>
          <w:szCs w:val="20"/>
        </w:rPr>
        <w:t>r</w:t>
      </w:r>
    </w:p>
    <w:p w:rsidRPr="00326586" w:rsidR="004B61FC" w:rsidP="000403A7" w:rsidRDefault="004B61FC" w14:paraId="39F41538" w14:textId="77777777">
      <w:pPr>
        <w:rPr>
          <w:rFonts w:ascii="Times New Roman" w:hAnsi="Times New Roman" w:cs="Times New Roman"/>
          <w:sz w:val="16"/>
        </w:rPr>
      </w:pPr>
    </w:p>
    <w:p w:rsidRPr="00326586" w:rsidR="000403A7" w:rsidP="004B61FC" w:rsidRDefault="007426BC" w14:paraId="35257100" w14:textId="7CADFCFA">
      <w:pPr>
        <w:jc w:val="center"/>
        <w:rPr>
          <w:rFonts w:ascii="Times New Roman" w:hAnsi="Times New Roman" w:cs="Times New Roman"/>
          <w:b/>
          <w:bCs/>
          <w:sz w:val="20"/>
          <w:szCs w:val="28"/>
        </w:rPr>
      </w:pPr>
      <w:r w:rsidRPr="00326586">
        <w:rPr>
          <w:rFonts w:ascii="Times New Roman" w:hAnsi="Times New Roman" w:cs="Times New Roman"/>
          <w:b/>
          <w:bCs/>
          <w:sz w:val="20"/>
          <w:szCs w:val="28"/>
        </w:rPr>
        <w:t xml:space="preserve">MA BoS CoC ENVIRONMENTAL REVIEW </w:t>
      </w:r>
      <w:r w:rsidRPr="00326586" w:rsidR="004B61FC">
        <w:rPr>
          <w:rFonts w:ascii="Times New Roman" w:hAnsi="Times New Roman" w:cs="Times New Roman"/>
          <w:b/>
          <w:bCs/>
          <w:sz w:val="20"/>
          <w:szCs w:val="28"/>
        </w:rPr>
        <w:t>POLIC</w:t>
      </w:r>
      <w:r w:rsidR="00160B10">
        <w:rPr>
          <w:rFonts w:ascii="Times New Roman" w:hAnsi="Times New Roman" w:cs="Times New Roman"/>
          <w:b/>
          <w:bCs/>
          <w:sz w:val="20"/>
          <w:szCs w:val="28"/>
        </w:rPr>
        <w:t>Y</w:t>
      </w:r>
    </w:p>
    <w:p w:rsidRPr="00326586" w:rsidR="00B4797F" w:rsidP="004B61FC" w:rsidRDefault="00B4797F" w14:paraId="7723723F" w14:textId="77777777">
      <w:pPr>
        <w:jc w:val="center"/>
        <w:rPr>
          <w:rFonts w:ascii="Times New Roman" w:hAnsi="Times New Roman" w:cs="Times New Roman"/>
          <w:b/>
          <w:bCs/>
          <w:sz w:val="16"/>
        </w:rPr>
      </w:pPr>
    </w:p>
    <w:p w:rsidR="005B1326" w:rsidP="000403A7" w:rsidRDefault="005B1326" w14:paraId="18AC96DE" w14:textId="0FE60597">
      <w:pPr>
        <w:rPr>
          <w:rFonts w:ascii="Times New Roman" w:hAnsi="Times New Roman" w:cs="Times New Roman"/>
          <w:b/>
          <w:bCs/>
          <w:sz w:val="16"/>
          <w:u w:val="single"/>
        </w:rPr>
      </w:pPr>
      <w:r>
        <w:rPr>
          <w:rFonts w:ascii="Times New Roman" w:hAnsi="Times New Roman" w:cs="Times New Roman"/>
          <w:b/>
          <w:bCs/>
          <w:sz w:val="16"/>
          <w:u w:val="single"/>
        </w:rPr>
        <w:t>Overview</w:t>
      </w:r>
    </w:p>
    <w:p w:rsidR="003508D6" w:rsidP="002A35E8" w:rsidRDefault="002A35E8" w14:paraId="0AA3F4A1" w14:textId="77777777">
      <w:pPr>
        <w:jc w:val="both"/>
        <w:rPr>
          <w:rFonts w:ascii="Times New Roman" w:hAnsi="Times New Roman" w:cs="Times New Roman"/>
          <w:sz w:val="16"/>
        </w:rPr>
      </w:pPr>
      <w:r w:rsidRPr="002A35E8">
        <w:rPr>
          <w:rFonts w:ascii="Times New Roman" w:hAnsi="Times New Roman" w:cs="Times New Roman"/>
          <w:sz w:val="16"/>
        </w:rPr>
        <w:t xml:space="preserve">The </w:t>
      </w:r>
      <w:r w:rsidRPr="00EA7D0C">
        <w:rPr>
          <w:rFonts w:ascii="Times New Roman" w:hAnsi="Times New Roman" w:cs="Times New Roman"/>
          <w:b/>
          <w:bCs/>
          <w:sz w:val="16"/>
        </w:rPr>
        <w:t>MA BoS CoC</w:t>
      </w:r>
      <w:r w:rsidRPr="00EA7D0C">
        <w:rPr>
          <w:rFonts w:ascii="Times New Roman" w:hAnsi="Times New Roman" w:cs="Times New Roman"/>
          <w:sz w:val="12"/>
          <w:szCs w:val="18"/>
        </w:rPr>
        <w:t xml:space="preserve"> </w:t>
      </w:r>
      <w:r w:rsidRPr="002A35E8">
        <w:rPr>
          <w:rFonts w:ascii="Times New Roman" w:hAnsi="Times New Roman" w:cs="Times New Roman"/>
          <w:sz w:val="16"/>
        </w:rPr>
        <w:t xml:space="preserve">receives federal grant funds from the U.S. Department of Housing and Urban Development (HUD) to provide assistance to </w:t>
      </w:r>
      <w:r w:rsidR="001C4738">
        <w:rPr>
          <w:rFonts w:ascii="Times New Roman" w:hAnsi="Times New Roman" w:cs="Times New Roman"/>
          <w:sz w:val="16"/>
        </w:rPr>
        <w:t>individuals and families</w:t>
      </w:r>
      <w:r w:rsidRPr="002A35E8">
        <w:rPr>
          <w:rFonts w:ascii="Times New Roman" w:hAnsi="Times New Roman" w:cs="Times New Roman"/>
          <w:sz w:val="16"/>
        </w:rPr>
        <w:t xml:space="preserve"> households, provide homeless services, and improve our community. </w:t>
      </w:r>
    </w:p>
    <w:p w:rsidRPr="002A35E8" w:rsidR="005B1326" w:rsidP="002A35E8" w:rsidRDefault="002A35E8" w14:paraId="3F69CBC4" w14:textId="01302A3F">
      <w:pPr>
        <w:jc w:val="both"/>
        <w:rPr>
          <w:rFonts w:ascii="Times New Roman" w:hAnsi="Times New Roman" w:cs="Times New Roman"/>
          <w:sz w:val="16"/>
        </w:rPr>
      </w:pPr>
      <w:r w:rsidRPr="002A35E8">
        <w:rPr>
          <w:rFonts w:ascii="Times New Roman" w:hAnsi="Times New Roman" w:cs="Times New Roman"/>
          <w:sz w:val="16"/>
        </w:rPr>
        <w:t>The primary objectives of the HUD</w:t>
      </w:r>
      <w:r>
        <w:rPr>
          <w:rFonts w:ascii="Times New Roman" w:hAnsi="Times New Roman" w:cs="Times New Roman"/>
          <w:sz w:val="16"/>
        </w:rPr>
        <w:t xml:space="preserve"> </w:t>
      </w:r>
      <w:r w:rsidRPr="002A35E8">
        <w:rPr>
          <w:rFonts w:ascii="Times New Roman" w:hAnsi="Times New Roman" w:cs="Times New Roman"/>
          <w:sz w:val="16"/>
        </w:rPr>
        <w:t>environmental</w:t>
      </w:r>
      <w:r w:rsidR="001C4738">
        <w:rPr>
          <w:rFonts w:ascii="Times New Roman" w:hAnsi="Times New Roman" w:cs="Times New Roman"/>
          <w:sz w:val="16"/>
        </w:rPr>
        <w:t xml:space="preserve"> </w:t>
      </w:r>
      <w:r w:rsidRPr="002A35E8">
        <w:rPr>
          <w:rFonts w:ascii="Times New Roman" w:hAnsi="Times New Roman" w:cs="Times New Roman"/>
          <w:sz w:val="16"/>
        </w:rPr>
        <w:t xml:space="preserve">review are to identify specific environmental factors that may be encountered at potential project sites and to develop procedures to ensure compliance with regulations pertaining to these factors. Because the </w:t>
      </w:r>
      <w:r w:rsidRPr="00EA7D0C" w:rsidR="00DB6FBC">
        <w:rPr>
          <w:rFonts w:ascii="Times New Roman" w:hAnsi="Times New Roman" w:cs="Times New Roman"/>
          <w:b/>
          <w:bCs/>
          <w:sz w:val="16"/>
        </w:rPr>
        <w:t>MA BoS CoC</w:t>
      </w:r>
      <w:r w:rsidRPr="00EA7D0C" w:rsidR="00DB6FBC">
        <w:rPr>
          <w:rFonts w:ascii="Times New Roman" w:hAnsi="Times New Roman" w:cs="Times New Roman"/>
          <w:sz w:val="12"/>
          <w:szCs w:val="18"/>
        </w:rPr>
        <w:t xml:space="preserve"> </w:t>
      </w:r>
      <w:r w:rsidRPr="002A35E8">
        <w:rPr>
          <w:rFonts w:ascii="Times New Roman" w:hAnsi="Times New Roman" w:cs="Times New Roman"/>
          <w:sz w:val="16"/>
        </w:rPr>
        <w:t>programs vary in terms of applicant type, scope of program activities, and geography, a standard set of review documents and procedures have been designed to produce a consistent programmatic environmental review that provides for the greatest protection and accountability across all HUD related activities.</w:t>
      </w:r>
    </w:p>
    <w:p w:rsidRPr="00326586" w:rsidR="00C62A00" w:rsidP="000403A7" w:rsidRDefault="00C62A00" w14:paraId="68E857C3" w14:textId="56A1CFC5">
      <w:pPr>
        <w:rPr>
          <w:rFonts w:ascii="Times New Roman" w:hAnsi="Times New Roman" w:cs="Times New Roman"/>
          <w:b/>
          <w:bCs/>
          <w:sz w:val="16"/>
          <w:u w:val="single"/>
        </w:rPr>
      </w:pPr>
      <w:r w:rsidRPr="00326586">
        <w:rPr>
          <w:rFonts w:ascii="Times New Roman" w:hAnsi="Times New Roman" w:cs="Times New Roman"/>
          <w:b/>
          <w:bCs/>
          <w:sz w:val="16"/>
          <w:u w:val="single"/>
        </w:rPr>
        <w:t>Environmental Review Summary</w:t>
      </w:r>
    </w:p>
    <w:p w:rsidRPr="00326586" w:rsidR="002E3EA5" w:rsidP="00B30084" w:rsidRDefault="002E3EA5" w14:paraId="332ECEA2" w14:textId="04B17622">
      <w:pPr>
        <w:jc w:val="both"/>
        <w:rPr>
          <w:rFonts w:ascii="Times New Roman" w:hAnsi="Times New Roman" w:cs="Times New Roman"/>
          <w:sz w:val="16"/>
        </w:rPr>
      </w:pPr>
      <w:r w:rsidRPr="00326586">
        <w:rPr>
          <w:rFonts w:ascii="Times New Roman" w:hAnsi="Times New Roman" w:cs="Times New Roman"/>
          <w:sz w:val="16"/>
        </w:rPr>
        <w:t xml:space="preserve">An environmental review is the process of reviewing a project and its potential environmental impacts to determine whether it meets federal, state, and local environmental standards. </w:t>
      </w:r>
      <w:r w:rsidRPr="00326586" w:rsidR="0083063E">
        <w:rPr>
          <w:rFonts w:ascii="Times New Roman" w:hAnsi="Times New Roman" w:cs="Times New Roman"/>
          <w:sz w:val="16"/>
        </w:rPr>
        <w:t>Environmental review requirements are specified in the CoC Program Interim Rule at 24 CFR 578.31</w:t>
      </w:r>
      <w:r w:rsidRPr="00326586" w:rsidR="00ED690B">
        <w:rPr>
          <w:rFonts w:ascii="Times New Roman" w:hAnsi="Times New Roman" w:cs="Times New Roman"/>
          <w:sz w:val="16"/>
        </w:rPr>
        <w:t>.</w:t>
      </w:r>
      <w:r w:rsidR="008630A2">
        <w:rPr>
          <w:rFonts w:ascii="Times New Roman" w:hAnsi="Times New Roman" w:cs="Times New Roman"/>
          <w:sz w:val="16"/>
        </w:rPr>
        <w:t xml:space="preserve"> </w:t>
      </w:r>
      <w:r w:rsidRPr="008630A2" w:rsidR="008630A2">
        <w:rPr>
          <w:rFonts w:ascii="Times New Roman" w:hAnsi="Times New Roman" w:cs="Times New Roman"/>
          <w:sz w:val="16"/>
        </w:rPr>
        <w:t>The environmental review process is required for all HUD-assisted projects to ensure that the proposed project does not negatively impact the surrounding environment and that the property site itself will not have an adverse environmental or health effect on end users. Not every project is subject to a full environmental review (i.e., every project's environmental impact must be examined, but the extent of this examination varies), but every project must be in compliance with the National Environmental Policy Act (NEPA), and other related Federal and state environmental laws.</w:t>
      </w:r>
    </w:p>
    <w:p w:rsidRPr="00326586" w:rsidR="003A0FF5" w:rsidP="000403A7" w:rsidRDefault="008F1CC8" w14:paraId="770E2C44" w14:textId="28C13692">
      <w:pPr>
        <w:rPr>
          <w:rFonts w:ascii="Times New Roman" w:hAnsi="Times New Roman" w:cs="Times New Roman"/>
          <w:b/>
          <w:bCs/>
          <w:sz w:val="16"/>
          <w:u w:val="single"/>
        </w:rPr>
      </w:pPr>
      <w:r w:rsidRPr="00326586">
        <w:rPr>
          <w:rFonts w:ascii="Times New Roman" w:hAnsi="Times New Roman" w:cs="Times New Roman"/>
          <w:b/>
          <w:bCs/>
          <w:sz w:val="16"/>
          <w:u w:val="single"/>
        </w:rPr>
        <w:t>CoC Program Funding Requirements</w:t>
      </w:r>
    </w:p>
    <w:p w:rsidRPr="00326586" w:rsidR="008F1CC8" w:rsidP="00B30084" w:rsidRDefault="00B30084" w14:paraId="07C69D4B" w14:textId="2E21D9E4">
      <w:pPr>
        <w:jc w:val="both"/>
        <w:rPr>
          <w:rFonts w:ascii="Times New Roman" w:hAnsi="Times New Roman" w:cs="Times New Roman"/>
          <w:sz w:val="16"/>
        </w:rPr>
      </w:pPr>
      <w:r w:rsidRPr="00326586">
        <w:rPr>
          <w:rFonts w:ascii="Times New Roman" w:hAnsi="Times New Roman" w:cs="Times New Roman"/>
          <w:sz w:val="16"/>
        </w:rPr>
        <w:t>An environmental review must be conducted for all projects for which CoC Program funds are being requested before those funds are committed to the project. This review will be conducted after the project has been conditionally selected by HUD and prior to execution of the grant agreement.</w:t>
      </w:r>
    </w:p>
    <w:p w:rsidR="00AE4294" w:rsidP="00B30084" w:rsidRDefault="00AE4294" w14:paraId="0FA0F191" w14:textId="2B4A246C">
      <w:pPr>
        <w:jc w:val="both"/>
        <w:rPr>
          <w:rFonts w:ascii="Times New Roman" w:hAnsi="Times New Roman" w:cs="Times New Roman"/>
          <w:b/>
          <w:bCs/>
          <w:sz w:val="16"/>
          <w:u w:val="single"/>
        </w:rPr>
      </w:pPr>
      <w:r>
        <w:rPr>
          <w:rFonts w:ascii="Times New Roman" w:hAnsi="Times New Roman" w:cs="Times New Roman"/>
          <w:b/>
          <w:bCs/>
          <w:sz w:val="16"/>
          <w:u w:val="single"/>
        </w:rPr>
        <w:t>D</w:t>
      </w:r>
      <w:r w:rsidR="00101F46">
        <w:rPr>
          <w:rFonts w:ascii="Times New Roman" w:hAnsi="Times New Roman" w:cs="Times New Roman"/>
          <w:b/>
          <w:bCs/>
          <w:sz w:val="16"/>
          <w:u w:val="single"/>
        </w:rPr>
        <w:t>efinitions</w:t>
      </w:r>
    </w:p>
    <w:p w:rsidRPr="00E063E8" w:rsidR="00E063E8" w:rsidP="6180FA39" w:rsidRDefault="00E063E8" w14:paraId="536F2BE4" w14:textId="60840B01">
      <w:pPr>
        <w:jc w:val="both"/>
        <w:rPr>
          <w:rFonts w:ascii="Times New Roman" w:hAnsi="Times New Roman" w:cs="Times New Roman"/>
          <w:sz w:val="16"/>
          <w:szCs w:val="16"/>
        </w:rPr>
      </w:pPr>
      <w:r w:rsidRPr="6180FA39" w:rsidR="00E063E8">
        <w:rPr>
          <w:rFonts w:ascii="Times New Roman" w:hAnsi="Times New Roman" w:cs="Times New Roman"/>
          <w:sz w:val="16"/>
          <w:szCs w:val="16"/>
          <w:u w:val="single"/>
        </w:rPr>
        <w:t xml:space="preserve">Responsible </w:t>
      </w:r>
      <w:r w:rsidRPr="6180FA39" w:rsidR="00153120">
        <w:rPr>
          <w:rFonts w:ascii="Times New Roman" w:hAnsi="Times New Roman" w:cs="Times New Roman"/>
          <w:sz w:val="16"/>
          <w:szCs w:val="16"/>
          <w:u w:val="single"/>
        </w:rPr>
        <w:t>Entity</w:t>
      </w:r>
      <w:r w:rsidRPr="6180FA39" w:rsidR="00E063E8">
        <w:rPr>
          <w:rFonts w:ascii="Times New Roman" w:hAnsi="Times New Roman" w:cs="Times New Roman"/>
          <w:sz w:val="16"/>
          <w:szCs w:val="16"/>
        </w:rPr>
        <w:t xml:space="preserve">: </w:t>
      </w:r>
      <w:r w:rsidRPr="6180FA39" w:rsidR="00E063E8">
        <w:rPr>
          <w:rFonts w:ascii="Times New Roman" w:hAnsi="Times New Roman" w:cs="Times New Roman"/>
          <w:sz w:val="16"/>
          <w:szCs w:val="16"/>
        </w:rPr>
        <w:t>Under 24 CFR Part 58, the term “responsible entity” (RE) means the grantee receiving C</w:t>
      </w:r>
      <w:r w:rsidRPr="6180FA39" w:rsidR="4D00A09E">
        <w:rPr>
          <w:rFonts w:ascii="Times New Roman" w:hAnsi="Times New Roman" w:cs="Times New Roman"/>
          <w:sz w:val="16"/>
          <w:szCs w:val="16"/>
        </w:rPr>
        <w:t>oC</w:t>
      </w:r>
      <w:r w:rsidRPr="6180FA39" w:rsidR="00E063E8">
        <w:rPr>
          <w:rFonts w:ascii="Times New Roman" w:hAnsi="Times New Roman" w:cs="Times New Roman"/>
          <w:sz w:val="16"/>
          <w:szCs w:val="16"/>
        </w:rPr>
        <w:t xml:space="preserve"> </w:t>
      </w:r>
      <w:r w:rsidRPr="6180FA39" w:rsidR="00E063E8">
        <w:rPr>
          <w:rFonts w:ascii="Times New Roman" w:hAnsi="Times New Roman" w:cs="Times New Roman"/>
          <w:sz w:val="16"/>
          <w:szCs w:val="16"/>
        </w:rPr>
        <w:t>assistance</w:t>
      </w:r>
      <w:r w:rsidRPr="6180FA39" w:rsidR="00E063E8">
        <w:rPr>
          <w:rFonts w:ascii="Times New Roman" w:hAnsi="Times New Roman" w:cs="Times New Roman"/>
          <w:sz w:val="16"/>
          <w:szCs w:val="16"/>
        </w:rPr>
        <w:t xml:space="preserve">. The responsible entity must complete the environmental review process. The RE </w:t>
      </w:r>
      <w:r w:rsidRPr="6180FA39" w:rsidR="00E063E8">
        <w:rPr>
          <w:rFonts w:ascii="Times New Roman" w:hAnsi="Times New Roman" w:cs="Times New Roman"/>
          <w:sz w:val="16"/>
          <w:szCs w:val="16"/>
        </w:rPr>
        <w:t>is responsible for</w:t>
      </w:r>
      <w:r w:rsidRPr="6180FA39" w:rsidR="00E063E8">
        <w:rPr>
          <w:rFonts w:ascii="Times New Roman" w:hAnsi="Times New Roman" w:cs="Times New Roman"/>
          <w:sz w:val="16"/>
          <w:szCs w:val="16"/>
        </w:rPr>
        <w:t xml:space="preserve"> ensuring compliance with NEPA and the Federal laws and authorities has been achieved, for issuing the public notification, for </w:t>
      </w:r>
      <w:r w:rsidRPr="6180FA39" w:rsidR="00E063E8">
        <w:rPr>
          <w:rFonts w:ascii="Times New Roman" w:hAnsi="Times New Roman" w:cs="Times New Roman"/>
          <w:sz w:val="16"/>
          <w:szCs w:val="16"/>
        </w:rPr>
        <w:t>submitting</w:t>
      </w:r>
      <w:r w:rsidRPr="6180FA39" w:rsidR="00E063E8">
        <w:rPr>
          <w:rFonts w:ascii="Times New Roman" w:hAnsi="Times New Roman" w:cs="Times New Roman"/>
          <w:sz w:val="16"/>
          <w:szCs w:val="16"/>
        </w:rPr>
        <w:t xml:space="preserve"> the request for release of funds and certification, when </w:t>
      </w:r>
      <w:r w:rsidRPr="6180FA39" w:rsidR="00E063E8">
        <w:rPr>
          <w:rFonts w:ascii="Times New Roman" w:hAnsi="Times New Roman" w:cs="Times New Roman"/>
          <w:sz w:val="16"/>
          <w:szCs w:val="16"/>
        </w:rPr>
        <w:t>required</w:t>
      </w:r>
      <w:r w:rsidRPr="6180FA39" w:rsidR="00E063E8">
        <w:rPr>
          <w:rFonts w:ascii="Times New Roman" w:hAnsi="Times New Roman" w:cs="Times New Roman"/>
          <w:sz w:val="16"/>
          <w:szCs w:val="16"/>
        </w:rPr>
        <w:t>, and for ensuring the Environmental Review Record (ERR) is complete.</w:t>
      </w:r>
    </w:p>
    <w:p w:rsidRPr="00140EEB" w:rsidR="00101F46" w:rsidP="00140EEB" w:rsidRDefault="00B926CE" w14:paraId="5A34EE24" w14:textId="32052DA0">
      <w:pPr>
        <w:jc w:val="both"/>
        <w:rPr>
          <w:rFonts w:ascii="Times New Roman" w:hAnsi="Times New Roman" w:cs="Times New Roman"/>
          <w:sz w:val="16"/>
        </w:rPr>
      </w:pPr>
      <w:r w:rsidRPr="00B926CE">
        <w:rPr>
          <w:rFonts w:ascii="Times New Roman" w:hAnsi="Times New Roman" w:cs="Times New Roman"/>
          <w:sz w:val="16"/>
          <w:u w:val="single"/>
        </w:rPr>
        <w:t>Certifying Officer</w:t>
      </w:r>
      <w:r w:rsidRPr="00B926CE">
        <w:rPr>
          <w:rFonts w:ascii="Times New Roman" w:hAnsi="Times New Roman" w:cs="Times New Roman"/>
          <w:sz w:val="16"/>
        </w:rPr>
        <w:t>: The responsible entity must designate a Certifying Officer -- the “responsible Federal official” -- to ensure compliance with the National Environmental Policy Act (NEPA) and the Federal laws and authorities cited at section 58.5 has been achieved</w:t>
      </w:r>
      <w:r w:rsidRPr="00B926CE">
        <w:rPr>
          <w:rFonts w:ascii="Times New Roman" w:hAnsi="Times New Roman" w:cs="Times New Roman"/>
          <w:b/>
          <w:bCs/>
          <w:sz w:val="16"/>
        </w:rPr>
        <w:t>.</w:t>
      </w:r>
      <w:r w:rsidR="00140EEB">
        <w:rPr>
          <w:rFonts w:ascii="Times New Roman" w:hAnsi="Times New Roman" w:cs="Times New Roman"/>
          <w:b/>
          <w:bCs/>
          <w:sz w:val="16"/>
        </w:rPr>
        <w:t xml:space="preserve"> </w:t>
      </w:r>
      <w:r w:rsidRPr="00140EEB" w:rsidR="00140EEB">
        <w:rPr>
          <w:rFonts w:ascii="Times New Roman" w:hAnsi="Times New Roman" w:cs="Times New Roman"/>
          <w:sz w:val="16"/>
        </w:rPr>
        <w:t>The certifying officer must have the authority to assume legal responsibility for certifying that all environmental requirements have been followed.</w:t>
      </w:r>
    </w:p>
    <w:p w:rsidRPr="00326586" w:rsidR="00627CC9" w:rsidP="00B30084" w:rsidRDefault="00627CC9" w14:paraId="0B4CECA8" w14:textId="61F859FC">
      <w:pPr>
        <w:jc w:val="both"/>
        <w:rPr>
          <w:rFonts w:ascii="Times New Roman" w:hAnsi="Times New Roman" w:cs="Times New Roman"/>
          <w:b/>
          <w:bCs/>
          <w:sz w:val="16"/>
          <w:u w:val="single"/>
        </w:rPr>
      </w:pPr>
      <w:r w:rsidRPr="00326586">
        <w:rPr>
          <w:rFonts w:ascii="Times New Roman" w:hAnsi="Times New Roman" w:cs="Times New Roman"/>
          <w:b/>
          <w:bCs/>
          <w:sz w:val="16"/>
          <w:u w:val="single"/>
        </w:rPr>
        <w:t>Part 50 and Part 58</w:t>
      </w:r>
      <w:r w:rsidRPr="00326586" w:rsidR="0096199B">
        <w:rPr>
          <w:rFonts w:ascii="Times New Roman" w:hAnsi="Times New Roman" w:cs="Times New Roman"/>
          <w:b/>
          <w:bCs/>
          <w:sz w:val="16"/>
          <w:u w:val="single"/>
        </w:rPr>
        <w:t xml:space="preserve"> Determination</w:t>
      </w:r>
    </w:p>
    <w:p w:rsidRPr="00326586" w:rsidR="00627CC9" w:rsidP="00B30084" w:rsidRDefault="00291CE8" w14:paraId="3928F38A" w14:textId="612F0773">
      <w:pPr>
        <w:jc w:val="both"/>
        <w:rPr>
          <w:rFonts w:ascii="Times New Roman" w:hAnsi="Times New Roman" w:cs="Times New Roman"/>
          <w:sz w:val="16"/>
        </w:rPr>
      </w:pPr>
      <w:r w:rsidRPr="00326586">
        <w:rPr>
          <w:rFonts w:ascii="Times New Roman" w:hAnsi="Times New Roman" w:cs="Times New Roman"/>
          <w:sz w:val="16"/>
        </w:rPr>
        <w:t>The first step in the environmental review process is determining whether the HUD assistance falls under a Part 50 or Part 58 environmental review. This is usually specified in the Notice of Funding Availability, program regulations, or legislation. Part 58 and Part 50 are the sections of HUD regulations that implement th</w:t>
      </w:r>
      <w:r w:rsidRPr="00326586" w:rsidR="00303D43">
        <w:rPr>
          <w:rFonts w:ascii="Times New Roman" w:hAnsi="Times New Roman" w:cs="Times New Roman"/>
          <w:sz w:val="16"/>
        </w:rPr>
        <w:t>e</w:t>
      </w:r>
      <w:r w:rsidRPr="00326586">
        <w:rPr>
          <w:rFonts w:ascii="Times New Roman" w:hAnsi="Times New Roman" w:cs="Times New Roman"/>
          <w:sz w:val="16"/>
        </w:rPr>
        <w:t xml:space="preserve"> National Environmental Policy Act (NEPA). Part 50 applies to programs where HUD performs the environmental reviews, and Part 58 applies to programs that allow a responsible entity to perform the environmental reviews.</w:t>
      </w:r>
      <w:r w:rsidRPr="00326586" w:rsidR="00E96025">
        <w:rPr>
          <w:rFonts w:ascii="Times New Roman" w:hAnsi="Times New Roman" w:cs="Times New Roman"/>
          <w:sz w:val="16"/>
        </w:rPr>
        <w:t xml:space="preserve"> </w:t>
      </w:r>
      <w:r w:rsidRPr="00326586" w:rsidR="002C5EF8">
        <w:rPr>
          <w:rFonts w:ascii="Times New Roman" w:hAnsi="Times New Roman" w:cs="Times New Roman"/>
          <w:sz w:val="16"/>
        </w:rPr>
        <w:t xml:space="preserve">All MA BoS CoC projects will </w:t>
      </w:r>
      <w:r w:rsidRPr="00326586" w:rsidR="00C26B8A">
        <w:rPr>
          <w:rFonts w:ascii="Times New Roman" w:hAnsi="Times New Roman" w:cs="Times New Roman"/>
          <w:sz w:val="16"/>
        </w:rPr>
        <w:t xml:space="preserve">fall under Part </w:t>
      </w:r>
      <w:r w:rsidRPr="00326586" w:rsidR="00872F1A">
        <w:rPr>
          <w:rFonts w:ascii="Times New Roman" w:hAnsi="Times New Roman" w:cs="Times New Roman"/>
          <w:sz w:val="16"/>
        </w:rPr>
        <w:t>58;</w:t>
      </w:r>
      <w:r w:rsidRPr="00326586" w:rsidR="00C26B8A">
        <w:rPr>
          <w:rFonts w:ascii="Times New Roman" w:hAnsi="Times New Roman" w:cs="Times New Roman"/>
          <w:sz w:val="16"/>
        </w:rPr>
        <w:t xml:space="preserve"> </w:t>
      </w:r>
      <w:r w:rsidRPr="00326586" w:rsidR="00664267">
        <w:rPr>
          <w:rFonts w:ascii="Times New Roman" w:hAnsi="Times New Roman" w:cs="Times New Roman"/>
          <w:sz w:val="16"/>
        </w:rPr>
        <w:t>thus,</w:t>
      </w:r>
      <w:r w:rsidRPr="00326586" w:rsidR="00C26B8A">
        <w:rPr>
          <w:rFonts w:ascii="Times New Roman" w:hAnsi="Times New Roman" w:cs="Times New Roman"/>
          <w:sz w:val="16"/>
        </w:rPr>
        <w:t xml:space="preserve"> this Policy and procedure will focus solely on </w:t>
      </w:r>
      <w:r w:rsidRPr="00326586" w:rsidR="00672A21">
        <w:rPr>
          <w:rFonts w:ascii="Times New Roman" w:hAnsi="Times New Roman" w:cs="Times New Roman"/>
          <w:sz w:val="16"/>
        </w:rPr>
        <w:t>this section.</w:t>
      </w:r>
    </w:p>
    <w:p w:rsidRPr="00326586" w:rsidR="00EC6FEB" w:rsidP="00EC6FEB" w:rsidRDefault="00CC40B0" w14:paraId="58EF8484" w14:textId="6B18CD9E">
      <w:pPr>
        <w:jc w:val="both"/>
        <w:rPr>
          <w:rFonts w:ascii="Times New Roman" w:hAnsi="Times New Roman" w:cs="Times New Roman"/>
          <w:b/>
          <w:bCs/>
          <w:sz w:val="16"/>
          <w:u w:val="single"/>
        </w:rPr>
      </w:pPr>
      <w:r w:rsidRPr="00326586">
        <w:rPr>
          <w:rFonts w:ascii="Times New Roman" w:hAnsi="Times New Roman" w:cs="Times New Roman"/>
          <w:b/>
          <w:bCs/>
          <w:sz w:val="16"/>
          <w:u w:val="single"/>
        </w:rPr>
        <w:t>MA BoS CoC</w:t>
      </w:r>
      <w:r w:rsidRPr="00326586" w:rsidR="00860248">
        <w:rPr>
          <w:rFonts w:ascii="Times New Roman" w:hAnsi="Times New Roman" w:cs="Times New Roman"/>
          <w:b/>
          <w:bCs/>
          <w:sz w:val="16"/>
          <w:u w:val="single"/>
        </w:rPr>
        <w:t xml:space="preserve"> </w:t>
      </w:r>
      <w:r w:rsidRPr="00326586" w:rsidR="0096199B">
        <w:rPr>
          <w:rFonts w:ascii="Times New Roman" w:hAnsi="Times New Roman" w:cs="Times New Roman"/>
          <w:b/>
          <w:bCs/>
          <w:sz w:val="16"/>
          <w:u w:val="single"/>
        </w:rPr>
        <w:t xml:space="preserve">Focus </w:t>
      </w:r>
      <w:r w:rsidRPr="00326586" w:rsidR="00860248">
        <w:rPr>
          <w:rFonts w:ascii="Times New Roman" w:hAnsi="Times New Roman" w:cs="Times New Roman"/>
          <w:b/>
          <w:bCs/>
          <w:sz w:val="16"/>
          <w:u w:val="single"/>
        </w:rPr>
        <w:t>-</w:t>
      </w:r>
      <w:r w:rsidRPr="00326586">
        <w:rPr>
          <w:rFonts w:ascii="Times New Roman" w:hAnsi="Times New Roman" w:cs="Times New Roman"/>
          <w:b/>
          <w:bCs/>
          <w:sz w:val="16"/>
          <w:u w:val="single"/>
        </w:rPr>
        <w:t xml:space="preserve"> </w:t>
      </w:r>
      <w:r w:rsidRPr="00326586" w:rsidR="00EC6FEB">
        <w:rPr>
          <w:rFonts w:ascii="Times New Roman" w:hAnsi="Times New Roman" w:cs="Times New Roman"/>
          <w:b/>
          <w:bCs/>
          <w:sz w:val="16"/>
          <w:u w:val="single"/>
        </w:rPr>
        <w:t>Part 58</w:t>
      </w:r>
      <w:r w:rsidRPr="00326586" w:rsidR="00992941">
        <w:rPr>
          <w:rFonts w:ascii="Times New Roman" w:hAnsi="Times New Roman" w:cs="Times New Roman"/>
          <w:b/>
          <w:bCs/>
          <w:sz w:val="16"/>
          <w:u w:val="single"/>
        </w:rPr>
        <w:t xml:space="preserve"> </w:t>
      </w:r>
    </w:p>
    <w:p w:rsidRPr="00326586" w:rsidR="00EC6FEB" w:rsidP="00EC6FEB" w:rsidRDefault="00841624" w14:paraId="77BBABAB" w14:textId="211A44A7">
      <w:pPr>
        <w:jc w:val="both"/>
        <w:rPr>
          <w:rFonts w:ascii="Times New Roman" w:hAnsi="Times New Roman" w:cs="Times New Roman"/>
          <w:sz w:val="16"/>
        </w:rPr>
      </w:pPr>
      <w:r w:rsidRPr="00326586">
        <w:rPr>
          <w:rFonts w:ascii="Times New Roman" w:hAnsi="Times New Roman" w:cs="Times New Roman"/>
          <w:sz w:val="16"/>
        </w:rPr>
        <w:t xml:space="preserve">Part 58 reviews </w:t>
      </w:r>
      <w:r w:rsidRPr="00326586" w:rsidR="00594623">
        <w:rPr>
          <w:rFonts w:ascii="Times New Roman" w:hAnsi="Times New Roman" w:cs="Times New Roman"/>
          <w:sz w:val="16"/>
        </w:rPr>
        <w:t>is</w:t>
      </w:r>
      <w:r w:rsidRPr="00326586">
        <w:rPr>
          <w:rFonts w:ascii="Times New Roman" w:hAnsi="Times New Roman" w:cs="Times New Roman"/>
          <w:sz w:val="16"/>
        </w:rPr>
        <w:t xml:space="preserve"> subject to the requirements of 24 CFR 58.5, environmental assessment factors, and the analysis under the National Environmental Policy Act. </w:t>
      </w:r>
      <w:r w:rsidRPr="00326586" w:rsidR="002F0FA1">
        <w:rPr>
          <w:rFonts w:ascii="Times New Roman" w:hAnsi="Times New Roman" w:cs="Times New Roman"/>
          <w:sz w:val="16"/>
        </w:rPr>
        <w:t>EOHLC</w:t>
      </w:r>
      <w:r w:rsidRPr="00326586" w:rsidR="00EC6FEB">
        <w:rPr>
          <w:rFonts w:ascii="Times New Roman" w:hAnsi="Times New Roman" w:cs="Times New Roman"/>
          <w:sz w:val="16"/>
        </w:rPr>
        <w:t xml:space="preserve"> allow</w:t>
      </w:r>
      <w:r w:rsidRPr="00326586" w:rsidR="000061AE">
        <w:rPr>
          <w:rFonts w:ascii="Times New Roman" w:hAnsi="Times New Roman" w:cs="Times New Roman"/>
          <w:sz w:val="16"/>
        </w:rPr>
        <w:t>s</w:t>
      </w:r>
      <w:r w:rsidRPr="00326586" w:rsidR="00EC6FEB">
        <w:rPr>
          <w:rFonts w:ascii="Times New Roman" w:hAnsi="Times New Roman" w:cs="Times New Roman"/>
          <w:sz w:val="16"/>
        </w:rPr>
        <w:t xml:space="preserve"> the </w:t>
      </w:r>
      <w:r w:rsidRPr="00326586" w:rsidR="00EE5D9D">
        <w:rPr>
          <w:rFonts w:ascii="Times New Roman" w:hAnsi="Times New Roman" w:cs="Times New Roman"/>
          <w:sz w:val="16"/>
        </w:rPr>
        <w:t xml:space="preserve">subrecipient to </w:t>
      </w:r>
      <w:r w:rsidRPr="00326586" w:rsidR="000061AE">
        <w:rPr>
          <w:rFonts w:ascii="Times New Roman" w:hAnsi="Times New Roman" w:cs="Times New Roman"/>
          <w:sz w:val="16"/>
        </w:rPr>
        <w:t>assume</w:t>
      </w:r>
      <w:r w:rsidRPr="00326586" w:rsidR="00EC6FEB">
        <w:rPr>
          <w:rFonts w:ascii="Times New Roman" w:hAnsi="Times New Roman" w:cs="Times New Roman"/>
          <w:sz w:val="16"/>
        </w:rPr>
        <w:t xml:space="preserve"> authority </w:t>
      </w:r>
      <w:r w:rsidRPr="00326586" w:rsidR="00500B8B">
        <w:rPr>
          <w:rFonts w:ascii="Times New Roman" w:hAnsi="Times New Roman" w:cs="Times New Roman"/>
          <w:sz w:val="16"/>
        </w:rPr>
        <w:t>for the</w:t>
      </w:r>
      <w:r w:rsidRPr="00326586" w:rsidR="00EC6FEB">
        <w:rPr>
          <w:rFonts w:ascii="Times New Roman" w:hAnsi="Times New Roman" w:cs="Times New Roman"/>
          <w:sz w:val="16"/>
        </w:rPr>
        <w:t xml:space="preserve"> perform</w:t>
      </w:r>
      <w:r w:rsidRPr="00326586" w:rsidR="00500B8B">
        <w:rPr>
          <w:rFonts w:ascii="Times New Roman" w:hAnsi="Times New Roman" w:cs="Times New Roman"/>
          <w:sz w:val="16"/>
        </w:rPr>
        <w:t>ance of</w:t>
      </w:r>
      <w:r w:rsidRPr="00326586" w:rsidR="00EC6FEB">
        <w:rPr>
          <w:rFonts w:ascii="Times New Roman" w:hAnsi="Times New Roman" w:cs="Times New Roman"/>
          <w:sz w:val="16"/>
        </w:rPr>
        <w:t xml:space="preserve"> the environmental reviews</w:t>
      </w:r>
      <w:r w:rsidRPr="00326586" w:rsidR="00961DB4">
        <w:rPr>
          <w:rFonts w:ascii="Times New Roman" w:hAnsi="Times New Roman" w:cs="Times New Roman"/>
          <w:sz w:val="16"/>
        </w:rPr>
        <w:t>.</w:t>
      </w:r>
      <w:r w:rsidRPr="00326586" w:rsidR="00EC6FEB">
        <w:rPr>
          <w:rFonts w:ascii="Times New Roman" w:hAnsi="Times New Roman" w:cs="Times New Roman"/>
          <w:sz w:val="16"/>
        </w:rPr>
        <w:t xml:space="preserve"> The </w:t>
      </w:r>
      <w:r w:rsidRPr="00326586" w:rsidR="00961DB4">
        <w:rPr>
          <w:rFonts w:ascii="Times New Roman" w:hAnsi="Times New Roman" w:cs="Times New Roman"/>
          <w:sz w:val="16"/>
        </w:rPr>
        <w:t>subrecipient</w:t>
      </w:r>
      <w:r w:rsidRPr="00326586" w:rsidR="00EC6FEB">
        <w:rPr>
          <w:rFonts w:ascii="Times New Roman" w:hAnsi="Times New Roman" w:cs="Times New Roman"/>
          <w:sz w:val="16"/>
        </w:rPr>
        <w:t xml:space="preserve"> is responsible for the scope and content of the review and making the finding. </w:t>
      </w:r>
      <w:r w:rsidRPr="00326586" w:rsidR="00331CC1">
        <w:rPr>
          <w:rFonts w:ascii="Times New Roman" w:hAnsi="Times New Roman" w:cs="Times New Roman"/>
          <w:sz w:val="16"/>
        </w:rPr>
        <w:t>EOHLC is the</w:t>
      </w:r>
      <w:r w:rsidRPr="00326586" w:rsidR="00EC6FEB">
        <w:rPr>
          <w:rFonts w:ascii="Times New Roman" w:hAnsi="Times New Roman" w:cs="Times New Roman"/>
          <w:sz w:val="16"/>
        </w:rPr>
        <w:t xml:space="preserve"> certifying officer </w:t>
      </w:r>
      <w:r w:rsidRPr="00326586" w:rsidR="00764144">
        <w:rPr>
          <w:rFonts w:ascii="Times New Roman" w:hAnsi="Times New Roman" w:cs="Times New Roman"/>
          <w:sz w:val="16"/>
        </w:rPr>
        <w:t>responsible for</w:t>
      </w:r>
      <w:r w:rsidRPr="00326586" w:rsidR="00EC6FEB">
        <w:rPr>
          <w:rFonts w:ascii="Times New Roman" w:hAnsi="Times New Roman" w:cs="Times New Roman"/>
          <w:sz w:val="16"/>
        </w:rPr>
        <w:t xml:space="preserve"> </w:t>
      </w:r>
      <w:r w:rsidRPr="00326586" w:rsidR="00992941">
        <w:rPr>
          <w:rFonts w:ascii="Times New Roman" w:hAnsi="Times New Roman" w:cs="Times New Roman"/>
          <w:sz w:val="16"/>
        </w:rPr>
        <w:t>approving</w:t>
      </w:r>
      <w:r w:rsidRPr="00326586" w:rsidR="00EC6FEB">
        <w:rPr>
          <w:rFonts w:ascii="Times New Roman" w:hAnsi="Times New Roman" w:cs="Times New Roman"/>
          <w:sz w:val="16"/>
        </w:rPr>
        <w:t xml:space="preserve"> the review and takes </w:t>
      </w:r>
      <w:r w:rsidRPr="00326586" w:rsidR="00B3592B">
        <w:rPr>
          <w:rFonts w:ascii="Times New Roman" w:hAnsi="Times New Roman" w:cs="Times New Roman"/>
          <w:sz w:val="16"/>
        </w:rPr>
        <w:t>full</w:t>
      </w:r>
      <w:r w:rsidRPr="00326586" w:rsidR="00EC6FEB">
        <w:rPr>
          <w:rFonts w:ascii="Times New Roman" w:hAnsi="Times New Roman" w:cs="Times New Roman"/>
          <w:sz w:val="16"/>
        </w:rPr>
        <w:t xml:space="preserve"> responsibility for the </w:t>
      </w:r>
      <w:r w:rsidRPr="00326586" w:rsidR="00490FA4">
        <w:rPr>
          <w:rFonts w:ascii="Times New Roman" w:hAnsi="Times New Roman" w:cs="Times New Roman"/>
          <w:sz w:val="16"/>
        </w:rPr>
        <w:t xml:space="preserve">accuracy of the </w:t>
      </w:r>
      <w:r w:rsidRPr="00326586" w:rsidR="00EC6FEB">
        <w:rPr>
          <w:rFonts w:ascii="Times New Roman" w:hAnsi="Times New Roman" w:cs="Times New Roman"/>
          <w:sz w:val="16"/>
        </w:rPr>
        <w:t>review.</w:t>
      </w:r>
    </w:p>
    <w:p w:rsidRPr="005331A8" w:rsidR="00A2133C" w:rsidP="000634BB" w:rsidRDefault="008E798C" w14:paraId="09CCD4CB" w14:textId="0F0AAA2A">
      <w:pPr>
        <w:jc w:val="both"/>
        <w:rPr>
          <w:rFonts w:ascii="Times New Roman" w:hAnsi="Times New Roman" w:cs="Times New Roman"/>
          <w:sz w:val="16"/>
          <w:u w:val="single"/>
        </w:rPr>
      </w:pPr>
      <w:r w:rsidRPr="005331A8">
        <w:rPr>
          <w:rFonts w:ascii="Times New Roman" w:hAnsi="Times New Roman" w:cs="Times New Roman"/>
          <w:sz w:val="16"/>
          <w:u w:val="single"/>
        </w:rPr>
        <w:t>Project Description</w:t>
      </w:r>
      <w:r w:rsidRPr="00994725" w:rsidR="005331A8">
        <w:rPr>
          <w:rFonts w:ascii="Times New Roman" w:hAnsi="Times New Roman" w:cs="Times New Roman"/>
          <w:sz w:val="16"/>
        </w:rPr>
        <w:t xml:space="preserve">: </w:t>
      </w:r>
      <w:r w:rsidRPr="00326586">
        <w:rPr>
          <w:rFonts w:ascii="Times New Roman" w:hAnsi="Times New Roman" w:cs="Times New Roman"/>
          <w:sz w:val="16"/>
        </w:rPr>
        <w:t>A complete and clear project description is the foundation of the environmental review process. The project description should provide location specific information and geographic boundaries, as well as a delineation of all activities included in the overall scope of the project</w:t>
      </w:r>
      <w:r w:rsidR="002302F2">
        <w:rPr>
          <w:rFonts w:ascii="Times New Roman" w:hAnsi="Times New Roman" w:cs="Times New Roman"/>
          <w:sz w:val="16"/>
        </w:rPr>
        <w:t xml:space="preserve">. </w:t>
      </w:r>
      <w:r w:rsidRPr="00326586">
        <w:rPr>
          <w:rFonts w:ascii="Times New Roman" w:hAnsi="Times New Roman" w:cs="Times New Roman"/>
          <w:sz w:val="16"/>
        </w:rPr>
        <w:t xml:space="preserve">If the project or environmental review contains information that can be considered sensitive, such as the location of a domestic violence shelter, sacred site, or endangered species </w:t>
      </w:r>
      <w:r w:rsidRPr="00326586" w:rsidR="00A2133C">
        <w:rPr>
          <w:rFonts w:ascii="Times New Roman" w:hAnsi="Times New Roman" w:cs="Times New Roman"/>
          <w:sz w:val="16"/>
        </w:rPr>
        <w:t xml:space="preserve">habitat, </w:t>
      </w:r>
      <w:r w:rsidRPr="00326586" w:rsidR="00B27CE8">
        <w:rPr>
          <w:rFonts w:ascii="Times New Roman" w:hAnsi="Times New Roman" w:cs="Times New Roman"/>
          <w:sz w:val="16"/>
        </w:rPr>
        <w:t xml:space="preserve">HUD </w:t>
      </w:r>
      <w:r w:rsidRPr="00326586" w:rsidR="00860CC4">
        <w:rPr>
          <w:rFonts w:ascii="Times New Roman" w:hAnsi="Times New Roman" w:cs="Times New Roman"/>
          <w:sz w:val="16"/>
        </w:rPr>
        <w:t xml:space="preserve">allows the </w:t>
      </w:r>
      <w:r w:rsidRPr="00326586" w:rsidR="00A2133C">
        <w:rPr>
          <w:rFonts w:ascii="Times New Roman" w:hAnsi="Times New Roman" w:cs="Times New Roman"/>
          <w:sz w:val="16"/>
        </w:rPr>
        <w:t>omi</w:t>
      </w:r>
      <w:r w:rsidRPr="00326586" w:rsidR="00860CC4">
        <w:rPr>
          <w:rFonts w:ascii="Times New Roman" w:hAnsi="Times New Roman" w:cs="Times New Roman"/>
          <w:sz w:val="16"/>
        </w:rPr>
        <w:t>ssion</w:t>
      </w:r>
      <w:r w:rsidRPr="00326586" w:rsidR="00582F83">
        <w:rPr>
          <w:rFonts w:ascii="Times New Roman" w:hAnsi="Times New Roman" w:cs="Times New Roman"/>
          <w:sz w:val="16"/>
        </w:rPr>
        <w:t xml:space="preserve"> of</w:t>
      </w:r>
      <w:r w:rsidRPr="00326586" w:rsidR="00A2133C">
        <w:rPr>
          <w:rFonts w:ascii="Times New Roman" w:hAnsi="Times New Roman" w:cs="Times New Roman"/>
          <w:sz w:val="16"/>
        </w:rPr>
        <w:t xml:space="preserve"> that information from the publicly reviewable environmental review record.</w:t>
      </w:r>
    </w:p>
    <w:p w:rsidRPr="00994725" w:rsidR="000634BB" w:rsidP="00994725" w:rsidRDefault="000634BB" w14:paraId="46701954" w14:textId="464DB3CA">
      <w:pPr>
        <w:jc w:val="both"/>
        <w:rPr>
          <w:rFonts w:ascii="Times New Roman" w:hAnsi="Times New Roman" w:cs="Times New Roman"/>
          <w:sz w:val="16"/>
          <w:u w:val="single"/>
        </w:rPr>
      </w:pPr>
      <w:r w:rsidRPr="00994725">
        <w:rPr>
          <w:rFonts w:ascii="Times New Roman" w:hAnsi="Times New Roman" w:cs="Times New Roman"/>
          <w:sz w:val="16"/>
          <w:u w:val="single"/>
        </w:rPr>
        <w:t>The t</w:t>
      </w:r>
      <w:r w:rsidRPr="00994725" w:rsidR="00470533">
        <w:rPr>
          <w:rFonts w:ascii="Times New Roman" w:hAnsi="Times New Roman" w:cs="Times New Roman"/>
          <w:sz w:val="16"/>
          <w:u w:val="single"/>
        </w:rPr>
        <w:t>wo</w:t>
      </w:r>
      <w:r w:rsidRPr="00994725">
        <w:rPr>
          <w:rFonts w:ascii="Times New Roman" w:hAnsi="Times New Roman" w:cs="Times New Roman"/>
          <w:sz w:val="16"/>
          <w:u w:val="single"/>
        </w:rPr>
        <w:t xml:space="preserve"> levels of review for </w:t>
      </w:r>
      <w:r w:rsidRPr="00994725" w:rsidR="004B3EB2">
        <w:rPr>
          <w:rFonts w:ascii="Times New Roman" w:hAnsi="Times New Roman" w:cs="Times New Roman"/>
          <w:sz w:val="16"/>
          <w:u w:val="single"/>
        </w:rPr>
        <w:t xml:space="preserve">MA BoS </w:t>
      </w:r>
      <w:r w:rsidRPr="00994725">
        <w:rPr>
          <w:rFonts w:ascii="Times New Roman" w:hAnsi="Times New Roman" w:cs="Times New Roman"/>
          <w:sz w:val="16"/>
          <w:u w:val="single"/>
        </w:rPr>
        <w:t>CoC Program projects</w:t>
      </w:r>
      <w:r w:rsidRPr="00994725" w:rsidR="00994725">
        <w:rPr>
          <w:rFonts w:ascii="Times New Roman" w:hAnsi="Times New Roman" w:cs="Times New Roman"/>
          <w:sz w:val="16"/>
        </w:rPr>
        <w:t>:</w:t>
      </w:r>
    </w:p>
    <w:p w:rsidRPr="00326586" w:rsidR="004B3EB2" w:rsidP="004B3EB2" w:rsidRDefault="004B3EB2" w14:paraId="291BA1F6" w14:textId="77777777">
      <w:pPr>
        <w:pStyle w:val="ListParagraph"/>
        <w:jc w:val="both"/>
        <w:rPr>
          <w:rFonts w:ascii="Times New Roman" w:hAnsi="Times New Roman" w:cs="Times New Roman"/>
          <w:b/>
          <w:bCs/>
          <w:sz w:val="16"/>
        </w:rPr>
      </w:pPr>
    </w:p>
    <w:p w:rsidRPr="00326586" w:rsidR="00252907" w:rsidP="008D1874" w:rsidRDefault="000634BB" w14:paraId="68F82FBE" w14:textId="77777777">
      <w:pPr>
        <w:pStyle w:val="ListParagraph"/>
        <w:numPr>
          <w:ilvl w:val="0"/>
          <w:numId w:val="5"/>
        </w:numPr>
        <w:jc w:val="both"/>
        <w:rPr>
          <w:rFonts w:ascii="Times New Roman" w:hAnsi="Times New Roman" w:cs="Times New Roman"/>
          <w:sz w:val="16"/>
        </w:rPr>
      </w:pPr>
      <w:r w:rsidRPr="00326586">
        <w:rPr>
          <w:rFonts w:ascii="Times New Roman" w:hAnsi="Times New Roman" w:cs="Times New Roman"/>
          <w:sz w:val="16"/>
        </w:rPr>
        <w:t>Exempt or Categorically Excluded Not Subject to 58.5 (CENST) – For projects without any new environmental risks or impacts, including</w:t>
      </w:r>
      <w:r w:rsidRPr="00326586" w:rsidR="008D1874">
        <w:rPr>
          <w:rFonts w:ascii="Times New Roman" w:hAnsi="Times New Roman" w:cs="Times New Roman"/>
          <w:sz w:val="16"/>
        </w:rPr>
        <w:t>:</w:t>
      </w:r>
    </w:p>
    <w:p w:rsidRPr="00326586" w:rsidR="00252907" w:rsidP="00252907" w:rsidRDefault="000634BB" w14:paraId="6C9B22B9" w14:textId="77777777">
      <w:pPr>
        <w:pStyle w:val="ListParagraph"/>
        <w:numPr>
          <w:ilvl w:val="0"/>
          <w:numId w:val="6"/>
        </w:numPr>
        <w:jc w:val="both"/>
        <w:rPr>
          <w:rFonts w:ascii="Times New Roman" w:hAnsi="Times New Roman" w:cs="Times New Roman"/>
          <w:sz w:val="16"/>
        </w:rPr>
      </w:pPr>
      <w:r w:rsidRPr="00326586">
        <w:rPr>
          <w:rFonts w:ascii="Times New Roman" w:hAnsi="Times New Roman" w:cs="Times New Roman"/>
          <w:sz w:val="16"/>
        </w:rPr>
        <w:t xml:space="preserve">tenant-based rental assistance, </w:t>
      </w:r>
    </w:p>
    <w:p w:rsidRPr="00326586" w:rsidR="00252907" w:rsidP="00252907" w:rsidRDefault="000634BB" w14:paraId="2CD2FC85" w14:textId="77777777">
      <w:pPr>
        <w:pStyle w:val="ListParagraph"/>
        <w:numPr>
          <w:ilvl w:val="0"/>
          <w:numId w:val="6"/>
        </w:numPr>
        <w:jc w:val="both"/>
        <w:rPr>
          <w:rFonts w:ascii="Times New Roman" w:hAnsi="Times New Roman" w:cs="Times New Roman"/>
          <w:sz w:val="16"/>
        </w:rPr>
      </w:pPr>
      <w:r w:rsidRPr="00326586">
        <w:rPr>
          <w:rFonts w:ascii="Times New Roman" w:hAnsi="Times New Roman" w:cs="Times New Roman"/>
          <w:sz w:val="16"/>
        </w:rPr>
        <w:t xml:space="preserve">tenant-based leasing, </w:t>
      </w:r>
    </w:p>
    <w:p w:rsidRPr="00326586" w:rsidR="00252907" w:rsidP="00252907" w:rsidRDefault="000634BB" w14:paraId="4D2E7667" w14:textId="77777777">
      <w:pPr>
        <w:pStyle w:val="ListParagraph"/>
        <w:numPr>
          <w:ilvl w:val="0"/>
          <w:numId w:val="6"/>
        </w:numPr>
        <w:jc w:val="both"/>
        <w:rPr>
          <w:rFonts w:ascii="Times New Roman" w:hAnsi="Times New Roman" w:cs="Times New Roman"/>
          <w:sz w:val="16"/>
        </w:rPr>
      </w:pPr>
      <w:r w:rsidRPr="00326586">
        <w:rPr>
          <w:rFonts w:ascii="Times New Roman" w:hAnsi="Times New Roman" w:cs="Times New Roman"/>
          <w:sz w:val="16"/>
        </w:rPr>
        <w:t xml:space="preserve">supportive services, and </w:t>
      </w:r>
    </w:p>
    <w:p w:rsidRPr="00326586" w:rsidR="000634BB" w:rsidP="00252907" w:rsidRDefault="000634BB" w14:paraId="6FE6F772" w14:textId="0A5565F6">
      <w:pPr>
        <w:pStyle w:val="ListParagraph"/>
        <w:numPr>
          <w:ilvl w:val="0"/>
          <w:numId w:val="6"/>
        </w:numPr>
        <w:jc w:val="both"/>
        <w:rPr>
          <w:rFonts w:ascii="Times New Roman" w:hAnsi="Times New Roman" w:cs="Times New Roman"/>
          <w:sz w:val="16"/>
        </w:rPr>
      </w:pPr>
      <w:r w:rsidRPr="00326586">
        <w:rPr>
          <w:rFonts w:ascii="Times New Roman" w:hAnsi="Times New Roman" w:cs="Times New Roman"/>
          <w:sz w:val="16"/>
        </w:rPr>
        <w:t>administrative costs, including leasing office or emergency shelter space</w:t>
      </w:r>
      <w:r w:rsidRPr="00326586" w:rsidR="00F117EE">
        <w:rPr>
          <w:rFonts w:ascii="Times New Roman" w:hAnsi="Times New Roman" w:cs="Times New Roman"/>
          <w:sz w:val="16"/>
        </w:rPr>
        <w:t>.</w:t>
      </w:r>
    </w:p>
    <w:p w:rsidRPr="00326586" w:rsidR="00252907" w:rsidP="00252907" w:rsidRDefault="00252907" w14:paraId="16BACCF0" w14:textId="77777777">
      <w:pPr>
        <w:pStyle w:val="ListParagraph"/>
        <w:ind w:left="2210"/>
        <w:jc w:val="both"/>
        <w:rPr>
          <w:rFonts w:ascii="Times New Roman" w:hAnsi="Times New Roman" w:cs="Times New Roman"/>
          <w:sz w:val="16"/>
        </w:rPr>
      </w:pPr>
    </w:p>
    <w:p w:rsidRPr="00326586" w:rsidR="000634BB" w:rsidP="008D1874" w:rsidRDefault="000634BB" w14:paraId="0AAFC54E" w14:textId="09354285">
      <w:pPr>
        <w:pStyle w:val="ListParagraph"/>
        <w:numPr>
          <w:ilvl w:val="0"/>
          <w:numId w:val="5"/>
        </w:numPr>
        <w:jc w:val="both"/>
        <w:rPr>
          <w:rFonts w:ascii="Times New Roman" w:hAnsi="Times New Roman" w:cs="Times New Roman"/>
          <w:sz w:val="16"/>
        </w:rPr>
      </w:pPr>
      <w:r w:rsidRPr="00326586">
        <w:rPr>
          <w:rFonts w:ascii="Times New Roman" w:hAnsi="Times New Roman" w:cs="Times New Roman"/>
          <w:sz w:val="16"/>
        </w:rPr>
        <w:t>Categorically Excluded Subject to 58.5 (CEST) – For projects with minor new risks and impacts, including project-based rental assistance and minor rehab</w:t>
      </w:r>
      <w:r w:rsidRPr="00326586" w:rsidR="00F117EE">
        <w:rPr>
          <w:rFonts w:ascii="Times New Roman" w:hAnsi="Times New Roman" w:cs="Times New Roman"/>
          <w:sz w:val="16"/>
        </w:rPr>
        <w:t>.</w:t>
      </w:r>
    </w:p>
    <w:p w:rsidRPr="00326586" w:rsidR="00252907" w:rsidP="00252907" w:rsidRDefault="00252907" w14:paraId="2B72CCA1" w14:textId="77777777">
      <w:pPr>
        <w:pStyle w:val="ListParagraph"/>
        <w:ind w:left="1440"/>
        <w:jc w:val="both"/>
        <w:rPr>
          <w:rFonts w:ascii="Times New Roman" w:hAnsi="Times New Roman" w:cs="Times New Roman"/>
          <w:sz w:val="16"/>
        </w:rPr>
      </w:pPr>
    </w:p>
    <w:sectPr w:rsidRPr="00326586" w:rsidR="00252907" w:rsidSect="00F868D0">
      <w:footerReference w:type="default" r:id="rId9"/>
      <w:pgSz w:w="12240" w:h="15840" w:orient="portrait"/>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24A36" w:rsidP="00061BD6" w:rsidRDefault="00524A36" w14:paraId="3EDD182F" w14:textId="77777777">
      <w:pPr>
        <w:spacing w:after="0" w:line="240" w:lineRule="auto"/>
      </w:pPr>
      <w:r>
        <w:separator/>
      </w:r>
    </w:p>
  </w:endnote>
  <w:endnote w:type="continuationSeparator" w:id="0">
    <w:p w:rsidR="00524A36" w:rsidP="00061BD6" w:rsidRDefault="00524A36" w14:paraId="6232DE7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061BD6" w:rsidR="00061BD6" w:rsidRDefault="00061BD6" w14:paraId="70E57984" w14:textId="089B3BCD">
    <w:pPr>
      <w:pStyle w:val="Footer"/>
      <w:rPr>
        <w:rFonts w:ascii="Arial Narrow" w:hAnsi="Arial Narrow" w:cs="Arial"/>
        <w:color w:val="0315BD"/>
        <w:sz w:val="18"/>
        <w:szCs w:val="18"/>
      </w:rPr>
    </w:pPr>
    <w:r w:rsidRPr="00061BD6">
      <w:rPr>
        <w:rFonts w:ascii="Arial Narrow" w:hAnsi="Arial Narrow" w:cs="Arial"/>
        <w:color w:val="0315BD"/>
        <w:sz w:val="18"/>
        <w:szCs w:val="18"/>
      </w:rPr>
      <w:t xml:space="preserve">100 Cambridge Street, Suite 300 </w:t>
    </w:r>
    <w:r w:rsidRPr="00061BD6">
      <w:rPr>
        <w:rFonts w:ascii="Arial Narrow" w:hAnsi="Arial Narrow" w:cs="Arial"/>
        <w:color w:val="0315BD"/>
        <w:sz w:val="18"/>
        <w:szCs w:val="18"/>
      </w:rPr>
      <w:tab/>
    </w:r>
    <w:r w:rsidRPr="00061BD6">
      <w:rPr>
        <w:rFonts w:ascii="Arial Narrow" w:hAnsi="Arial Narrow" w:cs="Arial"/>
        <w:color w:val="0315BD"/>
        <w:sz w:val="18"/>
        <w:szCs w:val="18"/>
      </w:rPr>
      <w:tab/>
    </w:r>
    <w:r w:rsidRPr="00061BD6">
      <w:rPr>
        <w:rFonts w:ascii="Arial Narrow" w:hAnsi="Arial Narrow" w:cs="Arial"/>
        <w:color w:val="0315BD"/>
        <w:sz w:val="18"/>
        <w:szCs w:val="18"/>
      </w:rPr>
      <w:t>www.mass.gov</w:t>
    </w:r>
    <w:r w:rsidRPr="00061BD6">
      <w:rPr>
        <w:rFonts w:ascii="Arial Narrow" w:hAnsi="Arial Narrow" w:cs="Arial"/>
        <w:color w:val="0315BD"/>
        <w:sz w:val="18"/>
        <w:szCs w:val="18"/>
      </w:rPr>
      <w:br/>
    </w:r>
    <w:r w:rsidRPr="00061BD6">
      <w:rPr>
        <w:rFonts w:ascii="Arial Narrow" w:hAnsi="Arial Narrow" w:cs="Arial"/>
        <w:color w:val="0315BD"/>
        <w:sz w:val="18"/>
        <w:szCs w:val="18"/>
      </w:rPr>
      <w:t>Boston, Massachusetts 02114</w:t>
    </w:r>
    <w:r w:rsidRPr="00061BD6">
      <w:rPr>
        <w:rFonts w:ascii="Arial Narrow" w:hAnsi="Arial Narrow" w:cs="Arial"/>
        <w:color w:val="0315BD"/>
        <w:sz w:val="18"/>
        <w:szCs w:val="18"/>
      </w:rPr>
      <w:tab/>
    </w:r>
    <w:r w:rsidRPr="00061BD6">
      <w:rPr>
        <w:rFonts w:ascii="Arial Narrow" w:hAnsi="Arial Narrow" w:cs="Arial"/>
        <w:color w:val="0315BD"/>
        <w:sz w:val="18"/>
        <w:szCs w:val="18"/>
      </w:rPr>
      <w:tab/>
    </w:r>
    <w:r w:rsidRPr="00061BD6">
      <w:rPr>
        <w:rFonts w:ascii="Arial Narrow" w:hAnsi="Arial Narrow" w:cs="Arial"/>
        <w:color w:val="0315BD"/>
        <w:sz w:val="18"/>
        <w:szCs w:val="18"/>
      </w:rPr>
      <w:t xml:space="preserve">617.573.1100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24A36" w:rsidP="00061BD6" w:rsidRDefault="00524A36" w14:paraId="2C02B53A" w14:textId="77777777">
      <w:pPr>
        <w:spacing w:after="0" w:line="240" w:lineRule="auto"/>
      </w:pPr>
      <w:r>
        <w:separator/>
      </w:r>
    </w:p>
  </w:footnote>
  <w:footnote w:type="continuationSeparator" w:id="0">
    <w:p w:rsidR="00524A36" w:rsidP="00061BD6" w:rsidRDefault="00524A36" w14:paraId="3951E89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369E1"/>
    <w:multiLevelType w:val="hybridMultilevel"/>
    <w:tmpl w:val="E676EA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B7EB3"/>
    <w:multiLevelType w:val="hybridMultilevel"/>
    <w:tmpl w:val="75BE6C08"/>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4645B4D"/>
    <w:multiLevelType w:val="hybridMultilevel"/>
    <w:tmpl w:val="D3C830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0BD0E01"/>
    <w:multiLevelType w:val="hybridMultilevel"/>
    <w:tmpl w:val="A7B8ACF6"/>
    <w:lvl w:ilvl="0" w:tplc="08A05766">
      <w:start w:val="1"/>
      <w:numFmt w:val="decimal"/>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2A48F8"/>
    <w:multiLevelType w:val="hybridMultilevel"/>
    <w:tmpl w:val="3F5864A8"/>
    <w:lvl w:ilvl="0" w:tplc="02780C94">
      <w:start w:val="1"/>
      <w:numFmt w:val="decimal"/>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1C047D"/>
    <w:multiLevelType w:val="hybridMultilevel"/>
    <w:tmpl w:val="6EC86E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6C38E3"/>
    <w:multiLevelType w:val="hybridMultilevel"/>
    <w:tmpl w:val="4828A944"/>
    <w:lvl w:ilvl="0" w:tplc="04090003">
      <w:start w:val="1"/>
      <w:numFmt w:val="bullet"/>
      <w:lvlText w:val="o"/>
      <w:lvlJc w:val="left"/>
      <w:pPr>
        <w:ind w:left="2210" w:hanging="360"/>
      </w:pPr>
      <w:rPr>
        <w:rFonts w:hint="default" w:ascii="Courier New" w:hAnsi="Courier New" w:cs="Courier New"/>
      </w:rPr>
    </w:lvl>
    <w:lvl w:ilvl="1" w:tplc="04090003" w:tentative="1">
      <w:start w:val="1"/>
      <w:numFmt w:val="bullet"/>
      <w:lvlText w:val="o"/>
      <w:lvlJc w:val="left"/>
      <w:pPr>
        <w:ind w:left="2930" w:hanging="360"/>
      </w:pPr>
      <w:rPr>
        <w:rFonts w:hint="default" w:ascii="Courier New" w:hAnsi="Courier New" w:cs="Courier New"/>
      </w:rPr>
    </w:lvl>
    <w:lvl w:ilvl="2" w:tplc="04090005" w:tentative="1">
      <w:start w:val="1"/>
      <w:numFmt w:val="bullet"/>
      <w:lvlText w:val=""/>
      <w:lvlJc w:val="left"/>
      <w:pPr>
        <w:ind w:left="3650" w:hanging="360"/>
      </w:pPr>
      <w:rPr>
        <w:rFonts w:hint="default" w:ascii="Wingdings" w:hAnsi="Wingdings"/>
      </w:rPr>
    </w:lvl>
    <w:lvl w:ilvl="3" w:tplc="04090001" w:tentative="1">
      <w:start w:val="1"/>
      <w:numFmt w:val="bullet"/>
      <w:lvlText w:val=""/>
      <w:lvlJc w:val="left"/>
      <w:pPr>
        <w:ind w:left="4370" w:hanging="360"/>
      </w:pPr>
      <w:rPr>
        <w:rFonts w:hint="default" w:ascii="Symbol" w:hAnsi="Symbol"/>
      </w:rPr>
    </w:lvl>
    <w:lvl w:ilvl="4" w:tplc="04090003" w:tentative="1">
      <w:start w:val="1"/>
      <w:numFmt w:val="bullet"/>
      <w:lvlText w:val="o"/>
      <w:lvlJc w:val="left"/>
      <w:pPr>
        <w:ind w:left="5090" w:hanging="360"/>
      </w:pPr>
      <w:rPr>
        <w:rFonts w:hint="default" w:ascii="Courier New" w:hAnsi="Courier New" w:cs="Courier New"/>
      </w:rPr>
    </w:lvl>
    <w:lvl w:ilvl="5" w:tplc="04090005" w:tentative="1">
      <w:start w:val="1"/>
      <w:numFmt w:val="bullet"/>
      <w:lvlText w:val=""/>
      <w:lvlJc w:val="left"/>
      <w:pPr>
        <w:ind w:left="5810" w:hanging="360"/>
      </w:pPr>
      <w:rPr>
        <w:rFonts w:hint="default" w:ascii="Wingdings" w:hAnsi="Wingdings"/>
      </w:rPr>
    </w:lvl>
    <w:lvl w:ilvl="6" w:tplc="04090001" w:tentative="1">
      <w:start w:val="1"/>
      <w:numFmt w:val="bullet"/>
      <w:lvlText w:val=""/>
      <w:lvlJc w:val="left"/>
      <w:pPr>
        <w:ind w:left="6530" w:hanging="360"/>
      </w:pPr>
      <w:rPr>
        <w:rFonts w:hint="default" w:ascii="Symbol" w:hAnsi="Symbol"/>
      </w:rPr>
    </w:lvl>
    <w:lvl w:ilvl="7" w:tplc="04090003" w:tentative="1">
      <w:start w:val="1"/>
      <w:numFmt w:val="bullet"/>
      <w:lvlText w:val="o"/>
      <w:lvlJc w:val="left"/>
      <w:pPr>
        <w:ind w:left="7250" w:hanging="360"/>
      </w:pPr>
      <w:rPr>
        <w:rFonts w:hint="default" w:ascii="Courier New" w:hAnsi="Courier New" w:cs="Courier New"/>
      </w:rPr>
    </w:lvl>
    <w:lvl w:ilvl="8" w:tplc="04090005" w:tentative="1">
      <w:start w:val="1"/>
      <w:numFmt w:val="bullet"/>
      <w:lvlText w:val=""/>
      <w:lvlJc w:val="left"/>
      <w:pPr>
        <w:ind w:left="7970" w:hanging="360"/>
      </w:pPr>
      <w:rPr>
        <w:rFonts w:hint="default" w:ascii="Wingdings" w:hAnsi="Wingdings"/>
      </w:rPr>
    </w:lvl>
  </w:abstractNum>
  <w:abstractNum w:abstractNumId="7" w15:restartNumberingAfterBreak="0">
    <w:nsid w:val="405E2095"/>
    <w:multiLevelType w:val="hybridMultilevel"/>
    <w:tmpl w:val="6DD05ABC"/>
    <w:lvl w:ilvl="0" w:tplc="04090005">
      <w:start w:val="1"/>
      <w:numFmt w:val="bullet"/>
      <w:lvlText w:val=""/>
      <w:lvlJc w:val="left"/>
      <w:pPr>
        <w:ind w:left="1800" w:hanging="360"/>
      </w:pPr>
      <w:rPr>
        <w:rFonts w:hint="default" w:ascii="Wingdings" w:hAnsi="Wingdings"/>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8" w15:restartNumberingAfterBreak="0">
    <w:nsid w:val="460875BE"/>
    <w:multiLevelType w:val="hybridMultilevel"/>
    <w:tmpl w:val="655A8A0A"/>
    <w:lvl w:ilvl="0" w:tplc="BCE63CAE">
      <w:numFmt w:val="bullet"/>
      <w:lvlText w:val="-"/>
      <w:lvlJc w:val="left"/>
      <w:pPr>
        <w:ind w:left="720" w:hanging="360"/>
      </w:pPr>
      <w:rPr>
        <w:rFonts w:hint="default" w:ascii="Times New Roman" w:hAnsi="Times New Roman"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97253CD"/>
    <w:multiLevelType w:val="hybridMultilevel"/>
    <w:tmpl w:val="71BA80E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C191890"/>
    <w:multiLevelType w:val="hybridMultilevel"/>
    <w:tmpl w:val="DF3ED3C8"/>
    <w:lvl w:ilvl="0" w:tplc="27D0C0E0">
      <w:start w:val="1"/>
      <w:numFmt w:val="bullet"/>
      <w:lvlText w:val="o"/>
      <w:lvlJc w:val="left"/>
      <w:pPr>
        <w:ind w:left="720" w:hanging="360"/>
      </w:pPr>
      <w:rPr>
        <w:rFonts w:hint="default" w:ascii="Courier New" w:hAnsi="Courier New" w:cs="Courier New"/>
        <w:sz w:val="14"/>
        <w:szCs w:val="1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926111374">
    <w:abstractNumId w:val="3"/>
  </w:num>
  <w:num w:numId="2" w16cid:durableId="1102457625">
    <w:abstractNumId w:val="4"/>
  </w:num>
  <w:num w:numId="3" w16cid:durableId="102968909">
    <w:abstractNumId w:val="10"/>
  </w:num>
  <w:num w:numId="4" w16cid:durableId="466822196">
    <w:abstractNumId w:val="1"/>
  </w:num>
  <w:num w:numId="5" w16cid:durableId="836968263">
    <w:abstractNumId w:val="2"/>
  </w:num>
  <w:num w:numId="6" w16cid:durableId="668215339">
    <w:abstractNumId w:val="6"/>
  </w:num>
  <w:num w:numId="7" w16cid:durableId="560020888">
    <w:abstractNumId w:val="5"/>
  </w:num>
  <w:num w:numId="8" w16cid:durableId="782188280">
    <w:abstractNumId w:val="0"/>
  </w:num>
  <w:num w:numId="9" w16cid:durableId="858280540">
    <w:abstractNumId w:val="9"/>
  </w:num>
  <w:num w:numId="10" w16cid:durableId="1526091158">
    <w:abstractNumId w:val="7"/>
  </w:num>
  <w:num w:numId="11" w16cid:durableId="510491848">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50"/>
  <w:trackRevisions w:val="false"/>
  <w:documentProtection w:formatting="1" w:enforcement="0"/>
  <w:autoFormatOverride/>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36D"/>
    <w:rsid w:val="000043F2"/>
    <w:rsid w:val="000061AE"/>
    <w:rsid w:val="00014B4C"/>
    <w:rsid w:val="00021B8C"/>
    <w:rsid w:val="000403A7"/>
    <w:rsid w:val="00061BD6"/>
    <w:rsid w:val="000634BB"/>
    <w:rsid w:val="000939B2"/>
    <w:rsid w:val="00096170"/>
    <w:rsid w:val="000A050B"/>
    <w:rsid w:val="000B0D57"/>
    <w:rsid w:val="000C2BC3"/>
    <w:rsid w:val="000C6715"/>
    <w:rsid w:val="000D021A"/>
    <w:rsid w:val="00101F46"/>
    <w:rsid w:val="00115B11"/>
    <w:rsid w:val="001252FF"/>
    <w:rsid w:val="00140EEB"/>
    <w:rsid w:val="00152CE7"/>
    <w:rsid w:val="00153120"/>
    <w:rsid w:val="00155291"/>
    <w:rsid w:val="00160B10"/>
    <w:rsid w:val="001A0D16"/>
    <w:rsid w:val="001A2705"/>
    <w:rsid w:val="001B4B5E"/>
    <w:rsid w:val="001C4738"/>
    <w:rsid w:val="001E5F23"/>
    <w:rsid w:val="00200136"/>
    <w:rsid w:val="00217209"/>
    <w:rsid w:val="002302F2"/>
    <w:rsid w:val="002313E1"/>
    <w:rsid w:val="002361AB"/>
    <w:rsid w:val="00252907"/>
    <w:rsid w:val="00261606"/>
    <w:rsid w:val="00262DBE"/>
    <w:rsid w:val="002730E2"/>
    <w:rsid w:val="00280FB6"/>
    <w:rsid w:val="0028636E"/>
    <w:rsid w:val="00287692"/>
    <w:rsid w:val="00291CE8"/>
    <w:rsid w:val="002A17A2"/>
    <w:rsid w:val="002A35E8"/>
    <w:rsid w:val="002A3798"/>
    <w:rsid w:val="002A7A4C"/>
    <w:rsid w:val="002B2F3F"/>
    <w:rsid w:val="002C5EF8"/>
    <w:rsid w:val="002D2C64"/>
    <w:rsid w:val="002E3EA5"/>
    <w:rsid w:val="002F0FA1"/>
    <w:rsid w:val="002F6249"/>
    <w:rsid w:val="00303D43"/>
    <w:rsid w:val="00312491"/>
    <w:rsid w:val="00317DB6"/>
    <w:rsid w:val="00322A6B"/>
    <w:rsid w:val="00326586"/>
    <w:rsid w:val="00331CC1"/>
    <w:rsid w:val="003508D6"/>
    <w:rsid w:val="00356206"/>
    <w:rsid w:val="00362425"/>
    <w:rsid w:val="0037438D"/>
    <w:rsid w:val="00377FA3"/>
    <w:rsid w:val="00393D1B"/>
    <w:rsid w:val="003A0FF5"/>
    <w:rsid w:val="003C4250"/>
    <w:rsid w:val="003D74B0"/>
    <w:rsid w:val="0040274B"/>
    <w:rsid w:val="004355F9"/>
    <w:rsid w:val="004556E1"/>
    <w:rsid w:val="004672F5"/>
    <w:rsid w:val="00470533"/>
    <w:rsid w:val="004803E8"/>
    <w:rsid w:val="00484DF3"/>
    <w:rsid w:val="00490FA4"/>
    <w:rsid w:val="004914C4"/>
    <w:rsid w:val="004940EE"/>
    <w:rsid w:val="004A78BF"/>
    <w:rsid w:val="004B1797"/>
    <w:rsid w:val="004B3EB2"/>
    <w:rsid w:val="004B57F5"/>
    <w:rsid w:val="004B61FC"/>
    <w:rsid w:val="004C5725"/>
    <w:rsid w:val="00500B8B"/>
    <w:rsid w:val="00506D2E"/>
    <w:rsid w:val="005073B6"/>
    <w:rsid w:val="0051729C"/>
    <w:rsid w:val="00524A36"/>
    <w:rsid w:val="005331A8"/>
    <w:rsid w:val="0057230A"/>
    <w:rsid w:val="00582F83"/>
    <w:rsid w:val="0058736D"/>
    <w:rsid w:val="00594623"/>
    <w:rsid w:val="0059550B"/>
    <w:rsid w:val="005B1326"/>
    <w:rsid w:val="005B6F96"/>
    <w:rsid w:val="005D4B2D"/>
    <w:rsid w:val="005E04C6"/>
    <w:rsid w:val="005E37D5"/>
    <w:rsid w:val="005F2D11"/>
    <w:rsid w:val="00627CC9"/>
    <w:rsid w:val="006418DE"/>
    <w:rsid w:val="00646F9E"/>
    <w:rsid w:val="00651250"/>
    <w:rsid w:val="00656E24"/>
    <w:rsid w:val="00664267"/>
    <w:rsid w:val="006651E4"/>
    <w:rsid w:val="006666C8"/>
    <w:rsid w:val="00672A21"/>
    <w:rsid w:val="00692A9A"/>
    <w:rsid w:val="006A132A"/>
    <w:rsid w:val="006A17E0"/>
    <w:rsid w:val="006A51F8"/>
    <w:rsid w:val="006B7F4C"/>
    <w:rsid w:val="006E7821"/>
    <w:rsid w:val="006F7B37"/>
    <w:rsid w:val="007358E8"/>
    <w:rsid w:val="007426BC"/>
    <w:rsid w:val="00755526"/>
    <w:rsid w:val="00756154"/>
    <w:rsid w:val="00756C55"/>
    <w:rsid w:val="00764144"/>
    <w:rsid w:val="00785FCD"/>
    <w:rsid w:val="0079607A"/>
    <w:rsid w:val="007A3B32"/>
    <w:rsid w:val="007A6A1F"/>
    <w:rsid w:val="007C52BF"/>
    <w:rsid w:val="007C56F2"/>
    <w:rsid w:val="007D50A2"/>
    <w:rsid w:val="007E3992"/>
    <w:rsid w:val="007E5FC8"/>
    <w:rsid w:val="007F0CEE"/>
    <w:rsid w:val="007F6A43"/>
    <w:rsid w:val="008262E3"/>
    <w:rsid w:val="0083063E"/>
    <w:rsid w:val="00841624"/>
    <w:rsid w:val="00845A1D"/>
    <w:rsid w:val="00860248"/>
    <w:rsid w:val="00860CC4"/>
    <w:rsid w:val="008630A2"/>
    <w:rsid w:val="008645F0"/>
    <w:rsid w:val="00872F1A"/>
    <w:rsid w:val="00875616"/>
    <w:rsid w:val="008763D6"/>
    <w:rsid w:val="00887D2F"/>
    <w:rsid w:val="00892F98"/>
    <w:rsid w:val="0089491B"/>
    <w:rsid w:val="008B5A1D"/>
    <w:rsid w:val="008D1874"/>
    <w:rsid w:val="008D41FC"/>
    <w:rsid w:val="008D44BD"/>
    <w:rsid w:val="008E0010"/>
    <w:rsid w:val="008E798C"/>
    <w:rsid w:val="008F1CC8"/>
    <w:rsid w:val="00904FA4"/>
    <w:rsid w:val="00905204"/>
    <w:rsid w:val="009167BB"/>
    <w:rsid w:val="00917BFC"/>
    <w:rsid w:val="00927984"/>
    <w:rsid w:val="00932B86"/>
    <w:rsid w:val="00935FBF"/>
    <w:rsid w:val="0095063B"/>
    <w:rsid w:val="009556ED"/>
    <w:rsid w:val="0096199B"/>
    <w:rsid w:val="00961DB4"/>
    <w:rsid w:val="00963DA5"/>
    <w:rsid w:val="00967A6F"/>
    <w:rsid w:val="00975248"/>
    <w:rsid w:val="00981C53"/>
    <w:rsid w:val="00992941"/>
    <w:rsid w:val="00994725"/>
    <w:rsid w:val="009A1E55"/>
    <w:rsid w:val="009A69D6"/>
    <w:rsid w:val="009B3D99"/>
    <w:rsid w:val="009C3D15"/>
    <w:rsid w:val="009D7492"/>
    <w:rsid w:val="009F2BD8"/>
    <w:rsid w:val="009F38EF"/>
    <w:rsid w:val="00A002ED"/>
    <w:rsid w:val="00A2133C"/>
    <w:rsid w:val="00A32C8A"/>
    <w:rsid w:val="00A4536A"/>
    <w:rsid w:val="00A669BC"/>
    <w:rsid w:val="00A8136A"/>
    <w:rsid w:val="00A92FBB"/>
    <w:rsid w:val="00AA621B"/>
    <w:rsid w:val="00AB146D"/>
    <w:rsid w:val="00AC452E"/>
    <w:rsid w:val="00AD477B"/>
    <w:rsid w:val="00AE4294"/>
    <w:rsid w:val="00AE5527"/>
    <w:rsid w:val="00AF3661"/>
    <w:rsid w:val="00AF416F"/>
    <w:rsid w:val="00B00A10"/>
    <w:rsid w:val="00B101CC"/>
    <w:rsid w:val="00B1202E"/>
    <w:rsid w:val="00B27CE8"/>
    <w:rsid w:val="00B30084"/>
    <w:rsid w:val="00B30A93"/>
    <w:rsid w:val="00B3592B"/>
    <w:rsid w:val="00B4797F"/>
    <w:rsid w:val="00B90C30"/>
    <w:rsid w:val="00B926CE"/>
    <w:rsid w:val="00B974AE"/>
    <w:rsid w:val="00BA040B"/>
    <w:rsid w:val="00BA394E"/>
    <w:rsid w:val="00BB1622"/>
    <w:rsid w:val="00BB50D7"/>
    <w:rsid w:val="00BB604D"/>
    <w:rsid w:val="00BD56A8"/>
    <w:rsid w:val="00BE45B8"/>
    <w:rsid w:val="00BF01DD"/>
    <w:rsid w:val="00C06FBD"/>
    <w:rsid w:val="00C253DA"/>
    <w:rsid w:val="00C26B8A"/>
    <w:rsid w:val="00C42836"/>
    <w:rsid w:val="00C55CC6"/>
    <w:rsid w:val="00C62A00"/>
    <w:rsid w:val="00CB4B3B"/>
    <w:rsid w:val="00CC40B0"/>
    <w:rsid w:val="00CC76D3"/>
    <w:rsid w:val="00CE09D9"/>
    <w:rsid w:val="00CE4061"/>
    <w:rsid w:val="00CF0048"/>
    <w:rsid w:val="00D03629"/>
    <w:rsid w:val="00D05FD4"/>
    <w:rsid w:val="00D06411"/>
    <w:rsid w:val="00D26E18"/>
    <w:rsid w:val="00D361E1"/>
    <w:rsid w:val="00D40306"/>
    <w:rsid w:val="00D4049E"/>
    <w:rsid w:val="00D44988"/>
    <w:rsid w:val="00D53B74"/>
    <w:rsid w:val="00D935D0"/>
    <w:rsid w:val="00DB0BD7"/>
    <w:rsid w:val="00DB6FBC"/>
    <w:rsid w:val="00DD181C"/>
    <w:rsid w:val="00DD3728"/>
    <w:rsid w:val="00DD3A13"/>
    <w:rsid w:val="00DE0007"/>
    <w:rsid w:val="00DE0667"/>
    <w:rsid w:val="00DE37C3"/>
    <w:rsid w:val="00DF23D5"/>
    <w:rsid w:val="00DF4960"/>
    <w:rsid w:val="00E063E8"/>
    <w:rsid w:val="00E0794E"/>
    <w:rsid w:val="00E17B51"/>
    <w:rsid w:val="00E235A1"/>
    <w:rsid w:val="00E42579"/>
    <w:rsid w:val="00E757B0"/>
    <w:rsid w:val="00E77587"/>
    <w:rsid w:val="00E96025"/>
    <w:rsid w:val="00EA7D0C"/>
    <w:rsid w:val="00EB065B"/>
    <w:rsid w:val="00EB288D"/>
    <w:rsid w:val="00EB4780"/>
    <w:rsid w:val="00EC62A2"/>
    <w:rsid w:val="00EC6FEB"/>
    <w:rsid w:val="00ED1D4A"/>
    <w:rsid w:val="00ED3E53"/>
    <w:rsid w:val="00ED690B"/>
    <w:rsid w:val="00EE5D9D"/>
    <w:rsid w:val="00EF7BB5"/>
    <w:rsid w:val="00F00D63"/>
    <w:rsid w:val="00F057BA"/>
    <w:rsid w:val="00F06288"/>
    <w:rsid w:val="00F10134"/>
    <w:rsid w:val="00F11416"/>
    <w:rsid w:val="00F117EE"/>
    <w:rsid w:val="00F32902"/>
    <w:rsid w:val="00F552B0"/>
    <w:rsid w:val="00F8460B"/>
    <w:rsid w:val="00F868D0"/>
    <w:rsid w:val="00F930C7"/>
    <w:rsid w:val="00F97130"/>
    <w:rsid w:val="00FA24E4"/>
    <w:rsid w:val="00FC67E7"/>
    <w:rsid w:val="00FE4065"/>
    <w:rsid w:val="00FE7422"/>
    <w:rsid w:val="00FF689C"/>
    <w:rsid w:val="4D00A09E"/>
    <w:rsid w:val="6180F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D7E8D"/>
  <w15:chartTrackingRefBased/>
  <w15:docId w15:val="{4FF8E326-C4CF-4A81-AB63-B40559EBEC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uiPriority w:val="10"/>
    <w:qFormat/>
    <w:rsid w:val="0058736D"/>
    <w:pPr>
      <w:widowControl w:val="0"/>
      <w:autoSpaceDE w:val="0"/>
      <w:autoSpaceDN w:val="0"/>
      <w:spacing w:before="59" w:after="0" w:line="240" w:lineRule="auto"/>
      <w:ind w:left="462" w:right="1257"/>
      <w:jc w:val="center"/>
    </w:pPr>
    <w:rPr>
      <w:rFonts w:ascii="Times New Roman" w:hAnsi="Times New Roman" w:eastAsia="Times New Roman" w:cs="Times New Roman"/>
      <w:sz w:val="32"/>
      <w:szCs w:val="32"/>
    </w:rPr>
  </w:style>
  <w:style w:type="character" w:styleId="TitleChar" w:customStyle="1">
    <w:name w:val="Title Char"/>
    <w:basedOn w:val="DefaultParagraphFont"/>
    <w:link w:val="Title"/>
    <w:uiPriority w:val="10"/>
    <w:rsid w:val="0058736D"/>
    <w:rPr>
      <w:rFonts w:ascii="Times New Roman" w:hAnsi="Times New Roman" w:eastAsia="Times New Roman" w:cs="Times New Roman"/>
      <w:sz w:val="32"/>
      <w:szCs w:val="32"/>
    </w:rPr>
  </w:style>
  <w:style w:type="paragraph" w:styleId="Header">
    <w:name w:val="header"/>
    <w:basedOn w:val="Normal"/>
    <w:link w:val="HeaderChar"/>
    <w:uiPriority w:val="99"/>
    <w:unhideWhenUsed/>
    <w:rsid w:val="00061BD6"/>
    <w:pPr>
      <w:tabs>
        <w:tab w:val="center" w:pos="4680"/>
        <w:tab w:val="right" w:pos="9360"/>
      </w:tabs>
      <w:spacing w:after="0" w:line="240" w:lineRule="auto"/>
    </w:pPr>
  </w:style>
  <w:style w:type="character" w:styleId="HeaderChar" w:customStyle="1">
    <w:name w:val="Header Char"/>
    <w:basedOn w:val="DefaultParagraphFont"/>
    <w:link w:val="Header"/>
    <w:uiPriority w:val="99"/>
    <w:rsid w:val="00061BD6"/>
  </w:style>
  <w:style w:type="paragraph" w:styleId="Footer">
    <w:name w:val="footer"/>
    <w:basedOn w:val="Normal"/>
    <w:link w:val="FooterChar"/>
    <w:uiPriority w:val="99"/>
    <w:unhideWhenUsed/>
    <w:rsid w:val="00061BD6"/>
    <w:pPr>
      <w:tabs>
        <w:tab w:val="center" w:pos="4680"/>
        <w:tab w:val="right" w:pos="9360"/>
      </w:tabs>
      <w:spacing w:after="0" w:line="240" w:lineRule="auto"/>
    </w:pPr>
  </w:style>
  <w:style w:type="character" w:styleId="FooterChar" w:customStyle="1">
    <w:name w:val="Footer Char"/>
    <w:basedOn w:val="DefaultParagraphFont"/>
    <w:link w:val="Footer"/>
    <w:uiPriority w:val="99"/>
    <w:rsid w:val="00061BD6"/>
  </w:style>
  <w:style w:type="character" w:styleId="Hyperlink">
    <w:name w:val="Hyperlink"/>
    <w:basedOn w:val="DefaultParagraphFont"/>
    <w:uiPriority w:val="99"/>
    <w:unhideWhenUsed/>
    <w:rsid w:val="00061BD6"/>
    <w:rPr>
      <w:color w:val="0563C1" w:themeColor="hyperlink"/>
      <w:u w:val="single"/>
    </w:rPr>
  </w:style>
  <w:style w:type="character" w:styleId="UnresolvedMention">
    <w:name w:val="Unresolved Mention"/>
    <w:basedOn w:val="DefaultParagraphFont"/>
    <w:uiPriority w:val="99"/>
    <w:semiHidden/>
    <w:unhideWhenUsed/>
    <w:rsid w:val="00061BD6"/>
    <w:rPr>
      <w:color w:val="605E5C"/>
      <w:shd w:val="clear" w:color="auto" w:fill="E1DFDD"/>
    </w:rPr>
  </w:style>
  <w:style w:type="table" w:styleId="TableGrid">
    <w:name w:val="Table Grid"/>
    <w:basedOn w:val="TableNormal"/>
    <w:rsid w:val="007F6A43"/>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A39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FBF716E057E448AF15C9A904E7F366" ma:contentTypeVersion="16" ma:contentTypeDescription="Create a new document." ma:contentTypeScope="" ma:versionID="fcfac32e36377596bb607a1d202db173">
  <xsd:schema xmlns:xsd="http://www.w3.org/2001/XMLSchema" xmlns:xs="http://www.w3.org/2001/XMLSchema" xmlns:p="http://schemas.microsoft.com/office/2006/metadata/properties" xmlns:ns2="9bf803aa-ae09-447b-95af-6dda8326dd8b" xmlns:ns3="a63a9c72-e43b-4077-bbd1-fe0cd88be8b0" targetNamespace="http://schemas.microsoft.com/office/2006/metadata/properties" ma:root="true" ma:fieldsID="0c05604dcbbf0758b318f89d92871d93" ns2:_="" ns3:_="">
    <xsd:import namespace="9bf803aa-ae09-447b-95af-6dda8326dd8b"/>
    <xsd:import namespace="a63a9c72-e43b-4077-bbd1-fe0cd88be8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803aa-ae09-447b-95af-6dda8326d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a9c72-e43b-4077-bbd1-fe0cd88be8b0"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e2e1669-d933-4379-b17c-7ea1a7c0d711}" ma:internalName="TaxCatchAll" ma:showField="CatchAllData" ma:web="a63a9c72-e43b-4077-bbd1-fe0cd88be8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63a9c72-e43b-4077-bbd1-fe0cd88be8b0" xsi:nil="true"/>
    <lcf76f155ced4ddcb4097134ff3c332f xmlns="9bf803aa-ae09-447b-95af-6dda8326dd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9337C5-52C6-412D-B861-54578588E308}">
  <ds:schemaRefs>
    <ds:schemaRef ds:uri="http://schemas.openxmlformats.org/officeDocument/2006/bibliography"/>
  </ds:schemaRefs>
</ds:datastoreItem>
</file>

<file path=customXml/itemProps2.xml><?xml version="1.0" encoding="utf-8"?>
<ds:datastoreItem xmlns:ds="http://schemas.openxmlformats.org/officeDocument/2006/customXml" ds:itemID="{6036282C-4626-43CE-882D-2E2076679766}"/>
</file>

<file path=customXml/itemProps3.xml><?xml version="1.0" encoding="utf-8"?>
<ds:datastoreItem xmlns:ds="http://schemas.openxmlformats.org/officeDocument/2006/customXml" ds:itemID="{E75ACC14-942C-45D7-A0CE-A2D8C326172B}"/>
</file>

<file path=customXml/itemProps4.xml><?xml version="1.0" encoding="utf-8"?>
<ds:datastoreItem xmlns:ds="http://schemas.openxmlformats.org/officeDocument/2006/customXml" ds:itemID="{87DB42CA-DB07-44B8-88C5-E6C99B2C7FA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Boretos, Canelina (OCD)</dc:creator>
  <cp:keywords/>
  <dc:description/>
  <cp:lastModifiedBy>Byron, Karen (EOHLC)</cp:lastModifiedBy>
  <cp:revision>26</cp:revision>
  <dcterms:created xsi:type="dcterms:W3CDTF">2024-05-22T15:13:00Z</dcterms:created>
  <dcterms:modified xsi:type="dcterms:W3CDTF">2024-06-10T14:48:03Z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0x010100EAFBF716E057E448AF15C9A904E7F366</vt:lpwstr>
  </property>
  <property fmtid="{D5CDD505-2E9C-101B-9397-08002B2CF9AE}" pid="3" name="MediaServiceImageTags">
    <vt:lpwstr/>
  </property>
</Properties>
</file>