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B5F75" w:rsidR="00AD211E" w:rsidP="354BCF1B" w:rsidRDefault="000F706F" w14:paraId="46BA47B3" w14:textId="1C4FFED6">
      <w:pPr>
        <w:pStyle w:val="IntenseQuote"/>
        <w:rPr>
          <w:sz w:val="18"/>
          <w:szCs w:val="18"/>
        </w:rPr>
      </w:pPr>
      <w:r w:rsidRPr="354BCF1B" w:rsidR="0CE1E87A">
        <w:rPr>
          <w:sz w:val="18"/>
          <w:szCs w:val="18"/>
        </w:rPr>
        <w:t xml:space="preserve">MA BALANCE OF STATE CoC </w:t>
      </w:r>
    </w:p>
    <w:p w:rsidRPr="00FB5F75" w:rsidR="00AD211E" w:rsidP="00662163" w:rsidRDefault="000F706F" w14:paraId="1074B0F0" w14:textId="1C4FFED6">
      <w:pPr>
        <w:pStyle w:val="IntenseQuote"/>
        <w:rPr>
          <w:sz w:val="18"/>
          <w:szCs w:val="18"/>
        </w:rPr>
      </w:pPr>
      <w:r w:rsidRPr="354BCF1B" w:rsidR="000F706F">
        <w:rPr>
          <w:sz w:val="18"/>
          <w:szCs w:val="18"/>
        </w:rPr>
        <w:t xml:space="preserve"> </w:t>
      </w:r>
      <w:r w:rsidRPr="354BCF1B" w:rsidR="005C5CF0">
        <w:rPr>
          <w:sz w:val="18"/>
          <w:szCs w:val="18"/>
        </w:rPr>
        <w:t xml:space="preserve">FEDERAL GRANT </w:t>
      </w:r>
      <w:r w:rsidRPr="354BCF1B" w:rsidR="00020AA9">
        <w:rPr>
          <w:sz w:val="18"/>
          <w:szCs w:val="18"/>
        </w:rPr>
        <w:t>COMPLIANCE MONITORING</w:t>
      </w:r>
      <w:r w:rsidRPr="354BCF1B" w:rsidR="0007141A">
        <w:rPr>
          <w:sz w:val="18"/>
          <w:szCs w:val="18"/>
        </w:rPr>
        <w:t xml:space="preserve"> POLICY</w:t>
      </w:r>
    </w:p>
    <w:p w:rsidRPr="00FB5F75" w:rsidR="00AD211E" w:rsidP="00905BBF" w:rsidRDefault="000C7A1E" w14:paraId="1476A189" w14:textId="03560B3E">
      <w:pPr>
        <w:pStyle w:val="Title"/>
        <w:jc w:val="center"/>
        <w:rPr>
          <w:color w:val="C00000"/>
          <w:sz w:val="48"/>
          <w:szCs w:val="48"/>
        </w:rPr>
      </w:pPr>
      <w:r w:rsidRPr="00FB5F75">
        <w:rPr>
          <w:color w:val="C00000"/>
          <w:sz w:val="48"/>
          <w:szCs w:val="48"/>
        </w:rPr>
        <w:t>TABLE OF CONTENT</w:t>
      </w:r>
      <w:r w:rsidRPr="00FB5F75" w:rsidR="0053550C">
        <w:rPr>
          <w:color w:val="C00000"/>
          <w:sz w:val="48"/>
          <w:szCs w:val="48"/>
        </w:rPr>
        <w:t>S</w:t>
      </w:r>
    </w:p>
    <w:p w:rsidRPr="00FB5F75" w:rsidR="001F4807" w:rsidP="0079610B" w:rsidRDefault="001F4807" w14:paraId="09762AC3" w14:textId="77777777">
      <w:pPr>
        <w:spacing w:after="0" w:line="240" w:lineRule="auto"/>
        <w:rPr>
          <w:b/>
          <w:bCs/>
          <w:sz w:val="20"/>
          <w:szCs w:val="20"/>
          <w:u w:val="single"/>
        </w:rPr>
      </w:pPr>
    </w:p>
    <w:p w:rsidRPr="007F5BD2" w:rsidR="008E7C8F" w:rsidP="0079610B" w:rsidRDefault="00000000" w14:paraId="1560332E" w14:textId="588FDA73">
      <w:pPr>
        <w:spacing w:after="0" w:line="240" w:lineRule="auto"/>
        <w:rPr>
          <w:b/>
          <w:bCs/>
          <w:sz w:val="32"/>
          <w:szCs w:val="32"/>
        </w:rPr>
      </w:pPr>
      <w:hyperlink w:history="1" w:anchor="_I._INTRODUCTION">
        <w:r w:rsidRPr="007F5BD2" w:rsidR="00E83418">
          <w:rPr>
            <w:rStyle w:val="Hyperlink"/>
            <w:b/>
            <w:bCs/>
            <w:sz w:val="32"/>
            <w:szCs w:val="32"/>
          </w:rPr>
          <w:t>INTRODUCTION</w:t>
        </w:r>
      </w:hyperlink>
      <w:r w:rsidRPr="007F5BD2" w:rsidR="00E83418">
        <w:rPr>
          <w:b/>
          <w:bCs/>
          <w:sz w:val="32"/>
          <w:szCs w:val="32"/>
        </w:rPr>
        <w:t xml:space="preserve"> </w:t>
      </w:r>
    </w:p>
    <w:p w:rsidRPr="007F5BD2" w:rsidR="00B45E49" w:rsidP="009E7905" w:rsidRDefault="00000000" w14:paraId="6D348AA9" w14:textId="202C810F">
      <w:pPr>
        <w:pStyle w:val="ListParagraph"/>
        <w:numPr>
          <w:ilvl w:val="0"/>
          <w:numId w:val="20"/>
        </w:numPr>
        <w:spacing w:after="0" w:line="240" w:lineRule="auto"/>
        <w:rPr>
          <w:rStyle w:val="IntenseEmphasis"/>
          <w:sz w:val="28"/>
          <w:szCs w:val="28"/>
        </w:rPr>
      </w:pPr>
      <w:hyperlink w:history="1" w:anchor="_COMPLIANCE_REVIEW_OBJECTIVES">
        <w:r w:rsidRPr="007F5BD2" w:rsidR="00B45E49">
          <w:rPr>
            <w:rStyle w:val="IntenseEmphasis"/>
            <w:sz w:val="28"/>
            <w:szCs w:val="28"/>
          </w:rPr>
          <w:t>Compliance Review Objectives</w:t>
        </w:r>
      </w:hyperlink>
    </w:p>
    <w:p w:rsidRPr="007F5BD2" w:rsidR="0079610B" w:rsidP="00AE3B43" w:rsidRDefault="0079610B" w14:paraId="2F15A22A" w14:textId="6E74CAC7">
      <w:pPr>
        <w:spacing w:after="0" w:line="240" w:lineRule="auto"/>
        <w:ind w:firstLine="720"/>
        <w:rPr>
          <w:b/>
          <w:bCs/>
          <w:sz w:val="32"/>
          <w:szCs w:val="32"/>
        </w:rPr>
      </w:pPr>
      <w:r w:rsidRPr="007F5BD2">
        <w:rPr>
          <w:b/>
          <w:bCs/>
          <w:sz w:val="32"/>
          <w:szCs w:val="32"/>
          <w:u w:val="single"/>
        </w:rPr>
        <w:br/>
      </w:r>
      <w:hyperlink w:history="1" w:anchor="_II._SCOPE_OF">
        <w:r w:rsidRPr="007F5BD2" w:rsidR="00E83418">
          <w:rPr>
            <w:rStyle w:val="Hyperlink"/>
            <w:b/>
            <w:bCs/>
            <w:sz w:val="32"/>
            <w:szCs w:val="32"/>
          </w:rPr>
          <w:t>SCOPE OF THE MONITORING</w:t>
        </w:r>
      </w:hyperlink>
    </w:p>
    <w:p w:rsidRPr="007F5BD2" w:rsidR="0079610B" w:rsidP="0079610B" w:rsidRDefault="00000000" w14:paraId="05F9A1FF" w14:textId="401A41B6">
      <w:pPr>
        <w:spacing w:after="0" w:line="240" w:lineRule="auto"/>
        <w:rPr>
          <w:rStyle w:val="IntenseEmphasis"/>
          <w:sz w:val="28"/>
          <w:szCs w:val="28"/>
        </w:rPr>
      </w:pPr>
      <w:hyperlink w:history="1" w:anchor="_Items_that_EOHLC">
        <w:r w:rsidRPr="007F5BD2" w:rsidR="0079610B">
          <w:rPr>
            <w:rStyle w:val="IntenseEmphasis"/>
            <w:sz w:val="28"/>
            <w:szCs w:val="28"/>
          </w:rPr>
          <w:t xml:space="preserve">Items that EOHLC examine </w:t>
        </w:r>
        <w:r w:rsidRPr="007F5BD2" w:rsidR="00FF2611">
          <w:rPr>
            <w:rStyle w:val="IntenseEmphasis"/>
            <w:sz w:val="28"/>
            <w:szCs w:val="28"/>
          </w:rPr>
          <w:t>include.</w:t>
        </w:r>
      </w:hyperlink>
    </w:p>
    <w:p w:rsidRPr="007F5BD2" w:rsidR="0079610B" w:rsidP="0079610B" w:rsidRDefault="00000000" w14:paraId="061FB106" w14:textId="5ABEB3BA">
      <w:pPr>
        <w:spacing w:after="0" w:line="240" w:lineRule="auto"/>
        <w:rPr>
          <w:rStyle w:val="IntenseEmphasis"/>
          <w:sz w:val="28"/>
          <w:szCs w:val="28"/>
        </w:rPr>
      </w:pPr>
      <w:hyperlink w:history="1" w:anchor="_There_are_four">
        <w:r w:rsidRPr="007F5BD2" w:rsidR="0079610B">
          <w:rPr>
            <w:rStyle w:val="IntenseEmphasis"/>
            <w:sz w:val="28"/>
            <w:szCs w:val="28"/>
          </w:rPr>
          <w:t xml:space="preserve">There are four key components EOHLC monitoring model </w:t>
        </w:r>
        <w:r w:rsidRPr="007F5BD2" w:rsidR="00FF2611">
          <w:rPr>
            <w:rStyle w:val="IntenseEmphasis"/>
            <w:sz w:val="28"/>
            <w:szCs w:val="28"/>
          </w:rPr>
          <w:t>ensures.</w:t>
        </w:r>
      </w:hyperlink>
    </w:p>
    <w:p w:rsidRPr="007F5BD2" w:rsidR="00FF59F7" w:rsidP="0079610B" w:rsidRDefault="00000000" w14:paraId="12A47E07" w14:textId="5D51C4F3">
      <w:pPr>
        <w:spacing w:after="0" w:line="240" w:lineRule="auto"/>
        <w:rPr>
          <w:rStyle w:val="IntenseEmphasis"/>
          <w:sz w:val="28"/>
          <w:szCs w:val="28"/>
        </w:rPr>
      </w:pPr>
      <w:hyperlink w:history="1" w:anchor="_EOHLC_uses_the">
        <w:r w:rsidRPr="007F5BD2" w:rsidR="00FF59F7">
          <w:rPr>
            <w:rStyle w:val="IntenseEmphasis"/>
            <w:sz w:val="28"/>
            <w:szCs w:val="28"/>
          </w:rPr>
          <w:t xml:space="preserve">EOHLC uses the following methods to monitor </w:t>
        </w:r>
        <w:r w:rsidRPr="007F5BD2" w:rsidR="00FF2611">
          <w:rPr>
            <w:rStyle w:val="IntenseEmphasis"/>
            <w:sz w:val="28"/>
            <w:szCs w:val="28"/>
          </w:rPr>
          <w:t>Subrecipient.</w:t>
        </w:r>
      </w:hyperlink>
    </w:p>
    <w:p w:rsidRPr="007F5BD2" w:rsidR="0079610B" w:rsidP="00675158" w:rsidRDefault="00000000" w14:paraId="728B95AE" w14:textId="214C5F2C">
      <w:pPr>
        <w:spacing w:after="0" w:line="240" w:lineRule="auto"/>
        <w:rPr>
          <w:rStyle w:val="IntenseEmphasis"/>
          <w:sz w:val="28"/>
          <w:szCs w:val="28"/>
        </w:rPr>
      </w:pPr>
      <w:hyperlink w:history="1" w:anchor="_EOHLC_uses_the_1">
        <w:r w:rsidRPr="007F5BD2" w:rsidR="00FF59F7">
          <w:rPr>
            <w:rStyle w:val="IntenseEmphasis"/>
            <w:sz w:val="28"/>
            <w:szCs w:val="28"/>
          </w:rPr>
          <w:t xml:space="preserve">EOHLC uses the following methods to select Subrecipient for </w:t>
        </w:r>
        <w:r w:rsidRPr="007F5BD2" w:rsidR="00FF2611">
          <w:rPr>
            <w:rStyle w:val="IntenseEmphasis"/>
            <w:sz w:val="28"/>
            <w:szCs w:val="28"/>
          </w:rPr>
          <w:t>monitoring.</w:t>
        </w:r>
      </w:hyperlink>
    </w:p>
    <w:p w:rsidRPr="007F5BD2" w:rsidR="0079610B" w:rsidP="00675158" w:rsidRDefault="00000000" w14:paraId="6BB6E3E4" w14:textId="511D9571">
      <w:pPr>
        <w:spacing w:after="0" w:line="240" w:lineRule="auto"/>
        <w:rPr>
          <w:rStyle w:val="IntenseEmphasis"/>
          <w:sz w:val="28"/>
          <w:szCs w:val="28"/>
        </w:rPr>
      </w:pPr>
      <w:hyperlink w:history="1" w:anchor="_EOHLC_uses_the_2">
        <w:r w:rsidRPr="007F5BD2" w:rsidR="006B5DBA">
          <w:rPr>
            <w:rStyle w:val="IntenseEmphasis"/>
            <w:sz w:val="28"/>
            <w:szCs w:val="28"/>
          </w:rPr>
          <w:t xml:space="preserve">EOHLC uses the following grading to determine </w:t>
        </w:r>
        <w:r w:rsidRPr="007F5BD2" w:rsidR="00FF2611">
          <w:rPr>
            <w:rStyle w:val="IntenseEmphasis"/>
            <w:sz w:val="28"/>
            <w:szCs w:val="28"/>
          </w:rPr>
          <w:t>noncompliance.</w:t>
        </w:r>
      </w:hyperlink>
    </w:p>
    <w:p w:rsidRPr="007F5BD2" w:rsidR="00AD211E" w:rsidP="00675158" w:rsidRDefault="00000000" w14:paraId="2AF76E88" w14:textId="7D3284DB">
      <w:pPr>
        <w:spacing w:after="0" w:line="240" w:lineRule="auto"/>
        <w:rPr>
          <w:rStyle w:val="IntenseEmphasis"/>
          <w:sz w:val="28"/>
          <w:szCs w:val="28"/>
        </w:rPr>
      </w:pPr>
      <w:hyperlink w:history="1" w:anchor="_Standards:">
        <w:r w:rsidRPr="007F5BD2" w:rsidR="006B5DBA">
          <w:rPr>
            <w:rStyle w:val="IntenseEmphasis"/>
            <w:sz w:val="28"/>
            <w:szCs w:val="28"/>
          </w:rPr>
          <w:t>Standards</w:t>
        </w:r>
        <w:r w:rsidRPr="007F5BD2" w:rsidR="00BD6BF0">
          <w:rPr>
            <w:rStyle w:val="IntenseEmphasis"/>
            <w:sz w:val="28"/>
            <w:szCs w:val="28"/>
          </w:rPr>
          <w:t>.</w:t>
        </w:r>
      </w:hyperlink>
    </w:p>
    <w:p w:rsidRPr="00252516" w:rsidR="00F74566" w:rsidP="3B4BF107" w:rsidRDefault="00000000" w14:paraId="24066EA9" w14:textId="3FFF0311">
      <w:pPr>
        <w:spacing w:after="0" w:line="240" w:lineRule="auto"/>
        <w:rPr>
          <w:rStyle w:val="IntenseEmphasis"/>
          <w:i w:val="0"/>
          <w:iCs w:val="0"/>
          <w:color w:val="auto"/>
          <w:sz w:val="32"/>
          <w:szCs w:val="32"/>
        </w:rPr>
      </w:pPr>
      <w:r w:rsidRPr="3B4BF107" w:rsidR="485DB92E">
        <w:rPr>
          <w:rStyle w:val="IntenseEmphasis"/>
          <w:sz w:val="28"/>
          <w:szCs w:val="28"/>
        </w:rPr>
        <w:t>EOHLC references</w:t>
      </w:r>
      <w:r w:rsidRPr="3B4BF107" w:rsidR="724F1D31">
        <w:rPr>
          <w:rStyle w:val="IntenseEmphasis"/>
          <w:sz w:val="28"/>
          <w:szCs w:val="28"/>
        </w:rPr>
        <w:t>.</w:t>
      </w:r>
    </w:p>
    <w:p w:rsidR="3B4BF107" w:rsidP="3B4BF107" w:rsidRDefault="3B4BF107" w14:paraId="347C51C4" w14:textId="64128FBA">
      <w:pPr>
        <w:pStyle w:val="Normal"/>
        <w:spacing w:after="0" w:line="240" w:lineRule="auto"/>
        <w:rPr>
          <w:rStyle w:val="IntenseEmphasis"/>
          <w:sz w:val="28"/>
          <w:szCs w:val="28"/>
        </w:rPr>
      </w:pPr>
    </w:p>
    <w:p w:rsidR="3B4BF107" w:rsidP="3B4BF107" w:rsidRDefault="3B4BF107" w14:paraId="54DA5C51" w14:textId="24375E8C">
      <w:pPr>
        <w:pStyle w:val="Normal"/>
        <w:spacing w:after="0" w:line="240" w:lineRule="auto"/>
        <w:rPr>
          <w:rStyle w:val="IntenseEmphasis"/>
          <w:sz w:val="28"/>
          <w:szCs w:val="28"/>
        </w:rPr>
      </w:pPr>
    </w:p>
    <w:p w:rsidR="3B4BF107" w:rsidP="3B4BF107" w:rsidRDefault="3B4BF107" w14:paraId="5E24F092" w14:textId="20FAD228">
      <w:pPr>
        <w:pStyle w:val="Normal"/>
        <w:spacing w:after="0" w:line="240" w:lineRule="auto"/>
        <w:rPr>
          <w:rStyle w:val="IntenseEmphasis"/>
          <w:sz w:val="28"/>
          <w:szCs w:val="28"/>
        </w:rPr>
      </w:pPr>
    </w:p>
    <w:p w:rsidR="3B4BF107" w:rsidP="3B4BF107" w:rsidRDefault="3B4BF107" w14:paraId="25DC51FF" w14:textId="3E1E55B2">
      <w:pPr>
        <w:pStyle w:val="Normal"/>
        <w:spacing w:after="0" w:line="240" w:lineRule="auto"/>
        <w:rPr>
          <w:rStyle w:val="IntenseEmphasis"/>
          <w:sz w:val="28"/>
          <w:szCs w:val="28"/>
        </w:rPr>
      </w:pPr>
    </w:p>
    <w:p w:rsidR="3B4BF107" w:rsidP="3B4BF107" w:rsidRDefault="3B4BF107" w14:paraId="6C1590B0" w14:textId="6CF3A1B4">
      <w:pPr>
        <w:pStyle w:val="Normal"/>
        <w:spacing w:after="0" w:line="240" w:lineRule="auto"/>
        <w:rPr>
          <w:rStyle w:val="IntenseEmphasis"/>
          <w:sz w:val="28"/>
          <w:szCs w:val="28"/>
        </w:rPr>
      </w:pPr>
    </w:p>
    <w:p w:rsidR="3B4BF107" w:rsidP="3B4BF107" w:rsidRDefault="3B4BF107" w14:paraId="050B0BA2" w14:textId="37B85A90">
      <w:pPr>
        <w:pStyle w:val="Normal"/>
        <w:spacing w:after="0" w:line="240" w:lineRule="auto"/>
        <w:rPr>
          <w:rStyle w:val="IntenseEmphasis"/>
          <w:sz w:val="28"/>
          <w:szCs w:val="28"/>
        </w:rPr>
      </w:pPr>
    </w:p>
    <w:p w:rsidR="3B4BF107" w:rsidP="3B4BF107" w:rsidRDefault="3B4BF107" w14:paraId="38BAF5D7" w14:textId="181BDD15">
      <w:pPr>
        <w:pStyle w:val="Normal"/>
        <w:spacing w:after="0" w:line="240" w:lineRule="auto"/>
        <w:rPr>
          <w:rStyle w:val="IntenseEmphasis"/>
          <w:sz w:val="28"/>
          <w:szCs w:val="28"/>
        </w:rPr>
      </w:pPr>
    </w:p>
    <w:p w:rsidR="3B4BF107" w:rsidP="3B4BF107" w:rsidRDefault="3B4BF107" w14:paraId="514B5547" w14:textId="2B40EBE8">
      <w:pPr>
        <w:pStyle w:val="Normal"/>
        <w:spacing w:after="0" w:line="240" w:lineRule="auto"/>
        <w:rPr>
          <w:rStyle w:val="IntenseEmphasis"/>
          <w:sz w:val="28"/>
          <w:szCs w:val="28"/>
        </w:rPr>
      </w:pPr>
    </w:p>
    <w:p w:rsidR="3B4BF107" w:rsidP="3B4BF107" w:rsidRDefault="3B4BF107" w14:paraId="08347864" w14:textId="71A8A63E">
      <w:pPr>
        <w:pStyle w:val="Normal"/>
        <w:spacing w:after="0" w:line="240" w:lineRule="auto"/>
        <w:rPr>
          <w:rStyle w:val="IntenseEmphasis"/>
          <w:sz w:val="28"/>
          <w:szCs w:val="28"/>
        </w:rPr>
      </w:pPr>
    </w:p>
    <w:p w:rsidR="3B4BF107" w:rsidP="3B4BF107" w:rsidRDefault="3B4BF107" w14:paraId="7E7CFE81" w14:textId="69E8808E">
      <w:pPr>
        <w:pStyle w:val="Normal"/>
        <w:spacing w:after="0" w:line="240" w:lineRule="auto"/>
        <w:rPr>
          <w:rStyle w:val="IntenseEmphasis"/>
          <w:sz w:val="28"/>
          <w:szCs w:val="28"/>
        </w:rPr>
      </w:pPr>
    </w:p>
    <w:p w:rsidR="3B4BF107" w:rsidP="3B4BF107" w:rsidRDefault="3B4BF107" w14:paraId="345FB067" w14:textId="264D7F4D">
      <w:pPr>
        <w:pStyle w:val="Normal"/>
        <w:spacing w:after="0" w:line="240" w:lineRule="auto"/>
        <w:rPr>
          <w:rStyle w:val="IntenseEmphasis"/>
          <w:sz w:val="28"/>
          <w:szCs w:val="28"/>
        </w:rPr>
      </w:pPr>
    </w:p>
    <w:p w:rsidR="3B4BF107" w:rsidP="3B4BF107" w:rsidRDefault="3B4BF107" w14:paraId="7DC0D12B" w14:textId="3165FB46">
      <w:pPr>
        <w:pStyle w:val="Normal"/>
        <w:spacing w:after="0" w:line="240" w:lineRule="auto"/>
        <w:rPr>
          <w:rStyle w:val="IntenseEmphasis"/>
          <w:sz w:val="28"/>
          <w:szCs w:val="28"/>
        </w:rPr>
      </w:pPr>
    </w:p>
    <w:p w:rsidR="3B4BF107" w:rsidP="3B4BF107" w:rsidRDefault="3B4BF107" w14:paraId="7A86BA88" w14:textId="2BD3C1D0">
      <w:pPr>
        <w:pStyle w:val="Normal"/>
        <w:spacing w:after="0" w:line="240" w:lineRule="auto"/>
        <w:rPr>
          <w:rStyle w:val="IntenseEmphasis"/>
          <w:sz w:val="28"/>
          <w:szCs w:val="28"/>
        </w:rPr>
      </w:pPr>
    </w:p>
    <w:p w:rsidR="3B4BF107" w:rsidP="3B4BF107" w:rsidRDefault="3B4BF107" w14:paraId="4B8FCC68" w14:textId="6BAED5C0">
      <w:pPr>
        <w:pStyle w:val="Normal"/>
        <w:spacing w:after="0" w:line="240" w:lineRule="auto"/>
        <w:rPr>
          <w:rStyle w:val="IntenseEmphasis"/>
          <w:sz w:val="28"/>
          <w:szCs w:val="28"/>
        </w:rPr>
      </w:pPr>
    </w:p>
    <w:p w:rsidR="3B4BF107" w:rsidP="3B4BF107" w:rsidRDefault="3B4BF107" w14:paraId="3668198F" w14:textId="63731C6E">
      <w:pPr>
        <w:pStyle w:val="Normal"/>
        <w:spacing w:after="0" w:line="240" w:lineRule="auto"/>
        <w:rPr>
          <w:rStyle w:val="IntenseEmphasis"/>
          <w:sz w:val="28"/>
          <w:szCs w:val="28"/>
        </w:rPr>
      </w:pPr>
    </w:p>
    <w:p w:rsidR="3B4BF107" w:rsidP="3B4BF107" w:rsidRDefault="3B4BF107" w14:paraId="17972F1D" w14:textId="0459FE88">
      <w:pPr>
        <w:pStyle w:val="Normal"/>
        <w:spacing w:after="0" w:line="240" w:lineRule="auto"/>
        <w:rPr>
          <w:rStyle w:val="IntenseEmphasis"/>
          <w:sz w:val="28"/>
          <w:szCs w:val="28"/>
        </w:rPr>
      </w:pPr>
    </w:p>
    <w:p w:rsidR="00AD211E" w:rsidP="00675158" w:rsidRDefault="00AD211E" w14:paraId="5F632FB0" w14:textId="77777777">
      <w:pPr>
        <w:spacing w:after="0" w:line="240" w:lineRule="auto"/>
        <w:rPr>
          <w:b/>
          <w:bCs/>
          <w:sz w:val="20"/>
          <w:szCs w:val="20"/>
          <w:u w:val="single"/>
        </w:rPr>
      </w:pPr>
    </w:p>
    <w:p w:rsidRPr="00FB5F75" w:rsidR="00295879" w:rsidP="00675158" w:rsidRDefault="00295879" w14:paraId="5CAC18BA" w14:textId="77777777">
      <w:pPr>
        <w:spacing w:after="0" w:line="240" w:lineRule="auto"/>
        <w:rPr>
          <w:b/>
          <w:bCs/>
          <w:sz w:val="20"/>
          <w:szCs w:val="20"/>
          <w:u w:val="single"/>
        </w:rPr>
      </w:pPr>
    </w:p>
    <w:p w:rsidRPr="00FB5F75" w:rsidR="00675158" w:rsidP="00AC7593" w:rsidRDefault="00675158" w14:paraId="50A392D5" w14:textId="516C0D1F">
      <w:pPr>
        <w:pStyle w:val="Heading2"/>
        <w:rPr>
          <w:sz w:val="22"/>
          <w:szCs w:val="22"/>
        </w:rPr>
      </w:pPr>
      <w:bookmarkStart w:name="_I._INTRODUCTION" w:id="0"/>
      <w:bookmarkEnd w:id="0"/>
      <w:r w:rsidRPr="00FB5F75">
        <w:rPr>
          <w:sz w:val="22"/>
          <w:szCs w:val="22"/>
        </w:rPr>
        <w:t xml:space="preserve">I. </w:t>
      </w:r>
      <w:r w:rsidRPr="00FB5F75" w:rsidR="00966A9F">
        <w:rPr>
          <w:rStyle w:val="Heading1Char"/>
          <w:sz w:val="24"/>
          <w:szCs w:val="24"/>
        </w:rPr>
        <w:t>INTRODUCTION</w:t>
      </w:r>
    </w:p>
    <w:p w:rsidRPr="00FB5F75" w:rsidR="00675158" w:rsidP="00675158" w:rsidRDefault="00675158" w14:paraId="1F4A5A7A" w14:textId="77777777">
      <w:pPr>
        <w:spacing w:after="0" w:line="240" w:lineRule="auto"/>
        <w:rPr>
          <w:sz w:val="20"/>
          <w:szCs w:val="20"/>
        </w:rPr>
      </w:pPr>
    </w:p>
    <w:p w:rsidRPr="00FB5F75" w:rsidR="008909CC" w:rsidP="00F40225" w:rsidRDefault="008909CC" w14:paraId="32997FA5" w14:textId="013EF32F">
      <w:pPr>
        <w:jc w:val="both"/>
        <w:rPr>
          <w:sz w:val="20"/>
          <w:szCs w:val="20"/>
        </w:rPr>
      </w:pPr>
      <w:r w:rsidRPr="00FB5F75">
        <w:rPr>
          <w:sz w:val="20"/>
          <w:szCs w:val="20"/>
        </w:rPr>
        <w:t>This</w:t>
      </w:r>
      <w:r w:rsidRPr="00FB5F75" w:rsidR="00355B15">
        <w:rPr>
          <w:sz w:val="20"/>
          <w:szCs w:val="20"/>
        </w:rPr>
        <w:t xml:space="preserve"> policy</w:t>
      </w:r>
      <w:r w:rsidRPr="00FB5F75">
        <w:rPr>
          <w:sz w:val="20"/>
          <w:szCs w:val="20"/>
        </w:rPr>
        <w:t xml:space="preserve"> is a guide to </w:t>
      </w:r>
      <w:r w:rsidRPr="00FB5F75" w:rsidR="00CB523F">
        <w:rPr>
          <w:sz w:val="20"/>
          <w:szCs w:val="20"/>
        </w:rPr>
        <w:t>EOHLC</w:t>
      </w:r>
      <w:r w:rsidRPr="00FB5F75">
        <w:rPr>
          <w:sz w:val="20"/>
          <w:szCs w:val="20"/>
        </w:rPr>
        <w:t xml:space="preserve"> staff engaged in </w:t>
      </w:r>
      <w:r w:rsidRPr="00FB5F75" w:rsidR="00BD6EE9">
        <w:rPr>
          <w:sz w:val="20"/>
          <w:szCs w:val="20"/>
        </w:rPr>
        <w:t>the management of</w:t>
      </w:r>
      <w:r w:rsidRPr="00FB5F75">
        <w:rPr>
          <w:sz w:val="20"/>
          <w:szCs w:val="20"/>
        </w:rPr>
        <w:t xml:space="preserve"> Continuum of Care programs</w:t>
      </w:r>
      <w:r w:rsidRPr="00FB5F75" w:rsidR="0017651B">
        <w:rPr>
          <w:sz w:val="20"/>
          <w:szCs w:val="20"/>
        </w:rPr>
        <w:t xml:space="preserve"> and </w:t>
      </w:r>
      <w:r w:rsidRPr="00FB5F75" w:rsidR="00CC6DF7">
        <w:rPr>
          <w:sz w:val="20"/>
          <w:szCs w:val="20"/>
        </w:rPr>
        <w:t>other</w:t>
      </w:r>
      <w:r w:rsidRPr="00FB5F75" w:rsidR="007C658F">
        <w:rPr>
          <w:sz w:val="20"/>
          <w:szCs w:val="20"/>
        </w:rPr>
        <w:t xml:space="preserve"> outside </w:t>
      </w:r>
      <w:r w:rsidRPr="00FB5F75" w:rsidR="00CC6DF7">
        <w:rPr>
          <w:sz w:val="20"/>
          <w:szCs w:val="20"/>
        </w:rPr>
        <w:t>stakeholders</w:t>
      </w:r>
      <w:r w:rsidRPr="00FB5F75">
        <w:rPr>
          <w:sz w:val="20"/>
          <w:szCs w:val="20"/>
        </w:rPr>
        <w:t>.  The</w:t>
      </w:r>
      <w:r w:rsidRPr="00FB5F75" w:rsidR="00A8433E">
        <w:rPr>
          <w:sz w:val="20"/>
          <w:szCs w:val="20"/>
        </w:rPr>
        <w:t xml:space="preserve"> policy</w:t>
      </w:r>
      <w:r w:rsidRPr="00FB5F75">
        <w:rPr>
          <w:sz w:val="20"/>
          <w:szCs w:val="20"/>
        </w:rPr>
        <w:t xml:space="preserve"> relies heavily on HUD guidance</w:t>
      </w:r>
      <w:r w:rsidRPr="00FB5F75" w:rsidR="00EE4065">
        <w:rPr>
          <w:sz w:val="20"/>
          <w:szCs w:val="20"/>
        </w:rPr>
        <w:t xml:space="preserve"> </w:t>
      </w:r>
      <w:hyperlink w:history="1" r:id="rId8">
        <w:r w:rsidRPr="00FB5F75" w:rsidR="00350788">
          <w:rPr>
            <w:rStyle w:val="Hyperlink"/>
            <w:bCs/>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 CFR §200 Uniform Administrative Requirements, Cost Principles, And Audit Requirements For Federal Awards - Code of Federal Regulations (</w:t>
        </w:r>
        <w:r w:rsidRPr="00FB5F75" w:rsidR="00350788">
          <w:rPr>
            <w:rStyle w:val="Hyperlink"/>
            <w:bCs/>
            <w:color w:val="auto"/>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ecfr.io</w:t>
        </w:r>
        <w:r w:rsidRPr="00FB5F75" w:rsidR="00350788">
          <w:rPr>
            <w:rStyle w:val="Hyperlink"/>
            <w:bCs/>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hyperlink>
      <w:r w:rsidRPr="00FB5F75" w:rsidR="00EE4065">
        <w:rPr>
          <w:bCs/>
          <w:color w:val="C00000"/>
          <w:sz w:val="20"/>
          <w:szCs w:val="20"/>
        </w:rPr>
        <w:t xml:space="preserve"> </w:t>
      </w:r>
      <w:r w:rsidRPr="00FB5F75">
        <w:rPr>
          <w:sz w:val="20"/>
          <w:szCs w:val="20"/>
        </w:rPr>
        <w:t>and is intended to be a single source for all monitoring needs.</w:t>
      </w:r>
    </w:p>
    <w:p w:rsidRPr="00FB5F75" w:rsidR="006B1586" w:rsidP="006B1586" w:rsidRDefault="00315024" w14:paraId="4375D0D2" w14:textId="77777777">
      <w:pPr>
        <w:spacing w:after="0" w:line="240" w:lineRule="auto"/>
        <w:jc w:val="both"/>
        <w:rPr>
          <w:sz w:val="20"/>
          <w:szCs w:val="20"/>
        </w:rPr>
      </w:pPr>
      <w:r w:rsidRPr="00FB5F75">
        <w:rPr>
          <w:sz w:val="20"/>
          <w:szCs w:val="20"/>
        </w:rPr>
        <w:t xml:space="preserve">Federal grants are subject to federal, state, and local government administrative requirements, cost principles, and audit requirements. </w:t>
      </w:r>
      <w:r w:rsidRPr="00FB5F75" w:rsidR="0098014E">
        <w:rPr>
          <w:sz w:val="20"/>
          <w:szCs w:val="20"/>
        </w:rPr>
        <w:t>As the</w:t>
      </w:r>
      <w:r w:rsidRPr="00FB5F75" w:rsidR="00A5753C">
        <w:rPr>
          <w:sz w:val="20"/>
          <w:szCs w:val="20"/>
        </w:rPr>
        <w:t xml:space="preserve"> MA</w:t>
      </w:r>
      <w:r w:rsidRPr="00FB5F75" w:rsidR="0098014E">
        <w:rPr>
          <w:sz w:val="20"/>
          <w:szCs w:val="20"/>
        </w:rPr>
        <w:t xml:space="preserve"> </w:t>
      </w:r>
      <w:r w:rsidRPr="00FB5F75" w:rsidR="00410E7C">
        <w:rPr>
          <w:sz w:val="20"/>
          <w:szCs w:val="20"/>
        </w:rPr>
        <w:t>Balance of St</w:t>
      </w:r>
      <w:r w:rsidRPr="00FB5F75" w:rsidR="00A5753C">
        <w:rPr>
          <w:sz w:val="20"/>
          <w:szCs w:val="20"/>
        </w:rPr>
        <w:t xml:space="preserve">ate </w:t>
      </w:r>
      <w:r w:rsidRPr="00FB5F75" w:rsidR="0098014E">
        <w:rPr>
          <w:sz w:val="20"/>
          <w:szCs w:val="20"/>
        </w:rPr>
        <w:t xml:space="preserve">CoC lead, </w:t>
      </w:r>
      <w:r w:rsidRPr="00FB5F75" w:rsidR="00FB0A37">
        <w:rPr>
          <w:sz w:val="20"/>
          <w:szCs w:val="20"/>
        </w:rPr>
        <w:t xml:space="preserve">one responsibility of </w:t>
      </w:r>
      <w:r w:rsidRPr="00FB5F75" w:rsidR="00080E7D">
        <w:rPr>
          <w:sz w:val="20"/>
          <w:szCs w:val="20"/>
        </w:rPr>
        <w:t>t</w:t>
      </w:r>
      <w:r w:rsidRPr="00FB5F75">
        <w:rPr>
          <w:sz w:val="20"/>
          <w:szCs w:val="20"/>
        </w:rPr>
        <w:t xml:space="preserve">he Executive Office of Housing and Livable Communities (EOHLC) </w:t>
      </w:r>
      <w:r w:rsidRPr="00FB5F75" w:rsidR="00FB0A37">
        <w:rPr>
          <w:sz w:val="20"/>
          <w:szCs w:val="20"/>
        </w:rPr>
        <w:t xml:space="preserve">is to </w:t>
      </w:r>
      <w:r w:rsidRPr="00FB5F75">
        <w:rPr>
          <w:sz w:val="20"/>
          <w:szCs w:val="20"/>
        </w:rPr>
        <w:t>ensure that federal grants are managed appropriately using a risk-based compliance assessment model</w:t>
      </w:r>
      <w:r w:rsidRPr="00FB5F75" w:rsidR="003D44A6">
        <w:rPr>
          <w:sz w:val="20"/>
          <w:szCs w:val="20"/>
        </w:rPr>
        <w:t xml:space="preserve"> (see </w:t>
      </w:r>
      <w:r w:rsidRPr="00FB5F75" w:rsidR="000C5566">
        <w:rPr>
          <w:sz w:val="20"/>
          <w:szCs w:val="20"/>
        </w:rPr>
        <w:t>title</w:t>
      </w:r>
      <w:r w:rsidRPr="00FB5F75" w:rsidR="003D44A6">
        <w:rPr>
          <w:sz w:val="20"/>
          <w:szCs w:val="20"/>
        </w:rPr>
        <w:t xml:space="preserve"> </w:t>
      </w:r>
      <w:r w:rsidRPr="00FB5F75" w:rsidR="003D44A6">
        <w:rPr>
          <w:sz w:val="14"/>
          <w:szCs w:val="14"/>
        </w:rPr>
        <w:t>“</w:t>
      </w:r>
      <w:r w:rsidRPr="00FB5F75" w:rsidR="003D44A6">
        <w:rPr>
          <w:b/>
          <w:bCs/>
          <w:sz w:val="14"/>
          <w:szCs w:val="14"/>
        </w:rPr>
        <w:t>EOHLC uses the following methods to select Subrecipient for monitoring”</w:t>
      </w:r>
      <w:r w:rsidRPr="00FB5F75" w:rsidR="003D44A6">
        <w:rPr>
          <w:sz w:val="20"/>
          <w:szCs w:val="20"/>
        </w:rPr>
        <w:t xml:space="preserve">) </w:t>
      </w:r>
      <w:r w:rsidRPr="00FB5F75">
        <w:rPr>
          <w:sz w:val="20"/>
          <w:szCs w:val="20"/>
        </w:rPr>
        <w:t>and</w:t>
      </w:r>
      <w:r w:rsidRPr="00FB5F75" w:rsidR="00DE6137">
        <w:rPr>
          <w:sz w:val="20"/>
          <w:szCs w:val="20"/>
        </w:rPr>
        <w:t xml:space="preserve"> </w:t>
      </w:r>
      <w:r w:rsidRPr="00FB5F75">
        <w:rPr>
          <w:sz w:val="20"/>
          <w:szCs w:val="20"/>
        </w:rPr>
        <w:t xml:space="preserve">by performing financial and programmatic compliance </w:t>
      </w:r>
      <w:r w:rsidRPr="00FB5F75" w:rsidR="00103A68">
        <w:rPr>
          <w:sz w:val="20"/>
          <w:szCs w:val="20"/>
        </w:rPr>
        <w:t>moni</w:t>
      </w:r>
      <w:r w:rsidRPr="00FB5F75" w:rsidR="005E7BA9">
        <w:rPr>
          <w:sz w:val="20"/>
          <w:szCs w:val="20"/>
        </w:rPr>
        <w:t xml:space="preserve">toring </w:t>
      </w:r>
      <w:r w:rsidRPr="00FB5F75">
        <w:rPr>
          <w:sz w:val="20"/>
          <w:szCs w:val="20"/>
        </w:rPr>
        <w:t xml:space="preserve">reviews. </w:t>
      </w:r>
      <w:r w:rsidRPr="00FB5F75" w:rsidR="005E7BA9">
        <w:rPr>
          <w:sz w:val="20"/>
          <w:szCs w:val="20"/>
        </w:rPr>
        <w:t>The reviews</w:t>
      </w:r>
      <w:r w:rsidRPr="00FB5F75">
        <w:rPr>
          <w:sz w:val="20"/>
          <w:szCs w:val="20"/>
        </w:rPr>
        <w:t xml:space="preserve"> </w:t>
      </w:r>
      <w:r w:rsidRPr="00FB5F75" w:rsidR="00090055">
        <w:rPr>
          <w:sz w:val="20"/>
          <w:szCs w:val="20"/>
        </w:rPr>
        <w:t xml:space="preserve">ensure </w:t>
      </w:r>
      <w:r w:rsidRPr="00FB5F75" w:rsidR="00A27E08">
        <w:rPr>
          <w:sz w:val="20"/>
          <w:szCs w:val="20"/>
        </w:rPr>
        <w:t>Subrecipients’ s</w:t>
      </w:r>
      <w:r w:rsidRPr="00FB5F75">
        <w:rPr>
          <w:sz w:val="20"/>
          <w:szCs w:val="20"/>
        </w:rPr>
        <w:t xml:space="preserve"> compliance with </w:t>
      </w:r>
      <w:r w:rsidRPr="00FB5F75" w:rsidR="00EE1165">
        <w:rPr>
          <w:sz w:val="20"/>
          <w:szCs w:val="20"/>
        </w:rPr>
        <w:t xml:space="preserve">HUD </w:t>
      </w:r>
      <w:r w:rsidRPr="00FB5F75">
        <w:rPr>
          <w:sz w:val="20"/>
          <w:szCs w:val="20"/>
        </w:rPr>
        <w:t>applicable regulations, laws, and Grant Subaward provisions.</w:t>
      </w:r>
    </w:p>
    <w:p w:rsidRPr="00FB5F75" w:rsidR="006B1586" w:rsidP="006B1586" w:rsidRDefault="006B1586" w14:paraId="311A15A5" w14:textId="77777777">
      <w:pPr>
        <w:spacing w:after="0" w:line="240" w:lineRule="auto"/>
        <w:jc w:val="both"/>
        <w:rPr>
          <w:sz w:val="20"/>
          <w:szCs w:val="20"/>
        </w:rPr>
      </w:pPr>
    </w:p>
    <w:p w:rsidRPr="00FB5F75" w:rsidR="00A66560" w:rsidP="00DC7B32" w:rsidRDefault="00A66560" w14:paraId="4B44739F" w14:textId="1D93BDBD">
      <w:pPr>
        <w:pStyle w:val="Heading2"/>
        <w:rPr>
          <w:sz w:val="22"/>
          <w:szCs w:val="22"/>
        </w:rPr>
      </w:pPr>
      <w:bookmarkStart w:name="_COMPLIANCE_REVIEW_OBJECTIVES" w:id="1"/>
      <w:bookmarkEnd w:id="1"/>
      <w:r w:rsidRPr="00FB5F75">
        <w:rPr>
          <w:sz w:val="22"/>
          <w:szCs w:val="22"/>
        </w:rPr>
        <w:t>COMPLIANCE REVIEW OBJECTIVES</w:t>
      </w:r>
    </w:p>
    <w:p w:rsidRPr="00FB5F75" w:rsidR="00A66560" w:rsidP="00A66560" w:rsidRDefault="00A66560" w14:paraId="1C1486BC" w14:textId="77777777">
      <w:pPr>
        <w:spacing w:after="0" w:line="240" w:lineRule="auto"/>
        <w:rPr>
          <w:sz w:val="20"/>
          <w:szCs w:val="20"/>
        </w:rPr>
      </w:pPr>
      <w:r w:rsidRPr="00FB5F75">
        <w:rPr>
          <w:sz w:val="20"/>
          <w:szCs w:val="20"/>
        </w:rPr>
        <w:t xml:space="preserve"> </w:t>
      </w:r>
    </w:p>
    <w:p w:rsidRPr="00FB5F75" w:rsidR="00A66560" w:rsidP="006B1586" w:rsidRDefault="00A66560" w14:paraId="636ABB6E" w14:textId="64867260">
      <w:pPr>
        <w:spacing w:after="0" w:line="240" w:lineRule="auto"/>
        <w:jc w:val="both"/>
        <w:rPr>
          <w:sz w:val="20"/>
          <w:szCs w:val="20"/>
        </w:rPr>
      </w:pPr>
      <w:r w:rsidRPr="00FB5F75">
        <w:rPr>
          <w:sz w:val="20"/>
          <w:szCs w:val="20"/>
        </w:rPr>
        <w:t>The Monitor(s) review from each of the Subrecipient grant</w:t>
      </w:r>
      <w:r w:rsidRPr="00FB5F75" w:rsidR="008047C0">
        <w:rPr>
          <w:sz w:val="20"/>
          <w:szCs w:val="20"/>
        </w:rPr>
        <w:t>(</w:t>
      </w:r>
      <w:r w:rsidRPr="00FB5F75">
        <w:rPr>
          <w:sz w:val="20"/>
          <w:szCs w:val="20"/>
        </w:rPr>
        <w:t>s</w:t>
      </w:r>
      <w:r w:rsidRPr="00FB5F75" w:rsidR="008047C0">
        <w:rPr>
          <w:sz w:val="20"/>
          <w:szCs w:val="20"/>
        </w:rPr>
        <w:t>)</w:t>
      </w:r>
      <w:r w:rsidRPr="00FB5F75">
        <w:rPr>
          <w:sz w:val="20"/>
          <w:szCs w:val="20"/>
        </w:rPr>
        <w:t xml:space="preserve"> activity report</w:t>
      </w:r>
      <w:r w:rsidRPr="00FB5F75" w:rsidR="008047C0">
        <w:rPr>
          <w:sz w:val="20"/>
          <w:szCs w:val="20"/>
        </w:rPr>
        <w:t>(</w:t>
      </w:r>
      <w:r w:rsidRPr="00FB5F75">
        <w:rPr>
          <w:sz w:val="20"/>
          <w:szCs w:val="20"/>
        </w:rPr>
        <w:t>s</w:t>
      </w:r>
      <w:r w:rsidRPr="00FB5F75" w:rsidR="008047C0">
        <w:rPr>
          <w:sz w:val="20"/>
          <w:szCs w:val="20"/>
        </w:rPr>
        <w:t>)</w:t>
      </w:r>
      <w:r w:rsidRPr="00FB5F75" w:rsidR="0094208F">
        <w:rPr>
          <w:sz w:val="20"/>
          <w:szCs w:val="20"/>
        </w:rPr>
        <w:t xml:space="preserve"> is conduct</w:t>
      </w:r>
      <w:r w:rsidRPr="00FB5F75" w:rsidR="00F83841">
        <w:rPr>
          <w:sz w:val="20"/>
          <w:szCs w:val="20"/>
        </w:rPr>
        <w:t>ed</w:t>
      </w:r>
      <w:r w:rsidRPr="00FB5F75" w:rsidR="0094208F">
        <w:rPr>
          <w:sz w:val="20"/>
          <w:szCs w:val="20"/>
        </w:rPr>
        <w:t xml:space="preserve"> from </w:t>
      </w:r>
      <w:r w:rsidRPr="00FB5F75" w:rsidR="0094208F">
        <w:rPr>
          <w:b/>
          <w:bCs/>
          <w:sz w:val="20"/>
          <w:szCs w:val="20"/>
        </w:rPr>
        <w:t xml:space="preserve">TBD </w:t>
      </w:r>
      <w:r w:rsidRPr="00FB5F75" w:rsidR="0094208F">
        <w:rPr>
          <w:sz w:val="20"/>
          <w:szCs w:val="20"/>
        </w:rPr>
        <w:t xml:space="preserve">to </w:t>
      </w:r>
      <w:r w:rsidRPr="00FB5F75" w:rsidR="0094208F">
        <w:rPr>
          <w:b/>
          <w:bCs/>
          <w:sz w:val="20"/>
          <w:szCs w:val="20"/>
        </w:rPr>
        <w:t xml:space="preserve">TBD </w:t>
      </w:r>
      <w:r w:rsidRPr="00FB5F75" w:rsidR="0094208F">
        <w:rPr>
          <w:sz w:val="20"/>
          <w:szCs w:val="20"/>
        </w:rPr>
        <w:t>each year</w:t>
      </w:r>
      <w:r w:rsidRPr="00FB5F75">
        <w:rPr>
          <w:sz w:val="20"/>
          <w:szCs w:val="20"/>
        </w:rPr>
        <w:t xml:space="preserve">. All funding sources and cost categories included in the reimbursement and supporting documentation pertaining to the reimbursement are reviewed, including but not limited to, a review of the organization's internal controls, procurement and contracting procedures and practices, compliance with specific grant requirements and guidelines, current and past audit reports, site visit reports, and previous monitoring reports and other </w:t>
      </w:r>
      <w:r w:rsidRPr="00FB5F75" w:rsidR="005A7EE0">
        <w:rPr>
          <w:sz w:val="20"/>
          <w:szCs w:val="20"/>
        </w:rPr>
        <w:t>program data</w:t>
      </w:r>
      <w:r w:rsidRPr="00FB5F75">
        <w:rPr>
          <w:sz w:val="20"/>
          <w:szCs w:val="20"/>
        </w:rPr>
        <w:t xml:space="preserve">. </w:t>
      </w:r>
    </w:p>
    <w:p w:rsidRPr="00FB5F75" w:rsidR="00A66560" w:rsidP="00A66560" w:rsidRDefault="00A66560" w14:paraId="10A5445B" w14:textId="77777777">
      <w:pPr>
        <w:spacing w:after="0" w:line="240" w:lineRule="auto"/>
        <w:rPr>
          <w:sz w:val="20"/>
          <w:szCs w:val="20"/>
        </w:rPr>
      </w:pPr>
    </w:p>
    <w:p w:rsidRPr="00FB5F75" w:rsidR="00A66560" w:rsidP="003D1254" w:rsidRDefault="00A66560" w14:paraId="2F3BFEEC" w14:textId="4C0576BE">
      <w:pPr>
        <w:spacing w:after="0" w:line="240" w:lineRule="auto"/>
        <w:rPr>
          <w:sz w:val="20"/>
          <w:szCs w:val="20"/>
        </w:rPr>
      </w:pPr>
      <w:r w:rsidRPr="00FB5F75">
        <w:rPr>
          <w:sz w:val="20"/>
          <w:szCs w:val="20"/>
        </w:rPr>
        <w:t xml:space="preserve">Monitoring Objectives: The purpose of fiscal and </w:t>
      </w:r>
      <w:r w:rsidRPr="00FB5F75" w:rsidR="00FF3AB3">
        <w:rPr>
          <w:sz w:val="20"/>
          <w:szCs w:val="20"/>
        </w:rPr>
        <w:t>program</w:t>
      </w:r>
      <w:r w:rsidRPr="00FB5F75">
        <w:rPr>
          <w:sz w:val="20"/>
          <w:szCs w:val="20"/>
        </w:rPr>
        <w:t xml:space="preserve"> monitoring is to: </w:t>
      </w:r>
    </w:p>
    <w:p w:rsidRPr="00FB5F75" w:rsidR="00A66560" w:rsidP="00A66560" w:rsidRDefault="00A66560" w14:paraId="2BAF6F7D" w14:textId="77777777">
      <w:pPr>
        <w:pStyle w:val="ListParagraph"/>
        <w:spacing w:after="0" w:line="240" w:lineRule="auto"/>
        <w:rPr>
          <w:sz w:val="20"/>
          <w:szCs w:val="20"/>
        </w:rPr>
      </w:pPr>
    </w:p>
    <w:p w:rsidRPr="00FB5F75" w:rsidR="00A66560" w:rsidP="00AB1B73" w:rsidRDefault="00A66560" w14:paraId="42D3A15A" w14:textId="7E67F7C6">
      <w:pPr>
        <w:pStyle w:val="ListParagraph"/>
        <w:numPr>
          <w:ilvl w:val="0"/>
          <w:numId w:val="37"/>
        </w:numPr>
        <w:spacing w:after="0" w:line="240" w:lineRule="auto"/>
        <w:jc w:val="both"/>
        <w:rPr>
          <w:sz w:val="20"/>
          <w:szCs w:val="20"/>
        </w:rPr>
      </w:pPr>
      <w:r w:rsidRPr="00FB5F75">
        <w:rPr>
          <w:sz w:val="20"/>
          <w:szCs w:val="20"/>
        </w:rPr>
        <w:lastRenderedPageBreak/>
        <w:t xml:space="preserve">Verify Grant Subaward funds are being spent to further the grant </w:t>
      </w:r>
      <w:r w:rsidRPr="00FB5F75" w:rsidR="00FF3AB3">
        <w:rPr>
          <w:sz w:val="20"/>
          <w:szCs w:val="20"/>
        </w:rPr>
        <w:t>objectives.</w:t>
      </w:r>
      <w:r w:rsidRPr="00FB5F75">
        <w:rPr>
          <w:sz w:val="20"/>
          <w:szCs w:val="20"/>
        </w:rPr>
        <w:t xml:space="preserve"> Verify the Subrecipient has internal controls in place to mitigate waste, </w:t>
      </w:r>
      <w:r w:rsidRPr="00FB5F75" w:rsidR="001C168A">
        <w:rPr>
          <w:sz w:val="20"/>
          <w:szCs w:val="20"/>
        </w:rPr>
        <w:t>fraud,</w:t>
      </w:r>
      <w:r w:rsidRPr="00FB5F75">
        <w:rPr>
          <w:sz w:val="20"/>
          <w:szCs w:val="20"/>
        </w:rPr>
        <w:t xml:space="preserve"> and abuse of Grant Subawards</w:t>
      </w:r>
      <w:r w:rsidRPr="00FB5F75" w:rsidR="00285C2D">
        <w:rPr>
          <w:sz w:val="20"/>
          <w:szCs w:val="20"/>
        </w:rPr>
        <w:t>.</w:t>
      </w:r>
      <w:r w:rsidRPr="00FB5F75">
        <w:rPr>
          <w:sz w:val="20"/>
          <w:szCs w:val="20"/>
        </w:rPr>
        <w:t xml:space="preserve"> </w:t>
      </w:r>
    </w:p>
    <w:p w:rsidRPr="00FB5F75" w:rsidR="00FF3AB3" w:rsidP="00AB1B73" w:rsidRDefault="00A66560" w14:paraId="6B341742" w14:textId="77777777">
      <w:pPr>
        <w:pStyle w:val="ListParagraph"/>
        <w:numPr>
          <w:ilvl w:val="0"/>
          <w:numId w:val="37"/>
        </w:numPr>
        <w:spacing w:after="0" w:line="240" w:lineRule="auto"/>
        <w:jc w:val="both"/>
        <w:rPr>
          <w:sz w:val="20"/>
          <w:szCs w:val="20"/>
        </w:rPr>
      </w:pPr>
      <w:r w:rsidRPr="00FB5F75">
        <w:rPr>
          <w:sz w:val="20"/>
          <w:szCs w:val="20"/>
        </w:rPr>
        <w:t xml:space="preserve">Verify that expenditures submitted for reimbursement are fully supported by appropriate source documentation and ensure that items charged to the grant are allowable, allocable to (or benefit) the grant, reasonable and necessary in accordance with the grant intent, and appropriately documented and charged to the correct cost category. </w:t>
      </w:r>
    </w:p>
    <w:p w:rsidRPr="00FB5F75" w:rsidR="00A66560" w:rsidP="00AB1B73" w:rsidRDefault="005F3058" w14:paraId="0DCFFAF4" w14:textId="4A66D6AD">
      <w:pPr>
        <w:pStyle w:val="ListParagraph"/>
        <w:numPr>
          <w:ilvl w:val="0"/>
          <w:numId w:val="37"/>
        </w:numPr>
        <w:spacing w:after="0" w:line="240" w:lineRule="auto"/>
        <w:jc w:val="both"/>
        <w:rPr>
          <w:sz w:val="20"/>
          <w:szCs w:val="20"/>
        </w:rPr>
      </w:pPr>
      <w:r w:rsidRPr="00FB5F75">
        <w:rPr>
          <w:sz w:val="20"/>
          <w:szCs w:val="20"/>
        </w:rPr>
        <w:t>Conduct</w:t>
      </w:r>
      <w:r w:rsidRPr="00FB5F75" w:rsidR="00A66560">
        <w:rPr>
          <w:sz w:val="20"/>
          <w:szCs w:val="20"/>
        </w:rPr>
        <w:t xml:space="preserve"> compliance test to </w:t>
      </w:r>
      <w:r w:rsidRPr="00FB5F75">
        <w:rPr>
          <w:sz w:val="20"/>
          <w:szCs w:val="20"/>
        </w:rPr>
        <w:t>verify</w:t>
      </w:r>
      <w:r w:rsidRPr="00FB5F75" w:rsidR="00A66560">
        <w:rPr>
          <w:sz w:val="20"/>
          <w:szCs w:val="20"/>
        </w:rPr>
        <w:t xml:space="preserve"> program activities </w:t>
      </w:r>
      <w:r w:rsidRPr="00FB5F75" w:rsidR="00285C2D">
        <w:rPr>
          <w:sz w:val="20"/>
          <w:szCs w:val="20"/>
        </w:rPr>
        <w:t>follow</w:t>
      </w:r>
      <w:r w:rsidRPr="00FB5F75">
        <w:rPr>
          <w:sz w:val="20"/>
          <w:szCs w:val="20"/>
        </w:rPr>
        <w:t xml:space="preserve"> </w:t>
      </w:r>
      <w:proofErr w:type="gramStart"/>
      <w:r w:rsidRPr="00FB5F75" w:rsidR="00A66560">
        <w:rPr>
          <w:sz w:val="20"/>
          <w:szCs w:val="20"/>
        </w:rPr>
        <w:t>particular</w:t>
      </w:r>
      <w:r w:rsidRPr="00FB5F75" w:rsidR="00E17A23">
        <w:rPr>
          <w:sz w:val="20"/>
          <w:szCs w:val="20"/>
        </w:rPr>
        <w:t xml:space="preserve"> </w:t>
      </w:r>
      <w:r w:rsidRPr="00FB5F75" w:rsidR="00A66560">
        <w:rPr>
          <w:sz w:val="20"/>
          <w:szCs w:val="20"/>
        </w:rPr>
        <w:t>program</w:t>
      </w:r>
      <w:proofErr w:type="gramEnd"/>
      <w:r w:rsidRPr="00FB5F75" w:rsidR="00A66560">
        <w:rPr>
          <w:sz w:val="20"/>
          <w:szCs w:val="20"/>
        </w:rPr>
        <w:t xml:space="preserve"> regulations, laws and provisions of the Grant Subaward. </w:t>
      </w:r>
    </w:p>
    <w:p w:rsidRPr="00FB5F75" w:rsidR="00A66560" w:rsidP="000F3962" w:rsidRDefault="00A66560" w14:paraId="5C412C11" w14:textId="77777777">
      <w:pPr>
        <w:spacing w:after="0" w:line="240" w:lineRule="auto"/>
        <w:jc w:val="both"/>
        <w:rPr>
          <w:sz w:val="20"/>
          <w:szCs w:val="20"/>
        </w:rPr>
      </w:pPr>
    </w:p>
    <w:p w:rsidRPr="00FB5F75" w:rsidR="00675158" w:rsidP="00F550A6" w:rsidRDefault="00675158" w14:paraId="22DC29BE" w14:textId="4AEAA6BF">
      <w:pPr>
        <w:pStyle w:val="Heading1"/>
        <w:rPr>
          <w:sz w:val="24"/>
          <w:szCs w:val="24"/>
        </w:rPr>
      </w:pPr>
      <w:bookmarkStart w:name="_II._SCOPE_OF" w:id="2"/>
      <w:bookmarkEnd w:id="2"/>
      <w:r w:rsidRPr="00FB5F75">
        <w:rPr>
          <w:sz w:val="24"/>
          <w:szCs w:val="24"/>
        </w:rPr>
        <w:t xml:space="preserve">II. </w:t>
      </w:r>
      <w:r w:rsidRPr="00FB5F75" w:rsidR="00072F44">
        <w:rPr>
          <w:sz w:val="24"/>
          <w:szCs w:val="24"/>
        </w:rPr>
        <w:t xml:space="preserve">SCOPE OF </w:t>
      </w:r>
      <w:r w:rsidRPr="00FB5F75" w:rsidR="00966A9F">
        <w:rPr>
          <w:sz w:val="24"/>
          <w:szCs w:val="24"/>
        </w:rPr>
        <w:t>THE MONITORING</w:t>
      </w:r>
    </w:p>
    <w:p w:rsidRPr="00FB5F75" w:rsidR="006F3C05" w:rsidP="006F3C05" w:rsidRDefault="006F3C05" w14:paraId="2DE709E3" w14:textId="77777777">
      <w:pPr>
        <w:spacing w:after="0" w:line="240" w:lineRule="auto"/>
        <w:rPr>
          <w:sz w:val="20"/>
          <w:szCs w:val="20"/>
        </w:rPr>
      </w:pPr>
    </w:p>
    <w:p w:rsidRPr="00FB5F75" w:rsidR="00E94552" w:rsidP="00F550A6" w:rsidRDefault="00E94552" w14:paraId="6268F5C9" w14:textId="2EF5FC91">
      <w:pPr>
        <w:pStyle w:val="Heading2"/>
        <w:rPr>
          <w:sz w:val="22"/>
          <w:szCs w:val="22"/>
        </w:rPr>
      </w:pPr>
      <w:bookmarkStart w:name="_Items_that_EOHLC" w:id="3"/>
      <w:bookmarkEnd w:id="3"/>
      <w:r w:rsidRPr="000B7D22">
        <w:rPr>
          <w:sz w:val="22"/>
          <w:szCs w:val="22"/>
          <w:u w:val="single"/>
        </w:rPr>
        <w:t xml:space="preserve">Items that </w:t>
      </w:r>
      <w:r w:rsidRPr="000B7D22" w:rsidR="00A216D2">
        <w:rPr>
          <w:sz w:val="22"/>
          <w:szCs w:val="22"/>
          <w:u w:val="single"/>
        </w:rPr>
        <w:t>EOHLC</w:t>
      </w:r>
      <w:r w:rsidRPr="000B7D22">
        <w:rPr>
          <w:sz w:val="22"/>
          <w:szCs w:val="22"/>
          <w:u w:val="single"/>
        </w:rPr>
        <w:t xml:space="preserve"> examine include</w:t>
      </w:r>
      <w:r w:rsidRPr="00FB5F75">
        <w:rPr>
          <w:sz w:val="22"/>
          <w:szCs w:val="22"/>
        </w:rPr>
        <w:t xml:space="preserve">: </w:t>
      </w:r>
    </w:p>
    <w:p w:rsidRPr="00FB5F75" w:rsidR="00A216D2" w:rsidP="00980A76" w:rsidRDefault="00A216D2" w14:paraId="5017BCC2" w14:textId="77777777">
      <w:pPr>
        <w:spacing w:after="0" w:line="240" w:lineRule="auto"/>
        <w:rPr>
          <w:sz w:val="20"/>
          <w:szCs w:val="20"/>
        </w:rPr>
      </w:pPr>
    </w:p>
    <w:p w:rsidRPr="00FB5F75" w:rsidR="00642ED2" w:rsidP="00395479" w:rsidRDefault="00E94552" w14:paraId="18FF9D99" w14:textId="4B40D4EF">
      <w:pPr>
        <w:pStyle w:val="ListParagraph"/>
        <w:numPr>
          <w:ilvl w:val="0"/>
          <w:numId w:val="41"/>
        </w:numPr>
        <w:spacing w:after="0" w:line="240" w:lineRule="auto"/>
        <w:rPr>
          <w:sz w:val="20"/>
          <w:szCs w:val="20"/>
        </w:rPr>
      </w:pPr>
      <w:r w:rsidRPr="00FB5F75">
        <w:rPr>
          <w:sz w:val="20"/>
          <w:szCs w:val="20"/>
        </w:rPr>
        <w:t xml:space="preserve">Organization </w:t>
      </w:r>
      <w:r w:rsidRPr="00FB5F75" w:rsidR="009E198C">
        <w:rPr>
          <w:sz w:val="20"/>
          <w:szCs w:val="20"/>
        </w:rPr>
        <w:t>sta</w:t>
      </w:r>
      <w:r w:rsidRPr="00FB5F75" w:rsidR="00641CB3">
        <w:rPr>
          <w:sz w:val="20"/>
          <w:szCs w:val="20"/>
        </w:rPr>
        <w:t xml:space="preserve">tues and </w:t>
      </w:r>
      <w:r w:rsidRPr="00FB5F75">
        <w:rPr>
          <w:sz w:val="20"/>
          <w:szCs w:val="20"/>
        </w:rPr>
        <w:t>operations</w:t>
      </w:r>
      <w:r w:rsidRPr="00FB5F75" w:rsidR="00E37870">
        <w:rPr>
          <w:sz w:val="20"/>
          <w:szCs w:val="20"/>
        </w:rPr>
        <w:t>/management</w:t>
      </w:r>
      <w:r w:rsidRPr="00FB5F75">
        <w:rPr>
          <w:sz w:val="20"/>
          <w:szCs w:val="20"/>
        </w:rPr>
        <w:t xml:space="preserve"> </w:t>
      </w:r>
    </w:p>
    <w:p w:rsidRPr="00FB5F75" w:rsidR="00642ED2" w:rsidP="00395479" w:rsidRDefault="00E94552" w14:paraId="68C72280" w14:textId="77777777">
      <w:pPr>
        <w:pStyle w:val="ListParagraph"/>
        <w:numPr>
          <w:ilvl w:val="0"/>
          <w:numId w:val="41"/>
        </w:numPr>
        <w:spacing w:after="0" w:line="240" w:lineRule="auto"/>
        <w:rPr>
          <w:sz w:val="20"/>
          <w:szCs w:val="20"/>
        </w:rPr>
      </w:pPr>
      <w:r w:rsidRPr="00FB5F75">
        <w:rPr>
          <w:sz w:val="20"/>
          <w:szCs w:val="20"/>
        </w:rPr>
        <w:t xml:space="preserve">Internal and management controls </w:t>
      </w:r>
    </w:p>
    <w:p w:rsidRPr="00FB5F75" w:rsidR="00642ED2" w:rsidP="00395479" w:rsidRDefault="00DF4B7E" w14:paraId="19214457" w14:textId="7CC5F12F">
      <w:pPr>
        <w:pStyle w:val="ListParagraph"/>
        <w:numPr>
          <w:ilvl w:val="0"/>
          <w:numId w:val="41"/>
        </w:numPr>
        <w:spacing w:after="0" w:line="240" w:lineRule="auto"/>
        <w:rPr>
          <w:sz w:val="20"/>
          <w:szCs w:val="20"/>
        </w:rPr>
      </w:pPr>
      <w:r w:rsidRPr="00FB5F75">
        <w:rPr>
          <w:sz w:val="20"/>
          <w:szCs w:val="20"/>
        </w:rPr>
        <w:t xml:space="preserve">Program and fiscal </w:t>
      </w:r>
      <w:r w:rsidRPr="00FB5F75" w:rsidR="00E94552">
        <w:rPr>
          <w:sz w:val="20"/>
          <w:szCs w:val="20"/>
        </w:rPr>
        <w:t xml:space="preserve">Policies and </w:t>
      </w:r>
      <w:r w:rsidRPr="00FB5F75" w:rsidR="007D5CEF">
        <w:rPr>
          <w:sz w:val="20"/>
          <w:szCs w:val="20"/>
        </w:rPr>
        <w:t>procedures.</w:t>
      </w:r>
      <w:r w:rsidRPr="00FB5F75" w:rsidR="00E94552">
        <w:rPr>
          <w:sz w:val="20"/>
          <w:szCs w:val="20"/>
        </w:rPr>
        <w:t xml:space="preserve"> </w:t>
      </w:r>
    </w:p>
    <w:p w:rsidRPr="00FB5F75" w:rsidR="00642ED2" w:rsidP="00395479" w:rsidRDefault="00A625FE" w14:paraId="7650A850" w14:textId="10CD8204">
      <w:pPr>
        <w:pStyle w:val="ListParagraph"/>
        <w:numPr>
          <w:ilvl w:val="0"/>
          <w:numId w:val="41"/>
        </w:numPr>
        <w:spacing w:after="0" w:line="240" w:lineRule="auto"/>
        <w:rPr>
          <w:sz w:val="20"/>
          <w:szCs w:val="20"/>
        </w:rPr>
      </w:pPr>
      <w:r w:rsidRPr="00FB5F75">
        <w:rPr>
          <w:sz w:val="20"/>
          <w:szCs w:val="20"/>
        </w:rPr>
        <w:t xml:space="preserve">Program </w:t>
      </w:r>
      <w:r w:rsidRPr="00FB5F75" w:rsidR="00533534">
        <w:rPr>
          <w:sz w:val="20"/>
          <w:szCs w:val="20"/>
        </w:rPr>
        <w:t>and fiscal</w:t>
      </w:r>
      <w:r w:rsidRPr="00FB5F75" w:rsidR="00E94552">
        <w:rPr>
          <w:sz w:val="20"/>
          <w:szCs w:val="20"/>
        </w:rPr>
        <w:t xml:space="preserve"> </w:t>
      </w:r>
      <w:r w:rsidRPr="00FB5F75" w:rsidR="007D5CEF">
        <w:rPr>
          <w:sz w:val="20"/>
          <w:szCs w:val="20"/>
        </w:rPr>
        <w:t>reports.</w:t>
      </w:r>
      <w:r w:rsidRPr="00FB5F75" w:rsidR="00E94552">
        <w:rPr>
          <w:sz w:val="20"/>
          <w:szCs w:val="20"/>
        </w:rPr>
        <w:t xml:space="preserve"> </w:t>
      </w:r>
    </w:p>
    <w:p w:rsidRPr="00FB5F75" w:rsidR="003D3FAA" w:rsidP="00395479" w:rsidRDefault="003D3FAA" w14:paraId="49CCC8DB" w14:textId="6D72A105">
      <w:pPr>
        <w:pStyle w:val="ListParagraph"/>
        <w:numPr>
          <w:ilvl w:val="0"/>
          <w:numId w:val="41"/>
        </w:numPr>
        <w:spacing w:after="0" w:line="240" w:lineRule="auto"/>
        <w:rPr>
          <w:sz w:val="20"/>
          <w:szCs w:val="20"/>
        </w:rPr>
      </w:pPr>
      <w:r w:rsidRPr="00FB5F75">
        <w:rPr>
          <w:sz w:val="20"/>
          <w:szCs w:val="20"/>
        </w:rPr>
        <w:t xml:space="preserve">Program and fiscal </w:t>
      </w:r>
      <w:r w:rsidRPr="00FB5F75" w:rsidR="004969C8">
        <w:rPr>
          <w:sz w:val="20"/>
          <w:szCs w:val="20"/>
        </w:rPr>
        <w:t xml:space="preserve">grant </w:t>
      </w:r>
      <w:r w:rsidRPr="00FB5F75" w:rsidR="007D5CEF">
        <w:rPr>
          <w:sz w:val="20"/>
          <w:szCs w:val="20"/>
        </w:rPr>
        <w:t>requirements.</w:t>
      </w:r>
    </w:p>
    <w:p w:rsidRPr="00FB5F75" w:rsidR="00DF4B7E" w:rsidP="00395479" w:rsidRDefault="00DF4B7E" w14:paraId="5CD58163" w14:textId="3D2B0C81">
      <w:pPr>
        <w:pStyle w:val="ListParagraph"/>
        <w:numPr>
          <w:ilvl w:val="0"/>
          <w:numId w:val="41"/>
        </w:numPr>
        <w:spacing w:after="0" w:line="240" w:lineRule="auto"/>
        <w:rPr>
          <w:sz w:val="20"/>
          <w:szCs w:val="20"/>
        </w:rPr>
      </w:pPr>
      <w:r w:rsidRPr="00FB5F75">
        <w:rPr>
          <w:sz w:val="20"/>
          <w:szCs w:val="20"/>
        </w:rPr>
        <w:t xml:space="preserve">Client </w:t>
      </w:r>
      <w:r w:rsidRPr="00FB5F75" w:rsidR="00197645">
        <w:rPr>
          <w:sz w:val="20"/>
          <w:szCs w:val="20"/>
        </w:rPr>
        <w:t>files</w:t>
      </w:r>
      <w:r w:rsidRPr="00FB5F75" w:rsidR="00CE447A">
        <w:rPr>
          <w:sz w:val="20"/>
          <w:szCs w:val="20"/>
        </w:rPr>
        <w:t xml:space="preserve"> to verify eligi</w:t>
      </w:r>
      <w:r w:rsidRPr="00FB5F75" w:rsidR="00DE70A6">
        <w:rPr>
          <w:sz w:val="20"/>
          <w:szCs w:val="20"/>
        </w:rPr>
        <w:t>bility and required documentation</w:t>
      </w:r>
      <w:r w:rsidRPr="00FB5F75" w:rsidR="007D5CEF">
        <w:rPr>
          <w:sz w:val="20"/>
          <w:szCs w:val="20"/>
        </w:rPr>
        <w:t>.</w:t>
      </w:r>
    </w:p>
    <w:p w:rsidRPr="00FB5F75" w:rsidR="00323F65" w:rsidP="00395479" w:rsidRDefault="00323F65" w14:paraId="6E6E9F81" w14:textId="7B888770">
      <w:pPr>
        <w:pStyle w:val="ListParagraph"/>
        <w:numPr>
          <w:ilvl w:val="0"/>
          <w:numId w:val="41"/>
        </w:numPr>
        <w:spacing w:after="0" w:line="240" w:lineRule="auto"/>
        <w:rPr>
          <w:sz w:val="20"/>
          <w:szCs w:val="20"/>
        </w:rPr>
      </w:pPr>
      <w:r w:rsidRPr="00FB5F75">
        <w:rPr>
          <w:sz w:val="20"/>
          <w:szCs w:val="20"/>
        </w:rPr>
        <w:t>Program milestone/</w:t>
      </w:r>
      <w:r w:rsidRPr="00FB5F75" w:rsidR="007D5CEF">
        <w:rPr>
          <w:sz w:val="20"/>
          <w:szCs w:val="20"/>
        </w:rPr>
        <w:t>accomplishments.</w:t>
      </w:r>
    </w:p>
    <w:p w:rsidRPr="00FB5F75" w:rsidR="00E6483B" w:rsidP="00980A76" w:rsidRDefault="00E6483B" w14:paraId="7E15E04D" w14:textId="77777777">
      <w:pPr>
        <w:spacing w:after="0" w:line="240" w:lineRule="auto"/>
        <w:rPr>
          <w:sz w:val="20"/>
          <w:szCs w:val="20"/>
        </w:rPr>
      </w:pPr>
    </w:p>
    <w:p w:rsidRPr="000B7D22" w:rsidR="00A216D2" w:rsidP="00F550A6" w:rsidRDefault="00E94552" w14:paraId="616305D1" w14:textId="1F6E02A3">
      <w:pPr>
        <w:pStyle w:val="Heading2"/>
        <w:rPr>
          <w:sz w:val="22"/>
          <w:szCs w:val="22"/>
          <w:u w:val="single"/>
        </w:rPr>
      </w:pPr>
      <w:bookmarkStart w:name="_There_are_four" w:id="4"/>
      <w:bookmarkEnd w:id="4"/>
      <w:r w:rsidRPr="000B7D22">
        <w:rPr>
          <w:sz w:val="22"/>
          <w:szCs w:val="22"/>
          <w:u w:val="single"/>
        </w:rPr>
        <w:t xml:space="preserve">There are four key components </w:t>
      </w:r>
      <w:r w:rsidRPr="000B7D22" w:rsidR="009B34F6">
        <w:rPr>
          <w:sz w:val="22"/>
          <w:szCs w:val="22"/>
          <w:u w:val="single"/>
        </w:rPr>
        <w:t>EOHLC</w:t>
      </w:r>
      <w:r w:rsidRPr="000B7D22">
        <w:rPr>
          <w:sz w:val="22"/>
          <w:szCs w:val="22"/>
          <w:u w:val="single"/>
        </w:rPr>
        <w:t xml:space="preserve"> monitoring model ensures:</w:t>
      </w:r>
    </w:p>
    <w:p w:rsidRPr="00FB5F75" w:rsidR="00E94552" w:rsidP="00980A76" w:rsidRDefault="00E94552" w14:paraId="2C2FF70F" w14:textId="711C2FCF">
      <w:pPr>
        <w:spacing w:after="0" w:line="240" w:lineRule="auto"/>
        <w:rPr>
          <w:sz w:val="20"/>
          <w:szCs w:val="20"/>
        </w:rPr>
      </w:pPr>
      <w:r w:rsidRPr="00FB5F75">
        <w:rPr>
          <w:sz w:val="20"/>
          <w:szCs w:val="20"/>
        </w:rPr>
        <w:t xml:space="preserve"> </w:t>
      </w:r>
    </w:p>
    <w:p w:rsidRPr="00FB5F75" w:rsidR="00CB54D7" w:rsidP="00AB1B73" w:rsidRDefault="00E94552" w14:paraId="3EF6591F" w14:textId="3FC84B18">
      <w:pPr>
        <w:pStyle w:val="ListParagraph"/>
        <w:numPr>
          <w:ilvl w:val="0"/>
          <w:numId w:val="39"/>
        </w:numPr>
        <w:spacing w:after="0" w:line="240" w:lineRule="auto"/>
        <w:rPr>
          <w:sz w:val="20"/>
          <w:szCs w:val="20"/>
        </w:rPr>
      </w:pPr>
      <w:r w:rsidRPr="00FB5F75">
        <w:rPr>
          <w:sz w:val="20"/>
          <w:szCs w:val="20"/>
        </w:rPr>
        <w:t>Subrecipients are monitored during the term of the Grant</w:t>
      </w:r>
      <w:r w:rsidRPr="00FB5F75" w:rsidR="008959BC">
        <w:rPr>
          <w:sz w:val="20"/>
          <w:szCs w:val="20"/>
        </w:rPr>
        <w:t>.</w:t>
      </w:r>
      <w:r w:rsidRPr="00FB5F75">
        <w:rPr>
          <w:sz w:val="20"/>
          <w:szCs w:val="20"/>
        </w:rPr>
        <w:t xml:space="preserve"> </w:t>
      </w:r>
    </w:p>
    <w:p w:rsidRPr="00FB5F75" w:rsidR="00CB54D7" w:rsidP="00AB1B73" w:rsidRDefault="00E94552" w14:paraId="316BDFB8" w14:textId="3BA7716B">
      <w:pPr>
        <w:pStyle w:val="ListParagraph"/>
        <w:numPr>
          <w:ilvl w:val="0"/>
          <w:numId w:val="39"/>
        </w:numPr>
        <w:spacing w:after="0" w:line="240" w:lineRule="auto"/>
        <w:rPr>
          <w:sz w:val="20"/>
          <w:szCs w:val="20"/>
        </w:rPr>
      </w:pPr>
      <w:r w:rsidRPr="00FB5F75">
        <w:rPr>
          <w:sz w:val="20"/>
          <w:szCs w:val="20"/>
        </w:rPr>
        <w:t>Monitoring efforts focus on the areas of most significant risk</w:t>
      </w:r>
      <w:r w:rsidRPr="00FB5F75" w:rsidR="008959BC">
        <w:rPr>
          <w:sz w:val="20"/>
          <w:szCs w:val="20"/>
        </w:rPr>
        <w:t>.</w:t>
      </w:r>
      <w:r w:rsidRPr="00FB5F75">
        <w:rPr>
          <w:sz w:val="20"/>
          <w:szCs w:val="20"/>
        </w:rPr>
        <w:t xml:space="preserve"> </w:t>
      </w:r>
    </w:p>
    <w:p w:rsidRPr="00FB5F75" w:rsidR="00F755BE" w:rsidP="00AB1B73" w:rsidRDefault="00E94552" w14:paraId="7EA26E07" w14:textId="77777777">
      <w:pPr>
        <w:pStyle w:val="ListParagraph"/>
        <w:numPr>
          <w:ilvl w:val="0"/>
          <w:numId w:val="39"/>
        </w:numPr>
        <w:spacing w:after="0" w:line="240" w:lineRule="auto"/>
        <w:rPr>
          <w:sz w:val="20"/>
          <w:szCs w:val="20"/>
        </w:rPr>
      </w:pPr>
      <w:r w:rsidRPr="00FB5F75">
        <w:rPr>
          <w:sz w:val="20"/>
          <w:szCs w:val="20"/>
        </w:rPr>
        <w:t xml:space="preserve">All monitoring findings are addressed through appropriate corrective actions; and </w:t>
      </w:r>
    </w:p>
    <w:p w:rsidRPr="00FB5F75" w:rsidR="00E94552" w:rsidP="00AB1B73" w:rsidRDefault="00E94552" w14:paraId="2E7CC782" w14:textId="6F2EF21D">
      <w:pPr>
        <w:pStyle w:val="ListParagraph"/>
        <w:numPr>
          <w:ilvl w:val="0"/>
          <w:numId w:val="39"/>
        </w:numPr>
        <w:spacing w:after="0" w:line="240" w:lineRule="auto"/>
        <w:jc w:val="both"/>
        <w:rPr>
          <w:sz w:val="20"/>
          <w:szCs w:val="20"/>
        </w:rPr>
      </w:pPr>
      <w:r w:rsidRPr="00FB5F75">
        <w:rPr>
          <w:sz w:val="20"/>
          <w:szCs w:val="20"/>
        </w:rPr>
        <w:t>Ongoing financial and administrative training and technical assistance is provided to</w:t>
      </w:r>
      <w:r w:rsidRPr="00FB5F75" w:rsidR="00F755BE">
        <w:rPr>
          <w:sz w:val="20"/>
          <w:szCs w:val="20"/>
        </w:rPr>
        <w:t xml:space="preserve"> </w:t>
      </w:r>
      <w:r w:rsidRPr="00FB5F75">
        <w:rPr>
          <w:sz w:val="20"/>
          <w:szCs w:val="20"/>
        </w:rPr>
        <w:t>Subrecipients to</w:t>
      </w:r>
      <w:r w:rsidRPr="00FB5F75" w:rsidR="00112E7E">
        <w:rPr>
          <w:sz w:val="20"/>
          <w:szCs w:val="20"/>
        </w:rPr>
        <w:t xml:space="preserve"> </w:t>
      </w:r>
      <w:r w:rsidRPr="00FB5F75">
        <w:rPr>
          <w:sz w:val="20"/>
          <w:szCs w:val="20"/>
        </w:rPr>
        <w:t xml:space="preserve">enable them to comply with Grant Subaward requirements and maintain their funding. </w:t>
      </w:r>
    </w:p>
    <w:p w:rsidRPr="00FB5F75" w:rsidR="00A216D2" w:rsidP="00980A76" w:rsidRDefault="00A216D2" w14:paraId="15722CA8" w14:textId="77777777">
      <w:pPr>
        <w:spacing w:after="0" w:line="240" w:lineRule="auto"/>
        <w:rPr>
          <w:sz w:val="20"/>
          <w:szCs w:val="20"/>
        </w:rPr>
      </w:pPr>
    </w:p>
    <w:p w:rsidRPr="00FB5F75" w:rsidR="00E94552" w:rsidP="00F550A6" w:rsidRDefault="00A216D2" w14:paraId="03FE841F" w14:textId="1334D420">
      <w:pPr>
        <w:pStyle w:val="Heading2"/>
        <w:rPr>
          <w:sz w:val="22"/>
          <w:szCs w:val="22"/>
        </w:rPr>
      </w:pPr>
      <w:bookmarkStart w:name="_EOHLC_uses_the" w:id="5"/>
      <w:bookmarkEnd w:id="5"/>
      <w:r w:rsidRPr="000B7D22">
        <w:rPr>
          <w:sz w:val="22"/>
          <w:szCs w:val="22"/>
          <w:u w:val="single"/>
        </w:rPr>
        <w:t>EOHLC</w:t>
      </w:r>
      <w:r w:rsidRPr="000B7D22" w:rsidR="00E94552">
        <w:rPr>
          <w:sz w:val="22"/>
          <w:szCs w:val="22"/>
          <w:u w:val="single"/>
        </w:rPr>
        <w:t xml:space="preserve"> uses the following methods to monitor Subrecipient</w:t>
      </w:r>
      <w:r w:rsidRPr="00FB5F75" w:rsidR="00E94552">
        <w:rPr>
          <w:sz w:val="22"/>
          <w:szCs w:val="22"/>
        </w:rPr>
        <w:t xml:space="preserve">: </w:t>
      </w:r>
    </w:p>
    <w:p w:rsidRPr="00FB5F75" w:rsidR="00A216D2" w:rsidP="00980A76" w:rsidRDefault="00A216D2" w14:paraId="0C02A79B" w14:textId="77777777">
      <w:pPr>
        <w:spacing w:after="0" w:line="240" w:lineRule="auto"/>
        <w:rPr>
          <w:sz w:val="20"/>
          <w:szCs w:val="20"/>
        </w:rPr>
      </w:pPr>
    </w:p>
    <w:p w:rsidRPr="00FB5F75" w:rsidR="000A69E0" w:rsidP="002B3D3D" w:rsidRDefault="00E94552" w14:paraId="41D403D9" w14:textId="7DA47691">
      <w:pPr>
        <w:pStyle w:val="ListParagraph"/>
        <w:numPr>
          <w:ilvl w:val="0"/>
          <w:numId w:val="3"/>
        </w:numPr>
        <w:spacing w:after="0" w:line="240" w:lineRule="auto"/>
        <w:ind w:left="360"/>
        <w:jc w:val="both"/>
        <w:rPr>
          <w:b/>
          <w:bCs/>
          <w:sz w:val="20"/>
          <w:szCs w:val="20"/>
          <w:u w:val="single"/>
        </w:rPr>
      </w:pPr>
      <w:r w:rsidRPr="00FB5F75">
        <w:rPr>
          <w:b/>
          <w:bCs/>
          <w:sz w:val="20"/>
          <w:szCs w:val="20"/>
          <w:u w:val="single"/>
        </w:rPr>
        <w:t xml:space="preserve">Site Visits </w:t>
      </w:r>
    </w:p>
    <w:p w:rsidRPr="00FB5F75" w:rsidR="00E94552" w:rsidP="002B3D3D" w:rsidRDefault="00F17BBA" w14:paraId="5157804B" w14:textId="0CEC7FDF">
      <w:pPr>
        <w:pStyle w:val="ListParagraph"/>
        <w:spacing w:after="0" w:line="240" w:lineRule="auto"/>
        <w:ind w:left="360"/>
        <w:jc w:val="both"/>
        <w:rPr>
          <w:sz w:val="20"/>
          <w:szCs w:val="20"/>
        </w:rPr>
      </w:pPr>
      <w:r w:rsidRPr="00FB5F75">
        <w:rPr>
          <w:sz w:val="20"/>
          <w:szCs w:val="20"/>
        </w:rPr>
        <w:t>Monitor(s)</w:t>
      </w:r>
      <w:r w:rsidRPr="00FB5F75" w:rsidR="00E94552">
        <w:rPr>
          <w:sz w:val="20"/>
          <w:szCs w:val="20"/>
        </w:rPr>
        <w:t xml:space="preserve"> conduct </w:t>
      </w:r>
      <w:r w:rsidRPr="00FB5F75" w:rsidR="00EE1547">
        <w:rPr>
          <w:sz w:val="20"/>
          <w:szCs w:val="20"/>
        </w:rPr>
        <w:t xml:space="preserve">an </w:t>
      </w:r>
      <w:r w:rsidRPr="00FB5F75" w:rsidR="001A0FF8">
        <w:rPr>
          <w:sz w:val="20"/>
          <w:szCs w:val="20"/>
        </w:rPr>
        <w:t>extensive examination</w:t>
      </w:r>
      <w:r w:rsidRPr="00FB5F75" w:rsidR="00A75577">
        <w:rPr>
          <w:sz w:val="20"/>
          <w:szCs w:val="20"/>
        </w:rPr>
        <w:t xml:space="preserve"> of the relevant program and financial documentation surrounding a grant program</w:t>
      </w:r>
      <w:r w:rsidRPr="00FB5F75" w:rsidR="00EB4F6A">
        <w:rPr>
          <w:sz w:val="20"/>
          <w:szCs w:val="20"/>
        </w:rPr>
        <w:t>. These are</w:t>
      </w:r>
      <w:r w:rsidRPr="00FB5F75" w:rsidR="00EE1547">
        <w:rPr>
          <w:sz w:val="20"/>
          <w:szCs w:val="20"/>
        </w:rPr>
        <w:t xml:space="preserve"> </w:t>
      </w:r>
      <w:r w:rsidRPr="00FB5F75" w:rsidR="00E94552">
        <w:rPr>
          <w:sz w:val="20"/>
          <w:szCs w:val="20"/>
        </w:rPr>
        <w:t>site visits to review a Subrecipient's overall</w:t>
      </w:r>
      <w:r w:rsidRPr="00FB5F75" w:rsidR="00A216D2">
        <w:rPr>
          <w:sz w:val="20"/>
          <w:szCs w:val="20"/>
        </w:rPr>
        <w:t xml:space="preserve"> </w:t>
      </w:r>
      <w:r w:rsidRPr="00FB5F75" w:rsidR="00E94552">
        <w:rPr>
          <w:sz w:val="20"/>
          <w:szCs w:val="20"/>
        </w:rPr>
        <w:t xml:space="preserve">implementation of the program, adherence to program guidelines, and achievement of Grant Subaward goals and objectives and to identify issues and provide technical assistance as needed. </w:t>
      </w:r>
    </w:p>
    <w:p w:rsidRPr="00FB5F75" w:rsidR="00A216D2" w:rsidP="002B3D3D" w:rsidRDefault="00A216D2" w14:paraId="770B9B0D" w14:textId="77777777">
      <w:pPr>
        <w:spacing w:after="0" w:line="240" w:lineRule="auto"/>
        <w:jc w:val="both"/>
        <w:rPr>
          <w:sz w:val="20"/>
          <w:szCs w:val="20"/>
        </w:rPr>
      </w:pPr>
    </w:p>
    <w:p w:rsidRPr="00FB5F75" w:rsidR="00DE2053" w:rsidP="002B3D3D" w:rsidRDefault="00E94552" w14:paraId="45158A6B" w14:textId="77777777">
      <w:pPr>
        <w:pStyle w:val="ListParagraph"/>
        <w:numPr>
          <w:ilvl w:val="0"/>
          <w:numId w:val="3"/>
        </w:numPr>
        <w:spacing w:after="0" w:line="240" w:lineRule="auto"/>
        <w:ind w:left="360"/>
        <w:jc w:val="both"/>
        <w:rPr>
          <w:b/>
          <w:bCs/>
          <w:sz w:val="20"/>
          <w:szCs w:val="20"/>
          <w:u w:val="single"/>
        </w:rPr>
      </w:pPr>
      <w:r w:rsidRPr="00FB5F75">
        <w:rPr>
          <w:b/>
          <w:bCs/>
          <w:sz w:val="20"/>
          <w:szCs w:val="20"/>
          <w:u w:val="single"/>
        </w:rPr>
        <w:t xml:space="preserve">Desk Reviews </w:t>
      </w:r>
    </w:p>
    <w:p w:rsidRPr="00FB5F75" w:rsidR="000A69E0" w:rsidP="002B3D3D" w:rsidRDefault="00F17BBA" w14:paraId="33BAE99F" w14:textId="015093B7">
      <w:pPr>
        <w:pStyle w:val="ListParagraph"/>
        <w:spacing w:after="0" w:line="240" w:lineRule="auto"/>
        <w:ind w:left="360"/>
        <w:jc w:val="both"/>
        <w:rPr>
          <w:b/>
          <w:bCs/>
          <w:sz w:val="20"/>
          <w:szCs w:val="20"/>
        </w:rPr>
      </w:pPr>
      <w:r w:rsidRPr="00FB5F75">
        <w:rPr>
          <w:sz w:val="20"/>
          <w:szCs w:val="20"/>
        </w:rPr>
        <w:t>Monitor(s)</w:t>
      </w:r>
      <w:r w:rsidRPr="00FB5F75" w:rsidR="00F51385">
        <w:rPr>
          <w:sz w:val="20"/>
          <w:szCs w:val="20"/>
        </w:rPr>
        <w:t xml:space="preserve"> conduct </w:t>
      </w:r>
      <w:r w:rsidRPr="00FB5F75" w:rsidR="001A0FF8">
        <w:rPr>
          <w:sz w:val="20"/>
          <w:szCs w:val="20"/>
        </w:rPr>
        <w:t>a focused</w:t>
      </w:r>
      <w:r w:rsidRPr="00FB5F75" w:rsidR="00DE2053">
        <w:rPr>
          <w:sz w:val="20"/>
          <w:szCs w:val="20"/>
        </w:rPr>
        <w:t xml:space="preserve"> </w:t>
      </w:r>
      <w:r w:rsidRPr="00FB5F75" w:rsidR="0019156F">
        <w:rPr>
          <w:sz w:val="20"/>
          <w:szCs w:val="20"/>
        </w:rPr>
        <w:t xml:space="preserve">and selective </w:t>
      </w:r>
      <w:r w:rsidRPr="00FB5F75" w:rsidR="008959BC">
        <w:rPr>
          <w:sz w:val="20"/>
          <w:szCs w:val="20"/>
        </w:rPr>
        <w:t>examination</w:t>
      </w:r>
      <w:r w:rsidRPr="00FB5F75" w:rsidR="00DE2053">
        <w:rPr>
          <w:sz w:val="20"/>
          <w:szCs w:val="20"/>
        </w:rPr>
        <w:t xml:space="preserve"> of the relevant </w:t>
      </w:r>
      <w:r w:rsidRPr="00FB5F75" w:rsidR="007B745E">
        <w:rPr>
          <w:sz w:val="20"/>
          <w:szCs w:val="20"/>
        </w:rPr>
        <w:t xml:space="preserve">program </w:t>
      </w:r>
      <w:r w:rsidRPr="00FB5F75" w:rsidR="00F169DB">
        <w:rPr>
          <w:sz w:val="20"/>
          <w:szCs w:val="20"/>
        </w:rPr>
        <w:t xml:space="preserve">and financial </w:t>
      </w:r>
      <w:r w:rsidRPr="00FB5F75" w:rsidR="00DE2053">
        <w:rPr>
          <w:sz w:val="20"/>
          <w:szCs w:val="20"/>
        </w:rPr>
        <w:t>documentation surrounding a grant program. They are conducted virtually and intended to facilitate and produce an evaluation of the recipient’s manage</w:t>
      </w:r>
      <w:r w:rsidRPr="00FB5F75" w:rsidR="00C200A3">
        <w:rPr>
          <w:sz w:val="20"/>
          <w:szCs w:val="20"/>
        </w:rPr>
        <w:t>ment of</w:t>
      </w:r>
      <w:r w:rsidRPr="00FB5F75" w:rsidR="00DE2053">
        <w:rPr>
          <w:sz w:val="20"/>
          <w:szCs w:val="20"/>
        </w:rPr>
        <w:t xml:space="preserve"> their award</w:t>
      </w:r>
      <w:r w:rsidRPr="00FB5F75" w:rsidR="003678A4">
        <w:rPr>
          <w:sz w:val="20"/>
          <w:szCs w:val="20"/>
        </w:rPr>
        <w:t xml:space="preserve"> to identify issues and provide technical assistance as needed.</w:t>
      </w:r>
      <w:r w:rsidRPr="00FB5F75" w:rsidR="00DE2053">
        <w:rPr>
          <w:sz w:val="20"/>
          <w:szCs w:val="20"/>
        </w:rPr>
        <w:t xml:space="preserve"> </w:t>
      </w:r>
    </w:p>
    <w:p w:rsidRPr="00FB5F75" w:rsidR="00A216D2" w:rsidP="00980A76" w:rsidRDefault="00A216D2" w14:paraId="289F4FB0" w14:textId="77777777">
      <w:pPr>
        <w:spacing w:after="0" w:line="240" w:lineRule="auto"/>
        <w:rPr>
          <w:sz w:val="20"/>
          <w:szCs w:val="20"/>
        </w:rPr>
      </w:pPr>
    </w:p>
    <w:p w:rsidRPr="00FB5F75" w:rsidR="00156CB9" w:rsidP="00693A12" w:rsidRDefault="00156CB9" w14:paraId="25AD3475" w14:textId="49F9F7CF">
      <w:pPr>
        <w:pStyle w:val="Heading2"/>
        <w:rPr>
          <w:sz w:val="22"/>
          <w:szCs w:val="22"/>
        </w:rPr>
      </w:pPr>
      <w:bookmarkStart w:name="_EOHLC_uses_the_1" w:id="6"/>
      <w:bookmarkEnd w:id="6"/>
      <w:r w:rsidRPr="000B7D22">
        <w:rPr>
          <w:sz w:val="22"/>
          <w:szCs w:val="22"/>
          <w:u w:val="single"/>
        </w:rPr>
        <w:t>EOHLC uses the following methods to select Subrecipient for monitoring</w:t>
      </w:r>
      <w:r w:rsidRPr="00FB5F75">
        <w:rPr>
          <w:sz w:val="22"/>
          <w:szCs w:val="22"/>
        </w:rPr>
        <w:t xml:space="preserve">: </w:t>
      </w:r>
    </w:p>
    <w:p w:rsidRPr="00FB5F75" w:rsidR="00156CB9" w:rsidP="00980A76" w:rsidRDefault="00156CB9" w14:paraId="39244565" w14:textId="77777777">
      <w:pPr>
        <w:spacing w:after="0" w:line="240" w:lineRule="auto"/>
        <w:rPr>
          <w:b/>
          <w:bCs/>
          <w:sz w:val="20"/>
          <w:szCs w:val="20"/>
        </w:rPr>
      </w:pPr>
    </w:p>
    <w:p w:rsidRPr="00FB5F75" w:rsidR="00DE2053" w:rsidP="00395479" w:rsidRDefault="007237A9" w14:paraId="24143FD2" w14:textId="5D27B4EC">
      <w:pPr>
        <w:pStyle w:val="ListParagraph"/>
        <w:numPr>
          <w:ilvl w:val="0"/>
          <w:numId w:val="40"/>
        </w:numPr>
        <w:spacing w:after="0" w:line="240" w:lineRule="auto"/>
        <w:rPr>
          <w:sz w:val="20"/>
          <w:szCs w:val="20"/>
        </w:rPr>
      </w:pPr>
      <w:r w:rsidRPr="00FB5F75">
        <w:rPr>
          <w:sz w:val="20"/>
          <w:szCs w:val="20"/>
        </w:rPr>
        <w:t>Em</w:t>
      </w:r>
      <w:r w:rsidRPr="00FB5F75" w:rsidR="00B76409">
        <w:rPr>
          <w:sz w:val="20"/>
          <w:szCs w:val="20"/>
        </w:rPr>
        <w:t xml:space="preserve">ergency monitoring </w:t>
      </w:r>
      <w:r w:rsidRPr="00FB5F75" w:rsidR="00726184">
        <w:rPr>
          <w:sz w:val="20"/>
          <w:szCs w:val="20"/>
        </w:rPr>
        <w:t>due to</w:t>
      </w:r>
      <w:r w:rsidRPr="00FB5F75" w:rsidR="00862053">
        <w:rPr>
          <w:sz w:val="20"/>
          <w:szCs w:val="20"/>
        </w:rPr>
        <w:t xml:space="preserve"> </w:t>
      </w:r>
      <w:r w:rsidRPr="00FB5F75" w:rsidR="003F4C56">
        <w:rPr>
          <w:sz w:val="20"/>
          <w:szCs w:val="20"/>
        </w:rPr>
        <w:t xml:space="preserve">a </w:t>
      </w:r>
      <w:r w:rsidRPr="00FB5F75" w:rsidR="00862053">
        <w:rPr>
          <w:sz w:val="20"/>
          <w:szCs w:val="20"/>
        </w:rPr>
        <w:t>major incident</w:t>
      </w:r>
      <w:r w:rsidRPr="00FB5F75" w:rsidR="003F4C56">
        <w:rPr>
          <w:sz w:val="20"/>
          <w:szCs w:val="20"/>
        </w:rPr>
        <w:t xml:space="preserve"> </w:t>
      </w:r>
      <w:r w:rsidRPr="00FB5F75" w:rsidR="000A7BE3">
        <w:rPr>
          <w:sz w:val="20"/>
          <w:szCs w:val="20"/>
        </w:rPr>
        <w:t>and/</w:t>
      </w:r>
      <w:r w:rsidRPr="00FB5F75" w:rsidR="003F4C56">
        <w:rPr>
          <w:sz w:val="20"/>
          <w:szCs w:val="20"/>
        </w:rPr>
        <w:t>or</w:t>
      </w:r>
      <w:r w:rsidRPr="00FB5F75" w:rsidR="00726184">
        <w:rPr>
          <w:sz w:val="20"/>
          <w:szCs w:val="20"/>
        </w:rPr>
        <w:t xml:space="preserve"> a claim of Fraud, Waste, and </w:t>
      </w:r>
      <w:r w:rsidRPr="00FB5F75" w:rsidR="000E5ED0">
        <w:rPr>
          <w:sz w:val="20"/>
          <w:szCs w:val="20"/>
        </w:rPr>
        <w:t>Abuse.</w:t>
      </w:r>
    </w:p>
    <w:p w:rsidRPr="00FB5F75" w:rsidR="0088379D" w:rsidP="00395479" w:rsidRDefault="0088379D" w14:paraId="72D32358" w14:textId="66FD6440">
      <w:pPr>
        <w:pStyle w:val="ListParagraph"/>
        <w:numPr>
          <w:ilvl w:val="0"/>
          <w:numId w:val="40"/>
        </w:numPr>
        <w:spacing w:after="0" w:line="240" w:lineRule="auto"/>
        <w:rPr>
          <w:sz w:val="20"/>
          <w:szCs w:val="20"/>
        </w:rPr>
      </w:pPr>
      <w:r w:rsidRPr="00FB5F75">
        <w:rPr>
          <w:sz w:val="20"/>
          <w:szCs w:val="20"/>
        </w:rPr>
        <w:t xml:space="preserve">Subrecipient granted new </w:t>
      </w:r>
      <w:r w:rsidRPr="00FB5F75" w:rsidR="000E5ED0">
        <w:rPr>
          <w:sz w:val="20"/>
          <w:szCs w:val="20"/>
        </w:rPr>
        <w:t>contract.</w:t>
      </w:r>
    </w:p>
    <w:p w:rsidRPr="00FB5F75" w:rsidR="0054578F" w:rsidP="00395479" w:rsidRDefault="00F65431" w14:paraId="50D1D1D2" w14:textId="2D098855">
      <w:pPr>
        <w:pStyle w:val="ListParagraph"/>
        <w:numPr>
          <w:ilvl w:val="0"/>
          <w:numId w:val="40"/>
        </w:numPr>
        <w:spacing w:after="0" w:line="240" w:lineRule="auto"/>
        <w:rPr>
          <w:sz w:val="20"/>
          <w:szCs w:val="20"/>
        </w:rPr>
      </w:pPr>
      <w:r w:rsidRPr="00FB5F75">
        <w:rPr>
          <w:sz w:val="20"/>
          <w:szCs w:val="20"/>
        </w:rPr>
        <w:t xml:space="preserve">Subrecipient </w:t>
      </w:r>
      <w:r w:rsidRPr="00FB5F75" w:rsidR="007D30EF">
        <w:rPr>
          <w:sz w:val="20"/>
          <w:szCs w:val="20"/>
        </w:rPr>
        <w:t xml:space="preserve">not monitored </w:t>
      </w:r>
      <w:r w:rsidRPr="00FB5F75" w:rsidR="00862053">
        <w:rPr>
          <w:sz w:val="20"/>
          <w:szCs w:val="20"/>
        </w:rPr>
        <w:t xml:space="preserve">during a full fiscal </w:t>
      </w:r>
      <w:r w:rsidRPr="00FB5F75" w:rsidR="000E5ED0">
        <w:rPr>
          <w:sz w:val="20"/>
          <w:szCs w:val="20"/>
        </w:rPr>
        <w:t>year.</w:t>
      </w:r>
      <w:r w:rsidRPr="00FB5F75" w:rsidR="00B018A2">
        <w:rPr>
          <w:sz w:val="20"/>
          <w:szCs w:val="20"/>
        </w:rPr>
        <w:t xml:space="preserve"> </w:t>
      </w:r>
    </w:p>
    <w:p w:rsidRPr="00FB5F75" w:rsidR="00AE6D01" w:rsidP="00395479" w:rsidRDefault="00756345" w14:paraId="2FFECBB8" w14:textId="28F6D236">
      <w:pPr>
        <w:pStyle w:val="ListParagraph"/>
        <w:numPr>
          <w:ilvl w:val="0"/>
          <w:numId w:val="40"/>
        </w:numPr>
        <w:spacing w:after="0" w:line="240" w:lineRule="auto"/>
        <w:rPr>
          <w:sz w:val="20"/>
          <w:szCs w:val="20"/>
        </w:rPr>
      </w:pPr>
      <w:r w:rsidRPr="00FB5F75">
        <w:rPr>
          <w:sz w:val="20"/>
          <w:szCs w:val="20"/>
        </w:rPr>
        <w:t xml:space="preserve">Constant issues with </w:t>
      </w:r>
      <w:r w:rsidRPr="00FB5F75" w:rsidR="00FE7C1C">
        <w:rPr>
          <w:sz w:val="20"/>
          <w:szCs w:val="20"/>
        </w:rPr>
        <w:t xml:space="preserve">other EOHLC </w:t>
      </w:r>
      <w:r w:rsidRPr="00FB5F75" w:rsidR="008226D2">
        <w:rPr>
          <w:sz w:val="20"/>
          <w:szCs w:val="20"/>
        </w:rPr>
        <w:t>partner</w:t>
      </w:r>
      <w:r w:rsidRPr="00FB5F75" w:rsidR="00FE7C1C">
        <w:rPr>
          <w:sz w:val="20"/>
          <w:szCs w:val="20"/>
        </w:rPr>
        <w:t>s (i.e. contracts/billing, HMIS, CE</w:t>
      </w:r>
      <w:r w:rsidRPr="00FB5F75" w:rsidR="008226D2">
        <w:rPr>
          <w:sz w:val="20"/>
          <w:szCs w:val="20"/>
        </w:rPr>
        <w:t>, etc.)</w:t>
      </w:r>
    </w:p>
    <w:p w:rsidRPr="00FB5F75" w:rsidR="00264E8A" w:rsidP="00395479" w:rsidRDefault="00751F19" w14:paraId="790A870D" w14:textId="26E72F91">
      <w:pPr>
        <w:pStyle w:val="ListParagraph"/>
        <w:numPr>
          <w:ilvl w:val="0"/>
          <w:numId w:val="40"/>
        </w:numPr>
        <w:spacing w:after="0" w:line="240" w:lineRule="auto"/>
        <w:rPr>
          <w:sz w:val="20"/>
          <w:szCs w:val="20"/>
        </w:rPr>
      </w:pPr>
      <w:r w:rsidRPr="00FB5F75">
        <w:rPr>
          <w:sz w:val="20"/>
          <w:szCs w:val="20"/>
        </w:rPr>
        <w:t xml:space="preserve">Contract/grant ending </w:t>
      </w:r>
      <w:r w:rsidRPr="00FB5F75" w:rsidR="003802A7">
        <w:rPr>
          <w:sz w:val="20"/>
          <w:szCs w:val="20"/>
        </w:rPr>
        <w:t>and not renewed</w:t>
      </w:r>
      <w:r w:rsidRPr="00FB5F75" w:rsidR="0035454A">
        <w:rPr>
          <w:sz w:val="20"/>
          <w:szCs w:val="20"/>
        </w:rPr>
        <w:t>;</w:t>
      </w:r>
      <w:r w:rsidRPr="00FB5F75" w:rsidR="005375D7">
        <w:rPr>
          <w:sz w:val="20"/>
          <w:szCs w:val="20"/>
        </w:rPr>
        <w:t xml:space="preserve"> and</w:t>
      </w:r>
    </w:p>
    <w:p w:rsidRPr="00FB5F75" w:rsidR="003802A7" w:rsidP="00395479" w:rsidRDefault="008469B2" w14:paraId="6184AF5F" w14:textId="68A8F0CE">
      <w:pPr>
        <w:pStyle w:val="ListParagraph"/>
        <w:numPr>
          <w:ilvl w:val="0"/>
          <w:numId w:val="40"/>
        </w:numPr>
        <w:spacing w:after="0" w:line="240" w:lineRule="auto"/>
        <w:rPr>
          <w:sz w:val="20"/>
          <w:szCs w:val="20"/>
        </w:rPr>
      </w:pPr>
      <w:r w:rsidRPr="00FB5F75">
        <w:rPr>
          <w:sz w:val="20"/>
          <w:szCs w:val="20"/>
        </w:rPr>
        <w:t xml:space="preserve">Subrecipient </w:t>
      </w:r>
      <w:r w:rsidRPr="00FB5F75" w:rsidR="00E548A2">
        <w:rPr>
          <w:sz w:val="20"/>
          <w:szCs w:val="20"/>
        </w:rPr>
        <w:t>failed to r</w:t>
      </w:r>
      <w:r w:rsidRPr="00FB5F75" w:rsidR="006030BD">
        <w:rPr>
          <w:sz w:val="20"/>
          <w:szCs w:val="20"/>
        </w:rPr>
        <w:t>emed</w:t>
      </w:r>
      <w:r w:rsidRPr="00FB5F75" w:rsidR="00E548A2">
        <w:rPr>
          <w:sz w:val="20"/>
          <w:szCs w:val="20"/>
        </w:rPr>
        <w:t>y</w:t>
      </w:r>
      <w:r w:rsidRPr="00FB5F75" w:rsidR="005C28FF">
        <w:rPr>
          <w:sz w:val="20"/>
          <w:szCs w:val="20"/>
        </w:rPr>
        <w:t xml:space="preserve"> </w:t>
      </w:r>
      <w:r w:rsidRPr="00FB5F75" w:rsidR="0031509E">
        <w:rPr>
          <w:sz w:val="20"/>
          <w:szCs w:val="20"/>
        </w:rPr>
        <w:t>prior monitoring and</w:t>
      </w:r>
      <w:r w:rsidRPr="00FB5F75" w:rsidR="001E169E">
        <w:rPr>
          <w:sz w:val="20"/>
          <w:szCs w:val="20"/>
        </w:rPr>
        <w:t>/or</w:t>
      </w:r>
      <w:r w:rsidRPr="00FB5F75" w:rsidR="0031509E">
        <w:rPr>
          <w:sz w:val="20"/>
          <w:szCs w:val="20"/>
        </w:rPr>
        <w:t xml:space="preserve"> audit findings</w:t>
      </w:r>
      <w:r w:rsidRPr="00FB5F75" w:rsidR="005375D7">
        <w:rPr>
          <w:sz w:val="20"/>
          <w:szCs w:val="20"/>
        </w:rPr>
        <w:t>.</w:t>
      </w:r>
    </w:p>
    <w:p w:rsidRPr="00FB5F75" w:rsidR="00DE2053" w:rsidP="00980A76" w:rsidRDefault="00DE2053" w14:paraId="5153779D" w14:textId="77777777">
      <w:pPr>
        <w:spacing w:after="0" w:line="240" w:lineRule="auto"/>
        <w:rPr>
          <w:sz w:val="20"/>
          <w:szCs w:val="20"/>
        </w:rPr>
      </w:pPr>
    </w:p>
    <w:p w:rsidRPr="00FB5F75" w:rsidR="00A216D2" w:rsidP="00693A12" w:rsidRDefault="009508D4" w14:paraId="0AF510CB" w14:textId="6DEB52FD">
      <w:pPr>
        <w:pStyle w:val="Heading2"/>
        <w:rPr>
          <w:sz w:val="22"/>
          <w:szCs w:val="22"/>
        </w:rPr>
      </w:pPr>
      <w:bookmarkStart w:name="_EOHLC_uses_the_2" w:id="7"/>
      <w:bookmarkEnd w:id="7"/>
      <w:r w:rsidRPr="000B7D22">
        <w:rPr>
          <w:sz w:val="22"/>
          <w:szCs w:val="22"/>
          <w:u w:val="single"/>
        </w:rPr>
        <w:t xml:space="preserve">EOHLC uses the following </w:t>
      </w:r>
      <w:r w:rsidRPr="000B7D22" w:rsidR="009D4A31">
        <w:rPr>
          <w:sz w:val="22"/>
          <w:szCs w:val="22"/>
          <w:u w:val="single"/>
        </w:rPr>
        <w:t xml:space="preserve">grading </w:t>
      </w:r>
      <w:r w:rsidRPr="000B7D22" w:rsidR="007E3B68">
        <w:rPr>
          <w:sz w:val="22"/>
          <w:szCs w:val="22"/>
          <w:u w:val="single"/>
        </w:rPr>
        <w:t xml:space="preserve">to </w:t>
      </w:r>
      <w:r w:rsidRPr="000B7D22" w:rsidR="00872881">
        <w:rPr>
          <w:sz w:val="22"/>
          <w:szCs w:val="22"/>
          <w:u w:val="single"/>
        </w:rPr>
        <w:t>determine</w:t>
      </w:r>
      <w:r w:rsidRPr="000B7D22" w:rsidR="007E3B68">
        <w:rPr>
          <w:sz w:val="22"/>
          <w:szCs w:val="22"/>
          <w:u w:val="single"/>
        </w:rPr>
        <w:t xml:space="preserve"> </w:t>
      </w:r>
      <w:r w:rsidRPr="000B7D22" w:rsidR="005375D7">
        <w:rPr>
          <w:sz w:val="22"/>
          <w:szCs w:val="22"/>
          <w:u w:val="single"/>
        </w:rPr>
        <w:t>noncompliance</w:t>
      </w:r>
      <w:r w:rsidRPr="00FB5F75" w:rsidR="005375D7">
        <w:rPr>
          <w:sz w:val="22"/>
          <w:szCs w:val="22"/>
        </w:rPr>
        <w:t>:</w:t>
      </w:r>
    </w:p>
    <w:p w:rsidRPr="00FB5F75" w:rsidR="006465CB" w:rsidP="00980A76" w:rsidRDefault="006465CB" w14:paraId="15CDF798" w14:textId="77777777">
      <w:pPr>
        <w:spacing w:after="0" w:line="240" w:lineRule="auto"/>
        <w:rPr>
          <w:b/>
          <w:bCs/>
          <w:sz w:val="20"/>
          <w:szCs w:val="20"/>
        </w:rPr>
      </w:pPr>
    </w:p>
    <w:p w:rsidRPr="00FB5F75" w:rsidR="003E510C" w:rsidP="002B3D3D" w:rsidRDefault="003E510C" w14:paraId="4D0CAD71" w14:textId="77777777">
      <w:pPr>
        <w:pStyle w:val="ListParagraph"/>
        <w:numPr>
          <w:ilvl w:val="0"/>
          <w:numId w:val="4"/>
        </w:numPr>
        <w:spacing w:after="0" w:line="240" w:lineRule="auto"/>
        <w:ind w:left="360"/>
        <w:rPr>
          <w:b/>
          <w:bCs/>
          <w:sz w:val="20"/>
          <w:szCs w:val="20"/>
        </w:rPr>
      </w:pPr>
      <w:r w:rsidRPr="00FB5F75">
        <w:rPr>
          <w:b/>
          <w:bCs/>
          <w:sz w:val="20"/>
          <w:szCs w:val="20"/>
          <w:u w:val="single"/>
        </w:rPr>
        <w:t>Finding</w:t>
      </w:r>
      <w:r w:rsidRPr="00FB5F75">
        <w:rPr>
          <w:b/>
          <w:bCs/>
          <w:sz w:val="20"/>
          <w:szCs w:val="20"/>
        </w:rPr>
        <w:t xml:space="preserve">: </w:t>
      </w:r>
    </w:p>
    <w:p w:rsidRPr="00FB5F75" w:rsidR="006465CB" w:rsidP="002B3D3D" w:rsidRDefault="003E510C" w14:paraId="315E492A" w14:textId="6ECF49B8">
      <w:pPr>
        <w:pStyle w:val="ListParagraph"/>
        <w:spacing w:after="0" w:line="240" w:lineRule="auto"/>
        <w:ind w:left="360"/>
        <w:jc w:val="both"/>
        <w:rPr>
          <w:sz w:val="20"/>
          <w:szCs w:val="20"/>
        </w:rPr>
      </w:pPr>
      <w:r w:rsidRPr="00FB5F75">
        <w:rPr>
          <w:sz w:val="20"/>
          <w:szCs w:val="20"/>
        </w:rPr>
        <w:t>A Finding is a deficiency in program performance based on a statutory, regulatory, or program requirement for which sanctions or other corrective actions are authorized</w:t>
      </w:r>
      <w:r w:rsidRPr="00FB5F75" w:rsidR="007A2AC8">
        <w:rPr>
          <w:sz w:val="20"/>
          <w:szCs w:val="20"/>
        </w:rPr>
        <w:t>.</w:t>
      </w:r>
    </w:p>
    <w:p w:rsidRPr="00FB5F75" w:rsidR="007A2AC8" w:rsidP="002B3D3D" w:rsidRDefault="007A2AC8" w14:paraId="7B77C1D1" w14:textId="218078AF">
      <w:pPr>
        <w:pStyle w:val="ListParagraph"/>
        <w:numPr>
          <w:ilvl w:val="0"/>
          <w:numId w:val="4"/>
        </w:numPr>
        <w:spacing w:after="0" w:line="240" w:lineRule="auto"/>
        <w:ind w:left="360"/>
        <w:rPr>
          <w:b/>
          <w:bCs/>
          <w:sz w:val="20"/>
          <w:szCs w:val="20"/>
        </w:rPr>
      </w:pPr>
      <w:r w:rsidRPr="00FB5F75">
        <w:rPr>
          <w:b/>
          <w:bCs/>
          <w:sz w:val="20"/>
          <w:szCs w:val="20"/>
          <w:u w:val="single"/>
        </w:rPr>
        <w:t>Concern</w:t>
      </w:r>
      <w:r w:rsidRPr="00FB5F75" w:rsidR="00003E45">
        <w:rPr>
          <w:b/>
          <w:bCs/>
          <w:sz w:val="20"/>
          <w:szCs w:val="20"/>
        </w:rPr>
        <w:t>:</w:t>
      </w:r>
    </w:p>
    <w:p w:rsidRPr="00FB5F75" w:rsidR="00003E45" w:rsidP="002B3D3D" w:rsidRDefault="00003E45" w14:paraId="711B8FC2" w14:textId="696526EF">
      <w:pPr>
        <w:pStyle w:val="ListParagraph"/>
        <w:spacing w:after="0" w:line="240" w:lineRule="auto"/>
        <w:ind w:left="360"/>
        <w:jc w:val="both"/>
        <w:rPr>
          <w:sz w:val="20"/>
          <w:szCs w:val="20"/>
        </w:rPr>
      </w:pPr>
      <w:r w:rsidRPr="00FB5F75">
        <w:rPr>
          <w:sz w:val="20"/>
          <w:szCs w:val="20"/>
        </w:rPr>
        <w:t xml:space="preserve">A Concern is a deficiency in program performance not based on a statutory, </w:t>
      </w:r>
      <w:proofErr w:type="gramStart"/>
      <w:r w:rsidRPr="00FB5F75">
        <w:rPr>
          <w:sz w:val="20"/>
          <w:szCs w:val="20"/>
        </w:rPr>
        <w:t>regulatory</w:t>
      </w:r>
      <w:proofErr w:type="gramEnd"/>
      <w:r w:rsidRPr="00FB5F75">
        <w:rPr>
          <w:sz w:val="20"/>
          <w:szCs w:val="20"/>
        </w:rPr>
        <w:t xml:space="preserve"> or other program requirement. Grantee issues a Concern about program design or operations, when upon review, the practice could, if not corrected, result in noncompliance with a statutory, regulatory, or program requirement</w:t>
      </w:r>
      <w:r w:rsidRPr="00FB5F75" w:rsidR="00C2063D">
        <w:rPr>
          <w:sz w:val="20"/>
          <w:szCs w:val="20"/>
        </w:rPr>
        <w:t xml:space="preserve"> (Finding)</w:t>
      </w:r>
    </w:p>
    <w:p w:rsidRPr="00FB5F75" w:rsidR="00C2063D" w:rsidP="002B3D3D" w:rsidRDefault="00C2063D" w14:paraId="69F8E3CA" w14:textId="24ABC239">
      <w:pPr>
        <w:pStyle w:val="ListParagraph"/>
        <w:numPr>
          <w:ilvl w:val="0"/>
          <w:numId w:val="4"/>
        </w:numPr>
        <w:spacing w:after="0" w:line="240" w:lineRule="auto"/>
        <w:ind w:left="360"/>
        <w:rPr>
          <w:b/>
          <w:bCs/>
          <w:sz w:val="20"/>
          <w:szCs w:val="20"/>
        </w:rPr>
      </w:pPr>
      <w:r w:rsidRPr="00FB5F75">
        <w:rPr>
          <w:b/>
          <w:bCs/>
          <w:sz w:val="20"/>
          <w:szCs w:val="20"/>
          <w:u w:val="single"/>
        </w:rPr>
        <w:t>Observation</w:t>
      </w:r>
      <w:r w:rsidRPr="00FB5F75">
        <w:rPr>
          <w:b/>
          <w:bCs/>
          <w:sz w:val="20"/>
          <w:szCs w:val="20"/>
        </w:rPr>
        <w:t>:</w:t>
      </w:r>
    </w:p>
    <w:p w:rsidRPr="00FB5F75" w:rsidR="00CB7573" w:rsidP="002B3D3D" w:rsidRDefault="00CB7573" w14:paraId="2C5C2007" w14:textId="30B3F307">
      <w:pPr>
        <w:pStyle w:val="ListParagraph"/>
        <w:spacing w:after="0" w:line="240" w:lineRule="auto"/>
        <w:ind w:left="360"/>
        <w:jc w:val="both"/>
        <w:rPr>
          <w:sz w:val="20"/>
          <w:szCs w:val="20"/>
        </w:rPr>
      </w:pPr>
      <w:r w:rsidRPr="00FB5F75">
        <w:rPr>
          <w:sz w:val="20"/>
          <w:szCs w:val="20"/>
        </w:rPr>
        <w:t>An Observation is</w:t>
      </w:r>
      <w:r w:rsidRPr="00FB5F75" w:rsidR="004675ED">
        <w:rPr>
          <w:sz w:val="20"/>
          <w:szCs w:val="20"/>
        </w:rPr>
        <w:t xml:space="preserve"> not</w:t>
      </w:r>
      <w:r w:rsidRPr="00FB5F75">
        <w:rPr>
          <w:sz w:val="20"/>
          <w:szCs w:val="20"/>
        </w:rPr>
        <w:t xml:space="preserve"> a deficiency in program performance </w:t>
      </w:r>
      <w:r w:rsidRPr="00FB5F75" w:rsidR="00905169">
        <w:rPr>
          <w:sz w:val="20"/>
          <w:szCs w:val="20"/>
        </w:rPr>
        <w:t xml:space="preserve">and is </w:t>
      </w:r>
      <w:r w:rsidRPr="00FB5F75">
        <w:rPr>
          <w:sz w:val="20"/>
          <w:szCs w:val="20"/>
        </w:rPr>
        <w:t xml:space="preserve">not based on a statutory, </w:t>
      </w:r>
      <w:proofErr w:type="gramStart"/>
      <w:r w:rsidRPr="00FB5F75">
        <w:rPr>
          <w:sz w:val="20"/>
          <w:szCs w:val="20"/>
        </w:rPr>
        <w:t>regulatory</w:t>
      </w:r>
      <w:proofErr w:type="gramEnd"/>
      <w:r w:rsidRPr="00FB5F75">
        <w:rPr>
          <w:sz w:val="20"/>
          <w:szCs w:val="20"/>
        </w:rPr>
        <w:t xml:space="preserve"> or other program requirement</w:t>
      </w:r>
      <w:r w:rsidRPr="00FB5F75" w:rsidR="00CB380E">
        <w:rPr>
          <w:sz w:val="20"/>
          <w:szCs w:val="20"/>
        </w:rPr>
        <w:t xml:space="preserve"> but merely a </w:t>
      </w:r>
      <w:r w:rsidRPr="00FB5F75" w:rsidR="006A7368">
        <w:rPr>
          <w:sz w:val="20"/>
          <w:szCs w:val="20"/>
        </w:rPr>
        <w:t>noti</w:t>
      </w:r>
      <w:r w:rsidRPr="00FB5F75" w:rsidR="006020A0">
        <w:rPr>
          <w:sz w:val="20"/>
          <w:szCs w:val="20"/>
        </w:rPr>
        <w:t xml:space="preserve">fication </w:t>
      </w:r>
      <w:r w:rsidRPr="00FB5F75" w:rsidR="00457306">
        <w:rPr>
          <w:sz w:val="20"/>
          <w:szCs w:val="20"/>
        </w:rPr>
        <w:t xml:space="preserve">in </w:t>
      </w:r>
      <w:r w:rsidRPr="00FB5F75" w:rsidR="0061023E">
        <w:rPr>
          <w:sz w:val="20"/>
          <w:szCs w:val="20"/>
        </w:rPr>
        <w:t>management</w:t>
      </w:r>
      <w:r w:rsidRPr="00FB5F75" w:rsidR="008851CF">
        <w:rPr>
          <w:sz w:val="20"/>
          <w:szCs w:val="20"/>
        </w:rPr>
        <w:t xml:space="preserve"> practice</w:t>
      </w:r>
      <w:r w:rsidRPr="00FB5F75" w:rsidR="00800499">
        <w:rPr>
          <w:sz w:val="20"/>
          <w:szCs w:val="20"/>
        </w:rPr>
        <w:t>s to raise awareness</w:t>
      </w:r>
      <w:r w:rsidRPr="00FB5F75" w:rsidR="0061023E">
        <w:rPr>
          <w:sz w:val="20"/>
          <w:szCs w:val="20"/>
        </w:rPr>
        <w:t>.</w:t>
      </w:r>
    </w:p>
    <w:p w:rsidRPr="002E3D8E" w:rsidR="0007141A" w:rsidP="0007141A" w:rsidRDefault="0007141A" w14:paraId="6A0763FE" w14:textId="573F5E2D">
      <w:pPr>
        <w:pStyle w:val="Heading1"/>
        <w:rPr>
          <w:b/>
          <w:bCs/>
          <w:color w:val="auto"/>
          <w:sz w:val="24"/>
          <w:szCs w:val="24"/>
          <w:u w:val="single"/>
        </w:rPr>
      </w:pPr>
      <w:r w:rsidRPr="002E3D8E">
        <w:rPr>
          <w:b/>
          <w:bCs/>
          <w:color w:val="auto"/>
          <w:sz w:val="24"/>
          <w:szCs w:val="24"/>
          <w:u w:val="single"/>
        </w:rPr>
        <w:t xml:space="preserve">Categories of </w:t>
      </w:r>
      <w:r w:rsidR="002E3D8E">
        <w:rPr>
          <w:b/>
          <w:bCs/>
          <w:color w:val="auto"/>
          <w:sz w:val="24"/>
          <w:szCs w:val="24"/>
          <w:u w:val="single"/>
        </w:rPr>
        <w:t>non</w:t>
      </w:r>
      <w:r w:rsidR="004E1C0F">
        <w:rPr>
          <w:b/>
          <w:bCs/>
          <w:color w:val="auto"/>
          <w:sz w:val="24"/>
          <w:szCs w:val="24"/>
          <w:u w:val="single"/>
        </w:rPr>
        <w:t>compliance</w:t>
      </w:r>
      <w:r w:rsidRPr="002E3D8E">
        <w:rPr>
          <w:b/>
          <w:bCs/>
          <w:color w:val="auto"/>
          <w:sz w:val="24"/>
          <w:szCs w:val="24"/>
          <w:u w:val="single"/>
        </w:rPr>
        <w:t>.</w:t>
      </w:r>
    </w:p>
    <w:p w:rsidRPr="00FB5F75" w:rsidR="0007141A" w:rsidP="0007141A" w:rsidRDefault="0007141A" w14:paraId="38940468" w14:textId="77777777">
      <w:pPr>
        <w:spacing w:after="0" w:line="240" w:lineRule="auto"/>
        <w:rPr>
          <w:sz w:val="20"/>
          <w:szCs w:val="20"/>
        </w:rPr>
      </w:pPr>
    </w:p>
    <w:tbl>
      <w:tblPr>
        <w:tblW w:w="9360" w:type="dxa"/>
        <w:tblInd w:w="-5" w:type="dxa"/>
        <w:tblLook w:val="04A0" w:firstRow="1" w:lastRow="0" w:firstColumn="1" w:lastColumn="0" w:noHBand="0" w:noVBand="1"/>
      </w:tblPr>
      <w:tblGrid>
        <w:gridCol w:w="1947"/>
        <w:gridCol w:w="5433"/>
        <w:gridCol w:w="1980"/>
      </w:tblGrid>
      <w:tr w:rsidRPr="00FB5F75" w:rsidR="0007141A" w:rsidTr="00840A25" w14:paraId="6CAE012B" w14:textId="77777777">
        <w:trPr>
          <w:trHeight w:val="266"/>
        </w:trPr>
        <w:tc>
          <w:tcPr>
            <w:tcW w:w="1947" w:type="dxa"/>
            <w:tcBorders>
              <w:top w:val="single" w:color="auto" w:sz="4" w:space="0"/>
              <w:left w:val="single" w:color="BFBFBF" w:sz="4" w:space="0"/>
              <w:bottom w:val="single" w:color="BFBFBF" w:sz="4" w:space="0"/>
              <w:right w:val="single" w:color="BFBFBF" w:sz="4" w:space="0"/>
            </w:tcBorders>
            <w:shd w:val="clear" w:color="auto" w:fill="D5DCE4" w:themeFill="text2" w:themeFillTint="33"/>
            <w:noWrap/>
            <w:hideMark/>
          </w:tcPr>
          <w:p w:rsidRPr="00FB5F75" w:rsidR="0007141A" w:rsidP="00840A25" w:rsidRDefault="0007141A" w14:paraId="2179CA4C" w14:textId="77777777">
            <w:pPr>
              <w:spacing w:after="0" w:line="240" w:lineRule="auto"/>
              <w:rPr>
                <w:rFonts w:ascii="Arial Narrow" w:hAnsi="Arial Narrow" w:eastAsia="Times New Roman" w:cs="Times New Roman"/>
                <w:b/>
                <w:bCs/>
                <w:kern w:val="0"/>
                <w:sz w:val="20"/>
                <w:szCs w:val="20"/>
                <w14:ligatures w14:val="none"/>
              </w:rPr>
            </w:pPr>
            <w:r w:rsidRPr="00FB5F75">
              <w:rPr>
                <w:rFonts w:ascii="Arial Narrow" w:hAnsi="Arial Narrow" w:eastAsia="Times New Roman" w:cs="Times New Roman"/>
                <w:b/>
                <w:bCs/>
                <w:kern w:val="0"/>
                <w:sz w:val="20"/>
                <w:szCs w:val="20"/>
                <w14:ligatures w14:val="none"/>
              </w:rPr>
              <w:t>Category Title</w:t>
            </w:r>
          </w:p>
        </w:tc>
        <w:tc>
          <w:tcPr>
            <w:tcW w:w="5433" w:type="dxa"/>
            <w:tcBorders>
              <w:top w:val="single" w:color="auto" w:sz="4" w:space="0"/>
              <w:left w:val="nil"/>
              <w:bottom w:val="single" w:color="BFBFBF" w:sz="4" w:space="0"/>
              <w:right w:val="single" w:color="BFBFBF" w:sz="4" w:space="0"/>
            </w:tcBorders>
            <w:shd w:val="clear" w:color="auto" w:fill="D5DCE4" w:themeFill="text2" w:themeFillTint="33"/>
            <w:noWrap/>
            <w:hideMark/>
          </w:tcPr>
          <w:p w:rsidRPr="00FB5F75" w:rsidR="0007141A" w:rsidP="00840A25" w:rsidRDefault="0007141A" w14:paraId="58528825" w14:textId="77777777">
            <w:pPr>
              <w:spacing w:after="0" w:line="240" w:lineRule="auto"/>
              <w:rPr>
                <w:rFonts w:ascii="Arial Narrow" w:hAnsi="Arial Narrow" w:eastAsia="Times New Roman" w:cs="Times New Roman"/>
                <w:b/>
                <w:bCs/>
                <w:kern w:val="0"/>
                <w:sz w:val="20"/>
                <w:szCs w:val="20"/>
                <w14:ligatures w14:val="none"/>
              </w:rPr>
            </w:pPr>
            <w:r w:rsidRPr="00FB5F75">
              <w:rPr>
                <w:rFonts w:ascii="Arial Narrow" w:hAnsi="Arial Narrow" w:eastAsia="Times New Roman" w:cs="Times New Roman"/>
                <w:b/>
                <w:bCs/>
                <w:kern w:val="0"/>
                <w:sz w:val="20"/>
                <w:szCs w:val="20"/>
                <w14:ligatures w14:val="none"/>
              </w:rPr>
              <w:t>Category-Internal Control Findings</w:t>
            </w:r>
          </w:p>
        </w:tc>
        <w:tc>
          <w:tcPr>
            <w:tcW w:w="1980" w:type="dxa"/>
            <w:tcBorders>
              <w:top w:val="single" w:color="auto" w:sz="4" w:space="0"/>
              <w:left w:val="nil"/>
              <w:bottom w:val="single" w:color="BFBFBF" w:sz="4" w:space="0"/>
              <w:right w:val="single" w:color="BFBFBF" w:sz="4" w:space="0"/>
            </w:tcBorders>
            <w:shd w:val="clear" w:color="auto" w:fill="D5DCE4" w:themeFill="text2" w:themeFillTint="33"/>
            <w:hideMark/>
          </w:tcPr>
          <w:p w:rsidRPr="00FB5F75" w:rsidR="0007141A" w:rsidP="00840A25" w:rsidRDefault="0007141A" w14:paraId="713DD8AB"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 Regulation Source</w:t>
            </w:r>
          </w:p>
        </w:tc>
      </w:tr>
      <w:tr w:rsidRPr="00FB5F75" w:rsidR="0007141A" w:rsidTr="00840A25" w14:paraId="56DAA4BC" w14:textId="77777777">
        <w:trPr>
          <w:trHeight w:val="908"/>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hideMark/>
          </w:tcPr>
          <w:p w:rsidRPr="00FB5F75" w:rsidR="0007141A" w:rsidP="00840A25" w:rsidRDefault="0007141A" w14:paraId="6A6FC1EF"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Internal controls</w:t>
            </w:r>
          </w:p>
        </w:tc>
        <w:tc>
          <w:tcPr>
            <w:tcW w:w="5433" w:type="dxa"/>
            <w:tcBorders>
              <w:top w:val="single" w:color="auto" w:sz="4" w:space="0"/>
              <w:left w:val="nil"/>
              <w:bottom w:val="single" w:color="auto" w:sz="4" w:space="0"/>
              <w:right w:val="single" w:color="BFBFBF" w:sz="4" w:space="0"/>
            </w:tcBorders>
            <w:shd w:val="clear" w:color="auto" w:fill="auto"/>
            <w:hideMark/>
          </w:tcPr>
          <w:p w:rsidRPr="00FB5F75" w:rsidR="0007141A" w:rsidP="00840A25" w:rsidRDefault="0007141A" w14:paraId="5C6FDCA4"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Failure to follow internal controls/Inadequate Internal controls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hideMark/>
          </w:tcPr>
          <w:p w:rsidRPr="00FB5F75" w:rsidR="0007141A" w:rsidP="00840A25" w:rsidRDefault="0007141A" w14:paraId="4A707238"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6FBD318"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1CEEAAB3"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0B1745CF"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Inadequate written policies and procedures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16DDD332"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41BE748"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15DE26D3"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06841DBC"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signature/approval on bank reconciliation</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157567CD"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4361F6AD"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4D849DC1"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3A4E4D4"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signature/approval on time record(s)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17EB928D"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44C259EA"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20412151"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DA7EB6D"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signature/approval on invoice(s)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2DFFADFC"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6FDBFA3F"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6F0036C7"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6426926"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Inadequate record retention</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6CC8D68E"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7C5A79E0"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651C3C0B"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07386743"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Grants/Program Management Policy and procedures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19DE3315"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6055DC74"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360290FE"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1B813B9D"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Failure to follow or inadequate procurement policy</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47D8B99F"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4559482B"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tcPr>
          <w:p w:rsidRPr="00FB5F75" w:rsidR="0007141A" w:rsidP="00840A25" w:rsidRDefault="0007141A" w14:paraId="58F74A38"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Personnel costs</w:t>
            </w: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21E73EC1"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insufficient documentation of personnel costs allocated to program</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3F5F47FB"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1B089BDB"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0D326740"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61AFBC9E"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insufficient documentation of personnel costs allocated to program - No allocation on time records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2DE3E658"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6B9F5C5"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344FEAE3"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8F2E77E"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Overbilling of personnel costs allocated to program</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19A7D598"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375A0D6E"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tcPr>
          <w:p w:rsidRPr="00FB5F75" w:rsidR="0007141A" w:rsidP="00840A25" w:rsidRDefault="0007141A" w14:paraId="37166055"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Non personnel costs</w:t>
            </w: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07A6794"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insufficient documentation of non-personnel costs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22E49CA4"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7768103"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14C2043D"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2295260"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Unallowable non personnel costs billed</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364A3240"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44D48EF"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78404008"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53E55AFB"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Overbilling of non-personnel cost</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20E03490"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609A9726"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33F3E3BF"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2E74F7F2"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Costs allocated to program incurred outside the contract period</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5858C56C"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43E8EDD2"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25A5819F"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596A6B0E"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insufficient procurement bid documentation</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6299DE10"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48B9B042"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59F85B3E"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27D13E14"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Estimated not actual costs billed</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214755F7"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14E4F26B"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tcPr>
          <w:p w:rsidRPr="00FB5F75" w:rsidR="0007141A" w:rsidP="00840A25" w:rsidRDefault="0007141A" w14:paraId="16ABB16A"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Cost Allocation Plan (CAP)</w:t>
            </w: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53C1F664"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insufficient documentation of cost allocation methodology</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53162DB9"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25195ADC"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tcPr>
          <w:p w:rsidRPr="00FB5F75" w:rsidR="0007141A" w:rsidP="00840A25" w:rsidRDefault="0007141A" w14:paraId="2E34AF0A"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Match</w:t>
            </w: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362BE701"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Insufficient required match</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4D49D912"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431A4C9"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58BF8329"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4617A28C"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inadequate match documentation</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13C3A8DB"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7F51C217"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0F8B9AF3"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79C40D47"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Inadequate match tracking</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713E550D"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72940E67"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tcPr>
          <w:p w:rsidRPr="00FB5F75" w:rsidR="0007141A" w:rsidP="00840A25" w:rsidRDefault="0007141A" w14:paraId="7E8FDB9F"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Compliance</w:t>
            </w: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6FE958EC"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Not in compliance with required contractual provisions</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660540CE"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A83E7F2"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D5DCE4" w:themeFill="text2" w:themeFillTint="33"/>
            <w:noWrap/>
          </w:tcPr>
          <w:p w:rsidRPr="00FB5F75" w:rsidR="0007141A" w:rsidP="00840A25" w:rsidRDefault="0007141A" w14:paraId="34F97104"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Financial Management</w:t>
            </w: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607179FF"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financial statements and nonperformance of annual independent financial statement audit – Single Audit</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7C6219C7"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57D2F289"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1166041C"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11B86DCE" w14:textId="77777777">
            <w:pPr>
              <w:spacing w:after="0" w:line="240" w:lineRule="auto"/>
              <w:rPr>
                <w:rFonts w:ascii="Arial Narrow" w:hAnsi="Arial Narrow" w:eastAsia="Times New Roman" w:cs="Times New Roman"/>
                <w:kern w:val="0"/>
                <w:sz w:val="20"/>
                <w:szCs w:val="20"/>
                <w14:ligatures w14:val="none"/>
              </w:rPr>
            </w:pPr>
            <w:proofErr w:type="spellStart"/>
            <w:r w:rsidRPr="00FB5F75">
              <w:rPr>
                <w:rFonts w:ascii="Arial Narrow" w:hAnsi="Arial Narrow" w:eastAsia="Times New Roman" w:cs="Times New Roman"/>
                <w:kern w:val="0"/>
                <w:sz w:val="20"/>
                <w:szCs w:val="20"/>
                <w14:ligatures w14:val="none"/>
              </w:rPr>
              <w:t>Under utilization</w:t>
            </w:r>
            <w:proofErr w:type="spellEnd"/>
            <w:r w:rsidRPr="00FB5F75">
              <w:rPr>
                <w:rFonts w:ascii="Arial Narrow" w:hAnsi="Arial Narrow" w:eastAsia="Times New Roman" w:cs="Times New Roman"/>
                <w:kern w:val="0"/>
                <w:sz w:val="20"/>
                <w:szCs w:val="20"/>
                <w14:ligatures w14:val="none"/>
              </w:rPr>
              <w:t xml:space="preserve"> of program funding</w:t>
            </w:r>
          </w:p>
          <w:p w:rsidRPr="00FB5F75" w:rsidR="0007141A" w:rsidP="00840A25" w:rsidRDefault="0007141A" w14:paraId="6B594430" w14:textId="77777777">
            <w:pPr>
              <w:spacing w:after="0" w:line="240" w:lineRule="auto"/>
              <w:rPr>
                <w:rFonts w:ascii="Arial Narrow" w:hAnsi="Arial Narrow" w:eastAsia="Times New Roman" w:cs="Times New Roman"/>
                <w:kern w:val="0"/>
                <w:sz w:val="20"/>
                <w:szCs w:val="20"/>
                <w14:ligatures w14:val="none"/>
              </w:rPr>
            </w:pP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5A99C2CC"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07742514" w14:textId="77777777">
        <w:trPr>
          <w:trHeight w:val="512"/>
        </w:trPr>
        <w:tc>
          <w:tcPr>
            <w:tcW w:w="1947" w:type="dxa"/>
            <w:tcBorders>
              <w:top w:val="single" w:color="auto" w:sz="4" w:space="0"/>
              <w:left w:val="single" w:color="BFBFBF" w:sz="4" w:space="0"/>
              <w:bottom w:val="single" w:color="auto" w:sz="4" w:space="0"/>
              <w:right w:val="single" w:color="BFBFBF" w:sz="4" w:space="0"/>
            </w:tcBorders>
            <w:shd w:val="clear" w:color="auto" w:fill="FFFFFF" w:themeFill="background1"/>
            <w:noWrap/>
          </w:tcPr>
          <w:p w:rsidRPr="00FB5F75" w:rsidR="0007141A" w:rsidP="00840A25" w:rsidRDefault="0007141A" w14:paraId="52AF5739"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auto" w:sz="4" w:space="0"/>
              <w:right w:val="single" w:color="BFBFBF" w:sz="4" w:space="0"/>
            </w:tcBorders>
            <w:shd w:val="clear" w:color="auto" w:fill="auto"/>
          </w:tcPr>
          <w:p w:rsidRPr="00FB5F75" w:rsidR="0007141A" w:rsidP="00840A25" w:rsidRDefault="0007141A" w14:paraId="2BB1FD4D"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Lack of or inadequate Subcontractor monitoring</w:t>
            </w:r>
          </w:p>
        </w:tc>
        <w:tc>
          <w:tcPr>
            <w:tcW w:w="1980" w:type="dxa"/>
            <w:tcBorders>
              <w:top w:val="single" w:color="auto" w:sz="4" w:space="0"/>
              <w:left w:val="nil"/>
              <w:bottom w:val="single" w:color="auto" w:sz="4" w:space="0"/>
              <w:right w:val="single" w:color="BFBFBF" w:sz="4" w:space="0"/>
            </w:tcBorders>
            <w:shd w:val="clear" w:color="auto" w:fill="FFF2CC" w:themeFill="accent4" w:themeFillTint="33"/>
          </w:tcPr>
          <w:p w:rsidRPr="00FB5F75" w:rsidR="0007141A" w:rsidP="00840A25" w:rsidRDefault="0007141A" w14:paraId="664F3369" w14:textId="77777777">
            <w:pPr>
              <w:spacing w:after="0" w:line="240" w:lineRule="auto"/>
              <w:rPr>
                <w:rFonts w:ascii="Arial Narrow" w:hAnsi="Arial Narrow" w:eastAsia="Times New Roman" w:cs="Times New Roman"/>
                <w:kern w:val="0"/>
                <w:sz w:val="20"/>
                <w:szCs w:val="20"/>
                <w14:ligatures w14:val="none"/>
              </w:rPr>
            </w:pPr>
          </w:p>
        </w:tc>
      </w:tr>
      <w:tr w:rsidRPr="00FB5F75" w:rsidR="0007141A" w:rsidTr="00840A25" w14:paraId="77243848" w14:textId="77777777">
        <w:trPr>
          <w:trHeight w:val="512"/>
        </w:trPr>
        <w:tc>
          <w:tcPr>
            <w:tcW w:w="1947" w:type="dxa"/>
            <w:tcBorders>
              <w:top w:val="single" w:color="auto" w:sz="4" w:space="0"/>
              <w:left w:val="single" w:color="BFBFBF" w:sz="4" w:space="0"/>
              <w:bottom w:val="single" w:color="BFBFBF" w:sz="4" w:space="0"/>
              <w:right w:val="single" w:color="BFBFBF" w:sz="4" w:space="0"/>
            </w:tcBorders>
            <w:shd w:val="clear" w:color="auto" w:fill="FFFFFF" w:themeFill="background1"/>
            <w:noWrap/>
          </w:tcPr>
          <w:p w:rsidRPr="00FB5F75" w:rsidR="0007141A" w:rsidP="00840A25" w:rsidRDefault="0007141A" w14:paraId="0DBF3341" w14:textId="77777777">
            <w:pPr>
              <w:spacing w:after="0" w:line="240" w:lineRule="auto"/>
              <w:rPr>
                <w:rFonts w:ascii="Arial Narrow" w:hAnsi="Arial Narrow" w:eastAsia="Times New Roman" w:cs="Times New Roman"/>
                <w:kern w:val="0"/>
                <w:sz w:val="20"/>
                <w:szCs w:val="20"/>
                <w14:ligatures w14:val="none"/>
              </w:rPr>
            </w:pPr>
          </w:p>
        </w:tc>
        <w:tc>
          <w:tcPr>
            <w:tcW w:w="5433" w:type="dxa"/>
            <w:tcBorders>
              <w:top w:val="single" w:color="auto" w:sz="4" w:space="0"/>
              <w:left w:val="nil"/>
              <w:bottom w:val="single" w:color="BFBFBF" w:sz="4" w:space="0"/>
              <w:right w:val="single" w:color="BFBFBF" w:sz="4" w:space="0"/>
            </w:tcBorders>
            <w:shd w:val="clear" w:color="auto" w:fill="auto"/>
          </w:tcPr>
          <w:p w:rsidRPr="00FB5F75" w:rsidR="0007141A" w:rsidP="00840A25" w:rsidRDefault="0007141A" w14:paraId="7B1E06EC" w14:textId="77777777">
            <w:pPr>
              <w:spacing w:after="0" w:line="240" w:lineRule="auto"/>
              <w:rPr>
                <w:rFonts w:ascii="Arial Narrow" w:hAnsi="Arial Narrow" w:eastAsia="Times New Roman" w:cs="Times New Roman"/>
                <w:kern w:val="0"/>
                <w:sz w:val="20"/>
                <w:szCs w:val="20"/>
                <w14:ligatures w14:val="none"/>
              </w:rPr>
            </w:pPr>
            <w:r w:rsidRPr="00FB5F75">
              <w:rPr>
                <w:rFonts w:ascii="Arial Narrow" w:hAnsi="Arial Narrow" w:eastAsia="Times New Roman" w:cs="Times New Roman"/>
                <w:kern w:val="0"/>
                <w:sz w:val="20"/>
                <w:szCs w:val="20"/>
                <w14:ligatures w14:val="none"/>
              </w:rPr>
              <w:t>Financial system not in compliance</w:t>
            </w:r>
          </w:p>
        </w:tc>
        <w:tc>
          <w:tcPr>
            <w:tcW w:w="1980" w:type="dxa"/>
            <w:tcBorders>
              <w:top w:val="single" w:color="auto" w:sz="4" w:space="0"/>
              <w:left w:val="nil"/>
              <w:bottom w:val="single" w:color="BFBFBF" w:sz="4" w:space="0"/>
              <w:right w:val="single" w:color="BFBFBF" w:sz="4" w:space="0"/>
            </w:tcBorders>
            <w:shd w:val="clear" w:color="auto" w:fill="FFF2CC" w:themeFill="accent4" w:themeFillTint="33"/>
          </w:tcPr>
          <w:p w:rsidRPr="00FB5F75" w:rsidR="0007141A" w:rsidP="00840A25" w:rsidRDefault="0007141A" w14:paraId="49FC826C" w14:textId="77777777">
            <w:pPr>
              <w:spacing w:after="0" w:line="240" w:lineRule="auto"/>
              <w:rPr>
                <w:rFonts w:ascii="Arial Narrow" w:hAnsi="Arial Narrow" w:eastAsia="Times New Roman" w:cs="Times New Roman"/>
                <w:kern w:val="0"/>
                <w:sz w:val="20"/>
                <w:szCs w:val="20"/>
                <w14:ligatures w14:val="none"/>
              </w:rPr>
            </w:pPr>
          </w:p>
        </w:tc>
      </w:tr>
    </w:tbl>
    <w:p w:rsidRPr="00FB5F75" w:rsidR="0007141A" w:rsidP="0007141A" w:rsidRDefault="0007141A" w14:paraId="43901432" w14:textId="77777777">
      <w:pPr>
        <w:spacing w:after="0" w:line="240" w:lineRule="auto"/>
        <w:rPr>
          <w:sz w:val="20"/>
          <w:szCs w:val="20"/>
        </w:rPr>
      </w:pPr>
    </w:p>
    <w:p w:rsidR="0007141A" w:rsidP="00980A76" w:rsidRDefault="0007141A" w14:paraId="189240F6" w14:textId="77777777">
      <w:pPr>
        <w:spacing w:after="0" w:line="240" w:lineRule="auto"/>
        <w:jc w:val="both"/>
        <w:rPr>
          <w:sz w:val="20"/>
          <w:szCs w:val="20"/>
        </w:rPr>
      </w:pPr>
    </w:p>
    <w:p w:rsidRPr="00FB5F75" w:rsidR="0007141A" w:rsidP="00980A76" w:rsidRDefault="0007141A" w14:paraId="1B56BFC3" w14:textId="77777777">
      <w:pPr>
        <w:spacing w:after="0" w:line="240" w:lineRule="auto"/>
        <w:jc w:val="both"/>
        <w:rPr>
          <w:sz w:val="20"/>
          <w:szCs w:val="20"/>
        </w:rPr>
      </w:pPr>
    </w:p>
    <w:p w:rsidRPr="00FB5F75" w:rsidR="006305E3" w:rsidP="00693A12" w:rsidRDefault="00772C95" w14:paraId="13BA952B" w14:textId="16B2C63E">
      <w:pPr>
        <w:pStyle w:val="Heading2"/>
        <w:rPr>
          <w:sz w:val="22"/>
          <w:szCs w:val="22"/>
        </w:rPr>
      </w:pPr>
      <w:bookmarkStart w:name="_Standards:" w:id="8"/>
      <w:bookmarkEnd w:id="8"/>
      <w:r w:rsidRPr="000B7D22">
        <w:rPr>
          <w:sz w:val="22"/>
          <w:szCs w:val="22"/>
          <w:u w:val="single"/>
        </w:rPr>
        <w:t>Standards</w:t>
      </w:r>
      <w:r w:rsidRPr="00FB5F75" w:rsidR="006305E3">
        <w:rPr>
          <w:sz w:val="22"/>
          <w:szCs w:val="22"/>
        </w:rPr>
        <w:t xml:space="preserve">: </w:t>
      </w:r>
    </w:p>
    <w:p w:rsidRPr="00FB5F75" w:rsidR="003A69A3" w:rsidP="00980A76" w:rsidRDefault="00996DB9" w14:paraId="5A2EF06E" w14:textId="30BD8437">
      <w:pPr>
        <w:pStyle w:val="ListParagraph"/>
        <w:spacing w:after="0" w:line="240" w:lineRule="auto"/>
        <w:ind w:left="360"/>
        <w:jc w:val="both"/>
        <w:rPr>
          <w:b/>
          <w:bCs/>
          <w:sz w:val="20"/>
          <w:szCs w:val="20"/>
        </w:rPr>
      </w:pPr>
      <w:r w:rsidRPr="00FB5F75">
        <w:rPr>
          <w:sz w:val="20"/>
          <w:szCs w:val="20"/>
        </w:rPr>
        <w:t xml:space="preserve">EOHLC </w:t>
      </w:r>
      <w:r w:rsidRPr="00FB5F75" w:rsidR="00A334A7">
        <w:rPr>
          <w:sz w:val="20"/>
          <w:szCs w:val="20"/>
        </w:rPr>
        <w:t xml:space="preserve">and its authorized representatives </w:t>
      </w:r>
      <w:r w:rsidRPr="00FB5F75" w:rsidR="00305A2A">
        <w:rPr>
          <w:sz w:val="20"/>
          <w:szCs w:val="20"/>
        </w:rPr>
        <w:t xml:space="preserve">must have the right of access to any documents, papers, or other records of the Subrecipient which are pertinent to the Federal award, </w:t>
      </w:r>
      <w:proofErr w:type="gramStart"/>
      <w:r w:rsidRPr="00FB5F75" w:rsidR="00305A2A">
        <w:rPr>
          <w:sz w:val="20"/>
          <w:szCs w:val="20"/>
        </w:rPr>
        <w:t>in order to</w:t>
      </w:r>
      <w:proofErr w:type="gramEnd"/>
      <w:r w:rsidRPr="00FB5F75" w:rsidR="00305A2A">
        <w:rPr>
          <w:sz w:val="20"/>
          <w:szCs w:val="20"/>
        </w:rPr>
        <w:t xml:space="preserve"> make audits, examinations, excerpts, and transcripts. The right also includes timely and reasonable access to the </w:t>
      </w:r>
      <w:r w:rsidRPr="00FB5F75" w:rsidR="00072F44">
        <w:rPr>
          <w:sz w:val="20"/>
          <w:szCs w:val="20"/>
        </w:rPr>
        <w:t>Subrecipient’s</w:t>
      </w:r>
      <w:r w:rsidRPr="00FB5F75" w:rsidR="00305A2A">
        <w:rPr>
          <w:sz w:val="20"/>
          <w:szCs w:val="20"/>
        </w:rPr>
        <w:t xml:space="preserve"> personnel for the purpose of interview and discussion related to such documents.</w:t>
      </w:r>
    </w:p>
    <w:p w:rsidR="00410A73" w:rsidP="00980A76" w:rsidRDefault="00410A73" w14:paraId="178E912C" w14:textId="77777777">
      <w:pPr>
        <w:spacing w:after="0" w:line="240" w:lineRule="auto"/>
        <w:jc w:val="both"/>
        <w:rPr>
          <w:b/>
          <w:bCs/>
          <w:sz w:val="20"/>
          <w:szCs w:val="20"/>
        </w:rPr>
      </w:pPr>
    </w:p>
    <w:p w:rsidRPr="00FB5F75" w:rsidR="00455EC0" w:rsidP="00455EC0" w:rsidRDefault="00455EC0" w14:paraId="35C19F88" w14:textId="07E5B479">
      <w:pPr>
        <w:spacing w:after="0" w:line="240" w:lineRule="auto"/>
        <w:jc w:val="both"/>
        <w:rPr>
          <w:sz w:val="24"/>
          <w:szCs w:val="24"/>
        </w:rPr>
      </w:pPr>
      <w:r w:rsidRPr="00295879">
        <w:rPr>
          <w:sz w:val="24"/>
          <w:szCs w:val="24"/>
          <w:u w:val="single"/>
        </w:rPr>
        <w:t>Supporting documentation</w:t>
      </w:r>
      <w:r w:rsidRPr="00295879" w:rsidR="00295879">
        <w:rPr>
          <w:sz w:val="24"/>
          <w:szCs w:val="24"/>
          <w:u w:val="single"/>
        </w:rPr>
        <w:t xml:space="preserve"> standards</w:t>
      </w:r>
      <w:r w:rsidRPr="00FB5F75">
        <w:rPr>
          <w:sz w:val="24"/>
          <w:szCs w:val="24"/>
        </w:rPr>
        <w:t xml:space="preserve">. </w:t>
      </w:r>
    </w:p>
    <w:p w:rsidRPr="00FB5F75" w:rsidR="00455EC0" w:rsidP="00455EC0" w:rsidRDefault="00455EC0" w14:paraId="6011FDCB" w14:textId="77777777">
      <w:pPr>
        <w:spacing w:after="0" w:line="240" w:lineRule="auto"/>
        <w:jc w:val="both"/>
        <w:rPr>
          <w:sz w:val="20"/>
          <w:szCs w:val="20"/>
        </w:rPr>
      </w:pPr>
    </w:p>
    <w:tbl>
      <w:tblPr>
        <w:tblStyle w:val="TableGrid"/>
        <w:tblW w:w="0" w:type="auto"/>
        <w:tblLook w:val="04A0" w:firstRow="1" w:lastRow="0" w:firstColumn="1" w:lastColumn="0" w:noHBand="0" w:noVBand="1"/>
      </w:tblPr>
      <w:tblGrid>
        <w:gridCol w:w="2882"/>
        <w:gridCol w:w="2800"/>
        <w:gridCol w:w="1834"/>
        <w:gridCol w:w="1834"/>
      </w:tblGrid>
      <w:tr w:rsidRPr="00FB5F75" w:rsidR="00455EC0" w:rsidTr="00840A25" w14:paraId="202707E4" w14:textId="77777777">
        <w:tc>
          <w:tcPr>
            <w:tcW w:w="2882" w:type="dxa"/>
            <w:shd w:val="clear" w:color="auto" w:fill="D5DCE4" w:themeFill="text2" w:themeFillTint="33"/>
          </w:tcPr>
          <w:p w:rsidRPr="006969F9" w:rsidR="00455EC0" w:rsidP="00840A25" w:rsidRDefault="00455EC0" w14:paraId="2D424956" w14:textId="77777777">
            <w:pPr>
              <w:jc w:val="center"/>
              <w:rPr>
                <w:b/>
                <w:bCs/>
                <w:sz w:val="20"/>
                <w:szCs w:val="20"/>
              </w:rPr>
            </w:pPr>
            <w:r w:rsidRPr="006969F9">
              <w:rPr>
                <w:b/>
                <w:bCs/>
                <w:sz w:val="20"/>
                <w:szCs w:val="20"/>
              </w:rPr>
              <w:t>PAYROLL</w:t>
            </w:r>
          </w:p>
        </w:tc>
        <w:tc>
          <w:tcPr>
            <w:tcW w:w="2800" w:type="dxa"/>
            <w:shd w:val="clear" w:color="auto" w:fill="D5DCE4" w:themeFill="text2" w:themeFillTint="33"/>
          </w:tcPr>
          <w:p w:rsidRPr="006969F9" w:rsidR="00455EC0" w:rsidP="00840A25" w:rsidRDefault="00455EC0" w14:paraId="630433FE" w14:textId="77777777">
            <w:pPr>
              <w:jc w:val="center"/>
              <w:rPr>
                <w:b/>
                <w:bCs/>
                <w:sz w:val="20"/>
                <w:szCs w:val="20"/>
              </w:rPr>
            </w:pPr>
            <w:r w:rsidRPr="006969F9">
              <w:rPr>
                <w:b/>
                <w:bCs/>
                <w:sz w:val="20"/>
                <w:szCs w:val="20"/>
              </w:rPr>
              <w:t>NON-PAYROLL</w:t>
            </w:r>
          </w:p>
        </w:tc>
        <w:tc>
          <w:tcPr>
            <w:tcW w:w="1834" w:type="dxa"/>
            <w:shd w:val="clear" w:color="auto" w:fill="D5DCE4" w:themeFill="text2" w:themeFillTint="33"/>
          </w:tcPr>
          <w:p w:rsidRPr="006969F9" w:rsidR="00455EC0" w:rsidP="00840A25" w:rsidRDefault="00455EC0" w14:paraId="334B899D" w14:textId="77777777">
            <w:pPr>
              <w:jc w:val="center"/>
              <w:rPr>
                <w:b/>
                <w:bCs/>
                <w:sz w:val="20"/>
                <w:szCs w:val="20"/>
              </w:rPr>
            </w:pPr>
            <w:r w:rsidRPr="006969F9">
              <w:rPr>
                <w:b/>
                <w:bCs/>
                <w:sz w:val="20"/>
                <w:szCs w:val="20"/>
              </w:rPr>
              <w:t xml:space="preserve">Clients </w:t>
            </w:r>
          </w:p>
        </w:tc>
        <w:tc>
          <w:tcPr>
            <w:tcW w:w="1834" w:type="dxa"/>
            <w:shd w:val="clear" w:color="auto" w:fill="D5DCE4" w:themeFill="text2" w:themeFillTint="33"/>
          </w:tcPr>
          <w:p w:rsidRPr="006969F9" w:rsidR="00455EC0" w:rsidP="00840A25" w:rsidRDefault="00455EC0" w14:paraId="73EB2CEA" w14:textId="77777777">
            <w:pPr>
              <w:jc w:val="center"/>
              <w:rPr>
                <w:b/>
                <w:bCs/>
                <w:sz w:val="20"/>
                <w:szCs w:val="20"/>
              </w:rPr>
            </w:pPr>
            <w:r w:rsidRPr="006969F9">
              <w:rPr>
                <w:b/>
                <w:bCs/>
                <w:sz w:val="20"/>
                <w:szCs w:val="20"/>
              </w:rPr>
              <w:t>Sites</w:t>
            </w:r>
          </w:p>
        </w:tc>
      </w:tr>
      <w:tr w:rsidRPr="00FB5F75" w:rsidR="00455EC0" w:rsidTr="00840A25" w14:paraId="6B8E49A3" w14:textId="77777777">
        <w:tc>
          <w:tcPr>
            <w:tcW w:w="2882" w:type="dxa"/>
            <w:shd w:val="clear" w:color="auto" w:fill="FFF2CC" w:themeFill="accent4" w:themeFillTint="33"/>
          </w:tcPr>
          <w:p w:rsidRPr="00FB5F75" w:rsidR="00455EC0" w:rsidP="00840A25" w:rsidRDefault="00455EC0" w14:paraId="14668B79" w14:textId="77777777">
            <w:pPr>
              <w:jc w:val="center"/>
              <w:rPr>
                <w:sz w:val="20"/>
                <w:szCs w:val="20"/>
              </w:rPr>
            </w:pPr>
            <w:r w:rsidRPr="00FB5F75">
              <w:rPr>
                <w:sz w:val="20"/>
                <w:szCs w:val="20"/>
              </w:rPr>
              <w:t>Payroll Registers</w:t>
            </w:r>
          </w:p>
        </w:tc>
        <w:tc>
          <w:tcPr>
            <w:tcW w:w="2800" w:type="dxa"/>
            <w:shd w:val="clear" w:color="auto" w:fill="FFF2CC" w:themeFill="accent4" w:themeFillTint="33"/>
          </w:tcPr>
          <w:p w:rsidRPr="00FB5F75" w:rsidR="00455EC0" w:rsidP="00840A25" w:rsidRDefault="00455EC0" w14:paraId="3D016C09" w14:textId="77777777">
            <w:pPr>
              <w:jc w:val="center"/>
              <w:rPr>
                <w:sz w:val="20"/>
                <w:szCs w:val="20"/>
              </w:rPr>
            </w:pPr>
            <w:r w:rsidRPr="00FB5F75">
              <w:rPr>
                <w:sz w:val="20"/>
                <w:szCs w:val="20"/>
              </w:rPr>
              <w:t>Vendor Invoices</w:t>
            </w:r>
            <w:r>
              <w:rPr>
                <w:sz w:val="20"/>
                <w:szCs w:val="20"/>
              </w:rPr>
              <w:t>,</w:t>
            </w:r>
            <w:r w:rsidRPr="00FB5F75">
              <w:rPr>
                <w:sz w:val="20"/>
                <w:szCs w:val="20"/>
              </w:rPr>
              <w:t xml:space="preserve"> Receipts</w:t>
            </w:r>
            <w:r>
              <w:rPr>
                <w:sz w:val="20"/>
                <w:szCs w:val="20"/>
              </w:rPr>
              <w:t>,</w:t>
            </w:r>
            <w:r w:rsidRPr="00FB5F75">
              <w:rPr>
                <w:sz w:val="20"/>
                <w:szCs w:val="20"/>
              </w:rPr>
              <w:t xml:space="preserve"> </w:t>
            </w:r>
            <w:r>
              <w:rPr>
                <w:sz w:val="20"/>
                <w:szCs w:val="20"/>
              </w:rPr>
              <w:t xml:space="preserve">Master </w:t>
            </w:r>
            <w:r w:rsidRPr="00FB5F75">
              <w:rPr>
                <w:sz w:val="20"/>
                <w:szCs w:val="20"/>
              </w:rPr>
              <w:t>Leases</w:t>
            </w:r>
            <w:r>
              <w:rPr>
                <w:sz w:val="20"/>
                <w:szCs w:val="20"/>
              </w:rPr>
              <w:t>/Rental Agreement, Subleases</w:t>
            </w:r>
            <w:r w:rsidRPr="00FB5F75">
              <w:rPr>
                <w:sz w:val="20"/>
                <w:szCs w:val="20"/>
              </w:rPr>
              <w:t xml:space="preserve"> and</w:t>
            </w:r>
            <w:r>
              <w:rPr>
                <w:sz w:val="20"/>
                <w:szCs w:val="20"/>
              </w:rPr>
              <w:t>/or</w:t>
            </w:r>
            <w:r w:rsidRPr="00FB5F75">
              <w:rPr>
                <w:sz w:val="20"/>
                <w:szCs w:val="20"/>
              </w:rPr>
              <w:t xml:space="preserve"> Client Occupancy Agreement</w:t>
            </w:r>
          </w:p>
        </w:tc>
        <w:tc>
          <w:tcPr>
            <w:tcW w:w="1834" w:type="dxa"/>
            <w:vMerge w:val="restart"/>
            <w:shd w:val="clear" w:color="auto" w:fill="FFF2CC" w:themeFill="accent4" w:themeFillTint="33"/>
            <w:vAlign w:val="center"/>
          </w:tcPr>
          <w:p w:rsidRPr="00FB5F75" w:rsidR="00455EC0" w:rsidP="00840A25" w:rsidRDefault="00455EC0" w14:paraId="7A9A6F41" w14:textId="77777777">
            <w:pPr>
              <w:jc w:val="center"/>
              <w:rPr>
                <w:sz w:val="20"/>
                <w:szCs w:val="20"/>
              </w:rPr>
            </w:pPr>
            <w:r w:rsidRPr="00FB5F75">
              <w:rPr>
                <w:sz w:val="20"/>
                <w:szCs w:val="20"/>
              </w:rPr>
              <w:t>Provide to EOHLC on-site (see exhibit A)</w:t>
            </w:r>
          </w:p>
        </w:tc>
        <w:tc>
          <w:tcPr>
            <w:tcW w:w="1834" w:type="dxa"/>
            <w:vMerge w:val="restart"/>
            <w:shd w:val="clear" w:color="auto" w:fill="FFF2CC" w:themeFill="accent4" w:themeFillTint="33"/>
            <w:vAlign w:val="center"/>
          </w:tcPr>
          <w:p w:rsidRPr="00FB5F75" w:rsidR="00455EC0" w:rsidP="00840A25" w:rsidRDefault="00455EC0" w14:paraId="11AB1697" w14:textId="77777777">
            <w:pPr>
              <w:jc w:val="center"/>
              <w:rPr>
                <w:sz w:val="20"/>
                <w:szCs w:val="20"/>
              </w:rPr>
            </w:pPr>
            <w:r w:rsidRPr="00FB5F75">
              <w:rPr>
                <w:sz w:val="20"/>
                <w:szCs w:val="20"/>
              </w:rPr>
              <w:t>EOHLC conducts inspections on-site</w:t>
            </w:r>
          </w:p>
        </w:tc>
      </w:tr>
      <w:tr w:rsidRPr="00FB5F75" w:rsidR="00455EC0" w:rsidTr="00840A25" w14:paraId="37A2A8C6" w14:textId="77777777">
        <w:tc>
          <w:tcPr>
            <w:tcW w:w="2882" w:type="dxa"/>
            <w:shd w:val="clear" w:color="auto" w:fill="FFF2CC" w:themeFill="accent4" w:themeFillTint="33"/>
          </w:tcPr>
          <w:p w:rsidRPr="00FB5F75" w:rsidR="00455EC0" w:rsidP="00840A25" w:rsidRDefault="00455EC0" w14:paraId="4CABE78D" w14:textId="77777777">
            <w:pPr>
              <w:jc w:val="center"/>
              <w:rPr>
                <w:sz w:val="20"/>
                <w:szCs w:val="20"/>
              </w:rPr>
            </w:pPr>
            <w:r w:rsidRPr="00FB5F75">
              <w:rPr>
                <w:sz w:val="20"/>
                <w:szCs w:val="20"/>
              </w:rPr>
              <w:t>Time Records/Timesheets</w:t>
            </w:r>
          </w:p>
        </w:tc>
        <w:tc>
          <w:tcPr>
            <w:tcW w:w="2800" w:type="dxa"/>
            <w:shd w:val="clear" w:color="auto" w:fill="FFF2CC" w:themeFill="accent4" w:themeFillTint="33"/>
          </w:tcPr>
          <w:p w:rsidRPr="00FB5F75" w:rsidR="00455EC0" w:rsidP="00840A25" w:rsidRDefault="00455EC0" w14:paraId="79DEF771" w14:textId="77777777">
            <w:pPr>
              <w:jc w:val="center"/>
              <w:rPr>
                <w:sz w:val="20"/>
                <w:szCs w:val="20"/>
              </w:rPr>
            </w:pPr>
            <w:r w:rsidRPr="00FB5F75">
              <w:rPr>
                <w:sz w:val="20"/>
                <w:szCs w:val="20"/>
              </w:rPr>
              <w:t>Cancelled checks</w:t>
            </w:r>
            <w:r>
              <w:rPr>
                <w:sz w:val="20"/>
                <w:szCs w:val="20"/>
              </w:rPr>
              <w:t>,</w:t>
            </w:r>
            <w:r w:rsidRPr="00FB5F75">
              <w:rPr>
                <w:sz w:val="20"/>
                <w:szCs w:val="20"/>
              </w:rPr>
              <w:t xml:space="preserve"> CC charges, ACH</w:t>
            </w:r>
          </w:p>
        </w:tc>
        <w:tc>
          <w:tcPr>
            <w:tcW w:w="1834" w:type="dxa"/>
            <w:vMerge/>
            <w:shd w:val="clear" w:color="auto" w:fill="FFF2CC" w:themeFill="accent4" w:themeFillTint="33"/>
          </w:tcPr>
          <w:p w:rsidRPr="00FB5F75" w:rsidR="00455EC0" w:rsidP="00840A25" w:rsidRDefault="00455EC0" w14:paraId="79C7A77A" w14:textId="77777777">
            <w:pPr>
              <w:jc w:val="center"/>
              <w:rPr>
                <w:sz w:val="20"/>
                <w:szCs w:val="20"/>
              </w:rPr>
            </w:pPr>
          </w:p>
        </w:tc>
        <w:tc>
          <w:tcPr>
            <w:tcW w:w="1834" w:type="dxa"/>
            <w:vMerge/>
            <w:shd w:val="clear" w:color="auto" w:fill="FFF2CC" w:themeFill="accent4" w:themeFillTint="33"/>
          </w:tcPr>
          <w:p w:rsidRPr="00FB5F75" w:rsidR="00455EC0" w:rsidP="00840A25" w:rsidRDefault="00455EC0" w14:paraId="7B70F637" w14:textId="77777777">
            <w:pPr>
              <w:jc w:val="center"/>
              <w:rPr>
                <w:sz w:val="20"/>
                <w:szCs w:val="20"/>
              </w:rPr>
            </w:pPr>
          </w:p>
        </w:tc>
      </w:tr>
      <w:tr w:rsidRPr="00FB5F75" w:rsidR="00455EC0" w:rsidTr="00840A25" w14:paraId="46D4A419" w14:textId="77777777">
        <w:tc>
          <w:tcPr>
            <w:tcW w:w="2882" w:type="dxa"/>
            <w:shd w:val="clear" w:color="auto" w:fill="FFF2CC" w:themeFill="accent4" w:themeFillTint="33"/>
          </w:tcPr>
          <w:p w:rsidRPr="00FB5F75" w:rsidR="00455EC0" w:rsidP="00840A25" w:rsidRDefault="00455EC0" w14:paraId="76317317" w14:textId="77777777">
            <w:pPr>
              <w:jc w:val="center"/>
              <w:rPr>
                <w:sz w:val="20"/>
                <w:szCs w:val="20"/>
              </w:rPr>
            </w:pPr>
            <w:r w:rsidRPr="00FB5F75">
              <w:rPr>
                <w:sz w:val="20"/>
                <w:szCs w:val="20"/>
              </w:rPr>
              <w:t>Paystub</w:t>
            </w:r>
          </w:p>
        </w:tc>
        <w:tc>
          <w:tcPr>
            <w:tcW w:w="2800" w:type="dxa"/>
            <w:vMerge w:val="restart"/>
            <w:shd w:val="clear" w:color="auto" w:fill="FFF2CC" w:themeFill="accent4" w:themeFillTint="33"/>
            <w:vAlign w:val="center"/>
          </w:tcPr>
          <w:p w:rsidRPr="00FB5F75" w:rsidR="00455EC0" w:rsidP="00840A25" w:rsidRDefault="00455EC0" w14:paraId="62193E47" w14:textId="77777777">
            <w:pPr>
              <w:jc w:val="center"/>
              <w:rPr>
                <w:sz w:val="20"/>
                <w:szCs w:val="20"/>
              </w:rPr>
            </w:pPr>
            <w:r w:rsidRPr="00FB5F75">
              <w:rPr>
                <w:sz w:val="20"/>
                <w:szCs w:val="20"/>
              </w:rPr>
              <w:t>Cost Allocation Plan/Methodology</w:t>
            </w:r>
          </w:p>
        </w:tc>
        <w:tc>
          <w:tcPr>
            <w:tcW w:w="1834" w:type="dxa"/>
            <w:vMerge/>
            <w:shd w:val="clear" w:color="auto" w:fill="FFF2CC" w:themeFill="accent4" w:themeFillTint="33"/>
          </w:tcPr>
          <w:p w:rsidRPr="00FB5F75" w:rsidR="00455EC0" w:rsidP="00840A25" w:rsidRDefault="00455EC0" w14:paraId="7D770C9F" w14:textId="77777777">
            <w:pPr>
              <w:jc w:val="center"/>
              <w:rPr>
                <w:sz w:val="20"/>
                <w:szCs w:val="20"/>
              </w:rPr>
            </w:pPr>
          </w:p>
        </w:tc>
        <w:tc>
          <w:tcPr>
            <w:tcW w:w="1834" w:type="dxa"/>
            <w:vMerge/>
            <w:shd w:val="clear" w:color="auto" w:fill="FFF2CC" w:themeFill="accent4" w:themeFillTint="33"/>
          </w:tcPr>
          <w:p w:rsidRPr="00FB5F75" w:rsidR="00455EC0" w:rsidP="00840A25" w:rsidRDefault="00455EC0" w14:paraId="5B2C2001" w14:textId="77777777">
            <w:pPr>
              <w:jc w:val="center"/>
              <w:rPr>
                <w:sz w:val="20"/>
                <w:szCs w:val="20"/>
              </w:rPr>
            </w:pPr>
          </w:p>
        </w:tc>
      </w:tr>
      <w:tr w:rsidRPr="00FB5F75" w:rsidR="00455EC0" w:rsidTr="00840A25" w14:paraId="61F80C5A" w14:textId="77777777">
        <w:tc>
          <w:tcPr>
            <w:tcW w:w="2882" w:type="dxa"/>
            <w:shd w:val="clear" w:color="auto" w:fill="FFF2CC" w:themeFill="accent4" w:themeFillTint="33"/>
          </w:tcPr>
          <w:p w:rsidRPr="00FB5F75" w:rsidR="00455EC0" w:rsidP="00840A25" w:rsidRDefault="00455EC0" w14:paraId="66A835D6" w14:textId="77777777">
            <w:pPr>
              <w:jc w:val="center"/>
              <w:rPr>
                <w:sz w:val="20"/>
                <w:szCs w:val="20"/>
              </w:rPr>
            </w:pPr>
            <w:r w:rsidRPr="00FB5F75">
              <w:rPr>
                <w:sz w:val="20"/>
                <w:szCs w:val="20"/>
              </w:rPr>
              <w:t>Cost Allocation Plan/Methodology</w:t>
            </w:r>
          </w:p>
        </w:tc>
        <w:tc>
          <w:tcPr>
            <w:tcW w:w="2800" w:type="dxa"/>
            <w:vMerge/>
            <w:shd w:val="clear" w:color="auto" w:fill="FFF2CC" w:themeFill="accent4" w:themeFillTint="33"/>
          </w:tcPr>
          <w:p w:rsidRPr="00FB5F75" w:rsidR="00455EC0" w:rsidP="00840A25" w:rsidRDefault="00455EC0" w14:paraId="5E263C04" w14:textId="77777777">
            <w:pPr>
              <w:jc w:val="center"/>
              <w:rPr>
                <w:sz w:val="20"/>
                <w:szCs w:val="20"/>
              </w:rPr>
            </w:pPr>
          </w:p>
        </w:tc>
        <w:tc>
          <w:tcPr>
            <w:tcW w:w="1834" w:type="dxa"/>
            <w:vMerge/>
            <w:shd w:val="clear" w:color="auto" w:fill="FFF2CC" w:themeFill="accent4" w:themeFillTint="33"/>
          </w:tcPr>
          <w:p w:rsidRPr="00FB5F75" w:rsidR="00455EC0" w:rsidP="00840A25" w:rsidRDefault="00455EC0" w14:paraId="7BD94728" w14:textId="77777777">
            <w:pPr>
              <w:jc w:val="center"/>
              <w:rPr>
                <w:sz w:val="20"/>
                <w:szCs w:val="20"/>
              </w:rPr>
            </w:pPr>
          </w:p>
        </w:tc>
        <w:tc>
          <w:tcPr>
            <w:tcW w:w="1834" w:type="dxa"/>
            <w:vMerge/>
            <w:shd w:val="clear" w:color="auto" w:fill="FFF2CC" w:themeFill="accent4" w:themeFillTint="33"/>
          </w:tcPr>
          <w:p w:rsidRPr="00FB5F75" w:rsidR="00455EC0" w:rsidP="00840A25" w:rsidRDefault="00455EC0" w14:paraId="598BC456" w14:textId="77777777">
            <w:pPr>
              <w:jc w:val="center"/>
              <w:rPr>
                <w:sz w:val="20"/>
                <w:szCs w:val="20"/>
              </w:rPr>
            </w:pPr>
          </w:p>
        </w:tc>
      </w:tr>
    </w:tbl>
    <w:p w:rsidR="00455EC0" w:rsidP="00455EC0" w:rsidRDefault="00455EC0" w14:paraId="03FED53B" w14:textId="77777777">
      <w:pPr>
        <w:spacing w:after="0" w:line="240" w:lineRule="auto"/>
        <w:jc w:val="both"/>
        <w:rPr>
          <w:sz w:val="20"/>
          <w:szCs w:val="20"/>
        </w:rPr>
      </w:pPr>
    </w:p>
    <w:p w:rsidRPr="00FB5F75" w:rsidR="00295879" w:rsidP="00295879" w:rsidRDefault="00295879" w14:paraId="199F0403" w14:textId="08373802">
      <w:pPr>
        <w:pStyle w:val="Heading1"/>
        <w:rPr>
          <w:sz w:val="24"/>
          <w:szCs w:val="24"/>
        </w:rPr>
      </w:pPr>
      <w:r w:rsidRPr="00295879">
        <w:rPr>
          <w:b/>
          <w:bCs/>
          <w:color w:val="auto"/>
          <w:sz w:val="24"/>
          <w:szCs w:val="24"/>
          <w:u w:val="single"/>
        </w:rPr>
        <w:t xml:space="preserve">Client file documents </w:t>
      </w:r>
      <w:r>
        <w:rPr>
          <w:b/>
          <w:bCs/>
          <w:color w:val="auto"/>
          <w:sz w:val="24"/>
          <w:szCs w:val="24"/>
          <w:u w:val="single"/>
        </w:rPr>
        <w:t>standards</w:t>
      </w:r>
      <w:r w:rsidRPr="00FB5F75">
        <w:rPr>
          <w:sz w:val="24"/>
          <w:szCs w:val="24"/>
        </w:rPr>
        <w:t>.</w:t>
      </w:r>
    </w:p>
    <w:p w:rsidRPr="00FB5F75" w:rsidR="00295879" w:rsidP="00295879" w:rsidRDefault="00295879" w14:paraId="04699DD4" w14:textId="77777777">
      <w:pPr>
        <w:spacing w:after="0" w:line="240" w:lineRule="auto"/>
        <w:rPr>
          <w:sz w:val="20"/>
          <w:szCs w:val="20"/>
        </w:rPr>
      </w:pPr>
    </w:p>
    <w:tbl>
      <w:tblPr>
        <w:tblStyle w:val="TableGrid"/>
        <w:tblW w:w="0" w:type="auto"/>
        <w:tblLook w:val="04A0" w:firstRow="1" w:lastRow="0" w:firstColumn="1" w:lastColumn="0" w:noHBand="0" w:noVBand="1"/>
      </w:tblPr>
      <w:tblGrid>
        <w:gridCol w:w="2673"/>
        <w:gridCol w:w="6677"/>
      </w:tblGrid>
      <w:tr w:rsidRPr="00FB5F75" w:rsidR="00295879" w:rsidTr="3B4BF107" w14:paraId="6DF9294A" w14:textId="77777777">
        <w:trPr>
          <w:trHeight w:val="530"/>
        </w:trPr>
        <w:tc>
          <w:tcPr>
            <w:tcW w:w="2673" w:type="dxa"/>
            <w:shd w:val="clear" w:color="auto" w:fill="D5DCE4" w:themeFill="text2" w:themeFillTint="33"/>
            <w:noWrap/>
            <w:tcMar/>
            <w:hideMark/>
          </w:tcPr>
          <w:p w:rsidRPr="006969F9" w:rsidR="00295879" w:rsidP="00840A25" w:rsidRDefault="00295879" w14:paraId="62D888B8" w14:textId="77777777">
            <w:pPr>
              <w:rPr>
                <w:b/>
                <w:bCs/>
                <w:sz w:val="20"/>
                <w:szCs w:val="20"/>
              </w:rPr>
            </w:pPr>
            <w:r w:rsidRPr="006969F9">
              <w:rPr>
                <w:b/>
                <w:bCs/>
                <w:sz w:val="20"/>
                <w:szCs w:val="20"/>
              </w:rPr>
              <w:t>Participant File:</w:t>
            </w:r>
          </w:p>
        </w:tc>
        <w:tc>
          <w:tcPr>
            <w:tcW w:w="6677" w:type="dxa"/>
            <w:shd w:val="clear" w:color="auto" w:fill="D5DCE4" w:themeFill="text2" w:themeFillTint="33"/>
            <w:tcMar/>
            <w:hideMark/>
          </w:tcPr>
          <w:p w:rsidRPr="00FB5F75" w:rsidR="00295879" w:rsidP="00840A25" w:rsidRDefault="00295879" w14:paraId="2801F3F8" w14:textId="77777777">
            <w:pPr>
              <w:rPr>
                <w:b/>
                <w:bCs/>
                <w:sz w:val="20"/>
                <w:szCs w:val="20"/>
              </w:rPr>
            </w:pPr>
            <w:r w:rsidRPr="00FB5F75">
              <w:rPr>
                <w:b/>
                <w:bCs/>
                <w:sz w:val="20"/>
                <w:szCs w:val="20"/>
              </w:rPr>
              <w:t xml:space="preserve">Below are the documents that will be reviewed when onsite </w:t>
            </w:r>
          </w:p>
        </w:tc>
      </w:tr>
      <w:tr w:rsidRPr="00FB5F75" w:rsidR="00295879" w:rsidTr="3B4BF107" w14:paraId="64B41CB1" w14:textId="77777777">
        <w:trPr>
          <w:trHeight w:val="260"/>
        </w:trPr>
        <w:tc>
          <w:tcPr>
            <w:tcW w:w="9350" w:type="dxa"/>
            <w:gridSpan w:val="2"/>
            <w:shd w:val="clear" w:color="auto" w:fill="FFF2CC" w:themeFill="accent4" w:themeFillTint="33"/>
            <w:tcMar/>
            <w:hideMark/>
          </w:tcPr>
          <w:p w:rsidRPr="00FB5F75" w:rsidR="00295879" w:rsidP="00840A25" w:rsidRDefault="00295879" w14:paraId="0AB1DE91" w14:textId="77777777">
            <w:pPr>
              <w:rPr>
                <w:sz w:val="20"/>
                <w:szCs w:val="20"/>
              </w:rPr>
            </w:pPr>
            <w:r w:rsidRPr="00FB5F75">
              <w:rPr>
                <w:sz w:val="20"/>
                <w:szCs w:val="20"/>
              </w:rPr>
              <w:lastRenderedPageBreak/>
              <w:t xml:space="preserve">Documentation showing chronic homelessness prior to admission </w:t>
            </w:r>
            <w:proofErr w:type="gramStart"/>
            <w:r w:rsidRPr="00FB5F75">
              <w:rPr>
                <w:sz w:val="20"/>
                <w:szCs w:val="20"/>
              </w:rPr>
              <w:t>in</w:t>
            </w:r>
            <w:proofErr w:type="gramEnd"/>
            <w:r w:rsidRPr="00FB5F75">
              <w:rPr>
                <w:sz w:val="20"/>
                <w:szCs w:val="20"/>
              </w:rPr>
              <w:t xml:space="preserve"> the program. (Homeless Status and Eligibility Determination) </w:t>
            </w:r>
          </w:p>
        </w:tc>
      </w:tr>
      <w:tr w:rsidRPr="00FB5F75" w:rsidR="00295879" w:rsidTr="3B4BF107" w14:paraId="418D5208"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6CBD9F18" w14:textId="77777777">
            <w:pPr>
              <w:rPr>
                <w:sz w:val="20"/>
                <w:szCs w:val="20"/>
              </w:rPr>
            </w:pPr>
            <w:r w:rsidRPr="00FB5F75">
              <w:rPr>
                <w:sz w:val="20"/>
                <w:szCs w:val="20"/>
              </w:rPr>
              <w:t>A Service Plan for each household and/or household member</w:t>
            </w:r>
          </w:p>
        </w:tc>
      </w:tr>
      <w:tr w:rsidRPr="00FB5F75" w:rsidR="00295879" w:rsidTr="3B4BF107" w14:paraId="7F773B78"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6590CF8D" w14:textId="77777777">
            <w:pPr>
              <w:rPr>
                <w:sz w:val="20"/>
                <w:szCs w:val="20"/>
              </w:rPr>
            </w:pPr>
            <w:r w:rsidRPr="00FB5F75">
              <w:rPr>
                <w:sz w:val="20"/>
                <w:szCs w:val="20"/>
              </w:rPr>
              <w:t>The household’s signed statement acknowledging they have received, understand, and will comply with program rules</w:t>
            </w:r>
          </w:p>
        </w:tc>
      </w:tr>
      <w:tr w:rsidRPr="00FB5F75" w:rsidR="00295879" w:rsidTr="3B4BF107" w14:paraId="309591F1"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1C317656" w14:textId="77777777">
            <w:pPr>
              <w:rPr>
                <w:sz w:val="20"/>
                <w:szCs w:val="20"/>
              </w:rPr>
            </w:pPr>
            <w:r w:rsidRPr="00FB5F75">
              <w:rPr>
                <w:sz w:val="20"/>
                <w:szCs w:val="20"/>
              </w:rPr>
              <w:t>Inspections, permits &amp; occupancy Standards (habitability standards) - Units must be inspected, at minimum, monthly by program staff.</w:t>
            </w:r>
          </w:p>
        </w:tc>
      </w:tr>
      <w:tr w:rsidRPr="00FB5F75" w:rsidR="00295879" w:rsidTr="3B4BF107" w14:paraId="7EE65AB3"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750C9613" w14:textId="77777777">
            <w:pPr>
              <w:rPr>
                <w:sz w:val="20"/>
                <w:szCs w:val="20"/>
              </w:rPr>
            </w:pPr>
            <w:r w:rsidRPr="00FB5F75">
              <w:rPr>
                <w:sz w:val="20"/>
                <w:szCs w:val="20"/>
              </w:rPr>
              <w:t>Notices of rules violations</w:t>
            </w:r>
          </w:p>
        </w:tc>
      </w:tr>
      <w:tr w:rsidRPr="00FB5F75" w:rsidR="00295879" w:rsidTr="3B4BF107" w14:paraId="38599AC5"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66327259" w14:textId="77777777">
            <w:pPr>
              <w:rPr>
                <w:sz w:val="20"/>
                <w:szCs w:val="20"/>
              </w:rPr>
            </w:pPr>
            <w:r w:rsidRPr="00FB5F75">
              <w:rPr>
                <w:sz w:val="20"/>
                <w:szCs w:val="20"/>
              </w:rPr>
              <w:t>Signed release(s) of information for outside providers.</w:t>
            </w:r>
          </w:p>
        </w:tc>
      </w:tr>
      <w:tr w:rsidRPr="00FB5F75" w:rsidR="00295879" w:rsidTr="3B4BF107" w14:paraId="1008648D"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60935A9F" w14:textId="77777777">
            <w:pPr>
              <w:rPr>
                <w:sz w:val="20"/>
                <w:szCs w:val="20"/>
              </w:rPr>
            </w:pPr>
            <w:r w:rsidRPr="00FB5F75">
              <w:rPr>
                <w:sz w:val="20"/>
                <w:szCs w:val="20"/>
              </w:rPr>
              <w:t>A log of all contact with the household. This log shall detail progress toward meeting goals and objectives outlined in Service Plan.</w:t>
            </w:r>
          </w:p>
        </w:tc>
      </w:tr>
      <w:tr w:rsidRPr="00FB5F75" w:rsidR="00295879" w:rsidTr="3B4BF107" w14:paraId="5F099B92"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2D062015" w14:textId="77777777">
            <w:pPr>
              <w:rPr>
                <w:sz w:val="20"/>
                <w:szCs w:val="20"/>
              </w:rPr>
            </w:pPr>
            <w:r w:rsidRPr="00FB5F75">
              <w:rPr>
                <w:sz w:val="20"/>
                <w:szCs w:val="20"/>
              </w:rPr>
              <w:t>A copy of the signed Occupancy Agreement</w:t>
            </w:r>
          </w:p>
        </w:tc>
      </w:tr>
      <w:tr w:rsidRPr="00FB5F75" w:rsidR="00295879" w:rsidTr="3B4BF107" w14:paraId="7B58D7C6"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0EA216FE" w14:textId="77777777">
            <w:pPr>
              <w:rPr>
                <w:sz w:val="20"/>
                <w:szCs w:val="20"/>
              </w:rPr>
            </w:pPr>
            <w:r w:rsidRPr="00FB5F75">
              <w:rPr>
                <w:sz w:val="20"/>
                <w:szCs w:val="20"/>
              </w:rPr>
              <w:t>A copy of the signed Lease Agreement</w:t>
            </w:r>
          </w:p>
        </w:tc>
      </w:tr>
      <w:tr w:rsidRPr="00FB5F75" w:rsidR="00295879" w:rsidTr="3B4BF107" w14:paraId="28AD087B"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1A5ACE67" w14:textId="77777777">
            <w:pPr>
              <w:rPr>
                <w:sz w:val="20"/>
                <w:szCs w:val="20"/>
              </w:rPr>
            </w:pPr>
            <w:r w:rsidRPr="00FB5F75">
              <w:rPr>
                <w:sz w:val="20"/>
                <w:szCs w:val="20"/>
              </w:rPr>
              <w:t>A signed copy of a HUD compliant Rent Calculation Form.</w:t>
            </w:r>
          </w:p>
        </w:tc>
      </w:tr>
      <w:tr w:rsidRPr="00FB5F75" w:rsidR="00295879" w:rsidTr="3B4BF107" w14:paraId="3E7612EF"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112B1FF7" w14:textId="77777777">
            <w:pPr>
              <w:rPr>
                <w:sz w:val="20"/>
                <w:szCs w:val="20"/>
              </w:rPr>
            </w:pPr>
            <w:r w:rsidRPr="00FB5F75">
              <w:rPr>
                <w:sz w:val="20"/>
                <w:szCs w:val="20"/>
              </w:rPr>
              <w:t>A signed copy of the household’s right to appeal and written process of same</w:t>
            </w:r>
          </w:p>
        </w:tc>
      </w:tr>
      <w:tr w:rsidRPr="00FB5F75" w:rsidR="00295879" w:rsidTr="3B4BF107" w14:paraId="577EA168"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52C12A3F" w14:textId="77777777">
            <w:pPr>
              <w:rPr>
                <w:sz w:val="20"/>
                <w:szCs w:val="20"/>
              </w:rPr>
            </w:pPr>
            <w:r w:rsidRPr="00FB5F75">
              <w:rPr>
                <w:sz w:val="20"/>
                <w:szCs w:val="20"/>
              </w:rPr>
              <w:t>An HMIS privacy and/or release of information notice</w:t>
            </w:r>
          </w:p>
        </w:tc>
      </w:tr>
      <w:tr w:rsidRPr="00FB5F75" w:rsidR="00295879" w:rsidTr="3B4BF107" w14:paraId="7AC686BC" w14:textId="77777777">
        <w:trPr>
          <w:trHeight w:val="260"/>
        </w:trPr>
        <w:tc>
          <w:tcPr>
            <w:tcW w:w="9350" w:type="dxa"/>
            <w:gridSpan w:val="2"/>
            <w:shd w:val="clear" w:color="auto" w:fill="FFF2CC" w:themeFill="accent4" w:themeFillTint="33"/>
            <w:noWrap/>
            <w:tcMar/>
            <w:hideMark/>
          </w:tcPr>
          <w:p w:rsidRPr="00FB5F75" w:rsidR="00295879" w:rsidP="00840A25" w:rsidRDefault="00295879" w14:paraId="3002E98D" w14:textId="77777777">
            <w:pPr>
              <w:rPr>
                <w:sz w:val="20"/>
                <w:szCs w:val="20"/>
              </w:rPr>
            </w:pPr>
            <w:r w:rsidRPr="00FB5F75">
              <w:rPr>
                <w:sz w:val="20"/>
                <w:szCs w:val="20"/>
              </w:rPr>
              <w:t xml:space="preserve">Annual Assessment </w:t>
            </w:r>
          </w:p>
        </w:tc>
      </w:tr>
      <w:tr w:rsidRPr="00FB5F75" w:rsidR="00295879" w:rsidTr="3B4BF107" w14:paraId="02EC3A65" w14:textId="77777777">
        <w:trPr>
          <w:trHeight w:val="260"/>
        </w:trPr>
        <w:tc>
          <w:tcPr>
            <w:tcW w:w="9350" w:type="dxa"/>
            <w:gridSpan w:val="2"/>
            <w:shd w:val="clear" w:color="auto" w:fill="FFF2CC" w:themeFill="accent4" w:themeFillTint="33"/>
            <w:noWrap/>
            <w:tcMar/>
          </w:tcPr>
          <w:p w:rsidRPr="00FB5F75" w:rsidR="00295879" w:rsidP="00840A25" w:rsidRDefault="00295879" w14:paraId="2D2BC333" w14:textId="77777777">
            <w:pPr>
              <w:rPr>
                <w:sz w:val="20"/>
                <w:szCs w:val="20"/>
              </w:rPr>
            </w:pPr>
            <w:r w:rsidRPr="00FB5F75">
              <w:rPr>
                <w:sz w:val="20"/>
                <w:szCs w:val="20"/>
              </w:rPr>
              <w:t>Exit assessments (if applicable)</w:t>
            </w:r>
          </w:p>
        </w:tc>
      </w:tr>
      <w:tr w:rsidRPr="00FB5F75" w:rsidR="00295879" w:rsidTr="3B4BF107" w14:paraId="1087110C" w14:textId="77777777">
        <w:trPr>
          <w:trHeight w:val="560"/>
        </w:trPr>
        <w:tc>
          <w:tcPr>
            <w:tcW w:w="9350" w:type="dxa"/>
            <w:gridSpan w:val="2"/>
            <w:shd w:val="clear" w:color="auto" w:fill="FFF2CC" w:themeFill="accent4" w:themeFillTint="33"/>
            <w:tcMar/>
            <w:hideMark/>
          </w:tcPr>
          <w:p w:rsidRPr="00FB5F75" w:rsidR="00295879" w:rsidP="00840A25" w:rsidRDefault="00295879" w14:paraId="3B88F761" w14:textId="2A40DF93">
            <w:pPr>
              <w:rPr>
                <w:sz w:val="20"/>
                <w:szCs w:val="20"/>
              </w:rPr>
            </w:pPr>
            <w:r w:rsidRPr="3B4BF107" w:rsidR="692AE515">
              <w:rPr>
                <w:sz w:val="20"/>
                <w:szCs w:val="20"/>
              </w:rPr>
              <w:t xml:space="preserve">Client referrals for the projects from either the BoS Coordinated Entry System </w:t>
            </w:r>
            <w:r w:rsidRPr="3B4BF107" w:rsidR="0D751D4A">
              <w:rPr>
                <w:sz w:val="20"/>
                <w:szCs w:val="20"/>
              </w:rPr>
              <w:t xml:space="preserve">or </w:t>
            </w:r>
            <w:r w:rsidRPr="3B4BF107" w:rsidR="692AE515">
              <w:rPr>
                <w:sz w:val="20"/>
                <w:szCs w:val="20"/>
              </w:rPr>
              <w:t xml:space="preserve">the </w:t>
            </w:r>
            <w:r w:rsidRPr="3B4BF107" w:rsidR="64EFE7CF">
              <w:rPr>
                <w:sz w:val="20"/>
                <w:szCs w:val="20"/>
              </w:rPr>
              <w:t xml:space="preserve">DV </w:t>
            </w:r>
            <w:r w:rsidRPr="3B4BF107" w:rsidR="692AE515">
              <w:rPr>
                <w:sz w:val="20"/>
                <w:szCs w:val="20"/>
              </w:rPr>
              <w:t xml:space="preserve">Coordinated Entry System administered by the </w:t>
            </w:r>
            <w:r w:rsidRPr="3B4BF107" w:rsidR="78F0EB1A">
              <w:rPr>
                <w:sz w:val="20"/>
                <w:szCs w:val="20"/>
              </w:rPr>
              <w:t xml:space="preserve">Continuum of </w:t>
            </w:r>
            <w:r w:rsidRPr="3B4BF107" w:rsidR="78F0EB1A">
              <w:rPr>
                <w:sz w:val="20"/>
                <w:szCs w:val="20"/>
              </w:rPr>
              <w:t>Care.</w:t>
            </w:r>
          </w:p>
        </w:tc>
      </w:tr>
    </w:tbl>
    <w:p w:rsidRPr="00FB5F75" w:rsidR="00295879" w:rsidP="00295879" w:rsidRDefault="00295879" w14:paraId="28A5A472" w14:textId="77777777">
      <w:pPr>
        <w:spacing w:after="0" w:line="240" w:lineRule="auto"/>
        <w:rPr>
          <w:sz w:val="20"/>
          <w:szCs w:val="20"/>
        </w:rPr>
      </w:pPr>
    </w:p>
    <w:p w:rsidRPr="00FB5F75" w:rsidR="00410A73" w:rsidP="00693A12" w:rsidRDefault="00410A73" w14:paraId="399D6A44" w14:textId="59A1C74F">
      <w:pPr>
        <w:pStyle w:val="Heading2"/>
        <w:rPr>
          <w:sz w:val="22"/>
          <w:szCs w:val="22"/>
        </w:rPr>
      </w:pPr>
      <w:bookmarkStart w:name="_EOHLC_references:" w:id="9"/>
      <w:bookmarkEnd w:id="9"/>
      <w:r w:rsidRPr="000B7D22">
        <w:rPr>
          <w:sz w:val="22"/>
          <w:szCs w:val="22"/>
          <w:u w:val="single"/>
        </w:rPr>
        <w:t xml:space="preserve">EOHLC </w:t>
      </w:r>
      <w:r w:rsidRPr="000B7D22" w:rsidR="0089440E">
        <w:rPr>
          <w:sz w:val="22"/>
          <w:szCs w:val="22"/>
          <w:u w:val="single"/>
        </w:rPr>
        <w:t>references</w:t>
      </w:r>
      <w:r w:rsidRPr="00FB5F75" w:rsidR="00EB5E7B">
        <w:rPr>
          <w:sz w:val="22"/>
          <w:szCs w:val="22"/>
        </w:rPr>
        <w:t>:</w:t>
      </w:r>
      <w:r w:rsidRPr="00FB5F75" w:rsidR="0089440E">
        <w:rPr>
          <w:sz w:val="22"/>
          <w:szCs w:val="22"/>
        </w:rPr>
        <w:t xml:space="preserve"> </w:t>
      </w:r>
    </w:p>
    <w:p w:rsidRPr="00FB5F75" w:rsidR="0089440E" w:rsidP="00980A76" w:rsidRDefault="0089440E" w14:paraId="1244E05A" w14:textId="77777777">
      <w:pPr>
        <w:spacing w:after="0" w:line="240" w:lineRule="auto"/>
        <w:jc w:val="both"/>
        <w:rPr>
          <w:b/>
          <w:bCs/>
          <w:sz w:val="20"/>
          <w:szCs w:val="20"/>
        </w:rPr>
      </w:pPr>
    </w:p>
    <w:p w:rsidRPr="00FB5F75" w:rsidR="0089440E" w:rsidP="009E7905" w:rsidRDefault="004E0178" w14:paraId="26C92991" w14:textId="59F3C897">
      <w:pPr>
        <w:pStyle w:val="ListParagraph"/>
        <w:numPr>
          <w:ilvl w:val="0"/>
          <w:numId w:val="14"/>
        </w:numPr>
        <w:spacing w:after="0" w:line="240" w:lineRule="auto"/>
        <w:jc w:val="both"/>
        <w:rPr>
          <w:color w:val="C00000"/>
          <w:sz w:val="20"/>
          <w:szCs w:val="20"/>
        </w:rPr>
      </w:pPr>
      <w:r w:rsidRPr="00FB5F75">
        <w:rPr>
          <w:sz w:val="20"/>
          <w:szCs w:val="20"/>
        </w:rPr>
        <w:t xml:space="preserve">Code of </w:t>
      </w:r>
      <w:r w:rsidRPr="00FB5F75" w:rsidR="00D43CBF">
        <w:rPr>
          <w:sz w:val="20"/>
          <w:szCs w:val="20"/>
        </w:rPr>
        <w:t>Federal Regulations (CFR)</w:t>
      </w:r>
      <w:r w:rsidRPr="00FB5F75" w:rsidR="00EA6304">
        <w:rPr>
          <w:sz w:val="20"/>
          <w:szCs w:val="20"/>
        </w:rPr>
        <w:t xml:space="preserve"> </w:t>
      </w:r>
      <w:hyperlink w:history="1" r:id="rId9">
        <w:r w:rsidRPr="00FB5F75" w:rsidR="00D43CBF">
          <w:rPr>
            <w:rStyle w:val="Hyperlink"/>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2 CFR §200 Uniform Administrative Requirements, Cost Principles, And Audit Requirements </w:t>
        </w:r>
        <w:r w:rsidRPr="00FB5F75" w:rsidR="006523E4">
          <w:rPr>
            <w:rStyle w:val="Hyperlink"/>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for</w:t>
        </w:r>
        <w:r w:rsidRPr="00FB5F75" w:rsidR="00D43CBF">
          <w:rPr>
            <w:rStyle w:val="Hyperlink"/>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Federal Awards - Code of Federal Regulations (ecfr.io)</w:t>
        </w:r>
      </w:hyperlink>
    </w:p>
    <w:p w:rsidRPr="00FB5F75" w:rsidR="00B018A2" w:rsidP="009E7905" w:rsidRDefault="00F10B42" w14:paraId="32CFC507" w14:textId="77777777">
      <w:pPr>
        <w:pStyle w:val="ListParagraph"/>
        <w:numPr>
          <w:ilvl w:val="0"/>
          <w:numId w:val="14"/>
        </w:numPr>
        <w:spacing w:after="0" w:line="240" w:lineRule="auto"/>
        <w:jc w:val="both"/>
        <w:rPr>
          <w:rStyle w:val="Hyperlink"/>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B5F75">
        <w:rPr>
          <w:sz w:val="20"/>
          <w:szCs w:val="20"/>
        </w:rPr>
        <w:t xml:space="preserve">CPD Monitoring Handbook (6509.2) </w:t>
      </w:r>
      <w:hyperlink w:history="1" r:id="rId10">
        <w:r w:rsidRPr="00FB5F75">
          <w:rPr>
            <w:rStyle w:val="Hyperlink"/>
            <w:color w:val="auto"/>
            <w:spacing w:val="10"/>
            <w:sz w:val="20"/>
            <w:szCs w:val="20"/>
            <w:u w:val="non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CPD Monitoring Handbook (6509.2) | HUD.gov / U.S. Department of Housing and Urban Development (HUD)</w:t>
        </w:r>
      </w:hyperlink>
    </w:p>
    <w:p w:rsidRPr="00FB5F75" w:rsidR="00DD2322" w:rsidP="009E7905" w:rsidRDefault="003C761C" w14:paraId="55F671F9" w14:textId="77777777">
      <w:pPr>
        <w:pStyle w:val="ListParagraph"/>
        <w:numPr>
          <w:ilvl w:val="0"/>
          <w:numId w:val="14"/>
        </w:numPr>
        <w:spacing w:after="0" w:line="240" w:lineRule="auto"/>
        <w:jc w:val="both"/>
        <w:rPr>
          <w:color w:val="C00000"/>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B5F75">
        <w:rPr>
          <w:sz w:val="20"/>
          <w:szCs w:val="20"/>
        </w:rPr>
        <w:t>G</w:t>
      </w:r>
      <w:r w:rsidRPr="00FB5F75" w:rsidR="00D8786C">
        <w:rPr>
          <w:sz w:val="20"/>
          <w:szCs w:val="20"/>
        </w:rPr>
        <w:t xml:space="preserve">enerally </w:t>
      </w:r>
      <w:r w:rsidRPr="00FB5F75">
        <w:rPr>
          <w:sz w:val="20"/>
          <w:szCs w:val="20"/>
        </w:rPr>
        <w:t>A</w:t>
      </w:r>
      <w:r w:rsidRPr="00FB5F75" w:rsidR="00117E25">
        <w:rPr>
          <w:sz w:val="20"/>
          <w:szCs w:val="20"/>
        </w:rPr>
        <w:t xml:space="preserve">ccepted </w:t>
      </w:r>
      <w:r w:rsidRPr="00FB5F75">
        <w:rPr>
          <w:sz w:val="20"/>
          <w:szCs w:val="20"/>
        </w:rPr>
        <w:t>A</w:t>
      </w:r>
      <w:r w:rsidRPr="00FB5F75" w:rsidR="00117E25">
        <w:rPr>
          <w:sz w:val="20"/>
          <w:szCs w:val="20"/>
        </w:rPr>
        <w:t xml:space="preserve">ccounting </w:t>
      </w:r>
      <w:r w:rsidRPr="00FB5F75">
        <w:rPr>
          <w:sz w:val="20"/>
          <w:szCs w:val="20"/>
        </w:rPr>
        <w:t>P</w:t>
      </w:r>
      <w:r w:rsidRPr="00FB5F75" w:rsidR="00117E25">
        <w:rPr>
          <w:sz w:val="20"/>
          <w:szCs w:val="20"/>
        </w:rPr>
        <w:t>rinciples (GAAP)</w:t>
      </w:r>
    </w:p>
    <w:p w:rsidRPr="00FB5F75" w:rsidR="00DD2322" w:rsidP="009E7905" w:rsidRDefault="00735126" w14:paraId="187919A4" w14:textId="77777777">
      <w:pPr>
        <w:pStyle w:val="ListParagraph"/>
        <w:numPr>
          <w:ilvl w:val="0"/>
          <w:numId w:val="14"/>
        </w:numPr>
        <w:spacing w:after="0" w:line="240" w:lineRule="auto"/>
        <w:jc w:val="both"/>
        <w:rPr>
          <w:color w:val="C00000"/>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B5F75">
        <w:rPr>
          <w:sz w:val="20"/>
          <w:szCs w:val="20"/>
        </w:rPr>
        <w:t>MA BoS</w:t>
      </w:r>
      <w:r w:rsidRPr="00FB5F75" w:rsidR="008A3230">
        <w:rPr>
          <w:sz w:val="20"/>
          <w:szCs w:val="20"/>
        </w:rPr>
        <w:t xml:space="preserve"> CoC Governance Charter</w:t>
      </w:r>
    </w:p>
    <w:p w:rsidRPr="00FB5F75" w:rsidR="00DD2322" w:rsidP="009E7905" w:rsidRDefault="00900F78" w14:paraId="1225CF2B" w14:textId="77777777">
      <w:pPr>
        <w:pStyle w:val="ListParagraph"/>
        <w:numPr>
          <w:ilvl w:val="0"/>
          <w:numId w:val="14"/>
        </w:numPr>
        <w:spacing w:after="0" w:line="240" w:lineRule="auto"/>
        <w:jc w:val="both"/>
        <w:rPr>
          <w:color w:val="C00000"/>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B5F75">
        <w:rPr>
          <w:sz w:val="20"/>
          <w:szCs w:val="20"/>
        </w:rPr>
        <w:t xml:space="preserve">MA Written Standards </w:t>
      </w:r>
      <w:r w:rsidRPr="00FB5F75" w:rsidR="004A59A7">
        <w:rPr>
          <w:sz w:val="20"/>
          <w:szCs w:val="20"/>
        </w:rPr>
        <w:t>and Policies and Procedures for ESG and CoC Funded Programs</w:t>
      </w:r>
    </w:p>
    <w:p w:rsidRPr="0007141A" w:rsidR="00224680" w:rsidP="00FF7B54" w:rsidRDefault="00877CBA" w14:paraId="08209CCB" w14:textId="1BDA0DCF">
      <w:pPr>
        <w:pStyle w:val="ListParagraph"/>
        <w:numPr>
          <w:ilvl w:val="0"/>
          <w:numId w:val="14"/>
        </w:numPr>
        <w:spacing w:after="0" w:line="240" w:lineRule="auto"/>
        <w:jc w:val="both"/>
        <w:rPr>
          <w:color w:val="C00000"/>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B5F75">
        <w:rPr>
          <w:sz w:val="20"/>
          <w:szCs w:val="20"/>
        </w:rPr>
        <w:t>EOHLC Contract with Subrecipient</w:t>
      </w:r>
      <w:bookmarkStart w:name="_III._MONITORING_REVIEW" w:id="10"/>
      <w:bookmarkStart w:name="_MONITORING_REVIEW_TIMELINE" w:id="11"/>
      <w:bookmarkEnd w:id="10"/>
      <w:bookmarkEnd w:id="11"/>
    </w:p>
    <w:p w:rsidR="008C2BC6" w:rsidP="008C2BC6" w:rsidRDefault="0065193F" w14:paraId="27453CD1" w14:textId="77777777">
      <w:pPr>
        <w:spacing w:after="0" w:line="240" w:lineRule="auto"/>
        <w:jc w:val="both"/>
        <w:rPr>
          <w:sz w:val="20"/>
          <w:szCs w:val="20"/>
        </w:rPr>
      </w:pPr>
      <w:r w:rsidRPr="00FB5F75">
        <w:rPr>
          <w:sz w:val="20"/>
          <w:szCs w:val="20"/>
        </w:rPr>
        <w:t xml:space="preserve"> </w:t>
      </w:r>
      <w:bookmarkStart w:name="_Exhibit_A:_Supporting" w:id="12"/>
      <w:bookmarkStart w:name="_Exhibit_B:_Client" w:id="13"/>
      <w:bookmarkStart w:name="_Exhibit_C:_Categories" w:id="14"/>
      <w:bookmarkStart w:name="TOC_HOME" w:id="15"/>
      <w:bookmarkEnd w:id="12"/>
      <w:bookmarkEnd w:id="13"/>
      <w:bookmarkEnd w:id="14"/>
      <w:bookmarkEnd w:id="15"/>
    </w:p>
    <w:sectPr w:rsidR="008C2BC6">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0001" w:rsidP="00EB32FE" w:rsidRDefault="00820001" w14:paraId="39611374" w14:textId="77777777">
      <w:pPr>
        <w:spacing w:after="0" w:line="240" w:lineRule="auto"/>
      </w:pPr>
      <w:r>
        <w:separator/>
      </w:r>
    </w:p>
  </w:endnote>
  <w:endnote w:type="continuationSeparator" w:id="0">
    <w:p w:rsidR="00820001" w:rsidP="00EB32FE" w:rsidRDefault="00820001" w14:paraId="57F7FF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797961"/>
      <w:docPartObj>
        <w:docPartGallery w:val="Page Numbers (Bottom of Page)"/>
        <w:docPartUnique/>
      </w:docPartObj>
    </w:sdtPr>
    <w:sdtContent>
      <w:sdt>
        <w:sdtPr>
          <w:id w:val="-1769616900"/>
          <w:docPartObj>
            <w:docPartGallery w:val="Page Numbers (Top of Page)"/>
            <w:docPartUnique/>
          </w:docPartObj>
        </w:sdtPr>
        <w:sdtContent>
          <w:p w:rsidR="006E45A8" w:rsidRDefault="006E45A8" w14:paraId="660B1A3E" w14:textId="6C0FDE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B32FE" w:rsidRDefault="00EB32FE" w14:paraId="5E8916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0001" w:rsidP="00EB32FE" w:rsidRDefault="00820001" w14:paraId="5EE0A941" w14:textId="77777777">
      <w:pPr>
        <w:spacing w:after="0" w:line="240" w:lineRule="auto"/>
      </w:pPr>
      <w:r>
        <w:separator/>
      </w:r>
    </w:p>
  </w:footnote>
  <w:footnote w:type="continuationSeparator" w:id="0">
    <w:p w:rsidR="00820001" w:rsidP="00EB32FE" w:rsidRDefault="00820001" w14:paraId="400360D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7BD"/>
    <w:multiLevelType w:val="hybridMultilevel"/>
    <w:tmpl w:val="A628B4D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BE572E9"/>
    <w:multiLevelType w:val="hybridMultilevel"/>
    <w:tmpl w:val="8BF0EB1A"/>
    <w:lvl w:ilvl="0" w:tplc="04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C8D2823"/>
    <w:multiLevelType w:val="multilevel"/>
    <w:tmpl w:val="56AED97A"/>
    <w:lvl w:ilvl="0">
      <w:start w:val="10"/>
      <w:numFmt w:val="decimal"/>
      <w:lvlText w:val="%1"/>
      <w:lvlJc w:val="left"/>
      <w:pPr>
        <w:ind w:left="390" w:hanging="39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5635B2"/>
    <w:multiLevelType w:val="multilevel"/>
    <w:tmpl w:val="20F6FDA8"/>
    <w:lvl w:ilvl="0">
      <w:start w:val="9"/>
      <w:numFmt w:val="decimal"/>
      <w:lvlText w:val="%1"/>
      <w:lvlJc w:val="left"/>
      <w:pPr>
        <w:ind w:left="360" w:hanging="36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BE32A5"/>
    <w:multiLevelType w:val="hybridMultilevel"/>
    <w:tmpl w:val="BBFA0CB2"/>
    <w:lvl w:ilvl="0" w:tplc="C14C210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153F29"/>
    <w:multiLevelType w:val="hybridMultilevel"/>
    <w:tmpl w:val="C6F075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3DD36A9"/>
    <w:multiLevelType w:val="hybridMultilevel"/>
    <w:tmpl w:val="E280D1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F1C32"/>
    <w:multiLevelType w:val="hybridMultilevel"/>
    <w:tmpl w:val="9B8A6C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4B049CE"/>
    <w:multiLevelType w:val="hybridMultilevel"/>
    <w:tmpl w:val="51C0A6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BD0B63"/>
    <w:multiLevelType w:val="hybridMultilevel"/>
    <w:tmpl w:val="13307D36"/>
    <w:lvl w:ilvl="0" w:tplc="CA187356">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41811"/>
    <w:multiLevelType w:val="hybridMultilevel"/>
    <w:tmpl w:val="42BC9BC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209F2E2F"/>
    <w:multiLevelType w:val="hybridMultilevel"/>
    <w:tmpl w:val="5AC240C6"/>
    <w:lvl w:ilvl="0" w:tplc="04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2B8E3455"/>
    <w:multiLevelType w:val="hybridMultilevel"/>
    <w:tmpl w:val="C90A4286"/>
    <w:lvl w:ilvl="0" w:tplc="04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30B26944"/>
    <w:multiLevelType w:val="multilevel"/>
    <w:tmpl w:val="08E0F0B6"/>
    <w:lvl w:ilvl="0">
      <w:start w:val="1"/>
      <w:numFmt w:val="decimal"/>
      <w:lvlText w:val="%1)"/>
      <w:lvlJc w:val="left"/>
      <w:pPr>
        <w:ind w:left="1440" w:hanging="360"/>
      </w:pPr>
      <w:rPr>
        <w:b/>
        <w:bCs/>
      </w:rPr>
    </w:lvl>
    <w:lvl w:ilvl="1">
      <w:start w:val="1"/>
      <w:numFmt w:val="bullet"/>
      <w:lvlText w:val=""/>
      <w:lvlJc w:val="left"/>
      <w:pPr>
        <w:ind w:left="1440"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343E6D85"/>
    <w:multiLevelType w:val="hybridMultilevel"/>
    <w:tmpl w:val="DF3CA76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0F3B9B"/>
    <w:multiLevelType w:val="hybridMultilevel"/>
    <w:tmpl w:val="0F86D4AE"/>
    <w:lvl w:ilvl="0" w:tplc="04090003">
      <w:start w:val="1"/>
      <w:numFmt w:val="bullet"/>
      <w:lvlText w:val="o"/>
      <w:lvlJc w:val="left"/>
      <w:pPr>
        <w:ind w:left="2520" w:hanging="360"/>
      </w:pPr>
      <w:rPr>
        <w:rFonts w:hint="default" w:ascii="Courier New" w:hAnsi="Courier New" w:cs="Courier New"/>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6" w15:restartNumberingAfterBreak="0">
    <w:nsid w:val="372F40C8"/>
    <w:multiLevelType w:val="hybridMultilevel"/>
    <w:tmpl w:val="5F36EE04"/>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FD0823"/>
    <w:multiLevelType w:val="hybridMultilevel"/>
    <w:tmpl w:val="4C3C017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3BAD0A4D"/>
    <w:multiLevelType w:val="hybridMultilevel"/>
    <w:tmpl w:val="9B1CF766"/>
    <w:lvl w:ilvl="0" w:tplc="04090003">
      <w:start w:val="1"/>
      <w:numFmt w:val="bullet"/>
      <w:lvlText w:val="o"/>
      <w:lvlJc w:val="left"/>
      <w:pPr>
        <w:ind w:left="3960" w:hanging="360"/>
      </w:pPr>
      <w:rPr>
        <w:rFonts w:hint="default" w:ascii="Courier New" w:hAnsi="Courier New" w:cs="Courier New"/>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19" w15:restartNumberingAfterBreak="0">
    <w:nsid w:val="3EE754F5"/>
    <w:multiLevelType w:val="hybridMultilevel"/>
    <w:tmpl w:val="F2949C7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97E35C6"/>
    <w:multiLevelType w:val="hybridMultilevel"/>
    <w:tmpl w:val="85741E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C6F8E"/>
    <w:multiLevelType w:val="hybridMultilevel"/>
    <w:tmpl w:val="C7E8CB2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513936DB"/>
    <w:multiLevelType w:val="hybridMultilevel"/>
    <w:tmpl w:val="95148820"/>
    <w:lvl w:ilvl="0" w:tplc="04090003">
      <w:start w:val="1"/>
      <w:numFmt w:val="bullet"/>
      <w:lvlText w:val="o"/>
      <w:lvlJc w:val="left"/>
      <w:pPr>
        <w:ind w:left="360" w:hanging="360"/>
      </w:pPr>
      <w:rPr>
        <w:rFonts w:hint="default" w:ascii="Courier New" w:hAnsi="Courier New" w:cs="Courier New"/>
        <w:color w:val="auto"/>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3" w15:restartNumberingAfterBreak="0">
    <w:nsid w:val="51A73BB2"/>
    <w:multiLevelType w:val="hybridMultilevel"/>
    <w:tmpl w:val="EA4E6732"/>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25E160B"/>
    <w:multiLevelType w:val="hybridMultilevel"/>
    <w:tmpl w:val="6ACC6A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CD5664"/>
    <w:multiLevelType w:val="hybridMultilevel"/>
    <w:tmpl w:val="DE8E6954"/>
    <w:lvl w:ilvl="0" w:tplc="04090003">
      <w:start w:val="1"/>
      <w:numFmt w:val="bullet"/>
      <w:lvlText w:val="o"/>
      <w:lvlJc w:val="left"/>
      <w:pPr>
        <w:ind w:left="750" w:hanging="360"/>
      </w:pPr>
      <w:rPr>
        <w:rFonts w:hint="default" w:ascii="Courier New" w:hAnsi="Courier New" w:cs="Courier New"/>
      </w:rPr>
    </w:lvl>
    <w:lvl w:ilvl="1" w:tplc="04090003" w:tentative="1">
      <w:start w:val="1"/>
      <w:numFmt w:val="bullet"/>
      <w:lvlText w:val="o"/>
      <w:lvlJc w:val="left"/>
      <w:pPr>
        <w:ind w:left="1470" w:hanging="360"/>
      </w:pPr>
      <w:rPr>
        <w:rFonts w:hint="default" w:ascii="Courier New" w:hAnsi="Courier New" w:cs="Courier New"/>
      </w:rPr>
    </w:lvl>
    <w:lvl w:ilvl="2" w:tplc="04090005" w:tentative="1">
      <w:start w:val="1"/>
      <w:numFmt w:val="bullet"/>
      <w:lvlText w:val=""/>
      <w:lvlJc w:val="left"/>
      <w:pPr>
        <w:ind w:left="2190" w:hanging="360"/>
      </w:pPr>
      <w:rPr>
        <w:rFonts w:hint="default" w:ascii="Wingdings" w:hAnsi="Wingdings"/>
      </w:rPr>
    </w:lvl>
    <w:lvl w:ilvl="3" w:tplc="04090001" w:tentative="1">
      <w:start w:val="1"/>
      <w:numFmt w:val="bullet"/>
      <w:lvlText w:val=""/>
      <w:lvlJc w:val="left"/>
      <w:pPr>
        <w:ind w:left="2910" w:hanging="360"/>
      </w:pPr>
      <w:rPr>
        <w:rFonts w:hint="default" w:ascii="Symbol" w:hAnsi="Symbol"/>
      </w:rPr>
    </w:lvl>
    <w:lvl w:ilvl="4" w:tplc="04090003" w:tentative="1">
      <w:start w:val="1"/>
      <w:numFmt w:val="bullet"/>
      <w:lvlText w:val="o"/>
      <w:lvlJc w:val="left"/>
      <w:pPr>
        <w:ind w:left="3630" w:hanging="360"/>
      </w:pPr>
      <w:rPr>
        <w:rFonts w:hint="default" w:ascii="Courier New" w:hAnsi="Courier New" w:cs="Courier New"/>
      </w:rPr>
    </w:lvl>
    <w:lvl w:ilvl="5" w:tplc="04090005" w:tentative="1">
      <w:start w:val="1"/>
      <w:numFmt w:val="bullet"/>
      <w:lvlText w:val=""/>
      <w:lvlJc w:val="left"/>
      <w:pPr>
        <w:ind w:left="4350" w:hanging="360"/>
      </w:pPr>
      <w:rPr>
        <w:rFonts w:hint="default" w:ascii="Wingdings" w:hAnsi="Wingdings"/>
      </w:rPr>
    </w:lvl>
    <w:lvl w:ilvl="6" w:tplc="04090001" w:tentative="1">
      <w:start w:val="1"/>
      <w:numFmt w:val="bullet"/>
      <w:lvlText w:val=""/>
      <w:lvlJc w:val="left"/>
      <w:pPr>
        <w:ind w:left="5070" w:hanging="360"/>
      </w:pPr>
      <w:rPr>
        <w:rFonts w:hint="default" w:ascii="Symbol" w:hAnsi="Symbol"/>
      </w:rPr>
    </w:lvl>
    <w:lvl w:ilvl="7" w:tplc="04090003" w:tentative="1">
      <w:start w:val="1"/>
      <w:numFmt w:val="bullet"/>
      <w:lvlText w:val="o"/>
      <w:lvlJc w:val="left"/>
      <w:pPr>
        <w:ind w:left="5790" w:hanging="360"/>
      </w:pPr>
      <w:rPr>
        <w:rFonts w:hint="default" w:ascii="Courier New" w:hAnsi="Courier New" w:cs="Courier New"/>
      </w:rPr>
    </w:lvl>
    <w:lvl w:ilvl="8" w:tplc="04090005" w:tentative="1">
      <w:start w:val="1"/>
      <w:numFmt w:val="bullet"/>
      <w:lvlText w:val=""/>
      <w:lvlJc w:val="left"/>
      <w:pPr>
        <w:ind w:left="6510" w:hanging="360"/>
      </w:pPr>
      <w:rPr>
        <w:rFonts w:hint="default" w:ascii="Wingdings" w:hAnsi="Wingdings"/>
      </w:rPr>
    </w:lvl>
  </w:abstractNum>
  <w:abstractNum w:abstractNumId="26" w15:restartNumberingAfterBreak="0">
    <w:nsid w:val="537862A8"/>
    <w:multiLevelType w:val="hybridMultilevel"/>
    <w:tmpl w:val="954ADCD6"/>
    <w:lvl w:ilvl="0" w:tplc="04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7" w15:restartNumberingAfterBreak="0">
    <w:nsid w:val="54DD589D"/>
    <w:multiLevelType w:val="hybridMultilevel"/>
    <w:tmpl w:val="8EEC7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BB79BA"/>
    <w:multiLevelType w:val="hybridMultilevel"/>
    <w:tmpl w:val="3378CAB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58C83746"/>
    <w:multiLevelType w:val="hybridMultilevel"/>
    <w:tmpl w:val="52CA905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5B767944"/>
    <w:multiLevelType w:val="hybridMultilevel"/>
    <w:tmpl w:val="D2C2E0C8"/>
    <w:lvl w:ilvl="0" w:tplc="04090003">
      <w:start w:val="1"/>
      <w:numFmt w:val="bullet"/>
      <w:lvlText w:val="o"/>
      <w:lvlJc w:val="left"/>
      <w:pPr>
        <w:ind w:left="2520" w:hanging="360"/>
      </w:pPr>
      <w:rPr>
        <w:rFonts w:hint="default" w:ascii="Courier New" w:hAnsi="Courier New" w:cs="Courier New"/>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1" w15:restartNumberingAfterBreak="0">
    <w:nsid w:val="5B953C95"/>
    <w:multiLevelType w:val="multilevel"/>
    <w:tmpl w:val="B218E092"/>
    <w:lvl w:ilvl="0">
      <w:start w:val="8"/>
      <w:numFmt w:val="decimal"/>
      <w:lvlText w:val="%1"/>
      <w:lvlJc w:val="left"/>
      <w:pPr>
        <w:ind w:left="360" w:hanging="36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D3912C4"/>
    <w:multiLevelType w:val="hybridMultilevel"/>
    <w:tmpl w:val="F5600C0C"/>
    <w:lvl w:ilvl="0" w:tplc="C14C2106">
      <w:numFmt w:val="bullet"/>
      <w:lvlText w:val="•"/>
      <w:lvlJc w:val="left"/>
      <w:pPr>
        <w:ind w:left="2505" w:hanging="360"/>
      </w:pPr>
      <w:rPr>
        <w:rFonts w:hint="default" w:ascii="Calibri" w:hAnsi="Calibri" w:cs="Calibri" w:eastAsiaTheme="minorHAnsi"/>
      </w:rPr>
    </w:lvl>
    <w:lvl w:ilvl="1" w:tplc="04090003" w:tentative="1">
      <w:start w:val="1"/>
      <w:numFmt w:val="bullet"/>
      <w:lvlText w:val="o"/>
      <w:lvlJc w:val="left"/>
      <w:pPr>
        <w:ind w:left="3225" w:hanging="360"/>
      </w:pPr>
      <w:rPr>
        <w:rFonts w:hint="default" w:ascii="Courier New" w:hAnsi="Courier New" w:cs="Courier New"/>
      </w:rPr>
    </w:lvl>
    <w:lvl w:ilvl="2" w:tplc="04090005" w:tentative="1">
      <w:start w:val="1"/>
      <w:numFmt w:val="bullet"/>
      <w:lvlText w:val=""/>
      <w:lvlJc w:val="left"/>
      <w:pPr>
        <w:ind w:left="3945" w:hanging="360"/>
      </w:pPr>
      <w:rPr>
        <w:rFonts w:hint="default" w:ascii="Wingdings" w:hAnsi="Wingdings"/>
      </w:rPr>
    </w:lvl>
    <w:lvl w:ilvl="3" w:tplc="04090001" w:tentative="1">
      <w:start w:val="1"/>
      <w:numFmt w:val="bullet"/>
      <w:lvlText w:val=""/>
      <w:lvlJc w:val="left"/>
      <w:pPr>
        <w:ind w:left="4665" w:hanging="360"/>
      </w:pPr>
      <w:rPr>
        <w:rFonts w:hint="default" w:ascii="Symbol" w:hAnsi="Symbol"/>
      </w:rPr>
    </w:lvl>
    <w:lvl w:ilvl="4" w:tplc="04090003" w:tentative="1">
      <w:start w:val="1"/>
      <w:numFmt w:val="bullet"/>
      <w:lvlText w:val="o"/>
      <w:lvlJc w:val="left"/>
      <w:pPr>
        <w:ind w:left="5385" w:hanging="360"/>
      </w:pPr>
      <w:rPr>
        <w:rFonts w:hint="default" w:ascii="Courier New" w:hAnsi="Courier New" w:cs="Courier New"/>
      </w:rPr>
    </w:lvl>
    <w:lvl w:ilvl="5" w:tplc="04090005" w:tentative="1">
      <w:start w:val="1"/>
      <w:numFmt w:val="bullet"/>
      <w:lvlText w:val=""/>
      <w:lvlJc w:val="left"/>
      <w:pPr>
        <w:ind w:left="6105" w:hanging="360"/>
      </w:pPr>
      <w:rPr>
        <w:rFonts w:hint="default" w:ascii="Wingdings" w:hAnsi="Wingdings"/>
      </w:rPr>
    </w:lvl>
    <w:lvl w:ilvl="6" w:tplc="04090001" w:tentative="1">
      <w:start w:val="1"/>
      <w:numFmt w:val="bullet"/>
      <w:lvlText w:val=""/>
      <w:lvlJc w:val="left"/>
      <w:pPr>
        <w:ind w:left="6825" w:hanging="360"/>
      </w:pPr>
      <w:rPr>
        <w:rFonts w:hint="default" w:ascii="Symbol" w:hAnsi="Symbol"/>
      </w:rPr>
    </w:lvl>
    <w:lvl w:ilvl="7" w:tplc="04090003" w:tentative="1">
      <w:start w:val="1"/>
      <w:numFmt w:val="bullet"/>
      <w:lvlText w:val="o"/>
      <w:lvlJc w:val="left"/>
      <w:pPr>
        <w:ind w:left="7545" w:hanging="360"/>
      </w:pPr>
      <w:rPr>
        <w:rFonts w:hint="default" w:ascii="Courier New" w:hAnsi="Courier New" w:cs="Courier New"/>
      </w:rPr>
    </w:lvl>
    <w:lvl w:ilvl="8" w:tplc="04090005" w:tentative="1">
      <w:start w:val="1"/>
      <w:numFmt w:val="bullet"/>
      <w:lvlText w:val=""/>
      <w:lvlJc w:val="left"/>
      <w:pPr>
        <w:ind w:left="8265" w:hanging="360"/>
      </w:pPr>
      <w:rPr>
        <w:rFonts w:hint="default" w:ascii="Wingdings" w:hAnsi="Wingdings"/>
      </w:rPr>
    </w:lvl>
  </w:abstractNum>
  <w:abstractNum w:abstractNumId="33" w15:restartNumberingAfterBreak="0">
    <w:nsid w:val="5EB0430A"/>
    <w:multiLevelType w:val="hybridMultilevel"/>
    <w:tmpl w:val="9A9A716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6424811"/>
    <w:multiLevelType w:val="hybridMultilevel"/>
    <w:tmpl w:val="D0DAC1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A55CE0"/>
    <w:multiLevelType w:val="hybridMultilevel"/>
    <w:tmpl w:val="AD60D550"/>
    <w:lvl w:ilvl="0" w:tplc="04090003">
      <w:start w:val="1"/>
      <w:numFmt w:val="bullet"/>
      <w:lvlText w:val="o"/>
      <w:lvlJc w:val="left"/>
      <w:pPr>
        <w:ind w:left="2520" w:hanging="360"/>
      </w:pPr>
      <w:rPr>
        <w:rFonts w:hint="default" w:ascii="Courier New" w:hAnsi="Courier New" w:cs="Courier New"/>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6" w15:restartNumberingAfterBreak="0">
    <w:nsid w:val="6CDA4828"/>
    <w:multiLevelType w:val="multilevel"/>
    <w:tmpl w:val="7948237C"/>
    <w:lvl w:ilvl="0">
      <w:start w:val="6"/>
      <w:numFmt w:val="decimal"/>
      <w:lvlText w:val="%1"/>
      <w:lvlJc w:val="left"/>
      <w:pPr>
        <w:ind w:left="450" w:hanging="450"/>
      </w:pPr>
      <w:rPr>
        <w:rFonts w:hint="default"/>
      </w:rPr>
    </w:lvl>
    <w:lvl w:ilvl="1">
      <w:start w:val="2"/>
      <w:numFmt w:val="decimal"/>
      <w:lvlText w:val="%1.%2"/>
      <w:lvlJc w:val="left"/>
      <w:pPr>
        <w:ind w:left="1350" w:hanging="450"/>
      </w:pPr>
      <w:rPr>
        <w:rFonts w:hint="default"/>
      </w:rPr>
    </w:lvl>
    <w:lvl w:ilvl="2">
      <w:start w:val="1"/>
      <w:numFmt w:val="bullet"/>
      <w:lvlText w:val=""/>
      <w:lvlJc w:val="left"/>
      <w:pPr>
        <w:ind w:left="360" w:hanging="360"/>
      </w:pPr>
      <w:rPr>
        <w:rFonts w:hint="default" w:ascii="Symbol" w:hAnsi="Symbol"/>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7" w15:restartNumberingAfterBreak="0">
    <w:nsid w:val="706A669D"/>
    <w:multiLevelType w:val="hybridMultilevel"/>
    <w:tmpl w:val="BC6ADEB4"/>
    <w:lvl w:ilvl="0" w:tplc="444C9B9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08B53BC"/>
    <w:multiLevelType w:val="multilevel"/>
    <w:tmpl w:val="14AE95EE"/>
    <w:lvl w:ilvl="0">
      <w:start w:val="1"/>
      <w:numFmt w:val="decimal"/>
      <w:lvlText w:val="%1)"/>
      <w:lvlJc w:val="left"/>
      <w:pPr>
        <w:ind w:left="1440" w:hanging="360"/>
      </w:pPr>
      <w:rPr>
        <w:b/>
        <w:bCs/>
      </w:rPr>
    </w:lvl>
    <w:lvl w:ilvl="1">
      <w:start w:val="1"/>
      <w:numFmt w:val="decimal"/>
      <w:isLgl/>
      <w:lvlText w:val="%2."/>
      <w:lvlJc w:val="left"/>
      <w:pPr>
        <w:ind w:left="1440" w:hanging="360"/>
      </w:pPr>
      <w:rPr>
        <w:rFonts w:asciiTheme="minorHAnsi" w:hAnsiTheme="minorHAnsi" w:eastAsia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9" w15:restartNumberingAfterBreak="0">
    <w:nsid w:val="75B324F4"/>
    <w:multiLevelType w:val="hybridMultilevel"/>
    <w:tmpl w:val="1130A4DA"/>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0" w15:restartNumberingAfterBreak="0">
    <w:nsid w:val="78325810"/>
    <w:multiLevelType w:val="hybridMultilevel"/>
    <w:tmpl w:val="738E6E68"/>
    <w:lvl w:ilvl="0" w:tplc="C14C2106">
      <w:numFmt w:val="bullet"/>
      <w:lvlText w:val="•"/>
      <w:lvlJc w:val="left"/>
      <w:pPr>
        <w:ind w:left="2505" w:hanging="360"/>
      </w:pPr>
      <w:rPr>
        <w:rFonts w:hint="default" w:ascii="Calibri" w:hAnsi="Calibri" w:cs="Calibri" w:eastAsiaTheme="minorHAnsi"/>
      </w:rPr>
    </w:lvl>
    <w:lvl w:ilvl="1" w:tplc="04090003">
      <w:start w:val="1"/>
      <w:numFmt w:val="bullet"/>
      <w:lvlText w:val="o"/>
      <w:lvlJc w:val="left"/>
      <w:pPr>
        <w:ind w:left="3225" w:hanging="360"/>
      </w:pPr>
      <w:rPr>
        <w:rFonts w:hint="default" w:ascii="Courier New" w:hAnsi="Courier New" w:cs="Courier New"/>
      </w:rPr>
    </w:lvl>
    <w:lvl w:ilvl="2" w:tplc="04090005" w:tentative="1">
      <w:start w:val="1"/>
      <w:numFmt w:val="bullet"/>
      <w:lvlText w:val=""/>
      <w:lvlJc w:val="left"/>
      <w:pPr>
        <w:ind w:left="3945" w:hanging="360"/>
      </w:pPr>
      <w:rPr>
        <w:rFonts w:hint="default" w:ascii="Wingdings" w:hAnsi="Wingdings"/>
      </w:rPr>
    </w:lvl>
    <w:lvl w:ilvl="3" w:tplc="04090001" w:tentative="1">
      <w:start w:val="1"/>
      <w:numFmt w:val="bullet"/>
      <w:lvlText w:val=""/>
      <w:lvlJc w:val="left"/>
      <w:pPr>
        <w:ind w:left="4665" w:hanging="360"/>
      </w:pPr>
      <w:rPr>
        <w:rFonts w:hint="default" w:ascii="Symbol" w:hAnsi="Symbol"/>
      </w:rPr>
    </w:lvl>
    <w:lvl w:ilvl="4" w:tplc="04090003" w:tentative="1">
      <w:start w:val="1"/>
      <w:numFmt w:val="bullet"/>
      <w:lvlText w:val="o"/>
      <w:lvlJc w:val="left"/>
      <w:pPr>
        <w:ind w:left="5385" w:hanging="360"/>
      </w:pPr>
      <w:rPr>
        <w:rFonts w:hint="default" w:ascii="Courier New" w:hAnsi="Courier New" w:cs="Courier New"/>
      </w:rPr>
    </w:lvl>
    <w:lvl w:ilvl="5" w:tplc="04090005" w:tentative="1">
      <w:start w:val="1"/>
      <w:numFmt w:val="bullet"/>
      <w:lvlText w:val=""/>
      <w:lvlJc w:val="left"/>
      <w:pPr>
        <w:ind w:left="6105" w:hanging="360"/>
      </w:pPr>
      <w:rPr>
        <w:rFonts w:hint="default" w:ascii="Wingdings" w:hAnsi="Wingdings"/>
      </w:rPr>
    </w:lvl>
    <w:lvl w:ilvl="6" w:tplc="04090001" w:tentative="1">
      <w:start w:val="1"/>
      <w:numFmt w:val="bullet"/>
      <w:lvlText w:val=""/>
      <w:lvlJc w:val="left"/>
      <w:pPr>
        <w:ind w:left="6825" w:hanging="360"/>
      </w:pPr>
      <w:rPr>
        <w:rFonts w:hint="default" w:ascii="Symbol" w:hAnsi="Symbol"/>
      </w:rPr>
    </w:lvl>
    <w:lvl w:ilvl="7" w:tplc="04090003" w:tentative="1">
      <w:start w:val="1"/>
      <w:numFmt w:val="bullet"/>
      <w:lvlText w:val="o"/>
      <w:lvlJc w:val="left"/>
      <w:pPr>
        <w:ind w:left="7545" w:hanging="360"/>
      </w:pPr>
      <w:rPr>
        <w:rFonts w:hint="default" w:ascii="Courier New" w:hAnsi="Courier New" w:cs="Courier New"/>
      </w:rPr>
    </w:lvl>
    <w:lvl w:ilvl="8" w:tplc="04090005" w:tentative="1">
      <w:start w:val="1"/>
      <w:numFmt w:val="bullet"/>
      <w:lvlText w:val=""/>
      <w:lvlJc w:val="left"/>
      <w:pPr>
        <w:ind w:left="8265" w:hanging="360"/>
      </w:pPr>
      <w:rPr>
        <w:rFonts w:hint="default" w:ascii="Wingdings" w:hAnsi="Wingdings"/>
      </w:rPr>
    </w:lvl>
  </w:abstractNum>
  <w:abstractNum w:abstractNumId="41" w15:restartNumberingAfterBreak="0">
    <w:nsid w:val="78B932A7"/>
    <w:multiLevelType w:val="hybridMultilevel"/>
    <w:tmpl w:val="2ECEFB4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2" w15:restartNumberingAfterBreak="0">
    <w:nsid w:val="7A376D50"/>
    <w:multiLevelType w:val="multilevel"/>
    <w:tmpl w:val="8F1E0484"/>
    <w:lvl w:ilvl="0">
      <w:start w:val="7"/>
      <w:numFmt w:val="decimal"/>
      <w:lvlText w:val="%1"/>
      <w:lvlJc w:val="left"/>
      <w:pPr>
        <w:ind w:left="360" w:hanging="36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175BF7"/>
    <w:multiLevelType w:val="hybridMultilevel"/>
    <w:tmpl w:val="1FC40E52"/>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647784649">
    <w:abstractNumId w:val="4"/>
  </w:num>
  <w:num w:numId="2" w16cid:durableId="959914220">
    <w:abstractNumId w:val="17"/>
  </w:num>
  <w:num w:numId="3" w16cid:durableId="497233689">
    <w:abstractNumId w:val="8"/>
  </w:num>
  <w:num w:numId="4" w16cid:durableId="781876201">
    <w:abstractNumId w:val="37"/>
  </w:num>
  <w:num w:numId="5" w16cid:durableId="1132094653">
    <w:abstractNumId w:val="38"/>
  </w:num>
  <w:num w:numId="6" w16cid:durableId="1807357625">
    <w:abstractNumId w:val="40"/>
  </w:num>
  <w:num w:numId="7" w16cid:durableId="967470769">
    <w:abstractNumId w:val="18"/>
  </w:num>
  <w:num w:numId="8" w16cid:durableId="451439058">
    <w:abstractNumId w:val="32"/>
  </w:num>
  <w:num w:numId="9" w16cid:durableId="666787597">
    <w:abstractNumId w:val="21"/>
  </w:num>
  <w:num w:numId="10" w16cid:durableId="676463200">
    <w:abstractNumId w:val="1"/>
  </w:num>
  <w:num w:numId="11" w16cid:durableId="122501061">
    <w:abstractNumId w:val="11"/>
  </w:num>
  <w:num w:numId="12" w16cid:durableId="41440379">
    <w:abstractNumId w:val="26"/>
  </w:num>
  <w:num w:numId="13" w16cid:durableId="1748964171">
    <w:abstractNumId w:val="12"/>
  </w:num>
  <w:num w:numId="14" w16cid:durableId="766652053">
    <w:abstractNumId w:val="22"/>
  </w:num>
  <w:num w:numId="15" w16cid:durableId="70394707">
    <w:abstractNumId w:val="25"/>
  </w:num>
  <w:num w:numId="16" w16cid:durableId="213080818">
    <w:abstractNumId w:val="19"/>
  </w:num>
  <w:num w:numId="17" w16cid:durableId="2106531592">
    <w:abstractNumId w:val="10"/>
  </w:num>
  <w:num w:numId="18" w16cid:durableId="655495160">
    <w:abstractNumId w:val="28"/>
  </w:num>
  <w:num w:numId="19" w16cid:durableId="1323460901">
    <w:abstractNumId w:val="0"/>
  </w:num>
  <w:num w:numId="20" w16cid:durableId="2036223450">
    <w:abstractNumId w:val="29"/>
  </w:num>
  <w:num w:numId="21" w16cid:durableId="943345367">
    <w:abstractNumId w:val="20"/>
  </w:num>
  <w:num w:numId="22" w16cid:durableId="410398236">
    <w:abstractNumId w:val="14"/>
  </w:num>
  <w:num w:numId="23" w16cid:durableId="1162888261">
    <w:abstractNumId w:val="30"/>
  </w:num>
  <w:num w:numId="24" w16cid:durableId="2143648910">
    <w:abstractNumId w:val="15"/>
  </w:num>
  <w:num w:numId="25" w16cid:durableId="703019894">
    <w:abstractNumId w:val="35"/>
  </w:num>
  <w:num w:numId="26" w16cid:durableId="1331954464">
    <w:abstractNumId w:val="39"/>
  </w:num>
  <w:num w:numId="27" w16cid:durableId="1821070594">
    <w:abstractNumId w:val="23"/>
  </w:num>
  <w:num w:numId="28" w16cid:durableId="1853764659">
    <w:abstractNumId w:val="36"/>
  </w:num>
  <w:num w:numId="29" w16cid:durableId="1448743945">
    <w:abstractNumId w:val="42"/>
  </w:num>
  <w:num w:numId="30" w16cid:durableId="1520855215">
    <w:abstractNumId w:val="31"/>
  </w:num>
  <w:num w:numId="31" w16cid:durableId="629015592">
    <w:abstractNumId w:val="3"/>
  </w:num>
  <w:num w:numId="32" w16cid:durableId="284045639">
    <w:abstractNumId w:val="2"/>
  </w:num>
  <w:num w:numId="33" w16cid:durableId="615646368">
    <w:abstractNumId w:val="33"/>
  </w:num>
  <w:num w:numId="34" w16cid:durableId="95059613">
    <w:abstractNumId w:val="9"/>
  </w:num>
  <w:num w:numId="35" w16cid:durableId="1169247297">
    <w:abstractNumId w:val="7"/>
  </w:num>
  <w:num w:numId="36" w16cid:durableId="753160230">
    <w:abstractNumId w:val="5"/>
  </w:num>
  <w:num w:numId="37" w16cid:durableId="1326324509">
    <w:abstractNumId w:val="34"/>
  </w:num>
  <w:num w:numId="38" w16cid:durableId="895896462">
    <w:abstractNumId w:val="27"/>
  </w:num>
  <w:num w:numId="39" w16cid:durableId="1772311260">
    <w:abstractNumId w:val="41"/>
  </w:num>
  <w:num w:numId="40" w16cid:durableId="1246766112">
    <w:abstractNumId w:val="43"/>
  </w:num>
  <w:num w:numId="41" w16cid:durableId="184877440">
    <w:abstractNumId w:val="16"/>
  </w:num>
  <w:num w:numId="42" w16cid:durableId="439952112">
    <w:abstractNumId w:val="13"/>
  </w:num>
  <w:num w:numId="43" w16cid:durableId="1368681647">
    <w:abstractNumId w:val="24"/>
  </w:num>
  <w:num w:numId="44" w16cid:durableId="461656499">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E2"/>
    <w:rsid w:val="00000E5F"/>
    <w:rsid w:val="00003D2B"/>
    <w:rsid w:val="00003E45"/>
    <w:rsid w:val="00004557"/>
    <w:rsid w:val="00006544"/>
    <w:rsid w:val="00011E7E"/>
    <w:rsid w:val="00012182"/>
    <w:rsid w:val="0001378F"/>
    <w:rsid w:val="000163F3"/>
    <w:rsid w:val="0001662A"/>
    <w:rsid w:val="00016879"/>
    <w:rsid w:val="00020AA9"/>
    <w:rsid w:val="00020F7B"/>
    <w:rsid w:val="00024005"/>
    <w:rsid w:val="00024B60"/>
    <w:rsid w:val="00024E3F"/>
    <w:rsid w:val="000315E0"/>
    <w:rsid w:val="00032D1A"/>
    <w:rsid w:val="00034349"/>
    <w:rsid w:val="000364F8"/>
    <w:rsid w:val="0005226C"/>
    <w:rsid w:val="00055347"/>
    <w:rsid w:val="00055774"/>
    <w:rsid w:val="00056056"/>
    <w:rsid w:val="00061E18"/>
    <w:rsid w:val="00066061"/>
    <w:rsid w:val="00067BF5"/>
    <w:rsid w:val="00067FDE"/>
    <w:rsid w:val="000706CE"/>
    <w:rsid w:val="0007141A"/>
    <w:rsid w:val="0007230F"/>
    <w:rsid w:val="00072F44"/>
    <w:rsid w:val="0007365B"/>
    <w:rsid w:val="00077E01"/>
    <w:rsid w:val="00080E7D"/>
    <w:rsid w:val="00081B87"/>
    <w:rsid w:val="00081BB0"/>
    <w:rsid w:val="00082E08"/>
    <w:rsid w:val="0008552A"/>
    <w:rsid w:val="00090055"/>
    <w:rsid w:val="0009017D"/>
    <w:rsid w:val="000908C8"/>
    <w:rsid w:val="00090EF2"/>
    <w:rsid w:val="000927E2"/>
    <w:rsid w:val="00093FDF"/>
    <w:rsid w:val="000A0D24"/>
    <w:rsid w:val="000A1970"/>
    <w:rsid w:val="000A3B7F"/>
    <w:rsid w:val="000A595D"/>
    <w:rsid w:val="000A69E0"/>
    <w:rsid w:val="000A7BE3"/>
    <w:rsid w:val="000A7C9C"/>
    <w:rsid w:val="000B02EE"/>
    <w:rsid w:val="000B1EE7"/>
    <w:rsid w:val="000B6C15"/>
    <w:rsid w:val="000B73CF"/>
    <w:rsid w:val="000B7D22"/>
    <w:rsid w:val="000C1859"/>
    <w:rsid w:val="000C22CB"/>
    <w:rsid w:val="000C28B9"/>
    <w:rsid w:val="000C291F"/>
    <w:rsid w:val="000C4A5D"/>
    <w:rsid w:val="000C4B3E"/>
    <w:rsid w:val="000C5566"/>
    <w:rsid w:val="000C7A1E"/>
    <w:rsid w:val="000D2129"/>
    <w:rsid w:val="000D2F7D"/>
    <w:rsid w:val="000D30AE"/>
    <w:rsid w:val="000D596A"/>
    <w:rsid w:val="000D654B"/>
    <w:rsid w:val="000E078D"/>
    <w:rsid w:val="000E24A0"/>
    <w:rsid w:val="000E494D"/>
    <w:rsid w:val="000E5ED0"/>
    <w:rsid w:val="000E6ADB"/>
    <w:rsid w:val="000F0A98"/>
    <w:rsid w:val="000F1E54"/>
    <w:rsid w:val="000F3962"/>
    <w:rsid w:val="000F45BA"/>
    <w:rsid w:val="000F524C"/>
    <w:rsid w:val="000F706F"/>
    <w:rsid w:val="001003EA"/>
    <w:rsid w:val="00102EDF"/>
    <w:rsid w:val="00103086"/>
    <w:rsid w:val="00103A68"/>
    <w:rsid w:val="00104802"/>
    <w:rsid w:val="001108BB"/>
    <w:rsid w:val="00112E7E"/>
    <w:rsid w:val="00115952"/>
    <w:rsid w:val="00117E25"/>
    <w:rsid w:val="00120F52"/>
    <w:rsid w:val="001248B3"/>
    <w:rsid w:val="0013056D"/>
    <w:rsid w:val="00135B06"/>
    <w:rsid w:val="00136AF4"/>
    <w:rsid w:val="00141A87"/>
    <w:rsid w:val="00151C0C"/>
    <w:rsid w:val="0015349F"/>
    <w:rsid w:val="00154047"/>
    <w:rsid w:val="0015413E"/>
    <w:rsid w:val="00156CB9"/>
    <w:rsid w:val="001600D4"/>
    <w:rsid w:val="001601CB"/>
    <w:rsid w:val="001649FE"/>
    <w:rsid w:val="0017263B"/>
    <w:rsid w:val="0017320F"/>
    <w:rsid w:val="00174C3A"/>
    <w:rsid w:val="00174D4F"/>
    <w:rsid w:val="00175150"/>
    <w:rsid w:val="0017651B"/>
    <w:rsid w:val="00176D71"/>
    <w:rsid w:val="00177DD0"/>
    <w:rsid w:val="001800B9"/>
    <w:rsid w:val="0018480A"/>
    <w:rsid w:val="0019156F"/>
    <w:rsid w:val="00195361"/>
    <w:rsid w:val="00195C9F"/>
    <w:rsid w:val="00197645"/>
    <w:rsid w:val="001A0FF8"/>
    <w:rsid w:val="001A3526"/>
    <w:rsid w:val="001A665B"/>
    <w:rsid w:val="001A72A0"/>
    <w:rsid w:val="001A762C"/>
    <w:rsid w:val="001B11B7"/>
    <w:rsid w:val="001B18D6"/>
    <w:rsid w:val="001B6920"/>
    <w:rsid w:val="001B69E4"/>
    <w:rsid w:val="001B7C04"/>
    <w:rsid w:val="001C1238"/>
    <w:rsid w:val="001C168A"/>
    <w:rsid w:val="001C2008"/>
    <w:rsid w:val="001C26B2"/>
    <w:rsid w:val="001C42F4"/>
    <w:rsid w:val="001C6344"/>
    <w:rsid w:val="001D3289"/>
    <w:rsid w:val="001D4CF8"/>
    <w:rsid w:val="001D5511"/>
    <w:rsid w:val="001E1680"/>
    <w:rsid w:val="001E169E"/>
    <w:rsid w:val="001E223C"/>
    <w:rsid w:val="001E4FB1"/>
    <w:rsid w:val="001E5F09"/>
    <w:rsid w:val="001F00B1"/>
    <w:rsid w:val="001F1A69"/>
    <w:rsid w:val="001F4807"/>
    <w:rsid w:val="001F4E4A"/>
    <w:rsid w:val="001F76A8"/>
    <w:rsid w:val="0020003F"/>
    <w:rsid w:val="002026B9"/>
    <w:rsid w:val="0020627B"/>
    <w:rsid w:val="00212BA0"/>
    <w:rsid w:val="002146F3"/>
    <w:rsid w:val="00215EAE"/>
    <w:rsid w:val="00224160"/>
    <w:rsid w:val="00224680"/>
    <w:rsid w:val="00224D52"/>
    <w:rsid w:val="002255EF"/>
    <w:rsid w:val="00226A78"/>
    <w:rsid w:val="00236A5D"/>
    <w:rsid w:val="002409E2"/>
    <w:rsid w:val="0024123C"/>
    <w:rsid w:val="0024174D"/>
    <w:rsid w:val="002431D4"/>
    <w:rsid w:val="002452B9"/>
    <w:rsid w:val="00245B54"/>
    <w:rsid w:val="00247DAF"/>
    <w:rsid w:val="00251E48"/>
    <w:rsid w:val="00252516"/>
    <w:rsid w:val="00260BF7"/>
    <w:rsid w:val="00263A0E"/>
    <w:rsid w:val="00264E8A"/>
    <w:rsid w:val="00265EE3"/>
    <w:rsid w:val="0027499C"/>
    <w:rsid w:val="00281BC8"/>
    <w:rsid w:val="00283001"/>
    <w:rsid w:val="002833CE"/>
    <w:rsid w:val="00285C2D"/>
    <w:rsid w:val="0028792C"/>
    <w:rsid w:val="00292BD2"/>
    <w:rsid w:val="0029534B"/>
    <w:rsid w:val="00295879"/>
    <w:rsid w:val="00295FD2"/>
    <w:rsid w:val="002973BD"/>
    <w:rsid w:val="00297921"/>
    <w:rsid w:val="002A0453"/>
    <w:rsid w:val="002A4833"/>
    <w:rsid w:val="002A71BE"/>
    <w:rsid w:val="002A7505"/>
    <w:rsid w:val="002A7C9F"/>
    <w:rsid w:val="002B09D3"/>
    <w:rsid w:val="002B34A1"/>
    <w:rsid w:val="002B3D3D"/>
    <w:rsid w:val="002B3E91"/>
    <w:rsid w:val="002D12C2"/>
    <w:rsid w:val="002D1C9A"/>
    <w:rsid w:val="002D27BB"/>
    <w:rsid w:val="002D2BD1"/>
    <w:rsid w:val="002D50D9"/>
    <w:rsid w:val="002D52F2"/>
    <w:rsid w:val="002E1E5F"/>
    <w:rsid w:val="002E3D8E"/>
    <w:rsid w:val="002F1718"/>
    <w:rsid w:val="002F184D"/>
    <w:rsid w:val="002F30E3"/>
    <w:rsid w:val="002F7A16"/>
    <w:rsid w:val="00300E22"/>
    <w:rsid w:val="00305A2A"/>
    <w:rsid w:val="003127B2"/>
    <w:rsid w:val="00313F7B"/>
    <w:rsid w:val="003142FC"/>
    <w:rsid w:val="003144FE"/>
    <w:rsid w:val="00315024"/>
    <w:rsid w:val="0031509E"/>
    <w:rsid w:val="00315FDF"/>
    <w:rsid w:val="00317D63"/>
    <w:rsid w:val="00322342"/>
    <w:rsid w:val="00323F65"/>
    <w:rsid w:val="003240D9"/>
    <w:rsid w:val="00324221"/>
    <w:rsid w:val="00324727"/>
    <w:rsid w:val="00325171"/>
    <w:rsid w:val="00325822"/>
    <w:rsid w:val="0032684D"/>
    <w:rsid w:val="003304DE"/>
    <w:rsid w:val="00334213"/>
    <w:rsid w:val="00341257"/>
    <w:rsid w:val="00343B8A"/>
    <w:rsid w:val="00350788"/>
    <w:rsid w:val="003525AF"/>
    <w:rsid w:val="003534C8"/>
    <w:rsid w:val="00353DC1"/>
    <w:rsid w:val="0035454A"/>
    <w:rsid w:val="00354ABC"/>
    <w:rsid w:val="00355B15"/>
    <w:rsid w:val="003560A4"/>
    <w:rsid w:val="00361419"/>
    <w:rsid w:val="003648EF"/>
    <w:rsid w:val="00365D79"/>
    <w:rsid w:val="003670E9"/>
    <w:rsid w:val="003678A4"/>
    <w:rsid w:val="00371430"/>
    <w:rsid w:val="00373AAD"/>
    <w:rsid w:val="00375B88"/>
    <w:rsid w:val="003802A7"/>
    <w:rsid w:val="00382782"/>
    <w:rsid w:val="00386674"/>
    <w:rsid w:val="003919F3"/>
    <w:rsid w:val="00392A97"/>
    <w:rsid w:val="0039411A"/>
    <w:rsid w:val="00394395"/>
    <w:rsid w:val="00395479"/>
    <w:rsid w:val="003A02CE"/>
    <w:rsid w:val="003A082E"/>
    <w:rsid w:val="003A3C44"/>
    <w:rsid w:val="003A5AAA"/>
    <w:rsid w:val="003A69A3"/>
    <w:rsid w:val="003B2163"/>
    <w:rsid w:val="003B3241"/>
    <w:rsid w:val="003B67A9"/>
    <w:rsid w:val="003C0092"/>
    <w:rsid w:val="003C0248"/>
    <w:rsid w:val="003C2694"/>
    <w:rsid w:val="003C3119"/>
    <w:rsid w:val="003C37CE"/>
    <w:rsid w:val="003C761C"/>
    <w:rsid w:val="003D1254"/>
    <w:rsid w:val="003D169A"/>
    <w:rsid w:val="003D28F4"/>
    <w:rsid w:val="003D31DC"/>
    <w:rsid w:val="003D3FAA"/>
    <w:rsid w:val="003D44A6"/>
    <w:rsid w:val="003D6155"/>
    <w:rsid w:val="003D6AC3"/>
    <w:rsid w:val="003E2CDA"/>
    <w:rsid w:val="003E510C"/>
    <w:rsid w:val="003F1EDB"/>
    <w:rsid w:val="003F4C56"/>
    <w:rsid w:val="003F59A6"/>
    <w:rsid w:val="00400FDD"/>
    <w:rsid w:val="004014B1"/>
    <w:rsid w:val="00402FCB"/>
    <w:rsid w:val="00407067"/>
    <w:rsid w:val="004100CF"/>
    <w:rsid w:val="00410A73"/>
    <w:rsid w:val="00410E7C"/>
    <w:rsid w:val="00413998"/>
    <w:rsid w:val="00417CE5"/>
    <w:rsid w:val="004216F9"/>
    <w:rsid w:val="00422B83"/>
    <w:rsid w:val="00422CC4"/>
    <w:rsid w:val="00426225"/>
    <w:rsid w:val="00427AC0"/>
    <w:rsid w:val="004314BF"/>
    <w:rsid w:val="004329E2"/>
    <w:rsid w:val="00434B66"/>
    <w:rsid w:val="00440754"/>
    <w:rsid w:val="00440EC1"/>
    <w:rsid w:val="00441EC1"/>
    <w:rsid w:val="00443A05"/>
    <w:rsid w:val="00450A13"/>
    <w:rsid w:val="00450F34"/>
    <w:rsid w:val="004517B9"/>
    <w:rsid w:val="00452CE2"/>
    <w:rsid w:val="004535EC"/>
    <w:rsid w:val="00455EC0"/>
    <w:rsid w:val="00457306"/>
    <w:rsid w:val="00457D06"/>
    <w:rsid w:val="004675ED"/>
    <w:rsid w:val="00467996"/>
    <w:rsid w:val="00467D1F"/>
    <w:rsid w:val="0047013B"/>
    <w:rsid w:val="00470D6C"/>
    <w:rsid w:val="0047240C"/>
    <w:rsid w:val="00474D2C"/>
    <w:rsid w:val="0047732E"/>
    <w:rsid w:val="00482775"/>
    <w:rsid w:val="00484EED"/>
    <w:rsid w:val="00490A0B"/>
    <w:rsid w:val="00490A2A"/>
    <w:rsid w:val="00491632"/>
    <w:rsid w:val="004925B3"/>
    <w:rsid w:val="004969C8"/>
    <w:rsid w:val="004A0831"/>
    <w:rsid w:val="004A1066"/>
    <w:rsid w:val="004A118D"/>
    <w:rsid w:val="004A15E9"/>
    <w:rsid w:val="004A2669"/>
    <w:rsid w:val="004A59A7"/>
    <w:rsid w:val="004A62B4"/>
    <w:rsid w:val="004B0C64"/>
    <w:rsid w:val="004B298E"/>
    <w:rsid w:val="004B2E05"/>
    <w:rsid w:val="004B3BC4"/>
    <w:rsid w:val="004B4297"/>
    <w:rsid w:val="004B5FC4"/>
    <w:rsid w:val="004B6A9A"/>
    <w:rsid w:val="004B7729"/>
    <w:rsid w:val="004C1BB2"/>
    <w:rsid w:val="004C3D0F"/>
    <w:rsid w:val="004C6B55"/>
    <w:rsid w:val="004C7B8D"/>
    <w:rsid w:val="004D075B"/>
    <w:rsid w:val="004D32B6"/>
    <w:rsid w:val="004D3BBE"/>
    <w:rsid w:val="004D4D76"/>
    <w:rsid w:val="004D52BD"/>
    <w:rsid w:val="004D71CA"/>
    <w:rsid w:val="004E0178"/>
    <w:rsid w:val="004E048F"/>
    <w:rsid w:val="004E1C0F"/>
    <w:rsid w:val="004E3559"/>
    <w:rsid w:val="004E38E5"/>
    <w:rsid w:val="004F3775"/>
    <w:rsid w:val="004F6F63"/>
    <w:rsid w:val="00500DFC"/>
    <w:rsid w:val="00501F47"/>
    <w:rsid w:val="00506EB1"/>
    <w:rsid w:val="00515408"/>
    <w:rsid w:val="005159D1"/>
    <w:rsid w:val="005168E1"/>
    <w:rsid w:val="00517B94"/>
    <w:rsid w:val="005235A1"/>
    <w:rsid w:val="00523EE0"/>
    <w:rsid w:val="00523FFA"/>
    <w:rsid w:val="00524DCF"/>
    <w:rsid w:val="00527EF8"/>
    <w:rsid w:val="0053248A"/>
    <w:rsid w:val="00533534"/>
    <w:rsid w:val="0053550C"/>
    <w:rsid w:val="005375D7"/>
    <w:rsid w:val="00537986"/>
    <w:rsid w:val="00541910"/>
    <w:rsid w:val="00541A42"/>
    <w:rsid w:val="0054578F"/>
    <w:rsid w:val="005459E9"/>
    <w:rsid w:val="00550B5C"/>
    <w:rsid w:val="00552212"/>
    <w:rsid w:val="0055237D"/>
    <w:rsid w:val="0055301E"/>
    <w:rsid w:val="00555C37"/>
    <w:rsid w:val="00556926"/>
    <w:rsid w:val="00560AC4"/>
    <w:rsid w:val="005668A3"/>
    <w:rsid w:val="00567B49"/>
    <w:rsid w:val="0057220A"/>
    <w:rsid w:val="00580AE5"/>
    <w:rsid w:val="00583723"/>
    <w:rsid w:val="005854D1"/>
    <w:rsid w:val="00591FD7"/>
    <w:rsid w:val="00592DDD"/>
    <w:rsid w:val="005A1148"/>
    <w:rsid w:val="005A151B"/>
    <w:rsid w:val="005A441B"/>
    <w:rsid w:val="005A7EE0"/>
    <w:rsid w:val="005B0EA8"/>
    <w:rsid w:val="005B36C9"/>
    <w:rsid w:val="005B3A8D"/>
    <w:rsid w:val="005B53BB"/>
    <w:rsid w:val="005C28FF"/>
    <w:rsid w:val="005C5CF0"/>
    <w:rsid w:val="005D04D7"/>
    <w:rsid w:val="005D0570"/>
    <w:rsid w:val="005D367F"/>
    <w:rsid w:val="005D3AB9"/>
    <w:rsid w:val="005D3B7B"/>
    <w:rsid w:val="005E0B81"/>
    <w:rsid w:val="005E0C0C"/>
    <w:rsid w:val="005E469F"/>
    <w:rsid w:val="005E7BA9"/>
    <w:rsid w:val="005F02DF"/>
    <w:rsid w:val="005F0A7F"/>
    <w:rsid w:val="005F3058"/>
    <w:rsid w:val="005F38C5"/>
    <w:rsid w:val="005F517A"/>
    <w:rsid w:val="00601B52"/>
    <w:rsid w:val="00601D86"/>
    <w:rsid w:val="006020A0"/>
    <w:rsid w:val="00602D01"/>
    <w:rsid w:val="006030BD"/>
    <w:rsid w:val="00603E8D"/>
    <w:rsid w:val="0061023E"/>
    <w:rsid w:val="006108AE"/>
    <w:rsid w:val="0061114A"/>
    <w:rsid w:val="00615FE1"/>
    <w:rsid w:val="00620BA9"/>
    <w:rsid w:val="00620CA9"/>
    <w:rsid w:val="006235CB"/>
    <w:rsid w:val="00623C71"/>
    <w:rsid w:val="00624369"/>
    <w:rsid w:val="00624634"/>
    <w:rsid w:val="00625063"/>
    <w:rsid w:val="006253EC"/>
    <w:rsid w:val="00625DC0"/>
    <w:rsid w:val="006277B2"/>
    <w:rsid w:val="006305E3"/>
    <w:rsid w:val="006350EE"/>
    <w:rsid w:val="00640FE1"/>
    <w:rsid w:val="00641CB3"/>
    <w:rsid w:val="00641DB8"/>
    <w:rsid w:val="00642608"/>
    <w:rsid w:val="00642ED2"/>
    <w:rsid w:val="00643991"/>
    <w:rsid w:val="00645480"/>
    <w:rsid w:val="006465CB"/>
    <w:rsid w:val="00647D65"/>
    <w:rsid w:val="0065193F"/>
    <w:rsid w:val="006523E4"/>
    <w:rsid w:val="00662163"/>
    <w:rsid w:val="006633E0"/>
    <w:rsid w:val="00675158"/>
    <w:rsid w:val="00680971"/>
    <w:rsid w:val="00680C12"/>
    <w:rsid w:val="006822E8"/>
    <w:rsid w:val="00682D51"/>
    <w:rsid w:val="00683059"/>
    <w:rsid w:val="00685FD5"/>
    <w:rsid w:val="00686201"/>
    <w:rsid w:val="006865DF"/>
    <w:rsid w:val="00686AB7"/>
    <w:rsid w:val="00686D8E"/>
    <w:rsid w:val="00691D01"/>
    <w:rsid w:val="00692407"/>
    <w:rsid w:val="00693796"/>
    <w:rsid w:val="00693A12"/>
    <w:rsid w:val="00693C66"/>
    <w:rsid w:val="006969F9"/>
    <w:rsid w:val="006A2690"/>
    <w:rsid w:val="006A51B0"/>
    <w:rsid w:val="006A660F"/>
    <w:rsid w:val="006A715C"/>
    <w:rsid w:val="006A7368"/>
    <w:rsid w:val="006A7F49"/>
    <w:rsid w:val="006B1586"/>
    <w:rsid w:val="006B217A"/>
    <w:rsid w:val="006B2E6F"/>
    <w:rsid w:val="006B5DBA"/>
    <w:rsid w:val="006B7431"/>
    <w:rsid w:val="006C02EB"/>
    <w:rsid w:val="006C2194"/>
    <w:rsid w:val="006C290F"/>
    <w:rsid w:val="006C62BB"/>
    <w:rsid w:val="006D0CAF"/>
    <w:rsid w:val="006D0DA6"/>
    <w:rsid w:val="006D2158"/>
    <w:rsid w:val="006D2302"/>
    <w:rsid w:val="006D3AE2"/>
    <w:rsid w:val="006D4423"/>
    <w:rsid w:val="006D6632"/>
    <w:rsid w:val="006E45A8"/>
    <w:rsid w:val="006E50A1"/>
    <w:rsid w:val="006E74A7"/>
    <w:rsid w:val="006F06A1"/>
    <w:rsid w:val="006F1421"/>
    <w:rsid w:val="006F1D0E"/>
    <w:rsid w:val="006F3C05"/>
    <w:rsid w:val="007056EF"/>
    <w:rsid w:val="00710227"/>
    <w:rsid w:val="00711843"/>
    <w:rsid w:val="007121C2"/>
    <w:rsid w:val="00716543"/>
    <w:rsid w:val="00723333"/>
    <w:rsid w:val="007237A9"/>
    <w:rsid w:val="00724EC3"/>
    <w:rsid w:val="00726184"/>
    <w:rsid w:val="00727E2E"/>
    <w:rsid w:val="007311EB"/>
    <w:rsid w:val="0073454B"/>
    <w:rsid w:val="00734736"/>
    <w:rsid w:val="00734753"/>
    <w:rsid w:val="00735126"/>
    <w:rsid w:val="00735295"/>
    <w:rsid w:val="00742560"/>
    <w:rsid w:val="007425C4"/>
    <w:rsid w:val="007469BA"/>
    <w:rsid w:val="00751F19"/>
    <w:rsid w:val="00752CE1"/>
    <w:rsid w:val="00756345"/>
    <w:rsid w:val="007643AA"/>
    <w:rsid w:val="00767A57"/>
    <w:rsid w:val="00770EFB"/>
    <w:rsid w:val="00772C95"/>
    <w:rsid w:val="00777E1D"/>
    <w:rsid w:val="0078623A"/>
    <w:rsid w:val="007869A2"/>
    <w:rsid w:val="00790970"/>
    <w:rsid w:val="00790F07"/>
    <w:rsid w:val="00791541"/>
    <w:rsid w:val="00792B9C"/>
    <w:rsid w:val="0079610B"/>
    <w:rsid w:val="00796732"/>
    <w:rsid w:val="00797952"/>
    <w:rsid w:val="007A0E50"/>
    <w:rsid w:val="007A1FB2"/>
    <w:rsid w:val="007A2AC8"/>
    <w:rsid w:val="007A4506"/>
    <w:rsid w:val="007A4C50"/>
    <w:rsid w:val="007A6DC0"/>
    <w:rsid w:val="007B0183"/>
    <w:rsid w:val="007B2D6F"/>
    <w:rsid w:val="007B745E"/>
    <w:rsid w:val="007B78BD"/>
    <w:rsid w:val="007C0537"/>
    <w:rsid w:val="007C3973"/>
    <w:rsid w:val="007C658F"/>
    <w:rsid w:val="007D0420"/>
    <w:rsid w:val="007D09A4"/>
    <w:rsid w:val="007D30EF"/>
    <w:rsid w:val="007D36FB"/>
    <w:rsid w:val="007D41B2"/>
    <w:rsid w:val="007D4401"/>
    <w:rsid w:val="007D5CEF"/>
    <w:rsid w:val="007D6B6C"/>
    <w:rsid w:val="007E22E8"/>
    <w:rsid w:val="007E3ABC"/>
    <w:rsid w:val="007E3B68"/>
    <w:rsid w:val="007F4869"/>
    <w:rsid w:val="007F5BD2"/>
    <w:rsid w:val="007F5C3F"/>
    <w:rsid w:val="007F6307"/>
    <w:rsid w:val="00800499"/>
    <w:rsid w:val="008047C0"/>
    <w:rsid w:val="00805C1C"/>
    <w:rsid w:val="00807845"/>
    <w:rsid w:val="008126E7"/>
    <w:rsid w:val="0081586F"/>
    <w:rsid w:val="00817E64"/>
    <w:rsid w:val="00820001"/>
    <w:rsid w:val="008203FD"/>
    <w:rsid w:val="00820D77"/>
    <w:rsid w:val="008217F8"/>
    <w:rsid w:val="008226D2"/>
    <w:rsid w:val="008352A4"/>
    <w:rsid w:val="00844254"/>
    <w:rsid w:val="00845F8C"/>
    <w:rsid w:val="008469B2"/>
    <w:rsid w:val="00847F50"/>
    <w:rsid w:val="00853925"/>
    <w:rsid w:val="00857593"/>
    <w:rsid w:val="0086029F"/>
    <w:rsid w:val="00860C84"/>
    <w:rsid w:val="00862053"/>
    <w:rsid w:val="0086344C"/>
    <w:rsid w:val="00864008"/>
    <w:rsid w:val="0087147F"/>
    <w:rsid w:val="00872881"/>
    <w:rsid w:val="00873622"/>
    <w:rsid w:val="00875AB0"/>
    <w:rsid w:val="0087603D"/>
    <w:rsid w:val="00877A20"/>
    <w:rsid w:val="00877CBA"/>
    <w:rsid w:val="0088029B"/>
    <w:rsid w:val="00881B2D"/>
    <w:rsid w:val="0088358C"/>
    <w:rsid w:val="0088379D"/>
    <w:rsid w:val="008851CF"/>
    <w:rsid w:val="00886FA7"/>
    <w:rsid w:val="008909CC"/>
    <w:rsid w:val="008927AE"/>
    <w:rsid w:val="0089440E"/>
    <w:rsid w:val="008959BC"/>
    <w:rsid w:val="0089606B"/>
    <w:rsid w:val="008A0382"/>
    <w:rsid w:val="008A3230"/>
    <w:rsid w:val="008A363B"/>
    <w:rsid w:val="008A429F"/>
    <w:rsid w:val="008A7A5E"/>
    <w:rsid w:val="008B3BFD"/>
    <w:rsid w:val="008B6C59"/>
    <w:rsid w:val="008B7002"/>
    <w:rsid w:val="008C2BC6"/>
    <w:rsid w:val="008C4DBA"/>
    <w:rsid w:val="008C5554"/>
    <w:rsid w:val="008C593E"/>
    <w:rsid w:val="008C66A2"/>
    <w:rsid w:val="008D2192"/>
    <w:rsid w:val="008D371F"/>
    <w:rsid w:val="008D4389"/>
    <w:rsid w:val="008E0A78"/>
    <w:rsid w:val="008E3AC8"/>
    <w:rsid w:val="008E514B"/>
    <w:rsid w:val="008E7C8F"/>
    <w:rsid w:val="008F04FB"/>
    <w:rsid w:val="00900814"/>
    <w:rsid w:val="00900F78"/>
    <w:rsid w:val="009047DF"/>
    <w:rsid w:val="00905169"/>
    <w:rsid w:val="00905B19"/>
    <w:rsid w:val="00905BBF"/>
    <w:rsid w:val="009069B1"/>
    <w:rsid w:val="009070AA"/>
    <w:rsid w:val="00907C8A"/>
    <w:rsid w:val="00913CB4"/>
    <w:rsid w:val="009147EA"/>
    <w:rsid w:val="00917CD7"/>
    <w:rsid w:val="0092593F"/>
    <w:rsid w:val="009345DA"/>
    <w:rsid w:val="00936545"/>
    <w:rsid w:val="0094140C"/>
    <w:rsid w:val="00941935"/>
    <w:rsid w:val="0094208F"/>
    <w:rsid w:val="009508D4"/>
    <w:rsid w:val="00951123"/>
    <w:rsid w:val="00952640"/>
    <w:rsid w:val="00952E4D"/>
    <w:rsid w:val="00953208"/>
    <w:rsid w:val="009532C8"/>
    <w:rsid w:val="00954227"/>
    <w:rsid w:val="00962472"/>
    <w:rsid w:val="00966A9F"/>
    <w:rsid w:val="00974E44"/>
    <w:rsid w:val="009759A8"/>
    <w:rsid w:val="0098014E"/>
    <w:rsid w:val="00980756"/>
    <w:rsid w:val="00980A76"/>
    <w:rsid w:val="00984431"/>
    <w:rsid w:val="009906FC"/>
    <w:rsid w:val="00992E5D"/>
    <w:rsid w:val="00996DB9"/>
    <w:rsid w:val="009A1633"/>
    <w:rsid w:val="009A5468"/>
    <w:rsid w:val="009A64F2"/>
    <w:rsid w:val="009B2DC9"/>
    <w:rsid w:val="009B2F97"/>
    <w:rsid w:val="009B31FB"/>
    <w:rsid w:val="009B34F6"/>
    <w:rsid w:val="009C56BF"/>
    <w:rsid w:val="009C7919"/>
    <w:rsid w:val="009C7E1D"/>
    <w:rsid w:val="009D1318"/>
    <w:rsid w:val="009D2F8B"/>
    <w:rsid w:val="009D47A4"/>
    <w:rsid w:val="009D4A31"/>
    <w:rsid w:val="009D7359"/>
    <w:rsid w:val="009E198C"/>
    <w:rsid w:val="009E2676"/>
    <w:rsid w:val="009E4010"/>
    <w:rsid w:val="009E6A4A"/>
    <w:rsid w:val="009E6B4D"/>
    <w:rsid w:val="009E72D5"/>
    <w:rsid w:val="009E7905"/>
    <w:rsid w:val="009E7DE7"/>
    <w:rsid w:val="009F2D92"/>
    <w:rsid w:val="009F43F9"/>
    <w:rsid w:val="009F61BB"/>
    <w:rsid w:val="009F74CF"/>
    <w:rsid w:val="00A02364"/>
    <w:rsid w:val="00A04A8E"/>
    <w:rsid w:val="00A052CD"/>
    <w:rsid w:val="00A10869"/>
    <w:rsid w:val="00A114F4"/>
    <w:rsid w:val="00A128EF"/>
    <w:rsid w:val="00A13991"/>
    <w:rsid w:val="00A1401E"/>
    <w:rsid w:val="00A14F2A"/>
    <w:rsid w:val="00A1787C"/>
    <w:rsid w:val="00A2034E"/>
    <w:rsid w:val="00A216D2"/>
    <w:rsid w:val="00A22B61"/>
    <w:rsid w:val="00A24D53"/>
    <w:rsid w:val="00A25FAB"/>
    <w:rsid w:val="00A26D59"/>
    <w:rsid w:val="00A27E08"/>
    <w:rsid w:val="00A3075D"/>
    <w:rsid w:val="00A32760"/>
    <w:rsid w:val="00A334A7"/>
    <w:rsid w:val="00A445D2"/>
    <w:rsid w:val="00A44F45"/>
    <w:rsid w:val="00A47715"/>
    <w:rsid w:val="00A573C5"/>
    <w:rsid w:val="00A5753C"/>
    <w:rsid w:val="00A60A09"/>
    <w:rsid w:val="00A625FE"/>
    <w:rsid w:val="00A62686"/>
    <w:rsid w:val="00A62B66"/>
    <w:rsid w:val="00A64319"/>
    <w:rsid w:val="00A658E4"/>
    <w:rsid w:val="00A66560"/>
    <w:rsid w:val="00A7213C"/>
    <w:rsid w:val="00A73E7B"/>
    <w:rsid w:val="00A75577"/>
    <w:rsid w:val="00A81126"/>
    <w:rsid w:val="00A839CD"/>
    <w:rsid w:val="00A8433E"/>
    <w:rsid w:val="00A84438"/>
    <w:rsid w:val="00A853AB"/>
    <w:rsid w:val="00A8743E"/>
    <w:rsid w:val="00A905A6"/>
    <w:rsid w:val="00A905C4"/>
    <w:rsid w:val="00A90D76"/>
    <w:rsid w:val="00A928AE"/>
    <w:rsid w:val="00A93E7F"/>
    <w:rsid w:val="00A95F3F"/>
    <w:rsid w:val="00AA645A"/>
    <w:rsid w:val="00AA6E82"/>
    <w:rsid w:val="00AB1B73"/>
    <w:rsid w:val="00AB36DE"/>
    <w:rsid w:val="00AB6FCD"/>
    <w:rsid w:val="00AC0752"/>
    <w:rsid w:val="00AC1C74"/>
    <w:rsid w:val="00AC4860"/>
    <w:rsid w:val="00AC49ED"/>
    <w:rsid w:val="00AC7593"/>
    <w:rsid w:val="00AD165B"/>
    <w:rsid w:val="00AD211E"/>
    <w:rsid w:val="00AD3D89"/>
    <w:rsid w:val="00AD765B"/>
    <w:rsid w:val="00AE0E53"/>
    <w:rsid w:val="00AE3B43"/>
    <w:rsid w:val="00AE47F1"/>
    <w:rsid w:val="00AE60BA"/>
    <w:rsid w:val="00AE6D01"/>
    <w:rsid w:val="00AE72A5"/>
    <w:rsid w:val="00AE79AF"/>
    <w:rsid w:val="00AF0E69"/>
    <w:rsid w:val="00AF34F7"/>
    <w:rsid w:val="00AF7912"/>
    <w:rsid w:val="00B018A2"/>
    <w:rsid w:val="00B04E6B"/>
    <w:rsid w:val="00B0694E"/>
    <w:rsid w:val="00B202D1"/>
    <w:rsid w:val="00B20F3C"/>
    <w:rsid w:val="00B219D7"/>
    <w:rsid w:val="00B21C5D"/>
    <w:rsid w:val="00B25C4B"/>
    <w:rsid w:val="00B26A75"/>
    <w:rsid w:val="00B30E12"/>
    <w:rsid w:val="00B312A7"/>
    <w:rsid w:val="00B329AC"/>
    <w:rsid w:val="00B33D13"/>
    <w:rsid w:val="00B33E7B"/>
    <w:rsid w:val="00B36437"/>
    <w:rsid w:val="00B379B2"/>
    <w:rsid w:val="00B4018E"/>
    <w:rsid w:val="00B4076F"/>
    <w:rsid w:val="00B44193"/>
    <w:rsid w:val="00B45E49"/>
    <w:rsid w:val="00B47226"/>
    <w:rsid w:val="00B475D2"/>
    <w:rsid w:val="00B55256"/>
    <w:rsid w:val="00B567F6"/>
    <w:rsid w:val="00B5732B"/>
    <w:rsid w:val="00B63A6B"/>
    <w:rsid w:val="00B66035"/>
    <w:rsid w:val="00B66AF3"/>
    <w:rsid w:val="00B73FF5"/>
    <w:rsid w:val="00B74C2B"/>
    <w:rsid w:val="00B76409"/>
    <w:rsid w:val="00B810DA"/>
    <w:rsid w:val="00B82205"/>
    <w:rsid w:val="00B82401"/>
    <w:rsid w:val="00B82786"/>
    <w:rsid w:val="00B82B33"/>
    <w:rsid w:val="00B82E1C"/>
    <w:rsid w:val="00B83863"/>
    <w:rsid w:val="00B83D11"/>
    <w:rsid w:val="00B83FE4"/>
    <w:rsid w:val="00B85A61"/>
    <w:rsid w:val="00B90E7E"/>
    <w:rsid w:val="00B90F80"/>
    <w:rsid w:val="00B91AB2"/>
    <w:rsid w:val="00BA0031"/>
    <w:rsid w:val="00BA2280"/>
    <w:rsid w:val="00BA5787"/>
    <w:rsid w:val="00BA59CA"/>
    <w:rsid w:val="00BA6F21"/>
    <w:rsid w:val="00BB127C"/>
    <w:rsid w:val="00BB1AA6"/>
    <w:rsid w:val="00BB1E3B"/>
    <w:rsid w:val="00BB2649"/>
    <w:rsid w:val="00BB50A1"/>
    <w:rsid w:val="00BB7B57"/>
    <w:rsid w:val="00BC35E8"/>
    <w:rsid w:val="00BC46E2"/>
    <w:rsid w:val="00BC54FA"/>
    <w:rsid w:val="00BD0D45"/>
    <w:rsid w:val="00BD649B"/>
    <w:rsid w:val="00BD6BF0"/>
    <w:rsid w:val="00BD6C2D"/>
    <w:rsid w:val="00BD6EE9"/>
    <w:rsid w:val="00BD7541"/>
    <w:rsid w:val="00BE1196"/>
    <w:rsid w:val="00BE2E65"/>
    <w:rsid w:val="00BE3347"/>
    <w:rsid w:val="00BE488E"/>
    <w:rsid w:val="00BE73C0"/>
    <w:rsid w:val="00BF4779"/>
    <w:rsid w:val="00BF4FF2"/>
    <w:rsid w:val="00BF58C9"/>
    <w:rsid w:val="00BF777B"/>
    <w:rsid w:val="00C00465"/>
    <w:rsid w:val="00C01521"/>
    <w:rsid w:val="00C031EC"/>
    <w:rsid w:val="00C071F9"/>
    <w:rsid w:val="00C07253"/>
    <w:rsid w:val="00C105ED"/>
    <w:rsid w:val="00C14151"/>
    <w:rsid w:val="00C141CD"/>
    <w:rsid w:val="00C1461C"/>
    <w:rsid w:val="00C200A3"/>
    <w:rsid w:val="00C2063D"/>
    <w:rsid w:val="00C21938"/>
    <w:rsid w:val="00C21FE8"/>
    <w:rsid w:val="00C2375A"/>
    <w:rsid w:val="00C30735"/>
    <w:rsid w:val="00C32FDB"/>
    <w:rsid w:val="00C42848"/>
    <w:rsid w:val="00C45117"/>
    <w:rsid w:val="00C453A2"/>
    <w:rsid w:val="00C45BB0"/>
    <w:rsid w:val="00C46D0C"/>
    <w:rsid w:val="00C477FB"/>
    <w:rsid w:val="00C51C1B"/>
    <w:rsid w:val="00C542E8"/>
    <w:rsid w:val="00C54C38"/>
    <w:rsid w:val="00C555F8"/>
    <w:rsid w:val="00C561C5"/>
    <w:rsid w:val="00C57233"/>
    <w:rsid w:val="00C60DB9"/>
    <w:rsid w:val="00C628B5"/>
    <w:rsid w:val="00C6533B"/>
    <w:rsid w:val="00C665F7"/>
    <w:rsid w:val="00C7672F"/>
    <w:rsid w:val="00C76A3A"/>
    <w:rsid w:val="00C77DDB"/>
    <w:rsid w:val="00C8270F"/>
    <w:rsid w:val="00C83432"/>
    <w:rsid w:val="00C85DBC"/>
    <w:rsid w:val="00C90332"/>
    <w:rsid w:val="00CA001F"/>
    <w:rsid w:val="00CA31A5"/>
    <w:rsid w:val="00CA38A8"/>
    <w:rsid w:val="00CA39F2"/>
    <w:rsid w:val="00CA5374"/>
    <w:rsid w:val="00CB2671"/>
    <w:rsid w:val="00CB26B3"/>
    <w:rsid w:val="00CB380E"/>
    <w:rsid w:val="00CB3E19"/>
    <w:rsid w:val="00CB523F"/>
    <w:rsid w:val="00CB54D7"/>
    <w:rsid w:val="00CB56C2"/>
    <w:rsid w:val="00CB7573"/>
    <w:rsid w:val="00CC0A3A"/>
    <w:rsid w:val="00CC0E4E"/>
    <w:rsid w:val="00CC5A78"/>
    <w:rsid w:val="00CC624C"/>
    <w:rsid w:val="00CC6C3F"/>
    <w:rsid w:val="00CC6DF7"/>
    <w:rsid w:val="00CD3A2E"/>
    <w:rsid w:val="00CD4D9D"/>
    <w:rsid w:val="00CD7B14"/>
    <w:rsid w:val="00CD7EDA"/>
    <w:rsid w:val="00CE1998"/>
    <w:rsid w:val="00CE2E05"/>
    <w:rsid w:val="00CE3330"/>
    <w:rsid w:val="00CE3959"/>
    <w:rsid w:val="00CE447A"/>
    <w:rsid w:val="00CE4732"/>
    <w:rsid w:val="00CE4BAA"/>
    <w:rsid w:val="00CE5124"/>
    <w:rsid w:val="00CF0B86"/>
    <w:rsid w:val="00CF30C5"/>
    <w:rsid w:val="00CF391D"/>
    <w:rsid w:val="00CF5E35"/>
    <w:rsid w:val="00D01134"/>
    <w:rsid w:val="00D01F20"/>
    <w:rsid w:val="00D06999"/>
    <w:rsid w:val="00D06A99"/>
    <w:rsid w:val="00D1059C"/>
    <w:rsid w:val="00D146CB"/>
    <w:rsid w:val="00D14AD6"/>
    <w:rsid w:val="00D15978"/>
    <w:rsid w:val="00D17574"/>
    <w:rsid w:val="00D17D45"/>
    <w:rsid w:val="00D17D47"/>
    <w:rsid w:val="00D22848"/>
    <w:rsid w:val="00D23F9F"/>
    <w:rsid w:val="00D25D6A"/>
    <w:rsid w:val="00D26144"/>
    <w:rsid w:val="00D277CA"/>
    <w:rsid w:val="00D33718"/>
    <w:rsid w:val="00D33B93"/>
    <w:rsid w:val="00D363D4"/>
    <w:rsid w:val="00D367E0"/>
    <w:rsid w:val="00D37C03"/>
    <w:rsid w:val="00D40DC1"/>
    <w:rsid w:val="00D40FB2"/>
    <w:rsid w:val="00D43CBF"/>
    <w:rsid w:val="00D47285"/>
    <w:rsid w:val="00D5053E"/>
    <w:rsid w:val="00D505B5"/>
    <w:rsid w:val="00D5211F"/>
    <w:rsid w:val="00D526DA"/>
    <w:rsid w:val="00D53CC0"/>
    <w:rsid w:val="00D6392A"/>
    <w:rsid w:val="00D652D9"/>
    <w:rsid w:val="00D65839"/>
    <w:rsid w:val="00D7022D"/>
    <w:rsid w:val="00D743E3"/>
    <w:rsid w:val="00D842D7"/>
    <w:rsid w:val="00D851DA"/>
    <w:rsid w:val="00D8626D"/>
    <w:rsid w:val="00D8786C"/>
    <w:rsid w:val="00D91AC6"/>
    <w:rsid w:val="00D92C05"/>
    <w:rsid w:val="00D9647C"/>
    <w:rsid w:val="00DA0F0D"/>
    <w:rsid w:val="00DA2E4A"/>
    <w:rsid w:val="00DA35C2"/>
    <w:rsid w:val="00DA4229"/>
    <w:rsid w:val="00DB074B"/>
    <w:rsid w:val="00DB42EA"/>
    <w:rsid w:val="00DB55CD"/>
    <w:rsid w:val="00DB5E26"/>
    <w:rsid w:val="00DC1A95"/>
    <w:rsid w:val="00DC2648"/>
    <w:rsid w:val="00DC2862"/>
    <w:rsid w:val="00DC6681"/>
    <w:rsid w:val="00DC68BD"/>
    <w:rsid w:val="00DC7B32"/>
    <w:rsid w:val="00DD0A90"/>
    <w:rsid w:val="00DD2322"/>
    <w:rsid w:val="00DD33D0"/>
    <w:rsid w:val="00DD68B3"/>
    <w:rsid w:val="00DD7472"/>
    <w:rsid w:val="00DE019F"/>
    <w:rsid w:val="00DE1CFF"/>
    <w:rsid w:val="00DE2053"/>
    <w:rsid w:val="00DE3CAF"/>
    <w:rsid w:val="00DE4F28"/>
    <w:rsid w:val="00DE593A"/>
    <w:rsid w:val="00DE6137"/>
    <w:rsid w:val="00DE70A6"/>
    <w:rsid w:val="00DF0F80"/>
    <w:rsid w:val="00DF184A"/>
    <w:rsid w:val="00DF4B7E"/>
    <w:rsid w:val="00E00775"/>
    <w:rsid w:val="00E022B9"/>
    <w:rsid w:val="00E02B58"/>
    <w:rsid w:val="00E0514D"/>
    <w:rsid w:val="00E05F0C"/>
    <w:rsid w:val="00E17A23"/>
    <w:rsid w:val="00E205F3"/>
    <w:rsid w:val="00E21AB7"/>
    <w:rsid w:val="00E27907"/>
    <w:rsid w:val="00E3032F"/>
    <w:rsid w:val="00E3061F"/>
    <w:rsid w:val="00E32C8E"/>
    <w:rsid w:val="00E3532F"/>
    <w:rsid w:val="00E36E9E"/>
    <w:rsid w:val="00E37870"/>
    <w:rsid w:val="00E41D05"/>
    <w:rsid w:val="00E431F7"/>
    <w:rsid w:val="00E43726"/>
    <w:rsid w:val="00E44793"/>
    <w:rsid w:val="00E45BD6"/>
    <w:rsid w:val="00E54791"/>
    <w:rsid w:val="00E548A2"/>
    <w:rsid w:val="00E56951"/>
    <w:rsid w:val="00E61CD5"/>
    <w:rsid w:val="00E6287A"/>
    <w:rsid w:val="00E6483B"/>
    <w:rsid w:val="00E64AD5"/>
    <w:rsid w:val="00E66843"/>
    <w:rsid w:val="00E67222"/>
    <w:rsid w:val="00E7057B"/>
    <w:rsid w:val="00E74E97"/>
    <w:rsid w:val="00E779DB"/>
    <w:rsid w:val="00E83418"/>
    <w:rsid w:val="00E85DC0"/>
    <w:rsid w:val="00E9007B"/>
    <w:rsid w:val="00E926D4"/>
    <w:rsid w:val="00E94552"/>
    <w:rsid w:val="00E966FB"/>
    <w:rsid w:val="00EA1F16"/>
    <w:rsid w:val="00EA31F2"/>
    <w:rsid w:val="00EA6304"/>
    <w:rsid w:val="00EB0CFA"/>
    <w:rsid w:val="00EB0FAB"/>
    <w:rsid w:val="00EB32FE"/>
    <w:rsid w:val="00EB3C31"/>
    <w:rsid w:val="00EB4F6A"/>
    <w:rsid w:val="00EB578A"/>
    <w:rsid w:val="00EB5E7B"/>
    <w:rsid w:val="00EC23DC"/>
    <w:rsid w:val="00EC32F0"/>
    <w:rsid w:val="00EC497A"/>
    <w:rsid w:val="00EC6968"/>
    <w:rsid w:val="00EC76FF"/>
    <w:rsid w:val="00EC7FE3"/>
    <w:rsid w:val="00ED18AB"/>
    <w:rsid w:val="00ED1DF9"/>
    <w:rsid w:val="00ED41CC"/>
    <w:rsid w:val="00ED41E9"/>
    <w:rsid w:val="00ED52A5"/>
    <w:rsid w:val="00ED5599"/>
    <w:rsid w:val="00ED674B"/>
    <w:rsid w:val="00EE1165"/>
    <w:rsid w:val="00EE1547"/>
    <w:rsid w:val="00EE4065"/>
    <w:rsid w:val="00EE7DD1"/>
    <w:rsid w:val="00EF0583"/>
    <w:rsid w:val="00EF3627"/>
    <w:rsid w:val="00EF5179"/>
    <w:rsid w:val="00EF7FF9"/>
    <w:rsid w:val="00F01621"/>
    <w:rsid w:val="00F03BF3"/>
    <w:rsid w:val="00F04331"/>
    <w:rsid w:val="00F04C62"/>
    <w:rsid w:val="00F07740"/>
    <w:rsid w:val="00F10B42"/>
    <w:rsid w:val="00F1207D"/>
    <w:rsid w:val="00F13588"/>
    <w:rsid w:val="00F169DB"/>
    <w:rsid w:val="00F17BBA"/>
    <w:rsid w:val="00F21CE3"/>
    <w:rsid w:val="00F228AC"/>
    <w:rsid w:val="00F2556D"/>
    <w:rsid w:val="00F26DEA"/>
    <w:rsid w:val="00F314D7"/>
    <w:rsid w:val="00F3291F"/>
    <w:rsid w:val="00F34F48"/>
    <w:rsid w:val="00F36521"/>
    <w:rsid w:val="00F40225"/>
    <w:rsid w:val="00F44A2D"/>
    <w:rsid w:val="00F502DF"/>
    <w:rsid w:val="00F51385"/>
    <w:rsid w:val="00F520A7"/>
    <w:rsid w:val="00F5252B"/>
    <w:rsid w:val="00F52F1C"/>
    <w:rsid w:val="00F53B07"/>
    <w:rsid w:val="00F550A6"/>
    <w:rsid w:val="00F55205"/>
    <w:rsid w:val="00F554AC"/>
    <w:rsid w:val="00F5586A"/>
    <w:rsid w:val="00F57B59"/>
    <w:rsid w:val="00F65431"/>
    <w:rsid w:val="00F70289"/>
    <w:rsid w:val="00F71B75"/>
    <w:rsid w:val="00F74566"/>
    <w:rsid w:val="00F755BE"/>
    <w:rsid w:val="00F76FD7"/>
    <w:rsid w:val="00F836EB"/>
    <w:rsid w:val="00F83779"/>
    <w:rsid w:val="00F83841"/>
    <w:rsid w:val="00F96378"/>
    <w:rsid w:val="00F97B7D"/>
    <w:rsid w:val="00FA125B"/>
    <w:rsid w:val="00FA2672"/>
    <w:rsid w:val="00FB0052"/>
    <w:rsid w:val="00FB0A37"/>
    <w:rsid w:val="00FB22EA"/>
    <w:rsid w:val="00FB5F75"/>
    <w:rsid w:val="00FB7EEF"/>
    <w:rsid w:val="00FC59B9"/>
    <w:rsid w:val="00FD5D02"/>
    <w:rsid w:val="00FE0354"/>
    <w:rsid w:val="00FE130B"/>
    <w:rsid w:val="00FE1C2B"/>
    <w:rsid w:val="00FE27E9"/>
    <w:rsid w:val="00FE546D"/>
    <w:rsid w:val="00FE5D6D"/>
    <w:rsid w:val="00FE692E"/>
    <w:rsid w:val="00FE7C1C"/>
    <w:rsid w:val="00FF2611"/>
    <w:rsid w:val="00FF3AB3"/>
    <w:rsid w:val="00FF5425"/>
    <w:rsid w:val="00FF59F7"/>
    <w:rsid w:val="00FF67EE"/>
    <w:rsid w:val="00FF7B54"/>
    <w:rsid w:val="0CE1E87A"/>
    <w:rsid w:val="0D751D4A"/>
    <w:rsid w:val="19E042C1"/>
    <w:rsid w:val="354BCF1B"/>
    <w:rsid w:val="3B4BF107"/>
    <w:rsid w:val="485DB92E"/>
    <w:rsid w:val="64EFE7CF"/>
    <w:rsid w:val="692AE515"/>
    <w:rsid w:val="6BF42EAC"/>
    <w:rsid w:val="724F1D31"/>
    <w:rsid w:val="78F0E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5293"/>
  <w15:chartTrackingRefBased/>
  <w15:docId w15:val="{565EA316-ABD8-4ADA-A651-5BB1DAD9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909CC"/>
    <w:pPr>
      <w:keepNext/>
      <w:keepLines/>
      <w:spacing w:before="240" w:after="0" w:line="276" w:lineRule="auto"/>
      <w:outlineLvl w:val="0"/>
    </w:pPr>
    <w:rPr>
      <w:rFonts w:asciiTheme="majorHAnsi" w:hAnsiTheme="majorHAnsi" w:eastAsiaTheme="majorEastAsia"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1A72A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3C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277C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16D2"/>
    <w:pPr>
      <w:ind w:left="720"/>
      <w:contextualSpacing/>
    </w:pPr>
  </w:style>
  <w:style w:type="character" w:styleId="Heading1Char" w:customStyle="1">
    <w:name w:val="Heading 1 Char"/>
    <w:basedOn w:val="DefaultParagraphFont"/>
    <w:link w:val="Heading1"/>
    <w:uiPriority w:val="9"/>
    <w:rsid w:val="008909CC"/>
    <w:rPr>
      <w:rFonts w:asciiTheme="majorHAnsi" w:hAnsiTheme="majorHAnsi" w:eastAsiaTheme="majorEastAsia"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350788"/>
    <w:rPr>
      <w:color w:val="0000FF"/>
      <w:u w:val="single"/>
    </w:rPr>
  </w:style>
  <w:style w:type="character" w:styleId="FollowedHyperlink">
    <w:name w:val="FollowedHyperlink"/>
    <w:basedOn w:val="DefaultParagraphFont"/>
    <w:uiPriority w:val="99"/>
    <w:semiHidden/>
    <w:unhideWhenUsed/>
    <w:rsid w:val="00EE4065"/>
    <w:rPr>
      <w:color w:val="954F72" w:themeColor="followedHyperlink"/>
      <w:u w:val="single"/>
    </w:rPr>
  </w:style>
  <w:style w:type="table" w:styleId="TableGrid">
    <w:name w:val="Table Grid"/>
    <w:basedOn w:val="TableNormal"/>
    <w:uiPriority w:val="39"/>
    <w:rsid w:val="00C46D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32F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32FE"/>
  </w:style>
  <w:style w:type="paragraph" w:styleId="Footer">
    <w:name w:val="footer"/>
    <w:basedOn w:val="Normal"/>
    <w:link w:val="FooterChar"/>
    <w:uiPriority w:val="99"/>
    <w:unhideWhenUsed/>
    <w:rsid w:val="00EB32F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32FE"/>
  </w:style>
  <w:style w:type="paragraph" w:styleId="TOCHeading">
    <w:name w:val="TOC Heading"/>
    <w:basedOn w:val="Heading1"/>
    <w:next w:val="Normal"/>
    <w:uiPriority w:val="39"/>
    <w:unhideWhenUsed/>
    <w:qFormat/>
    <w:rsid w:val="00E02B58"/>
    <w:pPr>
      <w:spacing w:line="259" w:lineRule="auto"/>
      <w:outlineLvl w:val="9"/>
    </w:pPr>
  </w:style>
  <w:style w:type="paragraph" w:styleId="TOC2">
    <w:name w:val="toc 2"/>
    <w:basedOn w:val="Normal"/>
    <w:next w:val="Normal"/>
    <w:autoRedefine/>
    <w:uiPriority w:val="39"/>
    <w:unhideWhenUsed/>
    <w:rsid w:val="00F57B59"/>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F57B59"/>
    <w:pPr>
      <w:spacing w:after="100"/>
    </w:pPr>
    <w:rPr>
      <w:rFonts w:cs="Times New Roman" w:eastAsiaTheme="minorEastAsia"/>
      <w:kern w:val="0"/>
      <w14:ligatures w14:val="none"/>
    </w:rPr>
  </w:style>
  <w:style w:type="paragraph" w:styleId="TOC3">
    <w:name w:val="toc 3"/>
    <w:basedOn w:val="Normal"/>
    <w:next w:val="Normal"/>
    <w:autoRedefine/>
    <w:uiPriority w:val="39"/>
    <w:unhideWhenUsed/>
    <w:rsid w:val="00F57B59"/>
    <w:pPr>
      <w:spacing w:after="100"/>
      <w:ind w:left="440"/>
    </w:pPr>
    <w:rPr>
      <w:rFonts w:cs="Times New Roman" w:eastAsiaTheme="minorEastAsia"/>
      <w:kern w:val="0"/>
      <w14:ligatures w14:val="none"/>
    </w:rPr>
  </w:style>
  <w:style w:type="character" w:styleId="Heading2Char" w:customStyle="1">
    <w:name w:val="Heading 2 Char"/>
    <w:basedOn w:val="DefaultParagraphFont"/>
    <w:link w:val="Heading2"/>
    <w:uiPriority w:val="9"/>
    <w:rsid w:val="001A72A0"/>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5D3B7B"/>
    <w:rPr>
      <w:color w:val="605E5C"/>
      <w:shd w:val="clear" w:color="auto" w:fill="E1DFDD"/>
    </w:rPr>
  </w:style>
  <w:style w:type="character" w:styleId="IntenseEmphasis">
    <w:name w:val="Intense Emphasis"/>
    <w:basedOn w:val="DefaultParagraphFont"/>
    <w:uiPriority w:val="21"/>
    <w:qFormat/>
    <w:rsid w:val="00662163"/>
    <w:rPr>
      <w:i/>
      <w:iCs/>
      <w:color w:val="4472C4" w:themeColor="accent1"/>
    </w:rPr>
  </w:style>
  <w:style w:type="paragraph" w:styleId="IntenseQuote">
    <w:name w:val="Intense Quote"/>
    <w:basedOn w:val="Normal"/>
    <w:next w:val="Normal"/>
    <w:link w:val="IntenseQuoteChar"/>
    <w:uiPriority w:val="30"/>
    <w:qFormat/>
    <w:rsid w:val="00662163"/>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662163"/>
    <w:rPr>
      <w:i/>
      <w:iCs/>
      <w:color w:val="4472C4" w:themeColor="accent1"/>
    </w:rPr>
  </w:style>
  <w:style w:type="paragraph" w:styleId="Title">
    <w:name w:val="Title"/>
    <w:basedOn w:val="Normal"/>
    <w:next w:val="Normal"/>
    <w:link w:val="TitleChar"/>
    <w:uiPriority w:val="10"/>
    <w:qFormat/>
    <w:rsid w:val="00905BB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5BBF"/>
    <w:rPr>
      <w:rFonts w:asciiTheme="majorHAnsi" w:hAnsiTheme="majorHAnsi" w:eastAsiaTheme="majorEastAsia" w:cstheme="majorBidi"/>
      <w:spacing w:val="-10"/>
      <w:kern w:val="28"/>
      <w:sz w:val="56"/>
      <w:szCs w:val="56"/>
    </w:rPr>
  </w:style>
  <w:style w:type="character" w:styleId="IntenseReference">
    <w:name w:val="Intense Reference"/>
    <w:basedOn w:val="DefaultParagraphFont"/>
    <w:uiPriority w:val="32"/>
    <w:qFormat/>
    <w:rsid w:val="00BD649B"/>
    <w:rPr>
      <w:b/>
      <w:bCs/>
      <w:smallCaps/>
      <w:color w:val="4472C4" w:themeColor="accent1"/>
      <w:spacing w:val="5"/>
    </w:rPr>
  </w:style>
  <w:style w:type="character" w:styleId="Heading3Char" w:customStyle="1">
    <w:name w:val="Heading 3 Char"/>
    <w:basedOn w:val="DefaultParagraphFont"/>
    <w:link w:val="Heading3"/>
    <w:uiPriority w:val="9"/>
    <w:rsid w:val="00DE3CAF"/>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D277CA"/>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1591">
      <w:bodyDiv w:val="1"/>
      <w:marLeft w:val="0"/>
      <w:marRight w:val="0"/>
      <w:marTop w:val="0"/>
      <w:marBottom w:val="0"/>
      <w:divBdr>
        <w:top w:val="none" w:sz="0" w:space="0" w:color="auto"/>
        <w:left w:val="none" w:sz="0" w:space="0" w:color="auto"/>
        <w:bottom w:val="none" w:sz="0" w:space="0" w:color="auto"/>
        <w:right w:val="none" w:sz="0" w:space="0" w:color="auto"/>
      </w:divBdr>
    </w:div>
    <w:div w:id="1006634401">
      <w:bodyDiv w:val="1"/>
      <w:marLeft w:val="0"/>
      <w:marRight w:val="0"/>
      <w:marTop w:val="0"/>
      <w:marBottom w:val="0"/>
      <w:divBdr>
        <w:top w:val="none" w:sz="0" w:space="0" w:color="auto"/>
        <w:left w:val="none" w:sz="0" w:space="0" w:color="auto"/>
        <w:bottom w:val="none" w:sz="0" w:space="0" w:color="auto"/>
        <w:right w:val="none" w:sz="0" w:space="0" w:color="auto"/>
      </w:divBdr>
    </w:div>
    <w:div w:id="1025206998">
      <w:bodyDiv w:val="1"/>
      <w:marLeft w:val="0"/>
      <w:marRight w:val="0"/>
      <w:marTop w:val="0"/>
      <w:marBottom w:val="0"/>
      <w:divBdr>
        <w:top w:val="none" w:sz="0" w:space="0" w:color="auto"/>
        <w:left w:val="none" w:sz="0" w:space="0" w:color="auto"/>
        <w:bottom w:val="none" w:sz="0" w:space="0" w:color="auto"/>
        <w:right w:val="none" w:sz="0" w:space="0" w:color="auto"/>
      </w:divBdr>
    </w:div>
    <w:div w:id="1346252055">
      <w:bodyDiv w:val="1"/>
      <w:marLeft w:val="0"/>
      <w:marRight w:val="0"/>
      <w:marTop w:val="0"/>
      <w:marBottom w:val="0"/>
      <w:divBdr>
        <w:top w:val="none" w:sz="0" w:space="0" w:color="auto"/>
        <w:left w:val="none" w:sz="0" w:space="0" w:color="auto"/>
        <w:bottom w:val="none" w:sz="0" w:space="0" w:color="auto"/>
        <w:right w:val="none" w:sz="0" w:space="0" w:color="auto"/>
      </w:divBdr>
    </w:div>
    <w:div w:id="1378698258">
      <w:bodyDiv w:val="1"/>
      <w:marLeft w:val="0"/>
      <w:marRight w:val="0"/>
      <w:marTop w:val="0"/>
      <w:marBottom w:val="0"/>
      <w:divBdr>
        <w:top w:val="none" w:sz="0" w:space="0" w:color="auto"/>
        <w:left w:val="none" w:sz="0" w:space="0" w:color="auto"/>
        <w:bottom w:val="none" w:sz="0" w:space="0" w:color="auto"/>
        <w:right w:val="none" w:sz="0" w:space="0" w:color="auto"/>
      </w:divBdr>
    </w:div>
    <w:div w:id="1836384826">
      <w:bodyDiv w:val="1"/>
      <w:marLeft w:val="0"/>
      <w:marRight w:val="0"/>
      <w:marTop w:val="0"/>
      <w:marBottom w:val="0"/>
      <w:divBdr>
        <w:top w:val="none" w:sz="0" w:space="0" w:color="auto"/>
        <w:left w:val="none" w:sz="0" w:space="0" w:color="auto"/>
        <w:bottom w:val="none" w:sz="0" w:space="0" w:color="auto"/>
        <w:right w:val="none" w:sz="0" w:space="0" w:color="auto"/>
      </w:divBdr>
    </w:div>
    <w:div w:id="1919900438">
      <w:bodyDiv w:val="1"/>
      <w:marLeft w:val="0"/>
      <w:marRight w:val="0"/>
      <w:marTop w:val="0"/>
      <w:marBottom w:val="0"/>
      <w:divBdr>
        <w:top w:val="none" w:sz="0" w:space="0" w:color="auto"/>
        <w:left w:val="none" w:sz="0" w:space="0" w:color="auto"/>
        <w:bottom w:val="none" w:sz="0" w:space="0" w:color="auto"/>
        <w:right w:val="none" w:sz="0" w:space="0" w:color="auto"/>
      </w:divBdr>
    </w:div>
    <w:div w:id="1922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fr.io/Title-2/Part-200"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www.hud.gov/program_offices/administration/hudclips/handbooks/cpd/6509.2" TargetMode="External" Id="rId10" /><Relationship Type="http://schemas.openxmlformats.org/officeDocument/2006/relationships/settings" Target="settings.xml" Id="rId4" /><Relationship Type="http://schemas.openxmlformats.org/officeDocument/2006/relationships/hyperlink" Target="https://ecfr.io/Title-2/Part-200"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fcfac32e36377596bb607a1d202db173">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0c05604dcbbf0758b318f89d92871d93"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B6F62-8682-4667-BCB7-1AD3EF794B08}">
  <ds:schemaRefs>
    <ds:schemaRef ds:uri="http://schemas.openxmlformats.org/officeDocument/2006/bibliography"/>
  </ds:schemaRefs>
</ds:datastoreItem>
</file>

<file path=customXml/itemProps2.xml><?xml version="1.0" encoding="utf-8"?>
<ds:datastoreItem xmlns:ds="http://schemas.openxmlformats.org/officeDocument/2006/customXml" ds:itemID="{EB9CC028-D550-4079-8530-E525B9BA5B68}"/>
</file>

<file path=customXml/itemProps3.xml><?xml version="1.0" encoding="utf-8"?>
<ds:datastoreItem xmlns:ds="http://schemas.openxmlformats.org/officeDocument/2006/customXml" ds:itemID="{99CD8BBA-AEB0-4424-A4DF-B51F105474FF}"/>
</file>

<file path=customXml/itemProps4.xml><?xml version="1.0" encoding="utf-8"?>
<ds:datastoreItem xmlns:ds="http://schemas.openxmlformats.org/officeDocument/2006/customXml" ds:itemID="{090C5046-EFAF-4752-AA5B-FB437A33CD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Sagna, Lamine (EOHLC)</dc:creator>
  <keywords/>
  <dc:description/>
  <lastModifiedBy>Byron, Karen (EOHLC)</lastModifiedBy>
  <revision>17</revision>
  <dcterms:created xsi:type="dcterms:W3CDTF">2024-05-21T17:39:00.0000000Z</dcterms:created>
  <dcterms:modified xsi:type="dcterms:W3CDTF">2024-06-10T15:10:23.6507974Z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ies>
</file>