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A5DFB" w:rsidR="00AD211E" w:rsidP="00FC069B" w:rsidRDefault="000F706F" w14:paraId="1074B0F0" w14:textId="5E2519F6">
      <w:pPr>
        <w:spacing w:after="0" w:line="240" w:lineRule="auto"/>
        <w:jc w:val="center"/>
        <w:rPr>
          <w:b w:val="1"/>
          <w:bCs w:val="1"/>
          <w:sz w:val="16"/>
          <w:szCs w:val="16"/>
          <w:u w:val="single"/>
        </w:rPr>
      </w:pPr>
      <w:r w:rsidRPr="2D688D99" w:rsidR="620C7C89">
        <w:rPr>
          <w:b w:val="1"/>
          <w:bCs w:val="1"/>
          <w:sz w:val="16"/>
          <w:szCs w:val="16"/>
          <w:u w:val="single"/>
        </w:rPr>
        <w:t xml:space="preserve">MA BALANCE OF STATE CoC </w:t>
      </w:r>
      <w:r w:rsidRPr="2D688D99" w:rsidR="005C5CF0">
        <w:rPr>
          <w:b w:val="1"/>
          <w:bCs w:val="1"/>
          <w:sz w:val="16"/>
          <w:szCs w:val="16"/>
          <w:u w:val="single"/>
        </w:rPr>
        <w:t xml:space="preserve">FEDERAL GRANT </w:t>
      </w:r>
      <w:r w:rsidRPr="2D688D99" w:rsidR="007A3257">
        <w:rPr>
          <w:b w:val="1"/>
          <w:bCs w:val="1"/>
          <w:sz w:val="16"/>
          <w:szCs w:val="16"/>
          <w:u w:val="single"/>
        </w:rPr>
        <w:t xml:space="preserve">PROJECT </w:t>
      </w:r>
      <w:r w:rsidRPr="2D688D99" w:rsidR="00C20793">
        <w:rPr>
          <w:b w:val="1"/>
          <w:bCs w:val="1"/>
          <w:sz w:val="16"/>
          <w:szCs w:val="16"/>
          <w:u w:val="single"/>
        </w:rPr>
        <w:t xml:space="preserve">RANKING AND REVIEW </w:t>
      </w:r>
      <w:r w:rsidRPr="2D688D99" w:rsidR="00170477">
        <w:rPr>
          <w:b w:val="1"/>
          <w:bCs w:val="1"/>
          <w:sz w:val="16"/>
          <w:szCs w:val="16"/>
          <w:u w:val="single"/>
        </w:rPr>
        <w:t>POLIC</w:t>
      </w:r>
      <w:r w:rsidRPr="2D688D99" w:rsidR="00994BC6">
        <w:rPr>
          <w:b w:val="1"/>
          <w:bCs w:val="1"/>
          <w:sz w:val="16"/>
          <w:szCs w:val="16"/>
          <w:u w:val="single"/>
        </w:rPr>
        <w:t>Y</w:t>
      </w:r>
    </w:p>
    <w:p w:rsidRPr="00EA5DFB" w:rsidR="005C5CF0" w:rsidP="00FC069B" w:rsidRDefault="005C5CF0" w14:paraId="4B1C3B9F" w14:textId="77777777">
      <w:pPr>
        <w:spacing w:after="0" w:line="240" w:lineRule="auto"/>
        <w:jc w:val="center"/>
        <w:rPr>
          <w:b/>
          <w:bCs/>
          <w:sz w:val="16"/>
          <w:szCs w:val="16"/>
          <w:u w:val="single"/>
        </w:rPr>
      </w:pPr>
    </w:p>
    <w:p w:rsidRPr="00EA5DFB" w:rsidR="005C5CF0" w:rsidP="00FC069B" w:rsidRDefault="005C5CF0" w14:paraId="42229773" w14:textId="77777777">
      <w:pPr>
        <w:spacing w:after="0" w:line="240" w:lineRule="auto"/>
        <w:jc w:val="center"/>
        <w:rPr>
          <w:b/>
          <w:bCs/>
          <w:sz w:val="16"/>
          <w:szCs w:val="16"/>
          <w:u w:val="single"/>
        </w:rPr>
      </w:pPr>
    </w:p>
    <w:p w:rsidRPr="00EA5DFB" w:rsidR="002B68D9" w:rsidP="007B3EEF" w:rsidRDefault="007A3257" w14:paraId="54A85EDB" w14:textId="109EDBE4">
      <w:pPr>
        <w:pStyle w:val="ListParagraph"/>
        <w:numPr>
          <w:ilvl w:val="0"/>
          <w:numId w:val="1"/>
        </w:numPr>
        <w:spacing w:after="0" w:line="240" w:lineRule="auto"/>
        <w:rPr>
          <w:b/>
          <w:bCs/>
          <w:sz w:val="16"/>
          <w:szCs w:val="16"/>
        </w:rPr>
      </w:pPr>
      <w:r w:rsidRPr="00EA5DFB">
        <w:rPr>
          <w:b/>
          <w:bCs/>
          <w:sz w:val="16"/>
          <w:szCs w:val="16"/>
        </w:rPr>
        <w:t>PURPOSE</w:t>
      </w:r>
    </w:p>
    <w:p w:rsidRPr="00EA5DFB" w:rsidR="00D52E82" w:rsidP="00FC069B" w:rsidRDefault="00D52E82" w14:paraId="02251D08" w14:textId="3750CE1B">
      <w:pPr>
        <w:pStyle w:val="ListParagraph"/>
        <w:spacing w:after="0" w:line="240" w:lineRule="auto"/>
        <w:ind w:left="1080"/>
        <w:jc w:val="both"/>
        <w:rPr>
          <w:sz w:val="16"/>
          <w:szCs w:val="16"/>
        </w:rPr>
      </w:pPr>
      <w:r w:rsidRPr="5ECE4B1C" w:rsidR="00D52E82">
        <w:rPr>
          <w:sz w:val="16"/>
          <w:szCs w:val="16"/>
        </w:rPr>
        <w:t xml:space="preserve">All HUD-Funded CoC Projects are reviewed, </w:t>
      </w:r>
      <w:r w:rsidRPr="5ECE4B1C" w:rsidR="00E171CF">
        <w:rPr>
          <w:sz w:val="16"/>
          <w:szCs w:val="16"/>
        </w:rPr>
        <w:t>scored,</w:t>
      </w:r>
      <w:r w:rsidRPr="5ECE4B1C" w:rsidR="00D52E82">
        <w:rPr>
          <w:sz w:val="16"/>
          <w:szCs w:val="16"/>
        </w:rPr>
        <w:t xml:space="preserve"> and ranked to ensure the MA BoS Continuum of Care is strategically </w:t>
      </w:r>
      <w:r w:rsidRPr="5ECE4B1C" w:rsidR="00D52E82">
        <w:rPr>
          <w:sz w:val="16"/>
          <w:szCs w:val="16"/>
        </w:rPr>
        <w:t>allocating</w:t>
      </w:r>
      <w:r w:rsidRPr="5ECE4B1C" w:rsidR="00D52E82">
        <w:rPr>
          <w:sz w:val="16"/>
          <w:szCs w:val="16"/>
        </w:rPr>
        <w:t xml:space="preserve"> the HUD-funded grant across high-performing projects to meet the critical needs and highest priorities of the CoC, in alignment with Federal funding </w:t>
      </w:r>
      <w:r w:rsidRPr="5ECE4B1C" w:rsidR="00D52E82">
        <w:rPr>
          <w:sz w:val="16"/>
          <w:szCs w:val="16"/>
        </w:rPr>
        <w:t>objectives</w:t>
      </w:r>
      <w:r w:rsidRPr="5ECE4B1C" w:rsidR="00D52E82">
        <w:rPr>
          <w:sz w:val="16"/>
          <w:szCs w:val="16"/>
        </w:rPr>
        <w:t xml:space="preserve"> for ending homelessness.</w:t>
      </w:r>
    </w:p>
    <w:p w:rsidRPr="00EA5DFB" w:rsidR="00D52E82" w:rsidP="00FC069B" w:rsidRDefault="00D52E82" w14:paraId="64D762A4" w14:textId="77777777">
      <w:pPr>
        <w:pStyle w:val="ListParagraph"/>
        <w:spacing w:after="0" w:line="240" w:lineRule="auto"/>
        <w:ind w:left="1080"/>
        <w:jc w:val="both"/>
        <w:rPr>
          <w:sz w:val="16"/>
          <w:szCs w:val="16"/>
        </w:rPr>
      </w:pPr>
    </w:p>
    <w:p w:rsidR="00D52E82" w:rsidP="00FC069B" w:rsidRDefault="00D52E82" w14:paraId="151815A4" w14:textId="3DFDED5F">
      <w:pPr>
        <w:pStyle w:val="ListParagraph"/>
        <w:spacing w:after="0" w:line="240" w:lineRule="auto"/>
        <w:ind w:left="1080"/>
        <w:jc w:val="both"/>
        <w:rPr>
          <w:sz w:val="16"/>
          <w:szCs w:val="16"/>
        </w:rPr>
      </w:pPr>
      <w:r w:rsidRPr="00EA5DFB">
        <w:rPr>
          <w:sz w:val="16"/>
          <w:szCs w:val="16"/>
        </w:rPr>
        <w:t xml:space="preserve">The MA BoS CoC </w:t>
      </w:r>
      <w:r w:rsidR="00C20793">
        <w:rPr>
          <w:sz w:val="16"/>
          <w:szCs w:val="16"/>
        </w:rPr>
        <w:t xml:space="preserve">Ranking and Review </w:t>
      </w:r>
      <w:r w:rsidRPr="00EA5DFB">
        <w:rPr>
          <w:sz w:val="16"/>
          <w:szCs w:val="16"/>
        </w:rPr>
        <w:t>Polic</w:t>
      </w:r>
      <w:r w:rsidR="00AA247C">
        <w:rPr>
          <w:sz w:val="16"/>
          <w:szCs w:val="16"/>
        </w:rPr>
        <w:t>y</w:t>
      </w:r>
      <w:r w:rsidRPr="00EA5DFB">
        <w:rPr>
          <w:sz w:val="16"/>
          <w:szCs w:val="16"/>
        </w:rPr>
        <w:t xml:space="preserve"> for the Continuum of Care (CoC) Competition </w:t>
      </w:r>
      <w:r w:rsidRPr="00EA5DFB" w:rsidR="00E171CF">
        <w:rPr>
          <w:sz w:val="16"/>
          <w:szCs w:val="16"/>
        </w:rPr>
        <w:t>establishes</w:t>
      </w:r>
      <w:r w:rsidRPr="00EA5DFB">
        <w:rPr>
          <w:sz w:val="16"/>
          <w:szCs w:val="16"/>
        </w:rPr>
        <w:t xml:space="preserve"> a transparent and unbiased framework for the decision-making process guiding the </w:t>
      </w:r>
      <w:r w:rsidR="00493A5E">
        <w:rPr>
          <w:sz w:val="16"/>
          <w:szCs w:val="16"/>
        </w:rPr>
        <w:t>bi-</w:t>
      </w:r>
      <w:r w:rsidRPr="00EA5DFB">
        <w:rPr>
          <w:sz w:val="16"/>
          <w:szCs w:val="16"/>
        </w:rPr>
        <w:t xml:space="preserve">annual CoC collaborative grant application. This document will be used to assist in the </w:t>
      </w:r>
      <w:r w:rsidR="00C20793">
        <w:rPr>
          <w:sz w:val="16"/>
          <w:szCs w:val="16"/>
        </w:rPr>
        <w:t xml:space="preserve">Ranking and Review </w:t>
      </w:r>
      <w:r w:rsidRPr="00EA5DFB">
        <w:rPr>
          <w:sz w:val="16"/>
          <w:szCs w:val="16"/>
        </w:rPr>
        <w:t xml:space="preserve">of projects and is largely based on the Department of Housing and Urban Development’s (HUD) Homeless Policy and Program Priorities as outlined in the Notice of Funding Opportunity (NOFO) for the Continuum of Care Program Competition. The goal is to ensure that there are written procedures in place that provide regulations for a comprehensive </w:t>
      </w:r>
      <w:r w:rsidR="00C20793">
        <w:rPr>
          <w:sz w:val="16"/>
          <w:szCs w:val="16"/>
        </w:rPr>
        <w:t xml:space="preserve">Ranking and Review </w:t>
      </w:r>
      <w:r w:rsidRPr="00EA5DFB">
        <w:rPr>
          <w:sz w:val="16"/>
          <w:szCs w:val="16"/>
        </w:rPr>
        <w:t>of all projects.</w:t>
      </w:r>
    </w:p>
    <w:p w:rsidR="002F5622" w:rsidP="002F5622" w:rsidRDefault="002F5622" w14:paraId="60437D27" w14:textId="77777777">
      <w:pPr>
        <w:spacing w:after="0" w:line="240" w:lineRule="auto"/>
        <w:jc w:val="both"/>
        <w:rPr>
          <w:sz w:val="16"/>
          <w:szCs w:val="16"/>
        </w:rPr>
      </w:pPr>
    </w:p>
    <w:p w:rsidR="008055A8" w:rsidP="00C0432E" w:rsidRDefault="00723953" w14:paraId="7A59C42B" w14:textId="7E1EC5DA">
      <w:pPr>
        <w:pStyle w:val="ListParagraph"/>
        <w:numPr>
          <w:ilvl w:val="0"/>
          <w:numId w:val="1"/>
        </w:numPr>
        <w:spacing w:after="0" w:line="240" w:lineRule="auto"/>
        <w:jc w:val="both"/>
        <w:rPr>
          <w:b/>
          <w:bCs/>
          <w:sz w:val="16"/>
          <w:szCs w:val="16"/>
        </w:rPr>
      </w:pPr>
      <w:r>
        <w:rPr>
          <w:b/>
          <w:bCs/>
          <w:sz w:val="16"/>
          <w:szCs w:val="16"/>
        </w:rPr>
        <w:t>KEY TERMS</w:t>
      </w:r>
    </w:p>
    <w:p w:rsidR="00723953" w:rsidP="00723953" w:rsidRDefault="00723953" w14:paraId="1AE379BC" w14:textId="77777777">
      <w:pPr>
        <w:pStyle w:val="ListParagraph"/>
        <w:spacing w:after="0" w:line="240" w:lineRule="auto"/>
        <w:ind w:left="1080"/>
        <w:jc w:val="both"/>
        <w:rPr>
          <w:sz w:val="16"/>
          <w:szCs w:val="16"/>
        </w:rPr>
      </w:pPr>
      <w:r w:rsidRPr="00EA5DFB">
        <w:rPr>
          <w:sz w:val="16"/>
          <w:szCs w:val="16"/>
          <w:u w:val="single"/>
        </w:rPr>
        <w:t>R</w:t>
      </w:r>
      <w:r>
        <w:rPr>
          <w:sz w:val="16"/>
          <w:szCs w:val="16"/>
          <w:u w:val="single"/>
        </w:rPr>
        <w:t>ANKING</w:t>
      </w:r>
      <w:r w:rsidRPr="00EA5DFB">
        <w:rPr>
          <w:sz w:val="16"/>
          <w:szCs w:val="16"/>
        </w:rPr>
        <w:t xml:space="preserve"> </w:t>
      </w:r>
    </w:p>
    <w:p w:rsidR="00723953" w:rsidP="00723953" w:rsidRDefault="00723953" w14:paraId="5A323911" w14:textId="67FAC84F">
      <w:pPr>
        <w:pStyle w:val="ListParagraph"/>
        <w:spacing w:after="0" w:line="240" w:lineRule="auto"/>
        <w:ind w:left="1080"/>
        <w:jc w:val="both"/>
        <w:rPr>
          <w:sz w:val="16"/>
          <w:szCs w:val="16"/>
        </w:rPr>
      </w:pPr>
      <w:r w:rsidRPr="00EA5DFB">
        <w:rPr>
          <w:sz w:val="16"/>
          <w:szCs w:val="16"/>
        </w:rPr>
        <w:t>The process of prioritizing projects for funding in rank order. The rating scores are generally an important input into the ranking process (e.g., projects might be ranked according to their score), but the CoC might want to add other factors to inform ranking. For instance, ranking might be prioritized based on project type, population groups served, relative levels of unmet need, or other local funding priorities.</w:t>
      </w:r>
    </w:p>
    <w:p w:rsidR="00723953" w:rsidP="00723953" w:rsidRDefault="00723953" w14:paraId="53C41B9D" w14:textId="77777777">
      <w:pPr>
        <w:pStyle w:val="ListParagraph"/>
        <w:spacing w:after="0" w:line="240" w:lineRule="auto"/>
        <w:ind w:left="1080"/>
        <w:jc w:val="both"/>
        <w:rPr>
          <w:sz w:val="16"/>
          <w:szCs w:val="16"/>
        </w:rPr>
      </w:pPr>
    </w:p>
    <w:p w:rsidR="00723953" w:rsidP="00723953" w:rsidRDefault="00723953" w14:paraId="129E6A91" w14:textId="77777777">
      <w:pPr>
        <w:pStyle w:val="ListParagraph"/>
        <w:spacing w:after="0" w:line="240" w:lineRule="auto"/>
        <w:ind w:left="1080"/>
        <w:jc w:val="both"/>
        <w:rPr>
          <w:sz w:val="16"/>
          <w:szCs w:val="16"/>
          <w:u w:val="single"/>
        </w:rPr>
      </w:pPr>
      <w:r w:rsidRPr="00EA5DFB">
        <w:rPr>
          <w:sz w:val="16"/>
          <w:szCs w:val="16"/>
          <w:u w:val="single"/>
        </w:rPr>
        <w:t>R</w:t>
      </w:r>
      <w:r>
        <w:rPr>
          <w:sz w:val="16"/>
          <w:szCs w:val="16"/>
          <w:u w:val="single"/>
        </w:rPr>
        <w:t>EVIEW</w:t>
      </w:r>
    </w:p>
    <w:p w:rsidR="00723953" w:rsidP="00723953" w:rsidRDefault="00723953" w14:paraId="25643918" w14:textId="7819D8C8">
      <w:pPr>
        <w:pStyle w:val="ListParagraph"/>
        <w:spacing w:after="0" w:line="240" w:lineRule="auto"/>
        <w:ind w:left="1080"/>
        <w:jc w:val="both"/>
        <w:rPr>
          <w:sz w:val="16"/>
          <w:szCs w:val="16"/>
        </w:rPr>
      </w:pPr>
      <w:r w:rsidRPr="00EA5DFB">
        <w:rPr>
          <w:sz w:val="16"/>
          <w:szCs w:val="16"/>
        </w:rPr>
        <w:t xml:space="preserve"> The process of scoring projects based on standardized criteria. Projects are generally scored relative to other projects of the same type. </w:t>
      </w:r>
    </w:p>
    <w:p w:rsidR="00EC3872" w:rsidP="00EC3872" w:rsidRDefault="00EC3872" w14:paraId="71FBD279" w14:textId="77777777">
      <w:pPr>
        <w:pStyle w:val="ListParagraph"/>
        <w:spacing w:after="0" w:line="240" w:lineRule="auto"/>
        <w:ind w:left="1080"/>
        <w:jc w:val="both"/>
        <w:rPr>
          <w:b/>
          <w:bCs/>
          <w:sz w:val="16"/>
          <w:szCs w:val="16"/>
        </w:rPr>
      </w:pPr>
    </w:p>
    <w:p w:rsidR="005B3210" w:rsidP="008055A8" w:rsidRDefault="008C7550" w14:paraId="2638476A" w14:textId="72E95F87">
      <w:pPr>
        <w:pStyle w:val="ListParagraph"/>
        <w:spacing w:after="0" w:line="240" w:lineRule="auto"/>
        <w:ind w:left="1080"/>
        <w:jc w:val="both"/>
        <w:rPr>
          <w:sz w:val="16"/>
          <w:szCs w:val="16"/>
          <w:u w:val="single"/>
        </w:rPr>
      </w:pPr>
      <w:r w:rsidRPr="008C7550">
        <w:rPr>
          <w:sz w:val="16"/>
          <w:szCs w:val="16"/>
          <w:u w:val="single"/>
        </w:rPr>
        <w:t>C</w:t>
      </w:r>
      <w:r>
        <w:rPr>
          <w:sz w:val="16"/>
          <w:szCs w:val="16"/>
          <w:u w:val="single"/>
        </w:rPr>
        <w:t>ONTINUUM</w:t>
      </w:r>
      <w:r w:rsidR="00BC5C4D">
        <w:rPr>
          <w:sz w:val="16"/>
          <w:szCs w:val="16"/>
          <w:u w:val="single"/>
        </w:rPr>
        <w:t xml:space="preserve"> OF CARE </w:t>
      </w:r>
      <w:r w:rsidRPr="008C7550">
        <w:rPr>
          <w:sz w:val="16"/>
          <w:szCs w:val="16"/>
          <w:u w:val="single"/>
        </w:rPr>
        <w:t>(CoC)</w:t>
      </w:r>
    </w:p>
    <w:p w:rsidRPr="004234EC" w:rsidR="00BC5C4D" w:rsidP="004234EC" w:rsidRDefault="00BC5C4D" w14:paraId="4A2F69DF" w14:textId="58C76BD9">
      <w:pPr>
        <w:pStyle w:val="ListParagraph"/>
        <w:spacing w:after="0" w:line="240" w:lineRule="auto"/>
        <w:ind w:left="1080"/>
        <w:jc w:val="both"/>
        <w:rPr>
          <w:sz w:val="16"/>
          <w:szCs w:val="16"/>
        </w:rPr>
      </w:pPr>
      <w:r w:rsidRPr="00BC5C4D">
        <w:rPr>
          <w:sz w:val="16"/>
          <w:szCs w:val="16"/>
        </w:rPr>
        <w:t>The CoC Program is designed to assist individuals (including unaccompanied youth) and families experiencing homelessness and provide the services needed to help such individuals move into transitional and permanent housing, with the goal of long-term stability.</w:t>
      </w:r>
      <w:r w:rsidR="004234EC">
        <w:rPr>
          <w:sz w:val="16"/>
          <w:szCs w:val="16"/>
        </w:rPr>
        <w:t xml:space="preserve"> </w:t>
      </w:r>
      <w:r w:rsidRPr="004234EC">
        <w:rPr>
          <w:sz w:val="16"/>
          <w:szCs w:val="16"/>
        </w:rPr>
        <w:t>More broadly, the CoC Program is designed to promote community-wide planning and strategic use of resources to address homelessness; improve coordination and integration with mainstream resources and other programs targeted to people experiencing homelessness; improve data collection and performance measurement; and allow each community to tailor its programs to the strengths and challenges in assisting homeless individuals and families within that community.</w:t>
      </w:r>
    </w:p>
    <w:p w:rsidR="005B3210" w:rsidP="008055A8" w:rsidRDefault="005B3210" w14:paraId="3C8C5B5B" w14:textId="77777777">
      <w:pPr>
        <w:pStyle w:val="ListParagraph"/>
        <w:spacing w:after="0" w:line="240" w:lineRule="auto"/>
        <w:ind w:left="1080"/>
        <w:jc w:val="both"/>
        <w:rPr>
          <w:sz w:val="16"/>
          <w:szCs w:val="16"/>
          <w:u w:val="single"/>
        </w:rPr>
      </w:pPr>
    </w:p>
    <w:p w:rsidRPr="00EC3872" w:rsidR="002F5622" w:rsidP="008055A8" w:rsidRDefault="00C0432E" w14:paraId="2F1BF301" w14:textId="58186FF8">
      <w:pPr>
        <w:pStyle w:val="ListParagraph"/>
        <w:spacing w:after="0" w:line="240" w:lineRule="auto"/>
        <w:ind w:left="1080"/>
        <w:jc w:val="both"/>
        <w:rPr>
          <w:sz w:val="16"/>
          <w:szCs w:val="16"/>
          <w:u w:val="single"/>
        </w:rPr>
      </w:pPr>
      <w:r w:rsidRPr="00EC3872">
        <w:rPr>
          <w:sz w:val="16"/>
          <w:szCs w:val="16"/>
          <w:u w:val="single"/>
        </w:rPr>
        <w:t>CONTINUUM OF CARE PROGRAM COMPETITION</w:t>
      </w:r>
    </w:p>
    <w:p w:rsidR="00BF49E9" w:rsidP="00FC069B" w:rsidRDefault="00915C5E" w14:paraId="06788EA0" w14:textId="0EE1222B">
      <w:pPr>
        <w:pStyle w:val="ListParagraph"/>
        <w:spacing w:after="0" w:line="240" w:lineRule="auto"/>
        <w:ind w:left="1080"/>
        <w:jc w:val="both"/>
        <w:rPr>
          <w:sz w:val="16"/>
          <w:szCs w:val="16"/>
        </w:rPr>
      </w:pPr>
      <w:r w:rsidRPr="00915C5E">
        <w:rPr>
          <w:sz w:val="16"/>
          <w:szCs w:val="16"/>
        </w:rPr>
        <w:t>The Continuum of Care (CoC) Program Competition occurs annually. Each Fiscal Year (FY) Competition process begins with Registration of CoCs by CoC designated Collaborative Applicants, followed by the CoC’s review of Grant Inventory Worksheets (GIW) and the release of the CoC Program NOFO. Documents related to each process are listed below and additional Competition related materials are posted once the process opens and as documents become available. The FY Competition ends when the final funding announcement is released by HUD.</w:t>
      </w:r>
    </w:p>
    <w:p w:rsidR="00F03400" w:rsidP="00FC069B" w:rsidRDefault="00F03400" w14:paraId="661A4E4F" w14:textId="77777777">
      <w:pPr>
        <w:pStyle w:val="ListParagraph"/>
        <w:spacing w:after="0" w:line="240" w:lineRule="auto"/>
        <w:ind w:left="1080"/>
        <w:jc w:val="both"/>
        <w:rPr>
          <w:sz w:val="16"/>
          <w:szCs w:val="16"/>
        </w:rPr>
      </w:pPr>
    </w:p>
    <w:p w:rsidRPr="00AC32C7" w:rsidR="0084443E" w:rsidP="00FC069B" w:rsidRDefault="0084443E" w14:paraId="22F60FEF" w14:textId="4C8D9F2B">
      <w:pPr>
        <w:pStyle w:val="ListParagraph"/>
        <w:spacing w:after="0" w:line="240" w:lineRule="auto"/>
        <w:ind w:left="1080"/>
        <w:jc w:val="both"/>
        <w:rPr>
          <w:sz w:val="16"/>
          <w:szCs w:val="16"/>
          <w:u w:val="single"/>
        </w:rPr>
      </w:pPr>
      <w:r w:rsidRPr="00AC32C7">
        <w:rPr>
          <w:sz w:val="16"/>
          <w:szCs w:val="16"/>
          <w:u w:val="single"/>
        </w:rPr>
        <w:t>NOFO</w:t>
      </w:r>
    </w:p>
    <w:p w:rsidR="0084443E" w:rsidP="00FC069B" w:rsidRDefault="00AC32C7" w14:paraId="16ACCF80" w14:textId="6F6C44DE">
      <w:pPr>
        <w:pStyle w:val="ListParagraph"/>
        <w:spacing w:after="0" w:line="240" w:lineRule="auto"/>
        <w:ind w:left="1080"/>
        <w:jc w:val="both"/>
        <w:rPr>
          <w:sz w:val="16"/>
          <w:szCs w:val="16"/>
        </w:rPr>
      </w:pPr>
      <w:r w:rsidRPr="00AC32C7">
        <w:rPr>
          <w:sz w:val="16"/>
          <w:szCs w:val="16"/>
        </w:rPr>
        <w:t xml:space="preserve">Each year the U.S. Department of Housing and Urban Development (HUD) issues a Notice of Funding Opportunity (NOFO) for federal funding under the Continuum of Care program. As the CoC Collaborative applicant, </w:t>
      </w:r>
      <w:r>
        <w:rPr>
          <w:sz w:val="16"/>
          <w:szCs w:val="16"/>
        </w:rPr>
        <w:t>EOHLC</w:t>
      </w:r>
      <w:r w:rsidRPr="00AC32C7">
        <w:rPr>
          <w:sz w:val="16"/>
          <w:szCs w:val="16"/>
        </w:rPr>
        <w:t xml:space="preserve"> is responsible for the design, operation, and execution of a local collaborative application process.</w:t>
      </w:r>
    </w:p>
    <w:p w:rsidR="00AC32C7" w:rsidP="00FC069B" w:rsidRDefault="00AC32C7" w14:paraId="29D734B4" w14:textId="77777777">
      <w:pPr>
        <w:pStyle w:val="ListParagraph"/>
        <w:spacing w:after="0" w:line="240" w:lineRule="auto"/>
        <w:ind w:left="1080"/>
        <w:jc w:val="both"/>
        <w:rPr>
          <w:sz w:val="16"/>
          <w:szCs w:val="16"/>
        </w:rPr>
      </w:pPr>
    </w:p>
    <w:p w:rsidRPr="006A73DC" w:rsidR="0084443E" w:rsidP="00FC069B" w:rsidRDefault="0084443E" w14:paraId="394ED65F" w14:textId="1437E423">
      <w:pPr>
        <w:pStyle w:val="ListParagraph"/>
        <w:spacing w:after="0" w:line="240" w:lineRule="auto"/>
        <w:ind w:left="1080"/>
        <w:jc w:val="both"/>
        <w:rPr>
          <w:sz w:val="16"/>
          <w:szCs w:val="16"/>
          <w:u w:val="single"/>
        </w:rPr>
      </w:pPr>
      <w:r w:rsidRPr="006A73DC">
        <w:rPr>
          <w:sz w:val="16"/>
          <w:szCs w:val="16"/>
          <w:u w:val="single"/>
        </w:rPr>
        <w:t>COLLA</w:t>
      </w:r>
      <w:r w:rsidRPr="006A73DC" w:rsidR="00B97622">
        <w:rPr>
          <w:sz w:val="16"/>
          <w:szCs w:val="16"/>
          <w:u w:val="single"/>
        </w:rPr>
        <w:t>BORATIVE APPLICANT</w:t>
      </w:r>
    </w:p>
    <w:p w:rsidR="00AE41B9" w:rsidP="00EB195A" w:rsidRDefault="00B44C00" w14:paraId="41100535" w14:textId="4BE1FE5B">
      <w:pPr>
        <w:pStyle w:val="ListParagraph"/>
        <w:spacing w:after="0" w:line="240" w:lineRule="auto"/>
        <w:ind w:left="1080"/>
        <w:jc w:val="both"/>
        <w:rPr>
          <w:sz w:val="16"/>
          <w:szCs w:val="16"/>
        </w:rPr>
      </w:pPr>
      <w:r>
        <w:rPr>
          <w:sz w:val="16"/>
          <w:szCs w:val="16"/>
        </w:rPr>
        <w:t xml:space="preserve">EOHLC </w:t>
      </w:r>
      <w:r w:rsidRPr="00EB195A" w:rsidR="00EB195A">
        <w:rPr>
          <w:sz w:val="16"/>
          <w:szCs w:val="16"/>
        </w:rPr>
        <w:t xml:space="preserve">is </w:t>
      </w:r>
      <w:r w:rsidR="00B47DAA">
        <w:rPr>
          <w:sz w:val="16"/>
          <w:szCs w:val="16"/>
        </w:rPr>
        <w:t xml:space="preserve">the </w:t>
      </w:r>
      <w:r w:rsidRPr="00723953" w:rsidR="00B47DAA">
        <w:rPr>
          <w:sz w:val="16"/>
          <w:szCs w:val="16"/>
        </w:rPr>
        <w:t>Collabor</w:t>
      </w:r>
      <w:r w:rsidRPr="00723953" w:rsidR="00E8683B">
        <w:rPr>
          <w:sz w:val="16"/>
          <w:szCs w:val="16"/>
        </w:rPr>
        <w:t>ative Applicant</w:t>
      </w:r>
      <w:r w:rsidR="00E8683B">
        <w:rPr>
          <w:sz w:val="16"/>
          <w:szCs w:val="16"/>
        </w:rPr>
        <w:t xml:space="preserve"> of the CoC and is </w:t>
      </w:r>
      <w:r w:rsidRPr="00EB195A" w:rsidR="00EB195A">
        <w:rPr>
          <w:sz w:val="16"/>
          <w:szCs w:val="16"/>
        </w:rPr>
        <w:t xml:space="preserve">responsible for submitting the CoCs application for funding to The Department of Housing and Urban Development (HUD). </w:t>
      </w:r>
      <w:r>
        <w:rPr>
          <w:sz w:val="16"/>
          <w:szCs w:val="16"/>
        </w:rPr>
        <w:t xml:space="preserve">EOHLC </w:t>
      </w:r>
      <w:r w:rsidRPr="00EB195A" w:rsidR="00EB195A">
        <w:rPr>
          <w:sz w:val="16"/>
          <w:szCs w:val="16"/>
        </w:rPr>
        <w:t>lead</w:t>
      </w:r>
      <w:r>
        <w:rPr>
          <w:sz w:val="16"/>
          <w:szCs w:val="16"/>
        </w:rPr>
        <w:t>s</w:t>
      </w:r>
      <w:r w:rsidRPr="00EB195A" w:rsidR="00EB195A">
        <w:rPr>
          <w:sz w:val="16"/>
          <w:szCs w:val="16"/>
        </w:rPr>
        <w:t xml:space="preserve"> the planning and coordination efforts to develop the CoCs application and ensure</w:t>
      </w:r>
      <w:r w:rsidR="00B43D05">
        <w:rPr>
          <w:sz w:val="16"/>
          <w:szCs w:val="16"/>
        </w:rPr>
        <w:t>s</w:t>
      </w:r>
      <w:r w:rsidRPr="00EB195A" w:rsidR="00EB195A">
        <w:rPr>
          <w:sz w:val="16"/>
          <w:szCs w:val="16"/>
        </w:rPr>
        <w:t xml:space="preserve"> that it meets HUD's requirements. </w:t>
      </w:r>
      <w:r w:rsidR="00B43D05">
        <w:rPr>
          <w:sz w:val="16"/>
          <w:szCs w:val="16"/>
        </w:rPr>
        <w:t>EOHLC</w:t>
      </w:r>
      <w:r w:rsidRPr="00EB195A" w:rsidR="00B43D05">
        <w:rPr>
          <w:sz w:val="16"/>
          <w:szCs w:val="16"/>
        </w:rPr>
        <w:t xml:space="preserve"> </w:t>
      </w:r>
      <w:r w:rsidRPr="00EB195A" w:rsidR="00EB195A">
        <w:rPr>
          <w:sz w:val="16"/>
          <w:szCs w:val="16"/>
        </w:rPr>
        <w:t xml:space="preserve">serves as the primary point of contact with HUD and is responsible for managing the CoCs grant funds. </w:t>
      </w:r>
    </w:p>
    <w:p w:rsidR="00AE41B9" w:rsidP="00EB195A" w:rsidRDefault="00AE41B9" w14:paraId="2AA0A66E" w14:textId="77777777">
      <w:pPr>
        <w:pStyle w:val="ListParagraph"/>
        <w:spacing w:after="0" w:line="240" w:lineRule="auto"/>
        <w:ind w:left="1080"/>
        <w:jc w:val="both"/>
        <w:rPr>
          <w:sz w:val="16"/>
          <w:szCs w:val="16"/>
        </w:rPr>
      </w:pPr>
    </w:p>
    <w:p w:rsidRPr="00EB195A" w:rsidR="00EB195A" w:rsidP="00EB195A" w:rsidRDefault="00EB195A" w14:paraId="664E24E8" w14:textId="320A60A7">
      <w:pPr>
        <w:pStyle w:val="ListParagraph"/>
        <w:spacing w:after="0" w:line="240" w:lineRule="auto"/>
        <w:ind w:left="1080"/>
        <w:jc w:val="both"/>
        <w:rPr>
          <w:sz w:val="16"/>
          <w:szCs w:val="16"/>
        </w:rPr>
      </w:pPr>
      <w:r w:rsidRPr="00EB195A">
        <w:rPr>
          <w:sz w:val="16"/>
          <w:szCs w:val="16"/>
        </w:rPr>
        <w:t xml:space="preserve">Primary responsibilities of </w:t>
      </w:r>
      <w:r w:rsidR="00AE41B9">
        <w:rPr>
          <w:sz w:val="16"/>
          <w:szCs w:val="16"/>
        </w:rPr>
        <w:t>EOHLC</w:t>
      </w:r>
      <w:r w:rsidRPr="00EB195A">
        <w:rPr>
          <w:sz w:val="16"/>
          <w:szCs w:val="16"/>
        </w:rPr>
        <w:t xml:space="preserve"> include:</w:t>
      </w:r>
    </w:p>
    <w:p w:rsidRPr="00EB195A" w:rsidR="00EB195A" w:rsidP="007B2CBE" w:rsidRDefault="00EB195A" w14:paraId="5EEABC62" w14:textId="2826E8A7">
      <w:pPr>
        <w:pStyle w:val="ListParagraph"/>
        <w:numPr>
          <w:ilvl w:val="0"/>
          <w:numId w:val="24"/>
        </w:numPr>
        <w:spacing w:after="0" w:line="240" w:lineRule="auto"/>
        <w:jc w:val="both"/>
        <w:rPr>
          <w:sz w:val="16"/>
          <w:szCs w:val="16"/>
        </w:rPr>
      </w:pPr>
      <w:r w:rsidRPr="00EB195A">
        <w:rPr>
          <w:sz w:val="16"/>
          <w:szCs w:val="16"/>
        </w:rPr>
        <w:t>Applying for CoC and/or UFA (Unified Funding Agency) Planning funds,</w:t>
      </w:r>
    </w:p>
    <w:p w:rsidR="000A7950" w:rsidP="007B2CBE" w:rsidRDefault="00EB195A" w14:paraId="7D90D7CD" w14:textId="6C53534A">
      <w:pPr>
        <w:pStyle w:val="ListParagraph"/>
        <w:numPr>
          <w:ilvl w:val="0"/>
          <w:numId w:val="24"/>
        </w:numPr>
        <w:spacing w:after="0" w:line="240" w:lineRule="auto"/>
        <w:jc w:val="both"/>
        <w:rPr>
          <w:sz w:val="16"/>
          <w:szCs w:val="16"/>
        </w:rPr>
      </w:pPr>
      <w:r w:rsidRPr="00EB195A">
        <w:rPr>
          <w:sz w:val="16"/>
          <w:szCs w:val="16"/>
        </w:rPr>
        <w:t>Coordinating and submitting the annual application to HUD for CoC program funding, and</w:t>
      </w:r>
    </w:p>
    <w:p w:rsidR="007B2CBE" w:rsidP="007B2CBE" w:rsidRDefault="007B2CBE" w14:paraId="793960B3" w14:textId="32C858C6">
      <w:pPr>
        <w:pStyle w:val="ListParagraph"/>
        <w:numPr>
          <w:ilvl w:val="0"/>
          <w:numId w:val="24"/>
        </w:numPr>
        <w:spacing w:after="0" w:line="240" w:lineRule="auto"/>
        <w:jc w:val="both"/>
        <w:rPr>
          <w:sz w:val="16"/>
          <w:szCs w:val="16"/>
        </w:rPr>
      </w:pPr>
      <w:r w:rsidRPr="007B2CBE">
        <w:rPr>
          <w:sz w:val="16"/>
          <w:szCs w:val="16"/>
        </w:rPr>
        <w:t>Coordinating and administering the activities and responsibilities of the CoC as specified in the Governance Charter.</w:t>
      </w:r>
    </w:p>
    <w:p w:rsidRPr="007B2CBE" w:rsidR="007B2CBE" w:rsidP="007B2CBE" w:rsidRDefault="007B2CBE" w14:paraId="39A2A01C" w14:textId="77777777">
      <w:pPr>
        <w:pStyle w:val="ListParagraph"/>
        <w:spacing w:after="0" w:line="240" w:lineRule="auto"/>
        <w:ind w:left="1080"/>
        <w:jc w:val="both"/>
        <w:rPr>
          <w:sz w:val="16"/>
          <w:szCs w:val="16"/>
        </w:rPr>
      </w:pPr>
    </w:p>
    <w:p w:rsidRPr="00EA5DFB" w:rsidR="00D52E82" w:rsidP="007B3EEF" w:rsidRDefault="003E077C" w14:paraId="6FA23C71" w14:textId="3B9FEFDC">
      <w:pPr>
        <w:pStyle w:val="ListParagraph"/>
        <w:numPr>
          <w:ilvl w:val="0"/>
          <w:numId w:val="1"/>
        </w:numPr>
        <w:spacing w:after="0" w:line="240" w:lineRule="auto"/>
        <w:rPr>
          <w:b/>
          <w:bCs/>
          <w:sz w:val="16"/>
          <w:szCs w:val="16"/>
        </w:rPr>
      </w:pPr>
      <w:r w:rsidRPr="00EA5DFB">
        <w:rPr>
          <w:b/>
          <w:bCs/>
          <w:sz w:val="16"/>
          <w:szCs w:val="16"/>
        </w:rPr>
        <w:t xml:space="preserve">THE </w:t>
      </w:r>
      <w:r w:rsidRPr="00EA5DFB" w:rsidR="00755DC6">
        <w:rPr>
          <w:b/>
          <w:bCs/>
          <w:sz w:val="16"/>
          <w:szCs w:val="16"/>
        </w:rPr>
        <w:t>PROJECT</w:t>
      </w:r>
      <w:r w:rsidRPr="00EA5DFB">
        <w:rPr>
          <w:b/>
          <w:bCs/>
          <w:sz w:val="16"/>
          <w:szCs w:val="16"/>
        </w:rPr>
        <w:t xml:space="preserve"> EVALUATON </w:t>
      </w:r>
      <w:r w:rsidRPr="00EA5DFB" w:rsidR="002918F7">
        <w:rPr>
          <w:b/>
          <w:bCs/>
          <w:sz w:val="16"/>
          <w:szCs w:val="16"/>
        </w:rPr>
        <w:t>COMMITTEE</w:t>
      </w:r>
      <w:r w:rsidRPr="00EA5DFB" w:rsidR="0053507E">
        <w:rPr>
          <w:b/>
          <w:bCs/>
          <w:sz w:val="16"/>
          <w:szCs w:val="16"/>
        </w:rPr>
        <w:t xml:space="preserve"> RESPON</w:t>
      </w:r>
      <w:r w:rsidRPr="00EA5DFB" w:rsidR="00F0661F">
        <w:rPr>
          <w:b/>
          <w:bCs/>
          <w:sz w:val="16"/>
          <w:szCs w:val="16"/>
        </w:rPr>
        <w:t>SIBLITIES</w:t>
      </w:r>
    </w:p>
    <w:p w:rsidRPr="00EA5DFB" w:rsidR="002918F7" w:rsidP="00FC069B" w:rsidRDefault="002B57FC" w14:paraId="668AD927" w14:textId="5C3EFA81">
      <w:pPr>
        <w:pStyle w:val="ListParagraph"/>
        <w:spacing w:after="0" w:line="240" w:lineRule="auto"/>
        <w:ind w:left="1080"/>
        <w:jc w:val="both"/>
        <w:rPr>
          <w:sz w:val="16"/>
          <w:szCs w:val="16"/>
        </w:rPr>
      </w:pPr>
      <w:r w:rsidRPr="0BC6179E" w:rsidR="002B57FC">
        <w:rPr>
          <w:sz w:val="16"/>
          <w:szCs w:val="16"/>
        </w:rPr>
        <w:t>This Committee oversees the development and maintenance of performance evaluation</w:t>
      </w:r>
      <w:r w:rsidRPr="0BC6179E" w:rsidR="008335E9">
        <w:rPr>
          <w:sz w:val="16"/>
          <w:szCs w:val="16"/>
        </w:rPr>
        <w:t>/</w:t>
      </w:r>
      <w:r w:rsidRPr="0BC6179E" w:rsidR="00C20793">
        <w:rPr>
          <w:sz w:val="16"/>
          <w:szCs w:val="16"/>
        </w:rPr>
        <w:t xml:space="preserve">Ranking and Review </w:t>
      </w:r>
      <w:r w:rsidRPr="0BC6179E" w:rsidR="002B57FC">
        <w:rPr>
          <w:sz w:val="16"/>
          <w:szCs w:val="16"/>
        </w:rPr>
        <w:t>tools</w:t>
      </w:r>
      <w:r w:rsidRPr="0BC6179E" w:rsidR="008335E9">
        <w:rPr>
          <w:sz w:val="16"/>
          <w:szCs w:val="16"/>
        </w:rPr>
        <w:t xml:space="preserve"> </w:t>
      </w:r>
      <w:r w:rsidRPr="0BC6179E" w:rsidR="002B57FC">
        <w:rPr>
          <w:sz w:val="16"/>
          <w:szCs w:val="16"/>
        </w:rPr>
        <w:t xml:space="preserve">to ensure that projects are being measured for regulatory compliance and for outcomes that reflect the priorities of </w:t>
      </w:r>
      <w:r w:rsidRPr="0BC6179E" w:rsidR="00651F38">
        <w:rPr>
          <w:sz w:val="16"/>
          <w:szCs w:val="16"/>
        </w:rPr>
        <w:t>HUD</w:t>
      </w:r>
      <w:r w:rsidRPr="0BC6179E" w:rsidR="002B57FC">
        <w:rPr>
          <w:sz w:val="16"/>
          <w:szCs w:val="16"/>
        </w:rPr>
        <w:t xml:space="preserve"> and the Continuum.</w:t>
      </w:r>
      <w:r w:rsidRPr="0BC6179E" w:rsidR="00F37CD3">
        <w:rPr>
          <w:sz w:val="16"/>
          <w:szCs w:val="16"/>
        </w:rPr>
        <w:t xml:space="preserve"> </w:t>
      </w:r>
      <w:r w:rsidRPr="0BC6179E" w:rsidR="003A09FA">
        <w:rPr>
          <w:sz w:val="16"/>
          <w:szCs w:val="16"/>
        </w:rPr>
        <w:t>The committee meets to review and revise the tools annually</w:t>
      </w:r>
      <w:r w:rsidRPr="0BC6179E" w:rsidR="003A09FA">
        <w:rPr>
          <w:sz w:val="16"/>
          <w:szCs w:val="16"/>
        </w:rPr>
        <w:t xml:space="preserve">. </w:t>
      </w:r>
      <w:r w:rsidRPr="0BC6179E" w:rsidR="00F37CD3">
        <w:rPr>
          <w:sz w:val="16"/>
          <w:szCs w:val="16"/>
        </w:rPr>
        <w:t xml:space="preserve">The Committee is made up of </w:t>
      </w:r>
      <w:r w:rsidRPr="0BC6179E" w:rsidR="00B5297F">
        <w:rPr>
          <w:sz w:val="16"/>
          <w:szCs w:val="16"/>
        </w:rPr>
        <w:t>subreci</w:t>
      </w:r>
      <w:r w:rsidRPr="0BC6179E" w:rsidR="00566576">
        <w:rPr>
          <w:sz w:val="16"/>
          <w:szCs w:val="16"/>
        </w:rPr>
        <w:t xml:space="preserve">pients’ </w:t>
      </w:r>
      <w:r w:rsidRPr="0BC6179E" w:rsidR="00010B87">
        <w:rPr>
          <w:sz w:val="16"/>
          <w:szCs w:val="16"/>
        </w:rPr>
        <w:t>staff</w:t>
      </w:r>
      <w:r w:rsidRPr="0BC6179E" w:rsidR="00F37CD3">
        <w:rPr>
          <w:sz w:val="16"/>
          <w:szCs w:val="16"/>
        </w:rPr>
        <w:t xml:space="preserve"> members </w:t>
      </w:r>
      <w:r w:rsidRPr="0BC6179E" w:rsidR="00566576">
        <w:rPr>
          <w:sz w:val="16"/>
          <w:szCs w:val="16"/>
        </w:rPr>
        <w:t xml:space="preserve">(at various management and staff </w:t>
      </w:r>
      <w:r w:rsidRPr="0BC6179E" w:rsidR="001F057C">
        <w:rPr>
          <w:sz w:val="16"/>
          <w:szCs w:val="16"/>
        </w:rPr>
        <w:t>levels</w:t>
      </w:r>
      <w:r w:rsidRPr="0BC6179E" w:rsidR="00566576">
        <w:rPr>
          <w:sz w:val="16"/>
          <w:szCs w:val="16"/>
        </w:rPr>
        <w:t>)</w:t>
      </w:r>
      <w:r w:rsidRPr="0BC6179E" w:rsidR="00B02707">
        <w:rPr>
          <w:sz w:val="16"/>
          <w:szCs w:val="16"/>
        </w:rPr>
        <w:t xml:space="preserve">, </w:t>
      </w:r>
      <w:r w:rsidRPr="0BC6179E" w:rsidR="00F37CD3">
        <w:rPr>
          <w:sz w:val="16"/>
          <w:szCs w:val="16"/>
        </w:rPr>
        <w:t xml:space="preserve">staff members from the </w:t>
      </w:r>
      <w:r w:rsidRPr="0BC6179E" w:rsidR="00051842">
        <w:rPr>
          <w:sz w:val="16"/>
          <w:szCs w:val="16"/>
        </w:rPr>
        <w:t>EOHLC</w:t>
      </w:r>
      <w:r w:rsidRPr="0BC6179E" w:rsidR="00F37CD3">
        <w:rPr>
          <w:sz w:val="16"/>
          <w:szCs w:val="16"/>
        </w:rPr>
        <w:t xml:space="preserve"> Federal Grants </w:t>
      </w:r>
      <w:r w:rsidRPr="0BC6179E" w:rsidR="00F27D21">
        <w:rPr>
          <w:sz w:val="16"/>
          <w:szCs w:val="16"/>
        </w:rPr>
        <w:t>U</w:t>
      </w:r>
      <w:r w:rsidRPr="0BC6179E" w:rsidR="00F37CD3">
        <w:rPr>
          <w:sz w:val="16"/>
          <w:szCs w:val="16"/>
        </w:rPr>
        <w:t>nit</w:t>
      </w:r>
      <w:r w:rsidRPr="0BC6179E" w:rsidR="00B02707">
        <w:rPr>
          <w:sz w:val="16"/>
          <w:szCs w:val="16"/>
        </w:rPr>
        <w:t>, and HMIS</w:t>
      </w:r>
      <w:r w:rsidRPr="0BC6179E" w:rsidR="00EF161B">
        <w:rPr>
          <w:sz w:val="16"/>
          <w:szCs w:val="16"/>
        </w:rPr>
        <w:t xml:space="preserve"> staff</w:t>
      </w:r>
      <w:r w:rsidRPr="0BC6179E" w:rsidR="00F37CD3">
        <w:rPr>
          <w:sz w:val="16"/>
          <w:szCs w:val="16"/>
        </w:rPr>
        <w:t xml:space="preserve">. </w:t>
      </w:r>
      <w:r w:rsidRPr="0BC6179E" w:rsidR="00F30231">
        <w:rPr>
          <w:sz w:val="16"/>
          <w:szCs w:val="16"/>
        </w:rPr>
        <w:t xml:space="preserve">Care is taken to assure no project application </w:t>
      </w:r>
      <w:r w:rsidRPr="0BC6179E" w:rsidR="00B97622">
        <w:rPr>
          <w:sz w:val="16"/>
          <w:szCs w:val="16"/>
        </w:rPr>
        <w:t>is</w:t>
      </w:r>
      <w:r w:rsidRPr="0BC6179E" w:rsidR="00F30231">
        <w:rPr>
          <w:sz w:val="16"/>
          <w:szCs w:val="16"/>
        </w:rPr>
        <w:t xml:space="preserve"> assigned where a member of the small group may have a conflict of interest.</w:t>
      </w:r>
    </w:p>
    <w:p w:rsidR="0BC6179E" w:rsidP="0BC6179E" w:rsidRDefault="0BC6179E" w14:paraId="67838D39" w14:textId="5FE3A106">
      <w:pPr>
        <w:pStyle w:val="ListParagraph"/>
        <w:spacing w:after="0" w:line="240" w:lineRule="auto"/>
        <w:ind w:left="1080"/>
        <w:jc w:val="both"/>
        <w:rPr>
          <w:sz w:val="16"/>
          <w:szCs w:val="16"/>
        </w:rPr>
      </w:pPr>
    </w:p>
    <w:p w:rsidR="4A1728D8" w:rsidP="0BC6179E" w:rsidRDefault="4A1728D8" w14:paraId="59E5F104" w14:textId="1AD2EB83">
      <w:pPr>
        <w:pStyle w:val="ListParagraph"/>
        <w:spacing w:after="0" w:line="240" w:lineRule="auto"/>
        <w:ind w:left="1080"/>
        <w:jc w:val="both"/>
        <w:rPr>
          <w:sz w:val="16"/>
          <w:szCs w:val="16"/>
        </w:rPr>
      </w:pPr>
      <w:r w:rsidRPr="0BC6179E" w:rsidR="4A1728D8">
        <w:rPr>
          <w:sz w:val="16"/>
          <w:szCs w:val="16"/>
        </w:rPr>
        <w:t xml:space="preserve">The PE Committee makes recommendations </w:t>
      </w:r>
      <w:r w:rsidRPr="0BC6179E" w:rsidR="4A1728D8">
        <w:rPr>
          <w:sz w:val="16"/>
          <w:szCs w:val="16"/>
        </w:rPr>
        <w:t>regarding</w:t>
      </w:r>
      <w:r w:rsidRPr="0BC6179E" w:rsidR="4A1728D8">
        <w:rPr>
          <w:sz w:val="16"/>
          <w:szCs w:val="16"/>
        </w:rPr>
        <w:t xml:space="preserve"> final project ranking for Tier 1 and Tier 2 of the NOFO submission. It will make a minimum of two recommendati</w:t>
      </w:r>
      <w:r w:rsidRPr="0BC6179E" w:rsidR="08B09588">
        <w:rPr>
          <w:sz w:val="16"/>
          <w:szCs w:val="16"/>
        </w:rPr>
        <w:t xml:space="preserve">ons – one that is solely reliant on the scores of the projects, and another based upon a review of the projects and the needs of the CoC. It may present more recommendations if it is </w:t>
      </w:r>
      <w:r w:rsidRPr="0BC6179E" w:rsidR="08B09588">
        <w:rPr>
          <w:sz w:val="16"/>
          <w:szCs w:val="16"/>
        </w:rPr>
        <w:t>determined</w:t>
      </w:r>
      <w:r w:rsidRPr="0BC6179E" w:rsidR="08B09588">
        <w:rPr>
          <w:sz w:val="16"/>
          <w:szCs w:val="16"/>
        </w:rPr>
        <w:t xml:space="preserve"> there are other factors to consider.</w:t>
      </w:r>
    </w:p>
    <w:p w:rsidRPr="00EA5DFB" w:rsidR="00F7356D" w:rsidP="00FC069B" w:rsidRDefault="00F7356D" w14:paraId="7B695B0B" w14:textId="77777777">
      <w:pPr>
        <w:pStyle w:val="ListParagraph"/>
        <w:spacing w:after="0" w:line="240" w:lineRule="auto"/>
        <w:ind w:left="1080"/>
        <w:jc w:val="both"/>
        <w:rPr>
          <w:sz w:val="16"/>
          <w:szCs w:val="16"/>
        </w:rPr>
      </w:pPr>
    </w:p>
    <w:p w:rsidRPr="007442A6" w:rsidR="007442A6" w:rsidP="007442A6" w:rsidRDefault="007442A6" w14:paraId="62A7DCDC" w14:textId="77777777">
      <w:pPr>
        <w:pStyle w:val="ListParagraph"/>
        <w:numPr>
          <w:ilvl w:val="0"/>
          <w:numId w:val="1"/>
        </w:numPr>
        <w:spacing w:after="0" w:line="240" w:lineRule="auto"/>
        <w:rPr>
          <w:sz w:val="16"/>
          <w:szCs w:val="16"/>
        </w:rPr>
      </w:pPr>
      <w:r w:rsidRPr="007442A6">
        <w:rPr>
          <w:b/>
          <w:bCs/>
          <w:sz w:val="16"/>
          <w:szCs w:val="16"/>
        </w:rPr>
        <w:t>REVIEWER/EVALUATOR RESPONSIBILITES</w:t>
      </w:r>
      <w:r>
        <w:rPr>
          <w:b/>
          <w:bCs/>
          <w:sz w:val="16"/>
          <w:szCs w:val="16"/>
        </w:rPr>
        <w:t xml:space="preserve"> </w:t>
      </w:r>
    </w:p>
    <w:p w:rsidRPr="007442A6" w:rsidR="007442A6" w:rsidP="007442A6" w:rsidRDefault="007442A6" w14:paraId="35C70B4E" w14:textId="09AB8110">
      <w:pPr>
        <w:pStyle w:val="ListParagraph"/>
        <w:spacing w:after="0" w:line="240" w:lineRule="auto"/>
        <w:ind w:left="1080"/>
        <w:rPr>
          <w:sz w:val="16"/>
          <w:szCs w:val="16"/>
        </w:rPr>
      </w:pPr>
      <w:r w:rsidRPr="0BC6179E" w:rsidR="007442A6">
        <w:rPr>
          <w:sz w:val="16"/>
          <w:szCs w:val="16"/>
        </w:rPr>
        <w:t>The reviewers</w:t>
      </w:r>
      <w:r w:rsidRPr="0BC6179E" w:rsidR="39D4DA55">
        <w:rPr>
          <w:sz w:val="16"/>
          <w:szCs w:val="16"/>
        </w:rPr>
        <w:t xml:space="preserve"> who are representatives of EOHLC, current subrecipients, and non-funded CoC members</w:t>
      </w:r>
      <w:r w:rsidRPr="0BC6179E" w:rsidR="007442A6">
        <w:rPr>
          <w:sz w:val="16"/>
          <w:szCs w:val="16"/>
        </w:rPr>
        <w:t xml:space="preserve"> </w:t>
      </w:r>
      <w:r w:rsidRPr="0BC6179E" w:rsidR="007442A6">
        <w:rPr>
          <w:sz w:val="16"/>
          <w:szCs w:val="16"/>
        </w:rPr>
        <w:t xml:space="preserve">complete the Ranking and Review </w:t>
      </w:r>
      <w:r w:rsidRPr="0BC6179E" w:rsidR="007442A6">
        <w:rPr>
          <w:sz w:val="16"/>
          <w:szCs w:val="16"/>
        </w:rPr>
        <w:t>tool</w:t>
      </w:r>
      <w:r w:rsidRPr="0BC6179E" w:rsidR="007442A6">
        <w:rPr>
          <w:sz w:val="16"/>
          <w:szCs w:val="16"/>
        </w:rPr>
        <w:t>.</w:t>
      </w:r>
      <w:r w:rsidRPr="0BC6179E" w:rsidR="007442A6">
        <w:rPr>
          <w:sz w:val="16"/>
          <w:szCs w:val="16"/>
        </w:rPr>
        <w:t xml:space="preserve"> They will provide the following support:</w:t>
      </w:r>
    </w:p>
    <w:p w:rsidR="007457D5" w:rsidP="007457D5" w:rsidRDefault="007442A6" w14:paraId="2DB50963" w14:textId="77777777">
      <w:pPr>
        <w:pStyle w:val="ListParagraph"/>
        <w:numPr>
          <w:ilvl w:val="0"/>
          <w:numId w:val="21"/>
        </w:numPr>
        <w:spacing w:after="0" w:line="240" w:lineRule="auto"/>
        <w:rPr>
          <w:sz w:val="16"/>
          <w:szCs w:val="16"/>
        </w:rPr>
      </w:pPr>
      <w:r w:rsidRPr="007457D5">
        <w:rPr>
          <w:sz w:val="16"/>
          <w:szCs w:val="16"/>
        </w:rPr>
        <w:t xml:space="preserve">Complete the Ranking and Review tool. </w:t>
      </w:r>
    </w:p>
    <w:p w:rsidR="007457D5" w:rsidP="007457D5" w:rsidRDefault="007442A6" w14:paraId="64DF1BA8" w14:textId="77777777">
      <w:pPr>
        <w:pStyle w:val="ListParagraph"/>
        <w:numPr>
          <w:ilvl w:val="0"/>
          <w:numId w:val="21"/>
        </w:numPr>
        <w:spacing w:after="0" w:line="240" w:lineRule="auto"/>
        <w:rPr>
          <w:sz w:val="16"/>
          <w:szCs w:val="16"/>
        </w:rPr>
      </w:pPr>
      <w:r w:rsidRPr="007457D5">
        <w:rPr>
          <w:sz w:val="16"/>
          <w:szCs w:val="16"/>
        </w:rPr>
        <w:t>Verify that all required data is entered and accurate.</w:t>
      </w:r>
    </w:p>
    <w:p w:rsidRPr="007457D5" w:rsidR="007442A6" w:rsidP="007457D5" w:rsidRDefault="007442A6" w14:paraId="41F359B2" w14:textId="064374A9">
      <w:pPr>
        <w:pStyle w:val="ListParagraph"/>
        <w:numPr>
          <w:ilvl w:val="0"/>
          <w:numId w:val="21"/>
        </w:numPr>
        <w:spacing w:after="0" w:line="240" w:lineRule="auto"/>
        <w:rPr>
          <w:sz w:val="16"/>
          <w:szCs w:val="16"/>
        </w:rPr>
      </w:pPr>
      <w:r w:rsidRPr="007457D5">
        <w:rPr>
          <w:sz w:val="16"/>
          <w:szCs w:val="16"/>
        </w:rPr>
        <w:t>Report any issues/problems to team lead.</w:t>
      </w:r>
    </w:p>
    <w:p w:rsidR="007442A6" w:rsidP="007442A6" w:rsidRDefault="007442A6" w14:paraId="65308735" w14:textId="77777777">
      <w:pPr>
        <w:pStyle w:val="ListParagraph"/>
        <w:spacing w:after="0" w:line="240" w:lineRule="auto"/>
        <w:ind w:left="1080"/>
        <w:rPr>
          <w:b/>
          <w:bCs/>
          <w:sz w:val="16"/>
          <w:szCs w:val="16"/>
        </w:rPr>
      </w:pPr>
    </w:p>
    <w:p w:rsidRPr="007457D5" w:rsidR="00D9295E" w:rsidP="0BC6179E" w:rsidRDefault="006F004C" w14:paraId="5F2B5F02" w14:textId="35197E82">
      <w:pPr>
        <w:pStyle w:val="ListParagraph"/>
        <w:numPr>
          <w:ilvl w:val="0"/>
          <w:numId w:val="1"/>
        </w:numPr>
        <w:spacing w:after="0" w:line="240" w:lineRule="auto"/>
        <w:ind/>
        <w:rPr>
          <w:b w:val="1"/>
          <w:bCs w:val="1"/>
          <w:sz w:val="16"/>
          <w:szCs w:val="16"/>
          <w:u w:val="none"/>
        </w:rPr>
      </w:pPr>
      <w:r w:rsidRPr="0BC6179E" w:rsidR="007457D5">
        <w:rPr>
          <w:b w:val="1"/>
          <w:bCs w:val="1"/>
          <w:sz w:val="16"/>
          <w:szCs w:val="16"/>
        </w:rPr>
        <w:t xml:space="preserve">REVIEWER/EVALUATOR </w:t>
      </w:r>
      <w:r w:rsidRPr="0BC6179E" w:rsidR="00305F6D">
        <w:rPr>
          <w:b w:val="1"/>
          <w:bCs w:val="1"/>
          <w:sz w:val="16"/>
          <w:szCs w:val="16"/>
          <w:u w:val="none"/>
        </w:rPr>
        <w:t>AND</w:t>
      </w:r>
      <w:r w:rsidRPr="0BC6179E" w:rsidR="006F004C">
        <w:rPr>
          <w:b w:val="1"/>
          <w:bCs w:val="1"/>
          <w:sz w:val="16"/>
          <w:szCs w:val="16"/>
          <w:u w:val="none"/>
        </w:rPr>
        <w:t xml:space="preserve"> </w:t>
      </w:r>
      <w:r w:rsidRPr="0BC6179E" w:rsidR="00B22363">
        <w:rPr>
          <w:b w:val="1"/>
          <w:bCs w:val="1"/>
          <w:sz w:val="16"/>
          <w:szCs w:val="16"/>
          <w:u w:val="none"/>
        </w:rPr>
        <w:t>TEAM</w:t>
      </w:r>
      <w:r w:rsidRPr="0BC6179E" w:rsidR="00591D2A">
        <w:rPr>
          <w:b w:val="1"/>
          <w:bCs w:val="1"/>
          <w:sz w:val="16"/>
          <w:szCs w:val="16"/>
          <w:u w:val="none"/>
        </w:rPr>
        <w:t xml:space="preserve"> LEAD</w:t>
      </w:r>
      <w:r w:rsidRPr="0BC6179E" w:rsidR="00B22363">
        <w:rPr>
          <w:b w:val="1"/>
          <w:bCs w:val="1"/>
          <w:sz w:val="16"/>
          <w:szCs w:val="16"/>
          <w:u w:val="none"/>
        </w:rPr>
        <w:t xml:space="preserve"> STRUCTURE</w:t>
      </w:r>
    </w:p>
    <w:p w:rsidR="00E9065B" w:rsidP="0BC6179E" w:rsidRDefault="00E9065B" w14:paraId="5D255185" w14:textId="49648BBB">
      <w:pPr>
        <w:pStyle w:val="ListParagraph"/>
        <w:suppressLineNumbers w:val="0"/>
        <w:bidi w:val="0"/>
        <w:spacing w:before="0" w:beforeAutospacing="off" w:after="0" w:afterAutospacing="off" w:line="240" w:lineRule="auto"/>
        <w:ind w:left="1080" w:right="0"/>
        <w:jc w:val="left"/>
        <w:rPr>
          <w:sz w:val="16"/>
          <w:szCs w:val="16"/>
        </w:rPr>
      </w:pPr>
      <w:r w:rsidRPr="0BC6179E" w:rsidR="00E9065B">
        <w:rPr>
          <w:sz w:val="16"/>
          <w:szCs w:val="16"/>
        </w:rPr>
        <w:t>The MA BoS CoC c</w:t>
      </w:r>
      <w:r w:rsidRPr="0BC6179E" w:rsidR="00BB5916">
        <w:rPr>
          <w:sz w:val="16"/>
          <w:szCs w:val="16"/>
        </w:rPr>
        <w:t>urrent</w:t>
      </w:r>
      <w:r w:rsidRPr="0BC6179E" w:rsidR="00E9065B">
        <w:rPr>
          <w:sz w:val="16"/>
          <w:szCs w:val="16"/>
        </w:rPr>
        <w:t xml:space="preserve">ly </w:t>
      </w:r>
      <w:r w:rsidRPr="0BC6179E" w:rsidR="006F24E6">
        <w:rPr>
          <w:sz w:val="16"/>
          <w:szCs w:val="16"/>
        </w:rPr>
        <w:t>manages</w:t>
      </w:r>
      <w:r w:rsidRPr="0BC6179E" w:rsidR="00056E8B">
        <w:rPr>
          <w:sz w:val="16"/>
          <w:szCs w:val="16"/>
        </w:rPr>
        <w:t xml:space="preserve"> a</w:t>
      </w:r>
      <w:r w:rsidRPr="0BC6179E" w:rsidR="000602F0">
        <w:rPr>
          <w:sz w:val="16"/>
          <w:szCs w:val="16"/>
        </w:rPr>
        <w:t xml:space="preserve">n average of </w:t>
      </w:r>
      <w:r w:rsidRPr="0BC6179E" w:rsidR="0077514C">
        <w:rPr>
          <w:sz w:val="16"/>
          <w:szCs w:val="16"/>
        </w:rPr>
        <w:t xml:space="preserve">45 </w:t>
      </w:r>
      <w:r w:rsidRPr="0BC6179E" w:rsidR="00E9065B">
        <w:rPr>
          <w:sz w:val="16"/>
          <w:szCs w:val="16"/>
        </w:rPr>
        <w:t>projects</w:t>
      </w:r>
      <w:r w:rsidRPr="0BC6179E" w:rsidR="000602F0">
        <w:rPr>
          <w:sz w:val="16"/>
          <w:szCs w:val="16"/>
        </w:rPr>
        <w:t xml:space="preserve"> annually</w:t>
      </w:r>
      <w:r w:rsidRPr="0BC6179E" w:rsidR="007B678C">
        <w:rPr>
          <w:sz w:val="16"/>
          <w:szCs w:val="16"/>
        </w:rPr>
        <w:t xml:space="preserve">. For the </w:t>
      </w:r>
      <w:r w:rsidRPr="0BC6179E" w:rsidR="00AD6F80">
        <w:rPr>
          <w:sz w:val="16"/>
          <w:szCs w:val="16"/>
        </w:rPr>
        <w:t>Rating and Ranking</w:t>
      </w:r>
      <w:r w:rsidRPr="0BC6179E" w:rsidR="006F24E6">
        <w:rPr>
          <w:sz w:val="16"/>
          <w:szCs w:val="16"/>
        </w:rPr>
        <w:t xml:space="preserve">, </w:t>
      </w:r>
      <w:r w:rsidRPr="0BC6179E" w:rsidR="007D0EF4">
        <w:rPr>
          <w:sz w:val="16"/>
          <w:szCs w:val="16"/>
        </w:rPr>
        <w:t xml:space="preserve">the structure of the </w:t>
      </w:r>
      <w:r w:rsidRPr="0BC6179E" w:rsidR="00E019EB">
        <w:rPr>
          <w:sz w:val="16"/>
          <w:szCs w:val="16"/>
        </w:rPr>
        <w:t xml:space="preserve">team evaluators will be </w:t>
      </w:r>
      <w:r w:rsidRPr="0BC6179E" w:rsidR="19B93031">
        <w:rPr>
          <w:sz w:val="16"/>
          <w:szCs w:val="16"/>
        </w:rPr>
        <w:t>determined</w:t>
      </w:r>
      <w:r w:rsidRPr="0BC6179E" w:rsidR="19B93031">
        <w:rPr>
          <w:sz w:val="16"/>
          <w:szCs w:val="16"/>
        </w:rPr>
        <w:t xml:space="preserve"> by the number of volunteers and the number of projects that should be reviewed. Every effort will be made to ensure no team reviews more than 6 applications.</w:t>
      </w:r>
    </w:p>
    <w:tbl>
      <w:tblPr>
        <w:tblW w:w="7480" w:type="dxa"/>
        <w:jc w:val="center"/>
        <w:tblLook w:val="04A0" w:firstRow="1" w:lastRow="0" w:firstColumn="1" w:lastColumn="0" w:noHBand="0" w:noVBand="1"/>
      </w:tblPr>
      <w:tblGrid>
        <w:gridCol w:w="2796"/>
        <w:gridCol w:w="1692"/>
        <w:gridCol w:w="1673"/>
        <w:gridCol w:w="1319"/>
      </w:tblGrid>
      <w:tr w:rsidRPr="00EA5DFB" w:rsidR="00351B3B" w:rsidTr="00541650" w14:paraId="1B8FBFA3" w14:textId="77777777">
        <w:trPr>
          <w:trHeight w:val="580"/>
          <w:jc w:val="center"/>
        </w:trPr>
        <w:tc>
          <w:tcPr>
            <w:tcW w:w="2796" w:type="dxa"/>
            <w:tcBorders>
              <w:top w:val="nil"/>
              <w:left w:val="nil"/>
              <w:bottom w:val="single" w:color="auto" w:sz="4" w:space="0"/>
              <w:right w:val="nil"/>
            </w:tcBorders>
            <w:shd w:val="clear" w:color="000000" w:fill="E7E6E6"/>
            <w:noWrap/>
            <w:vAlign w:val="bottom"/>
            <w:hideMark/>
          </w:tcPr>
          <w:p w:rsidRPr="00EA5DFB" w:rsidR="00351B3B" w:rsidP="00BE08B6" w:rsidRDefault="00351B3B" w14:paraId="158948DC" w14:textId="70EE6EA6">
            <w:pPr>
              <w:spacing w:after="0" w:line="240" w:lineRule="auto"/>
              <w:jc w:val="center"/>
              <w:rPr>
                <w:rFonts w:ascii="Calibri" w:hAnsi="Calibri" w:eastAsia="Times New Roman" w:cs="Calibri"/>
                <w:b/>
                <w:bCs/>
                <w:color w:val="FF0000"/>
                <w:kern w:val="0"/>
                <w:sz w:val="10"/>
                <w:szCs w:val="10"/>
                <w14:ligatures w14:val="none"/>
              </w:rPr>
            </w:pPr>
            <w:r w:rsidRPr="00EA5DFB">
              <w:rPr>
                <w:rFonts w:ascii="Calibri" w:hAnsi="Calibri" w:eastAsia="Times New Roman" w:cs="Calibri"/>
                <w:b/>
                <w:bCs/>
                <w:color w:val="FF0000"/>
                <w:kern w:val="0"/>
                <w:sz w:val="10"/>
                <w:szCs w:val="10"/>
                <w14:ligatures w14:val="none"/>
              </w:rPr>
              <w:t>Team</w:t>
            </w:r>
          </w:p>
        </w:tc>
        <w:tc>
          <w:tcPr>
            <w:tcW w:w="1692" w:type="dxa"/>
            <w:tcBorders>
              <w:top w:val="nil"/>
              <w:left w:val="nil"/>
              <w:bottom w:val="single" w:color="auto" w:sz="4" w:space="0"/>
              <w:right w:val="nil"/>
            </w:tcBorders>
            <w:shd w:val="clear" w:color="000000" w:fill="E7E6E6"/>
            <w:vAlign w:val="bottom"/>
            <w:hideMark/>
          </w:tcPr>
          <w:p w:rsidRPr="00EA5DFB" w:rsidR="00351B3B" w:rsidP="00BE08B6" w:rsidRDefault="00351B3B" w14:paraId="4EBCD485" w14:textId="52DFAD71">
            <w:pPr>
              <w:spacing w:after="0" w:line="240" w:lineRule="auto"/>
              <w:jc w:val="center"/>
              <w:rPr>
                <w:rFonts w:ascii="Calibri" w:hAnsi="Calibri" w:eastAsia="Times New Roman" w:cs="Calibri"/>
                <w:b/>
                <w:bCs/>
                <w:color w:val="FF0000"/>
                <w:kern w:val="0"/>
                <w:sz w:val="10"/>
                <w:szCs w:val="10"/>
                <w14:ligatures w14:val="none"/>
              </w:rPr>
            </w:pPr>
            <w:r w:rsidRPr="00EA5DFB">
              <w:rPr>
                <w:rFonts w:ascii="Calibri" w:hAnsi="Calibri" w:eastAsia="Times New Roman" w:cs="Calibri"/>
                <w:b/>
                <w:bCs/>
                <w:color w:val="FF0000"/>
                <w:kern w:val="0"/>
                <w:sz w:val="10"/>
                <w:szCs w:val="10"/>
                <w14:ligatures w14:val="none"/>
              </w:rPr>
              <w:t xml:space="preserve">Number of </w:t>
            </w:r>
            <w:r w:rsidRPr="00EA5DFB" w:rsidR="00F6445C">
              <w:rPr>
                <w:rFonts w:ascii="Calibri" w:hAnsi="Calibri" w:eastAsia="Times New Roman" w:cs="Calibri"/>
                <w:b/>
                <w:bCs/>
                <w:color w:val="FF0000"/>
                <w:kern w:val="0"/>
                <w:sz w:val="10"/>
                <w:szCs w:val="10"/>
                <w14:ligatures w14:val="none"/>
              </w:rPr>
              <w:t>M</w:t>
            </w:r>
            <w:r w:rsidRPr="00EA5DFB">
              <w:rPr>
                <w:rFonts w:ascii="Calibri" w:hAnsi="Calibri" w:eastAsia="Times New Roman" w:cs="Calibri"/>
                <w:b/>
                <w:bCs/>
                <w:color w:val="FF0000"/>
                <w:kern w:val="0"/>
                <w:sz w:val="10"/>
                <w:szCs w:val="10"/>
                <w14:ligatures w14:val="none"/>
              </w:rPr>
              <w:t>ember</w:t>
            </w:r>
            <w:r w:rsidRPr="00EA5DFB" w:rsidR="00F6445C">
              <w:rPr>
                <w:rFonts w:ascii="Calibri" w:hAnsi="Calibri" w:eastAsia="Times New Roman" w:cs="Calibri"/>
                <w:b/>
                <w:bCs/>
                <w:color w:val="FF0000"/>
                <w:kern w:val="0"/>
                <w:sz w:val="10"/>
                <w:szCs w:val="10"/>
                <w14:ligatures w14:val="none"/>
              </w:rPr>
              <w:t>s</w:t>
            </w:r>
            <w:r w:rsidRPr="00EA5DFB">
              <w:rPr>
                <w:rFonts w:ascii="Calibri" w:hAnsi="Calibri" w:eastAsia="Times New Roman" w:cs="Calibri"/>
                <w:b/>
                <w:bCs/>
                <w:color w:val="FF0000"/>
                <w:kern w:val="0"/>
                <w:sz w:val="10"/>
                <w:szCs w:val="10"/>
                <w14:ligatures w14:val="none"/>
              </w:rPr>
              <w:t xml:space="preserve"> + Lead</w:t>
            </w:r>
          </w:p>
        </w:tc>
        <w:tc>
          <w:tcPr>
            <w:tcW w:w="1673" w:type="dxa"/>
            <w:tcBorders>
              <w:top w:val="nil"/>
              <w:left w:val="nil"/>
              <w:bottom w:val="single" w:color="auto" w:sz="4" w:space="0"/>
              <w:right w:val="nil"/>
            </w:tcBorders>
            <w:shd w:val="clear" w:color="000000" w:fill="E7E6E6"/>
            <w:vAlign w:val="bottom"/>
            <w:hideMark/>
          </w:tcPr>
          <w:p w:rsidRPr="00EA5DFB" w:rsidR="00351B3B" w:rsidP="00BE08B6" w:rsidRDefault="00351B3B" w14:paraId="3D31DFCA" w14:textId="77777777">
            <w:pPr>
              <w:spacing w:after="0" w:line="240" w:lineRule="auto"/>
              <w:jc w:val="center"/>
              <w:rPr>
                <w:rFonts w:ascii="Calibri" w:hAnsi="Calibri" w:eastAsia="Times New Roman" w:cs="Calibri"/>
                <w:b/>
                <w:bCs/>
                <w:color w:val="FF0000"/>
                <w:kern w:val="0"/>
                <w:sz w:val="10"/>
                <w:szCs w:val="10"/>
                <w14:ligatures w14:val="none"/>
              </w:rPr>
            </w:pPr>
            <w:r w:rsidRPr="00EA5DFB">
              <w:rPr>
                <w:rFonts w:ascii="Calibri" w:hAnsi="Calibri" w:eastAsia="Times New Roman" w:cs="Calibri"/>
                <w:b/>
                <w:bCs/>
                <w:color w:val="FF0000"/>
                <w:kern w:val="0"/>
                <w:sz w:val="10"/>
                <w:szCs w:val="10"/>
                <w14:ligatures w14:val="none"/>
              </w:rPr>
              <w:t>Number of Projects</w:t>
            </w:r>
          </w:p>
        </w:tc>
        <w:tc>
          <w:tcPr>
            <w:tcW w:w="1319" w:type="dxa"/>
            <w:tcBorders>
              <w:top w:val="nil"/>
              <w:left w:val="nil"/>
              <w:bottom w:val="single" w:color="auto" w:sz="4" w:space="0"/>
              <w:right w:val="nil"/>
            </w:tcBorders>
            <w:shd w:val="clear" w:color="000000" w:fill="E7E6E6"/>
            <w:vAlign w:val="bottom"/>
            <w:hideMark/>
          </w:tcPr>
          <w:p w:rsidRPr="00EA5DFB" w:rsidR="00351B3B" w:rsidP="00351B3B" w:rsidRDefault="00351B3B" w14:paraId="3D630A52" w14:textId="77777777">
            <w:pPr>
              <w:spacing w:after="0" w:line="240" w:lineRule="auto"/>
              <w:rPr>
                <w:rFonts w:ascii="Calibri" w:hAnsi="Calibri" w:eastAsia="Times New Roman" w:cs="Calibri"/>
                <w:b/>
                <w:bCs/>
                <w:color w:val="FF0000"/>
                <w:kern w:val="0"/>
                <w:sz w:val="10"/>
                <w:szCs w:val="10"/>
                <w14:ligatures w14:val="none"/>
              </w:rPr>
            </w:pPr>
            <w:r w:rsidRPr="00EA5DFB">
              <w:rPr>
                <w:rFonts w:ascii="Calibri" w:hAnsi="Calibri" w:eastAsia="Times New Roman" w:cs="Calibri"/>
                <w:b/>
                <w:bCs/>
                <w:color w:val="FF0000"/>
                <w:kern w:val="0"/>
                <w:sz w:val="10"/>
                <w:szCs w:val="10"/>
                <w14:ligatures w14:val="none"/>
              </w:rPr>
              <w:t>Program Components</w:t>
            </w:r>
          </w:p>
        </w:tc>
      </w:tr>
      <w:tr w:rsidRPr="00EA5DFB" w:rsidR="00351B3B" w:rsidTr="00637D8D" w14:paraId="7957A86D" w14:textId="77777777">
        <w:trPr>
          <w:trHeight w:val="500"/>
          <w:jc w:val="center"/>
        </w:trPr>
        <w:tc>
          <w:tcPr>
            <w:tcW w:w="2796" w:type="dxa"/>
            <w:tcBorders>
              <w:top w:val="single" w:color="B2B2B2" w:sz="4" w:space="0"/>
              <w:left w:val="single" w:color="B2B2B2" w:sz="4" w:space="0"/>
              <w:bottom w:val="single" w:color="B2B2B2" w:sz="4" w:space="0"/>
              <w:right w:val="single" w:color="B2B2B2" w:sz="4" w:space="0"/>
            </w:tcBorders>
            <w:shd w:val="clear" w:color="000000" w:fill="FFFFCC"/>
            <w:noWrap/>
            <w:vAlign w:val="bottom"/>
          </w:tcPr>
          <w:p w:rsidRPr="00EA5DFB" w:rsidR="00351B3B" w:rsidP="00BE08B6" w:rsidRDefault="00351B3B" w14:paraId="74B78D81" w14:textId="4466D179">
            <w:pPr>
              <w:spacing w:after="0" w:line="240" w:lineRule="auto"/>
              <w:jc w:val="center"/>
              <w:rPr>
                <w:rFonts w:ascii="Calibri" w:hAnsi="Calibri" w:eastAsia="Times New Roman" w:cs="Calibri"/>
                <w:color w:val="000000"/>
                <w:kern w:val="0"/>
                <w:sz w:val="10"/>
                <w:szCs w:val="10"/>
                <w14:ligatures w14:val="none"/>
              </w:rPr>
            </w:pPr>
          </w:p>
        </w:tc>
        <w:tc>
          <w:tcPr>
            <w:tcW w:w="1692" w:type="dxa"/>
            <w:tcBorders>
              <w:top w:val="single" w:color="B2B2B2" w:sz="4" w:space="0"/>
              <w:left w:val="nil"/>
              <w:bottom w:val="single" w:color="B2B2B2" w:sz="4" w:space="0"/>
              <w:right w:val="single" w:color="B2B2B2" w:sz="4" w:space="0"/>
            </w:tcBorders>
            <w:shd w:val="clear" w:color="000000" w:fill="FFFFCC"/>
            <w:noWrap/>
            <w:vAlign w:val="bottom"/>
          </w:tcPr>
          <w:p w:rsidRPr="00EA5DFB" w:rsidR="00351B3B" w:rsidP="00BE08B6" w:rsidRDefault="00351B3B" w14:paraId="40BC7E08" w14:textId="3959C852">
            <w:pPr>
              <w:spacing w:after="0" w:line="240" w:lineRule="auto"/>
              <w:jc w:val="center"/>
              <w:rPr>
                <w:rFonts w:ascii="Calibri" w:hAnsi="Calibri" w:eastAsia="Times New Roman" w:cs="Calibri"/>
                <w:color w:val="000000"/>
                <w:kern w:val="0"/>
                <w:sz w:val="10"/>
                <w:szCs w:val="10"/>
                <w14:ligatures w14:val="none"/>
              </w:rPr>
            </w:pPr>
          </w:p>
        </w:tc>
        <w:tc>
          <w:tcPr>
            <w:tcW w:w="1673" w:type="dxa"/>
            <w:tcBorders>
              <w:top w:val="single" w:color="B2B2B2" w:sz="4" w:space="0"/>
              <w:left w:val="nil"/>
              <w:bottom w:val="single" w:color="B2B2B2" w:sz="4" w:space="0"/>
              <w:right w:val="single" w:color="B2B2B2" w:sz="4" w:space="0"/>
            </w:tcBorders>
            <w:shd w:val="clear" w:color="000000" w:fill="FFFFCC"/>
            <w:noWrap/>
            <w:vAlign w:val="bottom"/>
          </w:tcPr>
          <w:p w:rsidRPr="00EA5DFB" w:rsidR="00351B3B" w:rsidP="00BE08B6" w:rsidRDefault="00351B3B" w14:paraId="1A3BCF9A" w14:textId="143E6949">
            <w:pPr>
              <w:spacing w:after="0" w:line="240" w:lineRule="auto"/>
              <w:jc w:val="center"/>
              <w:rPr>
                <w:rFonts w:ascii="Calibri" w:hAnsi="Calibri" w:eastAsia="Times New Roman" w:cs="Calibri"/>
                <w:color w:val="000000"/>
                <w:kern w:val="0"/>
                <w:sz w:val="10"/>
                <w:szCs w:val="10"/>
                <w14:ligatures w14:val="none"/>
              </w:rPr>
            </w:pPr>
          </w:p>
        </w:tc>
        <w:tc>
          <w:tcPr>
            <w:tcW w:w="1319" w:type="dxa"/>
            <w:vMerge w:val="restart"/>
            <w:tcBorders>
              <w:top w:val="nil"/>
              <w:left w:val="single" w:color="B2B2B2" w:sz="4" w:space="0"/>
              <w:bottom w:val="nil"/>
              <w:right w:val="single" w:color="auto" w:sz="4" w:space="0"/>
            </w:tcBorders>
            <w:shd w:val="clear" w:color="auto" w:fill="auto"/>
            <w:noWrap/>
            <w:textDirection w:val="tbRl"/>
            <w:vAlign w:val="center"/>
            <w:hideMark/>
          </w:tcPr>
          <w:p w:rsidRPr="00EA5DFB" w:rsidR="00351B3B" w:rsidP="00351B3B" w:rsidRDefault="00351B3B" w14:paraId="0398007F" w14:textId="5A9C1175">
            <w:pPr>
              <w:spacing w:after="0" w:line="240" w:lineRule="auto"/>
              <w:jc w:val="center"/>
              <w:rPr>
                <w:rFonts w:ascii="Calibri" w:hAnsi="Calibri" w:eastAsia="Times New Roman" w:cs="Calibri"/>
                <w:b/>
                <w:bCs/>
                <w:color w:val="000000"/>
                <w:kern w:val="0"/>
                <w:sz w:val="10"/>
                <w:szCs w:val="10"/>
                <w14:ligatures w14:val="none"/>
              </w:rPr>
            </w:pPr>
            <w:r w:rsidRPr="00EA5DFB">
              <w:rPr>
                <w:rFonts w:ascii="Calibri" w:hAnsi="Calibri" w:eastAsia="Times New Roman" w:cs="Calibri"/>
                <w:b/>
                <w:bCs/>
                <w:color w:val="000000"/>
                <w:kern w:val="0"/>
                <w:sz w:val="10"/>
                <w:szCs w:val="10"/>
                <w14:ligatures w14:val="none"/>
              </w:rPr>
              <w:t>Equally Distributed</w:t>
            </w:r>
            <w:r w:rsidRPr="00EA5DFB" w:rsidR="00D66DA6">
              <w:rPr>
                <w:rFonts w:ascii="Calibri" w:hAnsi="Calibri" w:eastAsia="Times New Roman" w:cs="Calibri"/>
                <w:b/>
                <w:bCs/>
                <w:color w:val="000000"/>
                <w:kern w:val="0"/>
                <w:sz w:val="10"/>
                <w:szCs w:val="10"/>
                <w14:ligatures w14:val="none"/>
              </w:rPr>
              <w:t xml:space="preserve"> (</w:t>
            </w:r>
            <w:r w:rsidRPr="00EA5DFB" w:rsidR="00620612">
              <w:rPr>
                <w:rFonts w:ascii="Calibri" w:hAnsi="Calibri" w:eastAsia="Times New Roman" w:cs="Calibri"/>
                <w:b/>
                <w:bCs/>
                <w:color w:val="000000"/>
                <w:kern w:val="0"/>
                <w:sz w:val="10"/>
                <w:szCs w:val="10"/>
                <w14:ligatures w14:val="none"/>
              </w:rPr>
              <w:t>PSH, RRH, TH)</w:t>
            </w:r>
          </w:p>
        </w:tc>
      </w:tr>
      <w:tr w:rsidRPr="00EA5DFB" w:rsidR="00351B3B" w:rsidTr="00637D8D" w14:paraId="2367A9C9" w14:textId="77777777">
        <w:trPr>
          <w:trHeight w:val="500"/>
          <w:jc w:val="center"/>
        </w:trPr>
        <w:tc>
          <w:tcPr>
            <w:tcW w:w="2796" w:type="dxa"/>
            <w:tcBorders>
              <w:top w:val="nil"/>
              <w:left w:val="single" w:color="B2B2B2" w:sz="4" w:space="0"/>
              <w:bottom w:val="single" w:color="B2B2B2" w:sz="4" w:space="0"/>
              <w:right w:val="single" w:color="B2B2B2" w:sz="4" w:space="0"/>
            </w:tcBorders>
            <w:shd w:val="clear" w:color="000000" w:fill="FFFFCC"/>
            <w:noWrap/>
            <w:vAlign w:val="bottom"/>
          </w:tcPr>
          <w:p w:rsidRPr="00EA5DFB" w:rsidR="00351B3B" w:rsidP="00BE08B6" w:rsidRDefault="00351B3B" w14:paraId="32E568D1" w14:textId="5E386D8F">
            <w:pPr>
              <w:spacing w:after="0" w:line="240" w:lineRule="auto"/>
              <w:jc w:val="center"/>
              <w:rPr>
                <w:rFonts w:ascii="Calibri" w:hAnsi="Calibri" w:eastAsia="Times New Roman" w:cs="Calibri"/>
                <w:color w:val="000000"/>
                <w:kern w:val="0"/>
                <w:sz w:val="10"/>
                <w:szCs w:val="10"/>
                <w14:ligatures w14:val="none"/>
              </w:rPr>
            </w:pPr>
          </w:p>
        </w:tc>
        <w:tc>
          <w:tcPr>
            <w:tcW w:w="1692"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25F2E049" w14:textId="1A738EC2">
            <w:pPr>
              <w:spacing w:after="0" w:line="240" w:lineRule="auto"/>
              <w:jc w:val="center"/>
              <w:rPr>
                <w:rFonts w:ascii="Calibri" w:hAnsi="Calibri" w:eastAsia="Times New Roman" w:cs="Calibri"/>
                <w:color w:val="000000"/>
                <w:kern w:val="0"/>
                <w:sz w:val="10"/>
                <w:szCs w:val="10"/>
                <w14:ligatures w14:val="none"/>
              </w:rPr>
            </w:pPr>
          </w:p>
        </w:tc>
        <w:tc>
          <w:tcPr>
            <w:tcW w:w="1673"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7193197F" w14:textId="377EE713">
            <w:pPr>
              <w:spacing w:after="0" w:line="240" w:lineRule="auto"/>
              <w:jc w:val="center"/>
              <w:rPr>
                <w:rFonts w:ascii="Calibri" w:hAnsi="Calibri" w:eastAsia="Times New Roman" w:cs="Calibri"/>
                <w:color w:val="000000"/>
                <w:kern w:val="0"/>
                <w:sz w:val="10"/>
                <w:szCs w:val="10"/>
                <w14:ligatures w14:val="none"/>
              </w:rPr>
            </w:pPr>
          </w:p>
        </w:tc>
        <w:tc>
          <w:tcPr>
            <w:tcW w:w="1319" w:type="dxa"/>
            <w:vMerge/>
            <w:tcBorders>
              <w:top w:val="nil"/>
              <w:left w:val="single" w:color="B2B2B2" w:sz="4" w:space="0"/>
              <w:bottom w:val="nil"/>
              <w:right w:val="single" w:color="auto" w:sz="4" w:space="0"/>
            </w:tcBorders>
            <w:vAlign w:val="center"/>
            <w:hideMark/>
          </w:tcPr>
          <w:p w:rsidRPr="00EA5DFB" w:rsidR="00351B3B" w:rsidP="00351B3B" w:rsidRDefault="00351B3B" w14:paraId="33461A31" w14:textId="77777777">
            <w:pPr>
              <w:spacing w:after="0" w:line="240" w:lineRule="auto"/>
              <w:rPr>
                <w:rFonts w:ascii="Calibri" w:hAnsi="Calibri" w:eastAsia="Times New Roman" w:cs="Calibri"/>
                <w:b/>
                <w:bCs/>
                <w:color w:val="000000"/>
                <w:kern w:val="0"/>
                <w:sz w:val="10"/>
                <w:szCs w:val="10"/>
                <w14:ligatures w14:val="none"/>
              </w:rPr>
            </w:pPr>
          </w:p>
        </w:tc>
      </w:tr>
      <w:tr w:rsidRPr="00EA5DFB" w:rsidR="00351B3B" w:rsidTr="00637D8D" w14:paraId="4EB45229" w14:textId="77777777">
        <w:trPr>
          <w:trHeight w:val="500"/>
          <w:jc w:val="center"/>
        </w:trPr>
        <w:tc>
          <w:tcPr>
            <w:tcW w:w="2796" w:type="dxa"/>
            <w:tcBorders>
              <w:top w:val="nil"/>
              <w:left w:val="single" w:color="B2B2B2" w:sz="4" w:space="0"/>
              <w:bottom w:val="single" w:color="B2B2B2" w:sz="4" w:space="0"/>
              <w:right w:val="single" w:color="B2B2B2" w:sz="4" w:space="0"/>
            </w:tcBorders>
            <w:shd w:val="clear" w:color="000000" w:fill="FFFFCC"/>
            <w:noWrap/>
            <w:vAlign w:val="bottom"/>
          </w:tcPr>
          <w:p w:rsidRPr="00EA5DFB" w:rsidR="00351B3B" w:rsidP="00BE08B6" w:rsidRDefault="00351B3B" w14:paraId="5AE951A5" w14:textId="76474703">
            <w:pPr>
              <w:spacing w:after="0" w:line="240" w:lineRule="auto"/>
              <w:jc w:val="center"/>
              <w:rPr>
                <w:rFonts w:ascii="Calibri" w:hAnsi="Calibri" w:eastAsia="Times New Roman" w:cs="Calibri"/>
                <w:color w:val="000000"/>
                <w:kern w:val="0"/>
                <w:sz w:val="10"/>
                <w:szCs w:val="10"/>
                <w14:ligatures w14:val="none"/>
              </w:rPr>
            </w:pPr>
          </w:p>
        </w:tc>
        <w:tc>
          <w:tcPr>
            <w:tcW w:w="1692"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43EE07AD" w14:textId="05A717C3">
            <w:pPr>
              <w:spacing w:after="0" w:line="240" w:lineRule="auto"/>
              <w:jc w:val="center"/>
              <w:rPr>
                <w:rFonts w:ascii="Calibri" w:hAnsi="Calibri" w:eastAsia="Times New Roman" w:cs="Calibri"/>
                <w:color w:val="000000"/>
                <w:kern w:val="0"/>
                <w:sz w:val="10"/>
                <w:szCs w:val="10"/>
                <w14:ligatures w14:val="none"/>
              </w:rPr>
            </w:pPr>
          </w:p>
        </w:tc>
        <w:tc>
          <w:tcPr>
            <w:tcW w:w="1673"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1DA93E6F" w14:textId="35CFF2EC">
            <w:pPr>
              <w:spacing w:after="0" w:line="240" w:lineRule="auto"/>
              <w:jc w:val="center"/>
              <w:rPr>
                <w:rFonts w:ascii="Calibri" w:hAnsi="Calibri" w:eastAsia="Times New Roman" w:cs="Calibri"/>
                <w:color w:val="000000"/>
                <w:kern w:val="0"/>
                <w:sz w:val="10"/>
                <w:szCs w:val="10"/>
                <w14:ligatures w14:val="none"/>
              </w:rPr>
            </w:pPr>
          </w:p>
        </w:tc>
        <w:tc>
          <w:tcPr>
            <w:tcW w:w="1319" w:type="dxa"/>
            <w:vMerge/>
            <w:tcBorders>
              <w:top w:val="nil"/>
              <w:left w:val="single" w:color="B2B2B2" w:sz="4" w:space="0"/>
              <w:bottom w:val="nil"/>
              <w:right w:val="single" w:color="auto" w:sz="4" w:space="0"/>
            </w:tcBorders>
            <w:vAlign w:val="center"/>
            <w:hideMark/>
          </w:tcPr>
          <w:p w:rsidRPr="00EA5DFB" w:rsidR="00351B3B" w:rsidP="00351B3B" w:rsidRDefault="00351B3B" w14:paraId="00CCDFDA" w14:textId="77777777">
            <w:pPr>
              <w:spacing w:after="0" w:line="240" w:lineRule="auto"/>
              <w:rPr>
                <w:rFonts w:ascii="Calibri" w:hAnsi="Calibri" w:eastAsia="Times New Roman" w:cs="Calibri"/>
                <w:b/>
                <w:bCs/>
                <w:color w:val="000000"/>
                <w:kern w:val="0"/>
                <w:sz w:val="10"/>
                <w:szCs w:val="10"/>
                <w14:ligatures w14:val="none"/>
              </w:rPr>
            </w:pPr>
          </w:p>
        </w:tc>
      </w:tr>
      <w:tr w:rsidRPr="00EA5DFB" w:rsidR="00351B3B" w:rsidTr="00637D8D" w14:paraId="1D2EF086" w14:textId="77777777">
        <w:trPr>
          <w:trHeight w:val="500"/>
          <w:jc w:val="center"/>
        </w:trPr>
        <w:tc>
          <w:tcPr>
            <w:tcW w:w="2796" w:type="dxa"/>
            <w:tcBorders>
              <w:top w:val="nil"/>
              <w:left w:val="single" w:color="B2B2B2" w:sz="4" w:space="0"/>
              <w:bottom w:val="single" w:color="B2B2B2" w:sz="4" w:space="0"/>
              <w:right w:val="single" w:color="B2B2B2" w:sz="4" w:space="0"/>
            </w:tcBorders>
            <w:shd w:val="clear" w:color="000000" w:fill="FFFFCC"/>
            <w:noWrap/>
            <w:vAlign w:val="bottom"/>
          </w:tcPr>
          <w:p w:rsidRPr="00EA5DFB" w:rsidR="00351B3B" w:rsidP="00BE08B6" w:rsidRDefault="00351B3B" w14:paraId="76C0CFED" w14:textId="5BE0671C">
            <w:pPr>
              <w:spacing w:after="0" w:line="240" w:lineRule="auto"/>
              <w:jc w:val="center"/>
              <w:rPr>
                <w:rFonts w:ascii="Calibri" w:hAnsi="Calibri" w:eastAsia="Times New Roman" w:cs="Calibri"/>
                <w:color w:val="000000"/>
                <w:kern w:val="0"/>
                <w:sz w:val="10"/>
                <w:szCs w:val="10"/>
                <w14:ligatures w14:val="none"/>
              </w:rPr>
            </w:pPr>
          </w:p>
        </w:tc>
        <w:tc>
          <w:tcPr>
            <w:tcW w:w="1692"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5DF5A504" w14:textId="64C7B10F">
            <w:pPr>
              <w:spacing w:after="0" w:line="240" w:lineRule="auto"/>
              <w:jc w:val="center"/>
              <w:rPr>
                <w:rFonts w:ascii="Calibri" w:hAnsi="Calibri" w:eastAsia="Times New Roman" w:cs="Calibri"/>
                <w:color w:val="000000"/>
                <w:kern w:val="0"/>
                <w:sz w:val="10"/>
                <w:szCs w:val="10"/>
                <w14:ligatures w14:val="none"/>
              </w:rPr>
            </w:pPr>
          </w:p>
        </w:tc>
        <w:tc>
          <w:tcPr>
            <w:tcW w:w="1673"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33C87647" w14:textId="277C409E">
            <w:pPr>
              <w:spacing w:after="0" w:line="240" w:lineRule="auto"/>
              <w:jc w:val="center"/>
              <w:rPr>
                <w:rFonts w:ascii="Calibri" w:hAnsi="Calibri" w:eastAsia="Times New Roman" w:cs="Calibri"/>
                <w:color w:val="000000"/>
                <w:kern w:val="0"/>
                <w:sz w:val="10"/>
                <w:szCs w:val="10"/>
                <w14:ligatures w14:val="none"/>
              </w:rPr>
            </w:pPr>
          </w:p>
        </w:tc>
        <w:tc>
          <w:tcPr>
            <w:tcW w:w="1319" w:type="dxa"/>
            <w:vMerge/>
            <w:tcBorders>
              <w:top w:val="nil"/>
              <w:left w:val="single" w:color="B2B2B2" w:sz="4" w:space="0"/>
              <w:bottom w:val="nil"/>
              <w:right w:val="single" w:color="auto" w:sz="4" w:space="0"/>
            </w:tcBorders>
            <w:vAlign w:val="center"/>
            <w:hideMark/>
          </w:tcPr>
          <w:p w:rsidRPr="00EA5DFB" w:rsidR="00351B3B" w:rsidP="00351B3B" w:rsidRDefault="00351B3B" w14:paraId="2C6E43E2" w14:textId="77777777">
            <w:pPr>
              <w:spacing w:after="0" w:line="240" w:lineRule="auto"/>
              <w:rPr>
                <w:rFonts w:ascii="Calibri" w:hAnsi="Calibri" w:eastAsia="Times New Roman" w:cs="Calibri"/>
                <w:b/>
                <w:bCs/>
                <w:color w:val="000000"/>
                <w:kern w:val="0"/>
                <w:sz w:val="10"/>
                <w:szCs w:val="10"/>
                <w14:ligatures w14:val="none"/>
              </w:rPr>
            </w:pPr>
          </w:p>
        </w:tc>
      </w:tr>
      <w:tr w:rsidRPr="00EA5DFB" w:rsidR="00351B3B" w:rsidTr="00637D8D" w14:paraId="778B69D7" w14:textId="77777777">
        <w:trPr>
          <w:trHeight w:val="500"/>
          <w:jc w:val="center"/>
        </w:trPr>
        <w:tc>
          <w:tcPr>
            <w:tcW w:w="2796" w:type="dxa"/>
            <w:tcBorders>
              <w:top w:val="nil"/>
              <w:left w:val="single" w:color="B2B2B2" w:sz="4" w:space="0"/>
              <w:bottom w:val="single" w:color="B2B2B2" w:sz="4" w:space="0"/>
              <w:right w:val="single" w:color="B2B2B2" w:sz="4" w:space="0"/>
            </w:tcBorders>
            <w:shd w:val="clear" w:color="000000" w:fill="FFFFCC"/>
            <w:noWrap/>
            <w:vAlign w:val="bottom"/>
          </w:tcPr>
          <w:p w:rsidRPr="00EA5DFB" w:rsidR="00351B3B" w:rsidP="00BE08B6" w:rsidRDefault="00351B3B" w14:paraId="2CCDF9BB" w14:textId="5CBE7D46">
            <w:pPr>
              <w:spacing w:after="0" w:line="240" w:lineRule="auto"/>
              <w:jc w:val="center"/>
              <w:rPr>
                <w:rFonts w:ascii="Calibri" w:hAnsi="Calibri" w:eastAsia="Times New Roman" w:cs="Calibri"/>
                <w:color w:val="000000"/>
                <w:kern w:val="0"/>
                <w:sz w:val="10"/>
                <w:szCs w:val="10"/>
                <w14:ligatures w14:val="none"/>
              </w:rPr>
            </w:pPr>
          </w:p>
        </w:tc>
        <w:tc>
          <w:tcPr>
            <w:tcW w:w="1692"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74F2457C" w14:textId="24C60BC6">
            <w:pPr>
              <w:spacing w:after="0" w:line="240" w:lineRule="auto"/>
              <w:jc w:val="center"/>
              <w:rPr>
                <w:rFonts w:ascii="Calibri" w:hAnsi="Calibri" w:eastAsia="Times New Roman" w:cs="Calibri"/>
                <w:color w:val="000000"/>
                <w:kern w:val="0"/>
                <w:sz w:val="10"/>
                <w:szCs w:val="10"/>
                <w14:ligatures w14:val="none"/>
              </w:rPr>
            </w:pPr>
          </w:p>
        </w:tc>
        <w:tc>
          <w:tcPr>
            <w:tcW w:w="1673" w:type="dxa"/>
            <w:tcBorders>
              <w:top w:val="nil"/>
              <w:left w:val="nil"/>
              <w:bottom w:val="single" w:color="B2B2B2" w:sz="4" w:space="0"/>
              <w:right w:val="single" w:color="B2B2B2" w:sz="4" w:space="0"/>
            </w:tcBorders>
            <w:shd w:val="clear" w:color="000000" w:fill="FFFFCC"/>
            <w:noWrap/>
            <w:vAlign w:val="bottom"/>
          </w:tcPr>
          <w:p w:rsidRPr="00EA5DFB" w:rsidR="00351B3B" w:rsidP="00BE08B6" w:rsidRDefault="00351B3B" w14:paraId="0D609BFD" w14:textId="4AE09522">
            <w:pPr>
              <w:spacing w:after="0" w:line="240" w:lineRule="auto"/>
              <w:jc w:val="center"/>
              <w:rPr>
                <w:rFonts w:ascii="Calibri" w:hAnsi="Calibri" w:eastAsia="Times New Roman" w:cs="Calibri"/>
                <w:color w:val="000000"/>
                <w:kern w:val="0"/>
                <w:sz w:val="10"/>
                <w:szCs w:val="10"/>
                <w14:ligatures w14:val="none"/>
              </w:rPr>
            </w:pPr>
          </w:p>
        </w:tc>
        <w:tc>
          <w:tcPr>
            <w:tcW w:w="1319" w:type="dxa"/>
            <w:vMerge/>
            <w:tcBorders>
              <w:top w:val="nil"/>
              <w:left w:val="single" w:color="B2B2B2" w:sz="4" w:space="0"/>
              <w:bottom w:val="nil"/>
              <w:right w:val="single" w:color="auto" w:sz="4" w:space="0"/>
            </w:tcBorders>
            <w:vAlign w:val="center"/>
            <w:hideMark/>
          </w:tcPr>
          <w:p w:rsidRPr="00EA5DFB" w:rsidR="00351B3B" w:rsidP="00351B3B" w:rsidRDefault="00351B3B" w14:paraId="4E4CE8CA" w14:textId="77777777">
            <w:pPr>
              <w:spacing w:after="0" w:line="240" w:lineRule="auto"/>
              <w:rPr>
                <w:rFonts w:ascii="Calibri" w:hAnsi="Calibri" w:eastAsia="Times New Roman" w:cs="Calibri"/>
                <w:b/>
                <w:bCs/>
                <w:color w:val="000000"/>
                <w:kern w:val="0"/>
                <w:sz w:val="10"/>
                <w:szCs w:val="10"/>
                <w14:ligatures w14:val="none"/>
              </w:rPr>
            </w:pPr>
          </w:p>
        </w:tc>
      </w:tr>
      <w:tr w:rsidRPr="00EA5DFB" w:rsidR="00351B3B" w:rsidTr="00637D8D" w14:paraId="743DD6B3" w14:textId="77777777">
        <w:trPr>
          <w:trHeight w:val="290"/>
          <w:jc w:val="center"/>
        </w:trPr>
        <w:tc>
          <w:tcPr>
            <w:tcW w:w="2796" w:type="dxa"/>
            <w:tcBorders>
              <w:top w:val="nil"/>
              <w:left w:val="nil"/>
              <w:bottom w:val="nil"/>
              <w:right w:val="nil"/>
            </w:tcBorders>
            <w:shd w:val="clear" w:color="000000" w:fill="E7E6E6"/>
            <w:noWrap/>
            <w:vAlign w:val="bottom"/>
          </w:tcPr>
          <w:p w:rsidRPr="00EA5DFB" w:rsidR="00351B3B" w:rsidP="00BE08B6" w:rsidRDefault="00351B3B" w14:paraId="3A6862DA" w14:textId="5E2F672B">
            <w:pPr>
              <w:spacing w:after="0" w:line="240" w:lineRule="auto"/>
              <w:jc w:val="center"/>
              <w:rPr>
                <w:rFonts w:ascii="Calibri" w:hAnsi="Calibri" w:eastAsia="Times New Roman" w:cs="Calibri"/>
                <w:b/>
                <w:bCs/>
                <w:color w:val="FF0000"/>
                <w:kern w:val="0"/>
                <w:sz w:val="10"/>
                <w:szCs w:val="10"/>
                <w14:ligatures w14:val="none"/>
              </w:rPr>
            </w:pPr>
          </w:p>
        </w:tc>
        <w:tc>
          <w:tcPr>
            <w:tcW w:w="1692" w:type="dxa"/>
            <w:tcBorders>
              <w:top w:val="nil"/>
              <w:left w:val="nil"/>
              <w:bottom w:val="nil"/>
              <w:right w:val="nil"/>
            </w:tcBorders>
            <w:shd w:val="clear" w:color="000000" w:fill="E7E6E6"/>
            <w:noWrap/>
            <w:vAlign w:val="bottom"/>
          </w:tcPr>
          <w:p w:rsidRPr="00EA5DFB" w:rsidR="00351B3B" w:rsidP="00BE08B6" w:rsidRDefault="00351B3B" w14:paraId="51A527E0" w14:textId="23E9DF7C">
            <w:pPr>
              <w:spacing w:after="0" w:line="240" w:lineRule="auto"/>
              <w:jc w:val="center"/>
              <w:rPr>
                <w:rFonts w:ascii="Calibri" w:hAnsi="Calibri" w:eastAsia="Times New Roman" w:cs="Calibri"/>
                <w:b/>
                <w:bCs/>
                <w:color w:val="FF0000"/>
                <w:kern w:val="0"/>
                <w:sz w:val="10"/>
                <w:szCs w:val="10"/>
                <w14:ligatures w14:val="none"/>
              </w:rPr>
            </w:pPr>
          </w:p>
        </w:tc>
        <w:tc>
          <w:tcPr>
            <w:tcW w:w="1673" w:type="dxa"/>
            <w:tcBorders>
              <w:top w:val="nil"/>
              <w:left w:val="nil"/>
              <w:bottom w:val="nil"/>
              <w:right w:val="nil"/>
            </w:tcBorders>
            <w:shd w:val="clear" w:color="000000" w:fill="E7E6E6"/>
            <w:noWrap/>
            <w:vAlign w:val="bottom"/>
          </w:tcPr>
          <w:p w:rsidRPr="00EA5DFB" w:rsidR="00351B3B" w:rsidP="00BE08B6" w:rsidRDefault="00351B3B" w14:paraId="47F79EAE" w14:textId="12D8D82D">
            <w:pPr>
              <w:spacing w:after="0" w:line="240" w:lineRule="auto"/>
              <w:jc w:val="center"/>
              <w:rPr>
                <w:rFonts w:ascii="Calibri" w:hAnsi="Calibri" w:eastAsia="Times New Roman" w:cs="Calibri"/>
                <w:b/>
                <w:bCs/>
                <w:color w:val="FF0000"/>
                <w:kern w:val="0"/>
                <w:sz w:val="10"/>
                <w:szCs w:val="10"/>
                <w14:ligatures w14:val="none"/>
              </w:rPr>
            </w:pPr>
          </w:p>
        </w:tc>
        <w:tc>
          <w:tcPr>
            <w:tcW w:w="1319" w:type="dxa"/>
            <w:tcBorders>
              <w:top w:val="nil"/>
              <w:left w:val="nil"/>
              <w:bottom w:val="nil"/>
              <w:right w:val="nil"/>
            </w:tcBorders>
            <w:shd w:val="clear" w:color="000000" w:fill="E7E6E6"/>
            <w:noWrap/>
            <w:vAlign w:val="bottom"/>
            <w:hideMark/>
          </w:tcPr>
          <w:p w:rsidRPr="00EA5DFB" w:rsidR="00351B3B" w:rsidP="00351B3B" w:rsidRDefault="00351B3B" w14:paraId="018F5F0B" w14:textId="77777777">
            <w:pPr>
              <w:spacing w:after="0" w:line="240" w:lineRule="auto"/>
              <w:rPr>
                <w:rFonts w:ascii="Calibri" w:hAnsi="Calibri" w:eastAsia="Times New Roman" w:cs="Calibri"/>
                <w:b/>
                <w:bCs/>
                <w:color w:val="FF0000"/>
                <w:kern w:val="0"/>
                <w:sz w:val="10"/>
                <w:szCs w:val="10"/>
                <w14:ligatures w14:val="none"/>
              </w:rPr>
            </w:pPr>
            <w:r w:rsidRPr="00EA5DFB">
              <w:rPr>
                <w:rFonts w:ascii="Calibri" w:hAnsi="Calibri" w:eastAsia="Times New Roman" w:cs="Calibri"/>
                <w:b/>
                <w:bCs/>
                <w:color w:val="FF0000"/>
                <w:kern w:val="0"/>
                <w:sz w:val="10"/>
                <w:szCs w:val="10"/>
                <w14:ligatures w14:val="none"/>
              </w:rPr>
              <w:t> </w:t>
            </w:r>
          </w:p>
        </w:tc>
      </w:tr>
    </w:tbl>
    <w:p w:rsidRPr="00EA5DFB" w:rsidR="000A0D86" w:rsidP="00FC069B" w:rsidRDefault="000A0D86" w14:paraId="1649289D" w14:textId="77777777">
      <w:pPr>
        <w:pStyle w:val="ListParagraph"/>
        <w:spacing w:after="0" w:line="240" w:lineRule="auto"/>
        <w:ind w:left="1080"/>
        <w:rPr>
          <w:sz w:val="16"/>
          <w:szCs w:val="16"/>
        </w:rPr>
      </w:pPr>
    </w:p>
    <w:p w:rsidRPr="00EA5DFB" w:rsidR="00591D2A" w:rsidP="00FC069B" w:rsidRDefault="00591D2A" w14:paraId="0671B9B5" w14:textId="77777777">
      <w:pPr>
        <w:pStyle w:val="ListParagraph"/>
        <w:spacing w:after="0" w:line="240" w:lineRule="auto"/>
        <w:ind w:left="1080"/>
        <w:rPr>
          <w:sz w:val="16"/>
          <w:szCs w:val="16"/>
        </w:rPr>
      </w:pPr>
    </w:p>
    <w:p w:rsidR="00A412BB" w:rsidP="00A412BB" w:rsidRDefault="00A412BB" w14:paraId="0ED65B9C" w14:textId="77777777">
      <w:pPr>
        <w:spacing w:after="0" w:line="240" w:lineRule="auto"/>
        <w:rPr>
          <w:sz w:val="16"/>
          <w:szCs w:val="16"/>
        </w:rPr>
      </w:pPr>
    </w:p>
    <w:p w:rsidRPr="00EA5DFB" w:rsidR="00A412BB" w:rsidP="00A412BB" w:rsidRDefault="00A412BB" w14:paraId="05054DEE" w14:textId="5B59ABCA">
      <w:pPr>
        <w:pStyle w:val="ListParagraph"/>
        <w:numPr>
          <w:ilvl w:val="0"/>
          <w:numId w:val="1"/>
        </w:numPr>
        <w:spacing w:after="0" w:line="240" w:lineRule="auto"/>
        <w:rPr>
          <w:b/>
          <w:bCs/>
          <w:sz w:val="16"/>
          <w:szCs w:val="16"/>
        </w:rPr>
      </w:pPr>
      <w:r>
        <w:rPr>
          <w:b/>
          <w:bCs/>
          <w:sz w:val="16"/>
          <w:szCs w:val="16"/>
        </w:rPr>
        <w:t>ADVISORY BOARD RESPONSIBLITIES</w:t>
      </w:r>
    </w:p>
    <w:p w:rsidRPr="00723953" w:rsidR="00161E79" w:rsidP="004E3A2F" w:rsidRDefault="002100F2" w14:paraId="3D22EC45" w14:textId="17DD94CF">
      <w:pPr>
        <w:spacing w:after="0" w:line="240" w:lineRule="auto"/>
        <w:ind w:left="1080"/>
        <w:jc w:val="both"/>
        <w:rPr>
          <w:sz w:val="16"/>
          <w:szCs w:val="16"/>
        </w:rPr>
      </w:pPr>
      <w:r w:rsidRPr="0BC6179E" w:rsidR="002100F2">
        <w:rPr>
          <w:sz w:val="16"/>
          <w:szCs w:val="16"/>
        </w:rPr>
        <w:t xml:space="preserve">The Massachusetts Balance of State (BoS) Advisory Board is the decision-making body of the MA Balance of State Continuum of Care. </w:t>
      </w:r>
      <w:r w:rsidRPr="0BC6179E" w:rsidR="00780F71">
        <w:rPr>
          <w:sz w:val="16"/>
          <w:szCs w:val="16"/>
        </w:rPr>
        <w:t xml:space="preserve">The Advisory Board votes whether to approve the ranking as </w:t>
      </w:r>
      <w:r w:rsidRPr="0BC6179E" w:rsidR="00780F71">
        <w:rPr>
          <w:sz w:val="16"/>
          <w:szCs w:val="16"/>
        </w:rPr>
        <w:t>submitted</w:t>
      </w:r>
      <w:r w:rsidRPr="0BC6179E" w:rsidR="00780F71">
        <w:rPr>
          <w:sz w:val="16"/>
          <w:szCs w:val="16"/>
        </w:rPr>
        <w:t xml:space="preserve"> by the </w:t>
      </w:r>
      <w:r w:rsidRPr="0BC6179E" w:rsidR="004E3A2F">
        <w:rPr>
          <w:sz w:val="16"/>
          <w:szCs w:val="16"/>
        </w:rPr>
        <w:t>PE</w:t>
      </w:r>
      <w:r w:rsidRPr="0BC6179E" w:rsidR="00780F71">
        <w:rPr>
          <w:sz w:val="16"/>
          <w:szCs w:val="16"/>
        </w:rPr>
        <w:t xml:space="preserve"> committee. The Advisory Board may </w:t>
      </w:r>
      <w:r w:rsidRPr="0BC6179E" w:rsidR="00780F71">
        <w:rPr>
          <w:sz w:val="16"/>
          <w:szCs w:val="16"/>
        </w:rPr>
        <w:t>make adjustments to</w:t>
      </w:r>
      <w:r w:rsidRPr="0BC6179E" w:rsidR="00780F71">
        <w:rPr>
          <w:sz w:val="16"/>
          <w:szCs w:val="16"/>
        </w:rPr>
        <w:t xml:space="preserve"> the ranking in cases where a project’s score was </w:t>
      </w:r>
      <w:r w:rsidRPr="0BC6179E" w:rsidR="00780F71">
        <w:rPr>
          <w:sz w:val="16"/>
          <w:szCs w:val="16"/>
        </w:rPr>
        <w:t>substantially hampered</w:t>
      </w:r>
      <w:r w:rsidRPr="0BC6179E" w:rsidR="00780F71">
        <w:rPr>
          <w:sz w:val="16"/>
          <w:szCs w:val="16"/>
        </w:rPr>
        <w:t xml:space="preserve"> by conditions that have been rectified via the monitoring process, but only in those circumstances </w:t>
      </w:r>
      <w:r w:rsidRPr="0BC6179E" w:rsidR="00780F71">
        <w:rPr>
          <w:sz w:val="16"/>
          <w:szCs w:val="16"/>
        </w:rPr>
        <w:t>where</w:t>
      </w:r>
      <w:r w:rsidRPr="0BC6179E" w:rsidR="00780F71">
        <w:rPr>
          <w:sz w:val="16"/>
          <w:szCs w:val="16"/>
        </w:rPr>
        <w:t xml:space="preserve"> doing so will </w:t>
      </w:r>
      <w:r w:rsidRPr="0BC6179E" w:rsidR="00780F71">
        <w:rPr>
          <w:sz w:val="16"/>
          <w:szCs w:val="16"/>
        </w:rPr>
        <w:t>impact</w:t>
      </w:r>
      <w:r w:rsidRPr="0BC6179E" w:rsidR="00780F71">
        <w:rPr>
          <w:sz w:val="16"/>
          <w:szCs w:val="16"/>
        </w:rPr>
        <w:t xml:space="preserve"> the project’s tier within the application</w:t>
      </w:r>
      <w:r w:rsidRPr="0BC6179E" w:rsidR="004E3A2F">
        <w:rPr>
          <w:sz w:val="16"/>
          <w:szCs w:val="16"/>
        </w:rPr>
        <w:t>.</w:t>
      </w:r>
    </w:p>
    <w:p w:rsidR="00CD6A37" w:rsidP="0031527B" w:rsidRDefault="00CD6A37" w14:paraId="20457383" w14:textId="77777777">
      <w:pPr>
        <w:pStyle w:val="ListParagraph"/>
        <w:spacing w:after="0" w:line="240" w:lineRule="auto"/>
        <w:ind w:left="1080"/>
        <w:jc w:val="both"/>
        <w:rPr>
          <w:sz w:val="16"/>
          <w:szCs w:val="16"/>
        </w:rPr>
      </w:pPr>
    </w:p>
    <w:p w:rsidRPr="00EA5DFB" w:rsidR="00DE7897" w:rsidP="00A412BB" w:rsidRDefault="00DE7897" w14:paraId="07D13A1E" w14:textId="77777777">
      <w:pPr>
        <w:pStyle w:val="ListParagraph"/>
        <w:numPr>
          <w:ilvl w:val="0"/>
          <w:numId w:val="1"/>
        </w:numPr>
        <w:spacing w:after="0" w:line="240" w:lineRule="auto"/>
        <w:rPr>
          <w:b/>
          <w:bCs/>
          <w:sz w:val="16"/>
          <w:szCs w:val="16"/>
        </w:rPr>
      </w:pPr>
      <w:r w:rsidRPr="00EA5DFB">
        <w:rPr>
          <w:b/>
          <w:bCs/>
          <w:sz w:val="16"/>
          <w:szCs w:val="16"/>
        </w:rPr>
        <w:t>CRITERIA AND EVALUATION</w:t>
      </w:r>
    </w:p>
    <w:p w:rsidRPr="00EA5DFB" w:rsidR="00DE7897" w:rsidP="00DE7897" w:rsidRDefault="00DE7897" w14:paraId="00AF4A4C" w14:textId="77777777">
      <w:pPr>
        <w:pStyle w:val="ListParagraph"/>
        <w:spacing w:after="0" w:line="240" w:lineRule="auto"/>
        <w:ind w:left="1080"/>
        <w:rPr>
          <w:sz w:val="16"/>
          <w:szCs w:val="16"/>
        </w:rPr>
      </w:pPr>
      <w:r w:rsidRPr="00EA5DFB">
        <w:rPr>
          <w:sz w:val="16"/>
          <w:szCs w:val="16"/>
        </w:rPr>
        <w:t>There are 9 factors used to review and rank projects for the Continuum of Care Application:</w:t>
      </w:r>
    </w:p>
    <w:p w:rsidRPr="00EA5DFB" w:rsidR="00DE7897" w:rsidP="00DE7897" w:rsidRDefault="00DE7897" w14:paraId="5FC1FE54" w14:textId="77777777">
      <w:pPr>
        <w:pStyle w:val="ListParagraph"/>
        <w:numPr>
          <w:ilvl w:val="0"/>
          <w:numId w:val="4"/>
        </w:numPr>
        <w:spacing w:after="0" w:line="240" w:lineRule="auto"/>
        <w:jc w:val="both"/>
        <w:rPr>
          <w:sz w:val="16"/>
          <w:szCs w:val="16"/>
        </w:rPr>
      </w:pPr>
      <w:r w:rsidRPr="00EA5DFB">
        <w:rPr>
          <w:sz w:val="16"/>
          <w:szCs w:val="16"/>
        </w:rPr>
        <w:t>Threshold Criteria</w:t>
      </w:r>
    </w:p>
    <w:p w:rsidRPr="00EA5DFB" w:rsidR="00DE7897" w:rsidP="00DE7897" w:rsidRDefault="00DE7897" w14:paraId="3046C99D" w14:textId="77777777">
      <w:pPr>
        <w:pStyle w:val="ListParagraph"/>
        <w:numPr>
          <w:ilvl w:val="0"/>
          <w:numId w:val="4"/>
        </w:numPr>
        <w:spacing w:after="0" w:line="240" w:lineRule="auto"/>
        <w:jc w:val="both"/>
        <w:rPr>
          <w:sz w:val="16"/>
          <w:szCs w:val="16"/>
        </w:rPr>
      </w:pPr>
      <w:r w:rsidRPr="00EA5DFB">
        <w:rPr>
          <w:sz w:val="16"/>
          <w:szCs w:val="16"/>
        </w:rPr>
        <w:t>Performance Measures</w:t>
      </w:r>
    </w:p>
    <w:p w:rsidRPr="00EA5DFB" w:rsidR="00DE7897" w:rsidP="00DE7897" w:rsidRDefault="00DE7897" w14:paraId="26B15CF6" w14:textId="77777777">
      <w:pPr>
        <w:pStyle w:val="ListParagraph"/>
        <w:numPr>
          <w:ilvl w:val="0"/>
          <w:numId w:val="4"/>
        </w:numPr>
        <w:spacing w:after="0" w:line="240" w:lineRule="auto"/>
        <w:jc w:val="both"/>
        <w:rPr>
          <w:sz w:val="16"/>
          <w:szCs w:val="16"/>
        </w:rPr>
      </w:pPr>
      <w:r w:rsidRPr="00EA5DFB">
        <w:rPr>
          <w:sz w:val="16"/>
          <w:szCs w:val="16"/>
        </w:rPr>
        <w:t>Project Effectiveness</w:t>
      </w:r>
    </w:p>
    <w:p w:rsidRPr="00EA5DFB" w:rsidR="00DE7897" w:rsidP="00DE7897" w:rsidRDefault="00DE7897" w14:paraId="7D48036F" w14:textId="77777777">
      <w:pPr>
        <w:pStyle w:val="ListParagraph"/>
        <w:numPr>
          <w:ilvl w:val="0"/>
          <w:numId w:val="4"/>
        </w:numPr>
        <w:spacing w:after="0" w:line="240" w:lineRule="auto"/>
        <w:jc w:val="both"/>
        <w:rPr>
          <w:sz w:val="16"/>
          <w:szCs w:val="16"/>
        </w:rPr>
      </w:pPr>
      <w:r w:rsidRPr="00EA5DFB">
        <w:rPr>
          <w:sz w:val="16"/>
          <w:szCs w:val="16"/>
        </w:rPr>
        <w:t>Equity Factors</w:t>
      </w:r>
    </w:p>
    <w:p w:rsidRPr="00EA5DFB" w:rsidR="00DE7897" w:rsidP="00DE7897" w:rsidRDefault="00DE7897" w14:paraId="4EB8B0C2" w14:textId="77777777">
      <w:pPr>
        <w:pStyle w:val="ListParagraph"/>
        <w:numPr>
          <w:ilvl w:val="0"/>
          <w:numId w:val="4"/>
        </w:numPr>
        <w:spacing w:after="0" w:line="240" w:lineRule="auto"/>
        <w:jc w:val="both"/>
        <w:rPr>
          <w:sz w:val="16"/>
          <w:szCs w:val="16"/>
        </w:rPr>
      </w:pPr>
      <w:r w:rsidRPr="00EA5DFB">
        <w:rPr>
          <w:sz w:val="16"/>
          <w:szCs w:val="16"/>
        </w:rPr>
        <w:t>PLEE Involvement</w:t>
      </w:r>
    </w:p>
    <w:p w:rsidRPr="00EA5DFB" w:rsidR="00DE7897" w:rsidP="00DE7897" w:rsidRDefault="00DE7897" w14:paraId="1E61F100" w14:textId="77777777">
      <w:pPr>
        <w:pStyle w:val="ListParagraph"/>
        <w:numPr>
          <w:ilvl w:val="0"/>
          <w:numId w:val="4"/>
        </w:numPr>
        <w:spacing w:after="0" w:line="240" w:lineRule="auto"/>
        <w:jc w:val="both"/>
        <w:rPr>
          <w:sz w:val="16"/>
          <w:szCs w:val="16"/>
        </w:rPr>
      </w:pPr>
      <w:r w:rsidRPr="00EA5DFB">
        <w:rPr>
          <w:sz w:val="16"/>
          <w:szCs w:val="16"/>
        </w:rPr>
        <w:t>Serving High Need and Priority Populations</w:t>
      </w:r>
    </w:p>
    <w:p w:rsidRPr="00EA5DFB" w:rsidR="00DE7897" w:rsidP="00DE7897" w:rsidRDefault="00DE7897" w14:paraId="2E673D68" w14:textId="77777777">
      <w:pPr>
        <w:pStyle w:val="ListParagraph"/>
        <w:numPr>
          <w:ilvl w:val="0"/>
          <w:numId w:val="4"/>
        </w:numPr>
        <w:spacing w:after="0" w:line="240" w:lineRule="auto"/>
        <w:jc w:val="both"/>
        <w:rPr>
          <w:sz w:val="16"/>
          <w:szCs w:val="16"/>
        </w:rPr>
      </w:pPr>
      <w:r w:rsidRPr="00EA5DFB">
        <w:rPr>
          <w:sz w:val="16"/>
          <w:szCs w:val="16"/>
        </w:rPr>
        <w:t>CoC Monitoring Score</w:t>
      </w:r>
    </w:p>
    <w:p w:rsidRPr="00EA5DFB" w:rsidR="00DE7897" w:rsidP="00DE7897" w:rsidRDefault="00DE7897" w14:paraId="49AB7F4B" w14:textId="77777777">
      <w:pPr>
        <w:pStyle w:val="ListParagraph"/>
        <w:numPr>
          <w:ilvl w:val="0"/>
          <w:numId w:val="4"/>
        </w:numPr>
        <w:spacing w:after="0" w:line="240" w:lineRule="auto"/>
        <w:jc w:val="both"/>
        <w:rPr>
          <w:sz w:val="16"/>
          <w:szCs w:val="16"/>
        </w:rPr>
      </w:pPr>
      <w:r w:rsidRPr="00EA5DFB">
        <w:rPr>
          <w:sz w:val="16"/>
          <w:szCs w:val="16"/>
        </w:rPr>
        <w:t>Bonus</w:t>
      </w:r>
    </w:p>
    <w:p w:rsidRPr="00EA5DFB" w:rsidR="00DE7897" w:rsidP="00DE7897" w:rsidRDefault="00DE7897" w14:paraId="533F4925" w14:textId="77777777">
      <w:pPr>
        <w:pStyle w:val="ListParagraph"/>
        <w:numPr>
          <w:ilvl w:val="0"/>
          <w:numId w:val="4"/>
        </w:numPr>
        <w:spacing w:after="0" w:line="240" w:lineRule="auto"/>
        <w:jc w:val="both"/>
        <w:rPr>
          <w:sz w:val="16"/>
          <w:szCs w:val="16"/>
        </w:rPr>
      </w:pPr>
      <w:r w:rsidRPr="00EA5DFB">
        <w:rPr>
          <w:sz w:val="16"/>
          <w:szCs w:val="16"/>
        </w:rPr>
        <w:t>Penalties</w:t>
      </w:r>
    </w:p>
    <w:p w:rsidR="00DE7897" w:rsidP="0031527B" w:rsidRDefault="00DE7897" w14:paraId="59CE6707" w14:textId="77777777">
      <w:pPr>
        <w:pStyle w:val="ListParagraph"/>
        <w:spacing w:after="0" w:line="240" w:lineRule="auto"/>
        <w:ind w:left="1080"/>
        <w:jc w:val="both"/>
        <w:rPr>
          <w:sz w:val="16"/>
          <w:szCs w:val="16"/>
        </w:rPr>
      </w:pPr>
    </w:p>
    <w:p w:rsidRPr="0026214C" w:rsidR="00DE7897" w:rsidP="00A412BB" w:rsidRDefault="00DE7897" w14:paraId="7C5F73F0" w14:textId="77777777">
      <w:pPr>
        <w:pStyle w:val="ListParagraph"/>
        <w:numPr>
          <w:ilvl w:val="0"/>
          <w:numId w:val="1"/>
        </w:numPr>
        <w:spacing w:after="0" w:line="240" w:lineRule="auto"/>
        <w:rPr>
          <w:sz w:val="14"/>
          <w:szCs w:val="14"/>
        </w:rPr>
      </w:pPr>
      <w:r w:rsidRPr="00501E30">
        <w:rPr>
          <w:b/>
          <w:bCs/>
          <w:sz w:val="16"/>
          <w:szCs w:val="16"/>
        </w:rPr>
        <w:t xml:space="preserve">RELEVANT DOCUMENTS </w:t>
      </w:r>
    </w:p>
    <w:p w:rsidRPr="00501E30" w:rsidR="00DE7897" w:rsidP="00DE7897" w:rsidRDefault="00DE7897" w14:paraId="74EFBE16" w14:textId="24B75818">
      <w:pPr>
        <w:pStyle w:val="ListParagraph"/>
        <w:spacing w:after="0" w:line="240" w:lineRule="auto"/>
        <w:ind w:left="1080"/>
        <w:rPr>
          <w:sz w:val="14"/>
          <w:szCs w:val="14"/>
        </w:rPr>
      </w:pPr>
      <w:r w:rsidRPr="00EA5DFB">
        <w:fldChar w:fldCharType="begin"/>
      </w:r>
      <w:r w:rsidRPr="00EA5DFB">
        <w:instrText xml:space="preserve"> LINK </w:instrText>
      </w:r>
      <w:r w:rsidR="00F12871">
        <w:instrText xml:space="preserve">Excel.Sheet.12 "https://massgov-my.sharepoint.com/personal/lamine_sagna_mass_gov/Documents/CoC/Performance Evaluation Committee/Working files/Ranking Tool Work Plan.xlsx" EXTRAS!R17C2:R33C3 </w:instrText>
      </w:r>
      <w:r w:rsidRPr="00EA5DFB">
        <w:instrText xml:space="preserve">\a \f 4 \h  \* MERGEFORMAT </w:instrText>
      </w:r>
      <w:r w:rsidRPr="00EA5DFB">
        <w:fldChar w:fldCharType="separate"/>
      </w:r>
    </w:p>
    <w:tbl>
      <w:tblPr>
        <w:tblW w:w="0" w:type="auto"/>
        <w:tblLook w:val="04A0" w:firstRow="1" w:lastRow="0" w:firstColumn="1" w:lastColumn="0" w:noHBand="0" w:noVBand="1"/>
      </w:tblPr>
      <w:tblGrid>
        <w:gridCol w:w="5180"/>
        <w:gridCol w:w="3400"/>
      </w:tblGrid>
      <w:tr w:rsidRPr="00746179" w:rsidR="00DE7897" w:rsidTr="00A77F4A" w14:paraId="691E1C80" w14:textId="77777777">
        <w:trPr>
          <w:trHeight w:val="290"/>
        </w:trPr>
        <w:tc>
          <w:tcPr>
            <w:tcW w:w="5180" w:type="dxa"/>
            <w:tcBorders>
              <w:top w:val="single" w:color="auto" w:sz="4" w:space="0"/>
              <w:left w:val="single" w:color="auto" w:sz="4" w:space="0"/>
              <w:bottom w:val="single" w:color="auto" w:sz="4" w:space="0"/>
              <w:right w:val="single" w:color="auto" w:sz="4" w:space="0"/>
            </w:tcBorders>
            <w:shd w:val="clear" w:color="000000" w:fill="EDEDED"/>
            <w:noWrap/>
            <w:vAlign w:val="bottom"/>
            <w:hideMark/>
          </w:tcPr>
          <w:p w:rsidRPr="00746179" w:rsidR="00DE7897" w:rsidP="00A77F4A" w:rsidRDefault="00DE7897" w14:paraId="2C5C5498" w14:textId="77777777">
            <w:pPr>
              <w:framePr w:hSpace="180" w:wrap="around" w:hAnchor="text" w:vAnchor="text" w:xAlign="center" w:y="1"/>
              <w:spacing w:after="0" w:line="240" w:lineRule="auto"/>
              <w:suppressOverlap/>
              <w:rPr>
                <w:rFonts w:ascii="Calibri" w:hAnsi="Calibri" w:eastAsia="Times New Roman" w:cs="Calibri"/>
                <w:b/>
                <w:bCs/>
                <w:color w:val="000000"/>
                <w:kern w:val="0"/>
                <w14:ligatures w14:val="none"/>
              </w:rPr>
            </w:pPr>
            <w:r w:rsidRPr="00746179">
              <w:rPr>
                <w:rFonts w:ascii="Calibri" w:hAnsi="Calibri" w:eastAsia="Times New Roman" w:cs="Calibri"/>
                <w:b/>
                <w:bCs/>
                <w:color w:val="FF0000"/>
                <w:kern w:val="0"/>
                <w:sz w:val="10"/>
                <w:szCs w:val="10"/>
                <w14:ligatures w14:val="none"/>
              </w:rPr>
              <w:lastRenderedPageBreak/>
              <w:t xml:space="preserve">Name </w:t>
            </w:r>
          </w:p>
        </w:tc>
        <w:tc>
          <w:tcPr>
            <w:tcW w:w="3400" w:type="dxa"/>
            <w:tcBorders>
              <w:top w:val="single" w:color="auto" w:sz="4" w:space="0"/>
              <w:left w:val="nil"/>
              <w:bottom w:val="single" w:color="auto" w:sz="4" w:space="0"/>
              <w:right w:val="single" w:color="auto" w:sz="4" w:space="0"/>
            </w:tcBorders>
            <w:shd w:val="clear" w:color="000000" w:fill="EDEDED"/>
            <w:noWrap/>
            <w:vAlign w:val="bottom"/>
            <w:hideMark/>
          </w:tcPr>
          <w:p w:rsidRPr="00746179" w:rsidR="00DE7897" w:rsidP="00A77F4A" w:rsidRDefault="00DE7897" w14:paraId="6D2615C5" w14:textId="77777777">
            <w:pPr>
              <w:framePr w:hSpace="180" w:wrap="around" w:hAnchor="text" w:vAnchor="text" w:xAlign="center" w:y="1"/>
              <w:spacing w:after="0" w:line="240" w:lineRule="auto"/>
              <w:suppressOverlap/>
              <w:rPr>
                <w:rFonts w:ascii="Calibri" w:hAnsi="Calibri" w:eastAsia="Times New Roman" w:cs="Calibri"/>
                <w:b/>
                <w:bCs/>
                <w:color w:val="FF0000"/>
                <w:kern w:val="0"/>
                <w:sz w:val="10"/>
                <w:szCs w:val="10"/>
                <w14:ligatures w14:val="none"/>
              </w:rPr>
            </w:pPr>
            <w:r w:rsidRPr="00746179">
              <w:rPr>
                <w:rFonts w:ascii="Calibri" w:hAnsi="Calibri" w:eastAsia="Times New Roman" w:cs="Calibri"/>
                <w:b/>
                <w:bCs/>
                <w:color w:val="FF0000"/>
                <w:kern w:val="0"/>
                <w:sz w:val="10"/>
                <w:szCs w:val="10"/>
                <w14:ligatures w14:val="none"/>
              </w:rPr>
              <w:t>Source</w:t>
            </w:r>
          </w:p>
        </w:tc>
      </w:tr>
      <w:tr w:rsidRPr="00746179" w:rsidR="00DE7897" w:rsidTr="00A77F4A" w14:paraId="3B22CD73" w14:textId="77777777">
        <w:trPr>
          <w:trHeight w:val="288"/>
        </w:trPr>
        <w:tc>
          <w:tcPr>
            <w:tcW w:w="5180" w:type="dxa"/>
            <w:tcBorders>
              <w:top w:val="single" w:color="B2B2B2" w:sz="4" w:space="0"/>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4338571B"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APR</w:t>
            </w:r>
          </w:p>
        </w:tc>
        <w:tc>
          <w:tcPr>
            <w:tcW w:w="3400" w:type="dxa"/>
            <w:tcBorders>
              <w:top w:val="single" w:color="B2B2B2" w:sz="4" w:space="0"/>
              <w:left w:val="nil"/>
              <w:bottom w:val="single" w:color="B2B2B2" w:sz="4" w:space="0"/>
              <w:right w:val="single" w:color="B2B2B2" w:sz="4" w:space="0"/>
            </w:tcBorders>
            <w:shd w:val="clear" w:color="000000" w:fill="FFFFCC"/>
            <w:noWrap/>
            <w:vAlign w:val="bottom"/>
            <w:hideMark/>
          </w:tcPr>
          <w:p w:rsidRPr="00746179" w:rsidR="00DE7897" w:rsidP="00A77F4A" w:rsidRDefault="00DE7897" w14:paraId="63728345" w14:textId="77777777">
            <w:pPr>
              <w:framePr w:hSpace="180" w:wrap="around" w:hAnchor="text" w:vAnchor="text" w:xAlign="center" w:y="1"/>
              <w:spacing w:after="0" w:line="240" w:lineRule="auto"/>
              <w:suppressOverlap/>
              <w:rPr>
                <w:rFonts w:ascii="Calibri" w:hAnsi="Calibri" w:eastAsia="Times New Roman" w:cs="Calibri"/>
                <w:color w:val="000000"/>
                <w:kern w:val="0"/>
                <w14:ligatures w14:val="none"/>
              </w:rPr>
            </w:pPr>
            <w:r w:rsidRPr="00746179">
              <w:rPr>
                <w:rFonts w:ascii="Calibri" w:hAnsi="Calibri" w:eastAsia="Times New Roman" w:cs="Calibri"/>
                <w:color w:val="000000"/>
                <w:kern w:val="0"/>
                <w:sz w:val="10"/>
                <w:szCs w:val="10"/>
                <w14:ligatures w14:val="none"/>
              </w:rPr>
              <w:t>Kelly (Laura</w:t>
            </w:r>
          </w:p>
        </w:tc>
      </w:tr>
      <w:tr w:rsidRPr="00746179" w:rsidR="00DE7897" w:rsidTr="00A77F4A" w14:paraId="424F9223" w14:textId="77777777">
        <w:trPr>
          <w:trHeight w:val="288"/>
        </w:trPr>
        <w:tc>
          <w:tcPr>
            <w:tcW w:w="5180" w:type="dxa"/>
            <w:tcBorders>
              <w:top w:val="single" w:color="B2B2B2" w:sz="4" w:space="0"/>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41309762"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VESTA report</w:t>
            </w:r>
          </w:p>
        </w:tc>
        <w:tc>
          <w:tcPr>
            <w:tcW w:w="3400" w:type="dxa"/>
            <w:tcBorders>
              <w:top w:val="single" w:color="B2B2B2" w:sz="4" w:space="0"/>
              <w:left w:val="nil"/>
              <w:bottom w:val="single" w:color="B2B2B2" w:sz="4" w:space="0"/>
              <w:right w:val="single" w:color="B2B2B2" w:sz="4" w:space="0"/>
            </w:tcBorders>
            <w:shd w:val="clear" w:color="000000" w:fill="FFFFCC"/>
            <w:noWrap/>
            <w:vAlign w:val="bottom"/>
            <w:hideMark/>
          </w:tcPr>
          <w:p w:rsidRPr="00746179" w:rsidR="00DE7897" w:rsidP="00A77F4A" w:rsidRDefault="00DE7897" w14:paraId="002C65F2" w14:textId="77777777">
            <w:pPr>
              <w:framePr w:hSpace="180" w:wrap="around" w:hAnchor="text" w:vAnchor="text" w:xAlign="center" w:y="1"/>
              <w:spacing w:after="0" w:line="240" w:lineRule="auto"/>
              <w:suppressOverlap/>
              <w:rPr>
                <w:rFonts w:ascii="Calibri" w:hAnsi="Calibri" w:eastAsia="Times New Roman" w:cs="Calibri"/>
                <w:color w:val="FF0000"/>
                <w:kern w:val="0"/>
                <w14:ligatures w14:val="none"/>
              </w:rPr>
            </w:pPr>
            <w:r w:rsidRPr="00746179">
              <w:rPr>
                <w:rFonts w:ascii="Calibri" w:hAnsi="Calibri" w:eastAsia="Times New Roman" w:cs="Calibri"/>
                <w:color w:val="000000"/>
                <w:kern w:val="0"/>
                <w:sz w:val="10"/>
                <w:szCs w:val="10"/>
                <w14:ligatures w14:val="none"/>
              </w:rPr>
              <w:t xml:space="preserve">Kelly </w:t>
            </w:r>
          </w:p>
        </w:tc>
      </w:tr>
      <w:tr w:rsidRPr="00746179" w:rsidR="00DE7897" w:rsidTr="00A77F4A" w14:paraId="06548082"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01A61C6A"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5C9CCC3F"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eSNAPs (Desiree/Karen)</w:t>
            </w:r>
          </w:p>
        </w:tc>
      </w:tr>
      <w:tr w:rsidRPr="00746179" w:rsidR="00DE7897" w:rsidTr="00A77F4A" w14:paraId="20039C68"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72D29E37"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CE vulnerability score</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150C9D84"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Chris</w:t>
            </w:r>
          </w:p>
        </w:tc>
      </w:tr>
      <w:tr w:rsidRPr="00746179" w:rsidR="00DE7897" w:rsidTr="00A77F4A" w14:paraId="23C302A3"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45941840"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 xml:space="preserve">Monitoring score </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5D731A40"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Lamine</w:t>
            </w:r>
          </w:p>
        </w:tc>
      </w:tr>
      <w:tr w:rsidRPr="00746179" w:rsidR="00DE7897" w:rsidTr="00A77F4A" w14:paraId="76DA8869"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0B48E496"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Late application submission</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0675F8E8"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Reviewer (included in workbook)</w:t>
            </w:r>
          </w:p>
        </w:tc>
      </w:tr>
      <w:tr w:rsidRPr="00746179" w:rsidR="00DE7897" w:rsidTr="00A77F4A" w14:paraId="3A70E685"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38B023D3"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 xml:space="preserve">Failure to use CE </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585B1CE8"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Chris</w:t>
            </w:r>
          </w:p>
        </w:tc>
      </w:tr>
      <w:tr w:rsidRPr="00746179" w:rsidR="00DE7897" w:rsidTr="00A77F4A" w14:paraId="05D1230F"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184847EC"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Contribution to committee</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27FBE6C7"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Desiree</w:t>
            </w:r>
          </w:p>
        </w:tc>
      </w:tr>
      <w:tr w:rsidRPr="00746179" w:rsidR="00DE7897" w:rsidTr="00A77F4A" w14:paraId="72E36FCF"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433AA3DB"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GIW</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3BACE53F"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Sharepoint (Lamine)</w:t>
            </w:r>
          </w:p>
        </w:tc>
      </w:tr>
      <w:tr w:rsidRPr="00746179" w:rsidR="00DE7897" w:rsidTr="00A77F4A" w14:paraId="733305DC"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1A4554CF"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DEI</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70D33F5F"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Lamine/Troy</w:t>
            </w:r>
          </w:p>
        </w:tc>
      </w:tr>
      <w:tr w:rsidRPr="00746179" w:rsidR="00DE7897" w:rsidTr="00A77F4A" w14:paraId="29806FE0"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0774CDEC"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Late billing submission (Possible)</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270C9A19"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Joanna/Troy</w:t>
            </w:r>
          </w:p>
        </w:tc>
      </w:tr>
      <w:tr w:rsidRPr="00746179" w:rsidR="00DE7897" w:rsidTr="00A77F4A" w14:paraId="7C1F3902"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3F50A018"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Quarterly drawdown</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131A89A5"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w:t>
            </w:r>
          </w:p>
        </w:tc>
      </w:tr>
      <w:tr w:rsidRPr="00746179" w:rsidR="00DE7897" w:rsidTr="00A77F4A" w14:paraId="569F2146"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54DAF929"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Housing first</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6F958869"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w:t>
            </w:r>
          </w:p>
        </w:tc>
      </w:tr>
      <w:tr w:rsidRPr="00746179" w:rsidR="00DE7897" w:rsidTr="00A77F4A" w14:paraId="525D74CE"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31CC6175"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100% Dedicated/Dedicated Plus</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08C395FB"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w:t>
            </w:r>
          </w:p>
        </w:tc>
      </w:tr>
      <w:tr w:rsidRPr="00746179" w:rsidR="00DE7897" w:rsidTr="00A77F4A" w14:paraId="179CA46B"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6656ECA2"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Units already secured in new projects or expansions</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2FC0EEF9"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w:t>
            </w:r>
          </w:p>
        </w:tc>
      </w:tr>
      <w:tr w:rsidRPr="00746179" w:rsidR="00DE7897" w:rsidTr="00A77F4A" w14:paraId="0D80F83D" w14:textId="77777777">
        <w:trPr>
          <w:trHeight w:val="288"/>
        </w:trPr>
        <w:tc>
          <w:tcPr>
            <w:tcW w:w="5180" w:type="dxa"/>
            <w:tcBorders>
              <w:top w:val="nil"/>
              <w:left w:val="single" w:color="B2B2B2" w:sz="4" w:space="0"/>
              <w:bottom w:val="single" w:color="B2B2B2" w:sz="4" w:space="0"/>
              <w:right w:val="single" w:color="B2B2B2" w:sz="4" w:space="0"/>
            </w:tcBorders>
            <w:shd w:val="clear" w:color="000000" w:fill="FFFFCC"/>
            <w:noWrap/>
            <w:vAlign w:val="bottom"/>
            <w:hideMark/>
          </w:tcPr>
          <w:p w:rsidRPr="00746179" w:rsidR="00DE7897" w:rsidP="00A77F4A" w:rsidRDefault="00DE7897" w14:paraId="6F5C6E2A"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Community partnerships</w:t>
            </w:r>
          </w:p>
        </w:tc>
        <w:tc>
          <w:tcPr>
            <w:tcW w:w="3400" w:type="dxa"/>
            <w:tcBorders>
              <w:top w:val="nil"/>
              <w:left w:val="nil"/>
              <w:bottom w:val="single" w:color="B2B2B2" w:sz="4" w:space="0"/>
              <w:right w:val="single" w:color="B2B2B2" w:sz="4" w:space="0"/>
            </w:tcBorders>
            <w:shd w:val="clear" w:color="000000" w:fill="FFFFCC"/>
            <w:noWrap/>
            <w:vAlign w:val="bottom"/>
            <w:hideMark/>
          </w:tcPr>
          <w:p w:rsidRPr="00746179" w:rsidR="00DE7897" w:rsidP="00A77F4A" w:rsidRDefault="00DE7897" w14:paraId="47FB4488" w14:textId="77777777">
            <w:pPr>
              <w:framePr w:hSpace="180" w:wrap="around" w:hAnchor="text" w:vAnchor="text" w:xAlign="center" w:y="1"/>
              <w:spacing w:after="0" w:line="240" w:lineRule="auto"/>
              <w:suppressOverlap/>
              <w:rPr>
                <w:rFonts w:ascii="Calibri" w:hAnsi="Calibri" w:eastAsia="Times New Roman" w:cs="Calibri"/>
                <w:color w:val="000000"/>
                <w:kern w:val="0"/>
                <w:sz w:val="10"/>
                <w:szCs w:val="10"/>
                <w14:ligatures w14:val="none"/>
              </w:rPr>
            </w:pPr>
            <w:r w:rsidRPr="00746179">
              <w:rPr>
                <w:rFonts w:ascii="Calibri" w:hAnsi="Calibri" w:eastAsia="Times New Roman" w:cs="Calibri"/>
                <w:color w:val="000000"/>
                <w:kern w:val="0"/>
                <w:sz w:val="10"/>
                <w:szCs w:val="10"/>
                <w14:ligatures w14:val="none"/>
              </w:rPr>
              <w:t>Application (attachments) or Survey</w:t>
            </w:r>
          </w:p>
        </w:tc>
      </w:tr>
    </w:tbl>
    <w:p w:rsidR="00DE7897" w:rsidP="0031527B" w:rsidRDefault="00DE7897" w14:paraId="1E985C65" w14:textId="27C0060B">
      <w:pPr>
        <w:pStyle w:val="ListParagraph"/>
        <w:spacing w:after="0" w:line="240" w:lineRule="auto"/>
        <w:ind w:left="1080"/>
        <w:jc w:val="both"/>
        <w:rPr>
          <w:sz w:val="16"/>
          <w:szCs w:val="16"/>
        </w:rPr>
      </w:pPr>
      <w:r w:rsidRPr="00EA5DFB">
        <w:rPr>
          <w:sz w:val="14"/>
          <w:szCs w:val="14"/>
        </w:rPr>
        <w:fldChar w:fldCharType="end"/>
      </w:r>
    </w:p>
    <w:p w:rsidRPr="00EA5DFB" w:rsidR="00DE7897" w:rsidP="0031527B" w:rsidRDefault="00DE7897" w14:paraId="3E23BEE7" w14:textId="77777777">
      <w:pPr>
        <w:pStyle w:val="ListParagraph"/>
        <w:spacing w:after="0" w:line="240" w:lineRule="auto"/>
        <w:ind w:left="1080"/>
        <w:jc w:val="both"/>
        <w:rPr>
          <w:sz w:val="16"/>
          <w:szCs w:val="16"/>
        </w:rPr>
      </w:pPr>
    </w:p>
    <w:p w:rsidRPr="00EA5DFB" w:rsidR="00CD6A37" w:rsidP="00A412BB" w:rsidRDefault="00CD6A37" w14:paraId="37B67211" w14:textId="67889A0E">
      <w:pPr>
        <w:pStyle w:val="ListParagraph"/>
        <w:numPr>
          <w:ilvl w:val="0"/>
          <w:numId w:val="1"/>
        </w:numPr>
        <w:spacing w:after="0" w:line="240" w:lineRule="auto"/>
        <w:rPr>
          <w:b/>
          <w:bCs/>
          <w:sz w:val="16"/>
          <w:szCs w:val="16"/>
        </w:rPr>
      </w:pPr>
      <w:r>
        <w:rPr>
          <w:b/>
          <w:bCs/>
          <w:sz w:val="16"/>
          <w:szCs w:val="16"/>
        </w:rPr>
        <w:t>TIER DETERMINATION</w:t>
      </w:r>
    </w:p>
    <w:p w:rsidRPr="00686611" w:rsidR="00CD6A37" w:rsidP="00D42B6C" w:rsidRDefault="00686611" w14:paraId="2BC736C0" w14:textId="02701D9B">
      <w:pPr>
        <w:spacing w:after="0" w:line="240" w:lineRule="auto"/>
        <w:ind w:left="1080"/>
        <w:jc w:val="both"/>
        <w:rPr>
          <w:sz w:val="16"/>
          <w:szCs w:val="16"/>
        </w:rPr>
      </w:pPr>
      <w:r w:rsidRPr="00686611">
        <w:rPr>
          <w:sz w:val="16"/>
          <w:szCs w:val="16"/>
        </w:rPr>
        <w:t xml:space="preserve">After completing individual project rating, the </w:t>
      </w:r>
      <w:r w:rsidR="003F10FA">
        <w:rPr>
          <w:sz w:val="16"/>
          <w:szCs w:val="16"/>
        </w:rPr>
        <w:t>PE committee</w:t>
      </w:r>
      <w:r w:rsidRPr="00686611">
        <w:rPr>
          <w:sz w:val="16"/>
          <w:szCs w:val="16"/>
        </w:rPr>
        <w:t xml:space="preserve"> must establish a CoC Priority Listing of projects to include in </w:t>
      </w:r>
      <w:r w:rsidR="003F10FA">
        <w:rPr>
          <w:sz w:val="16"/>
          <w:szCs w:val="16"/>
        </w:rPr>
        <w:t>the</w:t>
      </w:r>
      <w:r w:rsidRPr="00686611">
        <w:rPr>
          <w:sz w:val="16"/>
          <w:szCs w:val="16"/>
        </w:rPr>
        <w:t xml:space="preserve"> annual CoC Application to HUD. </w:t>
      </w:r>
      <w:r w:rsidR="0095100B">
        <w:rPr>
          <w:sz w:val="16"/>
          <w:szCs w:val="16"/>
        </w:rPr>
        <w:t xml:space="preserve">It will </w:t>
      </w:r>
      <w:r w:rsidRPr="00686611">
        <w:rPr>
          <w:sz w:val="16"/>
          <w:szCs w:val="16"/>
        </w:rPr>
        <w:t xml:space="preserve">produce a ranked list that reflects both the </w:t>
      </w:r>
      <w:r w:rsidR="00CA746C">
        <w:rPr>
          <w:sz w:val="16"/>
          <w:szCs w:val="16"/>
        </w:rPr>
        <w:t>ranking and review tool</w:t>
      </w:r>
      <w:r w:rsidRPr="00686611">
        <w:rPr>
          <w:sz w:val="16"/>
          <w:szCs w:val="16"/>
        </w:rPr>
        <w:t xml:space="preserve"> results and funding priorities. </w:t>
      </w:r>
    </w:p>
    <w:p w:rsidRPr="00EA5DFB" w:rsidR="00E5772D" w:rsidP="00E5772D" w:rsidRDefault="00E5772D" w14:paraId="5C871E88" w14:textId="77777777">
      <w:pPr>
        <w:spacing w:after="0" w:line="240" w:lineRule="auto"/>
        <w:rPr>
          <w:sz w:val="16"/>
          <w:szCs w:val="16"/>
        </w:rPr>
      </w:pPr>
    </w:p>
    <w:p w:rsidRPr="00EA5DFB" w:rsidR="0079387D" w:rsidP="00A412BB" w:rsidRDefault="0079387D" w14:paraId="256DB60A" w14:textId="276B49E8">
      <w:pPr>
        <w:pStyle w:val="ListParagraph"/>
        <w:numPr>
          <w:ilvl w:val="0"/>
          <w:numId w:val="1"/>
        </w:numPr>
        <w:spacing w:after="0" w:line="240" w:lineRule="auto"/>
        <w:rPr>
          <w:b/>
          <w:bCs/>
          <w:sz w:val="16"/>
          <w:szCs w:val="16"/>
        </w:rPr>
      </w:pPr>
      <w:r>
        <w:rPr>
          <w:b/>
          <w:bCs/>
          <w:sz w:val="16"/>
          <w:szCs w:val="16"/>
        </w:rPr>
        <w:t>APPEAL</w:t>
      </w:r>
    </w:p>
    <w:p w:rsidRPr="00EA5DFB" w:rsidR="006D5C12" w:rsidP="00EB250F" w:rsidRDefault="004D08EF" w14:paraId="4D183F39" w14:textId="54A03E10">
      <w:pPr>
        <w:pStyle w:val="ListParagraph"/>
        <w:spacing w:after="0" w:line="240" w:lineRule="auto"/>
        <w:ind w:left="1080"/>
        <w:rPr>
          <w:b/>
          <w:bCs/>
          <w:sz w:val="16"/>
          <w:szCs w:val="16"/>
          <w:u w:val="single"/>
        </w:rPr>
      </w:pPr>
      <w:r w:rsidRPr="00EA5DFB">
        <w:rPr>
          <w:sz w:val="16"/>
          <w:szCs w:val="16"/>
          <w:u w:val="single"/>
        </w:rPr>
        <w:t>Ra</w:t>
      </w:r>
      <w:r w:rsidRPr="00EA5DFB" w:rsidR="00D95AA8">
        <w:rPr>
          <w:sz w:val="16"/>
          <w:szCs w:val="16"/>
          <w:u w:val="single"/>
        </w:rPr>
        <w:t>ting</w:t>
      </w:r>
      <w:r w:rsidRPr="00EA5DFB">
        <w:rPr>
          <w:sz w:val="16"/>
          <w:szCs w:val="16"/>
          <w:u w:val="single"/>
        </w:rPr>
        <w:t xml:space="preserve"> Scores</w:t>
      </w:r>
    </w:p>
    <w:p w:rsidRPr="00EA5DFB" w:rsidR="00F04572" w:rsidP="00DF44A4" w:rsidRDefault="000D4BD8" w14:paraId="462AC279" w14:textId="1CA94288">
      <w:pPr>
        <w:pStyle w:val="ListParagraph"/>
        <w:spacing w:after="0" w:line="240" w:lineRule="auto"/>
        <w:ind w:left="1080"/>
        <w:jc w:val="both"/>
        <w:rPr>
          <w:sz w:val="16"/>
          <w:szCs w:val="16"/>
        </w:rPr>
      </w:pPr>
      <w:r w:rsidRPr="00EA5DFB">
        <w:rPr>
          <w:sz w:val="16"/>
          <w:szCs w:val="16"/>
        </w:rPr>
        <w:t xml:space="preserve">Providers may appeal </w:t>
      </w:r>
      <w:r w:rsidR="00C20793">
        <w:rPr>
          <w:sz w:val="16"/>
          <w:szCs w:val="16"/>
        </w:rPr>
        <w:t>Ranking and Review</w:t>
      </w:r>
      <w:r w:rsidR="00180C5D">
        <w:rPr>
          <w:sz w:val="16"/>
          <w:szCs w:val="16"/>
        </w:rPr>
        <w:t xml:space="preserve"> </w:t>
      </w:r>
      <w:r w:rsidRPr="00EA5DFB" w:rsidR="00CC51AB">
        <w:rPr>
          <w:sz w:val="16"/>
          <w:szCs w:val="16"/>
        </w:rPr>
        <w:t>outcomes/scores</w:t>
      </w:r>
      <w:r w:rsidRPr="00EA5DFB" w:rsidR="005D55AD">
        <w:rPr>
          <w:sz w:val="16"/>
          <w:szCs w:val="16"/>
        </w:rPr>
        <w:t>.</w:t>
      </w:r>
      <w:r w:rsidRPr="00EA5DFB" w:rsidR="00CC51AB">
        <w:rPr>
          <w:sz w:val="16"/>
          <w:szCs w:val="16"/>
        </w:rPr>
        <w:t xml:space="preserve"> </w:t>
      </w:r>
      <w:r w:rsidR="00CC1D85">
        <w:rPr>
          <w:sz w:val="16"/>
          <w:szCs w:val="16"/>
        </w:rPr>
        <w:t>The PE Committee</w:t>
      </w:r>
      <w:r w:rsidR="008960D5">
        <w:rPr>
          <w:sz w:val="16"/>
          <w:szCs w:val="16"/>
        </w:rPr>
        <w:t xml:space="preserve"> </w:t>
      </w:r>
      <w:r w:rsidRPr="00EA5DFB" w:rsidR="00D0609B">
        <w:rPr>
          <w:sz w:val="16"/>
          <w:szCs w:val="16"/>
        </w:rPr>
        <w:t xml:space="preserve">will accept </w:t>
      </w:r>
      <w:r w:rsidRPr="00EA5DFB" w:rsidR="00186084">
        <w:rPr>
          <w:sz w:val="16"/>
          <w:szCs w:val="16"/>
        </w:rPr>
        <w:t>any</w:t>
      </w:r>
      <w:r w:rsidRPr="00EA5DFB" w:rsidR="00D0609B">
        <w:rPr>
          <w:sz w:val="16"/>
          <w:szCs w:val="16"/>
        </w:rPr>
        <w:t xml:space="preserve"> </w:t>
      </w:r>
      <w:r w:rsidRPr="00EA5DFB" w:rsidR="00F04572">
        <w:rPr>
          <w:sz w:val="16"/>
          <w:szCs w:val="16"/>
        </w:rPr>
        <w:t xml:space="preserve">appeal </w:t>
      </w:r>
      <w:r w:rsidRPr="00EA5DFB" w:rsidR="005B0344">
        <w:rPr>
          <w:sz w:val="16"/>
          <w:szCs w:val="16"/>
        </w:rPr>
        <w:t xml:space="preserve">submitted </w:t>
      </w:r>
      <w:r w:rsidRPr="00EA5DFB" w:rsidR="00145570">
        <w:rPr>
          <w:sz w:val="16"/>
          <w:szCs w:val="16"/>
        </w:rPr>
        <w:t xml:space="preserve">within 24hr </w:t>
      </w:r>
      <w:r w:rsidRPr="00EA5DFB" w:rsidR="0053102B">
        <w:rPr>
          <w:sz w:val="16"/>
          <w:szCs w:val="16"/>
        </w:rPr>
        <w:t>after</w:t>
      </w:r>
      <w:r w:rsidRPr="00EA5DFB" w:rsidR="009525DC">
        <w:rPr>
          <w:sz w:val="16"/>
          <w:szCs w:val="16"/>
        </w:rPr>
        <w:t xml:space="preserve"> results are </w:t>
      </w:r>
      <w:r w:rsidRPr="00EA5DFB" w:rsidR="00BD7CAC">
        <w:rPr>
          <w:sz w:val="16"/>
          <w:szCs w:val="16"/>
        </w:rPr>
        <w:t>complete</w:t>
      </w:r>
      <w:r w:rsidR="00B70732">
        <w:rPr>
          <w:sz w:val="16"/>
          <w:szCs w:val="16"/>
        </w:rPr>
        <w:t>d/</w:t>
      </w:r>
      <w:r w:rsidRPr="00EA5DFB" w:rsidR="00BD7CAC">
        <w:rPr>
          <w:sz w:val="16"/>
          <w:szCs w:val="16"/>
        </w:rPr>
        <w:t>submitted</w:t>
      </w:r>
      <w:r w:rsidRPr="00EA5DFB" w:rsidR="00253CF4">
        <w:rPr>
          <w:sz w:val="16"/>
          <w:szCs w:val="16"/>
        </w:rPr>
        <w:t xml:space="preserve"> and must be</w:t>
      </w:r>
      <w:r w:rsidRPr="00EA5DFB" w:rsidR="0053102B">
        <w:rPr>
          <w:sz w:val="16"/>
          <w:szCs w:val="16"/>
        </w:rPr>
        <w:t xml:space="preserve"> </w:t>
      </w:r>
      <w:r w:rsidRPr="00EA5DFB" w:rsidR="00F04572">
        <w:rPr>
          <w:sz w:val="16"/>
          <w:szCs w:val="16"/>
        </w:rPr>
        <w:t>related to the following</w:t>
      </w:r>
      <w:r w:rsidRPr="00EA5DFB" w:rsidR="00186084">
        <w:rPr>
          <w:sz w:val="16"/>
          <w:szCs w:val="16"/>
        </w:rPr>
        <w:t xml:space="preserve"> only</w:t>
      </w:r>
      <w:r w:rsidRPr="00EA5DFB" w:rsidR="00F04572">
        <w:rPr>
          <w:sz w:val="16"/>
          <w:szCs w:val="16"/>
        </w:rPr>
        <w:t>:</w:t>
      </w:r>
    </w:p>
    <w:p w:rsidRPr="00EA5DFB" w:rsidR="00DA6CBA" w:rsidP="00DF44A4" w:rsidRDefault="004A5D73" w14:paraId="66365955" w14:textId="2F7E0699">
      <w:pPr>
        <w:pStyle w:val="ListParagraph"/>
        <w:numPr>
          <w:ilvl w:val="0"/>
          <w:numId w:val="9"/>
        </w:numPr>
        <w:spacing w:after="0" w:line="240" w:lineRule="auto"/>
        <w:ind w:left="1800"/>
        <w:jc w:val="both"/>
        <w:rPr>
          <w:sz w:val="16"/>
          <w:szCs w:val="16"/>
        </w:rPr>
      </w:pPr>
      <w:r w:rsidRPr="00EA5DFB">
        <w:rPr>
          <w:sz w:val="16"/>
          <w:szCs w:val="16"/>
        </w:rPr>
        <w:t>Issues</w:t>
      </w:r>
      <w:r w:rsidRPr="00EA5DFB" w:rsidR="00DA6CBA">
        <w:rPr>
          <w:sz w:val="16"/>
          <w:szCs w:val="16"/>
        </w:rPr>
        <w:t xml:space="preserve"> due to </w:t>
      </w:r>
      <w:r w:rsidRPr="00EA5DFB" w:rsidR="0061677C">
        <w:rPr>
          <w:sz w:val="16"/>
          <w:szCs w:val="16"/>
        </w:rPr>
        <w:t>formulas</w:t>
      </w:r>
      <w:r w:rsidRPr="00EA5DFB">
        <w:rPr>
          <w:sz w:val="16"/>
          <w:szCs w:val="16"/>
        </w:rPr>
        <w:t xml:space="preserve"> errors</w:t>
      </w:r>
      <w:r w:rsidRPr="00EA5DFB" w:rsidR="002C0E42">
        <w:rPr>
          <w:sz w:val="16"/>
          <w:szCs w:val="16"/>
        </w:rPr>
        <w:t xml:space="preserve"> (TOOL)</w:t>
      </w:r>
    </w:p>
    <w:p w:rsidRPr="00EA5DFB" w:rsidR="0061677C" w:rsidP="00DF44A4" w:rsidRDefault="006163B7" w14:paraId="2AE82B83" w14:textId="2448F14E">
      <w:pPr>
        <w:pStyle w:val="ListParagraph"/>
        <w:numPr>
          <w:ilvl w:val="0"/>
          <w:numId w:val="9"/>
        </w:numPr>
        <w:spacing w:after="0" w:line="240" w:lineRule="auto"/>
        <w:ind w:left="1800"/>
        <w:jc w:val="both"/>
        <w:rPr>
          <w:sz w:val="16"/>
          <w:szCs w:val="16"/>
        </w:rPr>
      </w:pPr>
      <w:r w:rsidRPr="00EA5DFB">
        <w:rPr>
          <w:sz w:val="16"/>
          <w:szCs w:val="16"/>
        </w:rPr>
        <w:t>Issues due to s</w:t>
      </w:r>
      <w:r w:rsidRPr="00EA5DFB" w:rsidR="00952C94">
        <w:rPr>
          <w:sz w:val="16"/>
          <w:szCs w:val="16"/>
        </w:rPr>
        <w:t>ource documentation</w:t>
      </w:r>
      <w:r w:rsidRPr="00EA5DFB">
        <w:rPr>
          <w:sz w:val="16"/>
          <w:szCs w:val="16"/>
        </w:rPr>
        <w:t xml:space="preserve"> errors</w:t>
      </w:r>
      <w:r w:rsidRPr="00EA5DFB" w:rsidR="00952C94">
        <w:rPr>
          <w:sz w:val="16"/>
          <w:szCs w:val="16"/>
        </w:rPr>
        <w:t xml:space="preserve"> (APR, </w:t>
      </w:r>
      <w:r w:rsidRPr="00EA5DFB" w:rsidR="003433B8">
        <w:rPr>
          <w:sz w:val="16"/>
          <w:szCs w:val="16"/>
        </w:rPr>
        <w:t>Monitoring Results</w:t>
      </w:r>
      <w:r w:rsidRPr="00EA5DFB" w:rsidR="0054211B">
        <w:rPr>
          <w:sz w:val="16"/>
          <w:szCs w:val="16"/>
        </w:rPr>
        <w:t xml:space="preserve"> Report, Application, </w:t>
      </w:r>
      <w:r w:rsidRPr="00EA5DFB" w:rsidR="004A5D73">
        <w:rPr>
          <w:sz w:val="16"/>
          <w:szCs w:val="16"/>
        </w:rPr>
        <w:t>and other relevant reports)</w:t>
      </w:r>
    </w:p>
    <w:p w:rsidRPr="00EA5DFB" w:rsidR="002C0E42" w:rsidP="00DF44A4" w:rsidRDefault="002C0E42" w14:paraId="10809607" w14:textId="77777777">
      <w:pPr>
        <w:spacing w:after="0" w:line="240" w:lineRule="auto"/>
        <w:ind w:left="1080"/>
        <w:jc w:val="both"/>
        <w:rPr>
          <w:sz w:val="16"/>
          <w:szCs w:val="16"/>
        </w:rPr>
      </w:pPr>
    </w:p>
    <w:p w:rsidRPr="00EA5DFB" w:rsidR="00DC6F04" w:rsidP="00DF44A4" w:rsidRDefault="00DC6F04" w14:paraId="7049CB94" w14:textId="2997F581">
      <w:pPr>
        <w:spacing w:after="0" w:line="240" w:lineRule="auto"/>
        <w:ind w:left="1080"/>
        <w:jc w:val="both"/>
        <w:rPr>
          <w:sz w:val="16"/>
          <w:szCs w:val="16"/>
        </w:rPr>
      </w:pPr>
      <w:r w:rsidRPr="00EA5DFB">
        <w:rPr>
          <w:sz w:val="16"/>
          <w:szCs w:val="16"/>
        </w:rPr>
        <w:t xml:space="preserve">Such errors must be clearly identified and adequately </w:t>
      </w:r>
      <w:r w:rsidRPr="00EA5DFB" w:rsidR="006A047F">
        <w:rPr>
          <w:sz w:val="16"/>
          <w:szCs w:val="16"/>
        </w:rPr>
        <w:t>documented.</w:t>
      </w:r>
    </w:p>
    <w:p w:rsidRPr="00EA5DFB" w:rsidR="006A047F" w:rsidP="00DF44A4" w:rsidRDefault="006A047F" w14:paraId="39A65000" w14:textId="77777777">
      <w:pPr>
        <w:spacing w:after="0" w:line="240" w:lineRule="auto"/>
        <w:ind w:left="1080"/>
        <w:jc w:val="both"/>
        <w:rPr>
          <w:sz w:val="16"/>
          <w:szCs w:val="16"/>
        </w:rPr>
      </w:pPr>
    </w:p>
    <w:p w:rsidRPr="00EA5DFB" w:rsidR="00253CF4" w:rsidP="00DF44A4" w:rsidRDefault="004733E9" w14:paraId="6A17DAD2" w14:textId="55A824C2">
      <w:pPr>
        <w:spacing w:after="0" w:line="240" w:lineRule="auto"/>
        <w:ind w:left="1080"/>
        <w:jc w:val="both"/>
        <w:rPr>
          <w:sz w:val="16"/>
          <w:szCs w:val="16"/>
        </w:rPr>
      </w:pPr>
      <w:r w:rsidRPr="00EA5DFB">
        <w:rPr>
          <w:sz w:val="16"/>
          <w:szCs w:val="16"/>
        </w:rPr>
        <w:t>If a</w:t>
      </w:r>
      <w:r w:rsidRPr="00EA5DFB" w:rsidR="00C67554">
        <w:rPr>
          <w:sz w:val="16"/>
          <w:szCs w:val="16"/>
        </w:rPr>
        <w:t xml:space="preserve"> provider</w:t>
      </w:r>
      <w:r w:rsidRPr="00EA5DFB">
        <w:rPr>
          <w:sz w:val="16"/>
          <w:szCs w:val="16"/>
        </w:rPr>
        <w:t xml:space="preserve"> wishes to appeal </w:t>
      </w:r>
      <w:r w:rsidR="00C20793">
        <w:rPr>
          <w:sz w:val="16"/>
          <w:szCs w:val="16"/>
        </w:rPr>
        <w:t>Ranking and Review</w:t>
      </w:r>
      <w:r w:rsidR="00180C5D">
        <w:rPr>
          <w:sz w:val="16"/>
          <w:szCs w:val="16"/>
        </w:rPr>
        <w:t xml:space="preserve"> </w:t>
      </w:r>
      <w:r w:rsidRPr="00EA5DFB" w:rsidR="008A2599">
        <w:rPr>
          <w:sz w:val="16"/>
          <w:szCs w:val="16"/>
        </w:rPr>
        <w:t>score</w:t>
      </w:r>
      <w:r w:rsidRPr="00EA5DFB" w:rsidR="005D55AD">
        <w:rPr>
          <w:sz w:val="16"/>
          <w:szCs w:val="16"/>
        </w:rPr>
        <w:t>s</w:t>
      </w:r>
      <w:r w:rsidRPr="00EA5DFB" w:rsidR="002902EC">
        <w:rPr>
          <w:sz w:val="16"/>
          <w:szCs w:val="16"/>
        </w:rPr>
        <w:t xml:space="preserve">, </w:t>
      </w:r>
      <w:r w:rsidRPr="00EA5DFB">
        <w:rPr>
          <w:sz w:val="16"/>
          <w:szCs w:val="16"/>
        </w:rPr>
        <w:t xml:space="preserve">they must </w:t>
      </w:r>
      <w:r w:rsidRPr="00EA5DFB" w:rsidR="005B0344">
        <w:rPr>
          <w:sz w:val="16"/>
          <w:szCs w:val="16"/>
        </w:rPr>
        <w:t>do the following</w:t>
      </w:r>
      <w:r w:rsidRPr="00EA5DFB" w:rsidR="00253CF4">
        <w:rPr>
          <w:sz w:val="16"/>
          <w:szCs w:val="16"/>
        </w:rPr>
        <w:t>:</w:t>
      </w:r>
    </w:p>
    <w:p w:rsidRPr="00EA5DFB" w:rsidR="00553AA5" w:rsidP="00DF44A4" w:rsidRDefault="004733E9" w14:paraId="745BB12E" w14:textId="2A2914B3">
      <w:pPr>
        <w:pStyle w:val="ListParagraph"/>
        <w:numPr>
          <w:ilvl w:val="0"/>
          <w:numId w:val="12"/>
        </w:numPr>
        <w:spacing w:after="0" w:line="240" w:lineRule="auto"/>
        <w:ind w:left="1800"/>
        <w:jc w:val="both"/>
        <w:rPr>
          <w:sz w:val="16"/>
          <w:szCs w:val="16"/>
        </w:rPr>
      </w:pPr>
      <w:r w:rsidRPr="00EA5DFB">
        <w:rPr>
          <w:sz w:val="16"/>
          <w:szCs w:val="16"/>
        </w:rPr>
        <w:t xml:space="preserve">submit a </w:t>
      </w:r>
      <w:r w:rsidRPr="00EA5DFB" w:rsidR="00253CF4">
        <w:rPr>
          <w:sz w:val="16"/>
          <w:szCs w:val="16"/>
        </w:rPr>
        <w:t>notification</w:t>
      </w:r>
      <w:r w:rsidRPr="00EA5DFB">
        <w:rPr>
          <w:sz w:val="16"/>
          <w:szCs w:val="16"/>
        </w:rPr>
        <w:t xml:space="preserve"> of appeal to the </w:t>
      </w:r>
      <w:r w:rsidRPr="00EA5DFB" w:rsidR="002A2A80">
        <w:rPr>
          <w:sz w:val="16"/>
          <w:szCs w:val="16"/>
        </w:rPr>
        <w:t xml:space="preserve">group </w:t>
      </w:r>
      <w:r w:rsidRPr="00EA5DFB" w:rsidR="00BA6907">
        <w:rPr>
          <w:sz w:val="16"/>
          <w:szCs w:val="16"/>
        </w:rPr>
        <w:t>lead</w:t>
      </w:r>
      <w:r w:rsidRPr="00EA5DFB" w:rsidR="008A2599">
        <w:rPr>
          <w:sz w:val="16"/>
          <w:szCs w:val="16"/>
        </w:rPr>
        <w:t xml:space="preserve"> </w:t>
      </w:r>
      <w:r w:rsidRPr="00EA5DFB" w:rsidR="00661C0D">
        <w:rPr>
          <w:sz w:val="16"/>
          <w:szCs w:val="16"/>
        </w:rPr>
        <w:t>via email</w:t>
      </w:r>
      <w:r w:rsidRPr="00EA5DFB" w:rsidR="00BA6907">
        <w:rPr>
          <w:sz w:val="16"/>
          <w:szCs w:val="16"/>
        </w:rPr>
        <w:t>.</w:t>
      </w:r>
    </w:p>
    <w:p w:rsidRPr="00EA5DFB" w:rsidR="002D414C" w:rsidP="00DF44A4" w:rsidRDefault="002D414C" w14:paraId="0B9EAD70" w14:textId="26C5A4CD">
      <w:pPr>
        <w:pStyle w:val="ListParagraph"/>
        <w:numPr>
          <w:ilvl w:val="0"/>
          <w:numId w:val="12"/>
        </w:numPr>
        <w:spacing w:after="0" w:line="240" w:lineRule="auto"/>
        <w:ind w:left="1800"/>
        <w:jc w:val="both"/>
        <w:rPr>
          <w:sz w:val="16"/>
          <w:szCs w:val="16"/>
        </w:rPr>
      </w:pPr>
      <w:r w:rsidRPr="00EA5DFB">
        <w:rPr>
          <w:sz w:val="16"/>
          <w:szCs w:val="16"/>
        </w:rPr>
        <w:t>Clearly describe the nature of the appeal</w:t>
      </w:r>
      <w:r w:rsidRPr="00EA5DFB" w:rsidR="00BA6907">
        <w:rPr>
          <w:sz w:val="16"/>
          <w:szCs w:val="16"/>
        </w:rPr>
        <w:t>.</w:t>
      </w:r>
    </w:p>
    <w:p w:rsidRPr="00EA5DFB" w:rsidR="00DF5D33" w:rsidP="00DF44A4" w:rsidRDefault="00BA6907" w14:paraId="1217F531" w14:textId="77777777">
      <w:pPr>
        <w:pStyle w:val="ListParagraph"/>
        <w:numPr>
          <w:ilvl w:val="0"/>
          <w:numId w:val="12"/>
        </w:numPr>
        <w:spacing w:after="0" w:line="240" w:lineRule="auto"/>
        <w:ind w:left="1800"/>
        <w:jc w:val="both"/>
        <w:rPr>
          <w:sz w:val="16"/>
          <w:szCs w:val="16"/>
        </w:rPr>
      </w:pPr>
      <w:r w:rsidRPr="00EA5DFB">
        <w:rPr>
          <w:sz w:val="16"/>
          <w:szCs w:val="16"/>
        </w:rPr>
        <w:t>Provide</w:t>
      </w:r>
      <w:r w:rsidRPr="00EA5DFB" w:rsidR="00F84646">
        <w:rPr>
          <w:sz w:val="16"/>
          <w:szCs w:val="16"/>
        </w:rPr>
        <w:t xml:space="preserve"> all </w:t>
      </w:r>
      <w:r w:rsidRPr="00EA5DFB" w:rsidR="0023517C">
        <w:rPr>
          <w:sz w:val="16"/>
          <w:szCs w:val="16"/>
        </w:rPr>
        <w:t>relevant documentation to support the appeal.</w:t>
      </w:r>
      <w:r w:rsidRPr="00EA5DFB" w:rsidR="004733E9">
        <w:rPr>
          <w:sz w:val="16"/>
          <w:szCs w:val="16"/>
        </w:rPr>
        <w:t xml:space="preserve"> </w:t>
      </w:r>
    </w:p>
    <w:p w:rsidRPr="00EA5DFB" w:rsidR="00D73881" w:rsidP="00DF44A4" w:rsidRDefault="00D73881" w14:paraId="0991164A" w14:textId="77777777">
      <w:pPr>
        <w:spacing w:after="0" w:line="240" w:lineRule="auto"/>
        <w:jc w:val="both"/>
        <w:rPr>
          <w:sz w:val="16"/>
          <w:szCs w:val="16"/>
        </w:rPr>
      </w:pPr>
    </w:p>
    <w:p w:rsidRPr="00EA5DFB" w:rsidR="00D73881" w:rsidP="00DF44A4" w:rsidRDefault="00FC1312" w14:paraId="1BC74F77" w14:textId="2B9B795E">
      <w:pPr>
        <w:spacing w:after="0" w:line="240" w:lineRule="auto"/>
        <w:ind w:left="1080"/>
        <w:jc w:val="both"/>
        <w:rPr>
          <w:sz w:val="16"/>
          <w:szCs w:val="16"/>
        </w:rPr>
      </w:pPr>
      <w:r>
        <w:rPr>
          <w:sz w:val="16"/>
          <w:szCs w:val="16"/>
        </w:rPr>
        <w:t>The PE Committee</w:t>
      </w:r>
      <w:r w:rsidR="008960D5">
        <w:rPr>
          <w:sz w:val="16"/>
          <w:szCs w:val="16"/>
        </w:rPr>
        <w:t xml:space="preserve"> </w:t>
      </w:r>
      <w:r w:rsidRPr="00EA5DFB" w:rsidR="00D73881">
        <w:rPr>
          <w:sz w:val="16"/>
          <w:szCs w:val="16"/>
        </w:rPr>
        <w:t xml:space="preserve">will </w:t>
      </w:r>
      <w:r w:rsidRPr="00EA5DFB" w:rsidR="00EE5FD2">
        <w:rPr>
          <w:sz w:val="16"/>
          <w:szCs w:val="16"/>
        </w:rPr>
        <w:t>decline</w:t>
      </w:r>
      <w:r w:rsidRPr="00EA5DFB" w:rsidR="00D73881">
        <w:rPr>
          <w:sz w:val="16"/>
          <w:szCs w:val="16"/>
        </w:rPr>
        <w:t xml:space="preserve"> any appeal </w:t>
      </w:r>
      <w:r w:rsidRPr="00EA5DFB" w:rsidR="00F973F6">
        <w:rPr>
          <w:sz w:val="16"/>
          <w:szCs w:val="16"/>
        </w:rPr>
        <w:t xml:space="preserve">and will </w:t>
      </w:r>
      <w:r w:rsidRPr="00EA5DFB" w:rsidR="008049E2">
        <w:rPr>
          <w:sz w:val="16"/>
          <w:szCs w:val="16"/>
        </w:rPr>
        <w:t>maintain</w:t>
      </w:r>
      <w:r w:rsidRPr="00EA5DFB" w:rsidR="00156631">
        <w:rPr>
          <w:sz w:val="16"/>
          <w:szCs w:val="16"/>
        </w:rPr>
        <w:t xml:space="preserve"> current scores if </w:t>
      </w:r>
      <w:r w:rsidRPr="00EA5DFB" w:rsidR="00C77F48">
        <w:rPr>
          <w:sz w:val="16"/>
          <w:szCs w:val="16"/>
        </w:rPr>
        <w:t>the appeal</w:t>
      </w:r>
      <w:r w:rsidRPr="00EA5DFB" w:rsidR="004D04C3">
        <w:rPr>
          <w:sz w:val="16"/>
          <w:szCs w:val="16"/>
        </w:rPr>
        <w:t xml:space="preserve"> is not properly submitted</w:t>
      </w:r>
      <w:r w:rsidRPr="00EA5DFB" w:rsidR="008049E2">
        <w:rPr>
          <w:sz w:val="16"/>
          <w:szCs w:val="16"/>
        </w:rPr>
        <w:t>.</w:t>
      </w:r>
      <w:r w:rsidRPr="00EA5DFB" w:rsidR="00C77F48">
        <w:rPr>
          <w:sz w:val="16"/>
          <w:szCs w:val="16"/>
        </w:rPr>
        <w:t xml:space="preserve"> </w:t>
      </w:r>
      <w:r w:rsidRPr="00EA5DFB" w:rsidR="00132342">
        <w:rPr>
          <w:sz w:val="16"/>
          <w:szCs w:val="16"/>
        </w:rPr>
        <w:t>No delays will be allowed or accommodated in this process.</w:t>
      </w:r>
    </w:p>
    <w:p w:rsidRPr="00EA5DFB" w:rsidR="00DF5D33" w:rsidP="00DF44A4" w:rsidRDefault="00DF5D33" w14:paraId="77E6B21B" w14:textId="77777777">
      <w:pPr>
        <w:spacing w:after="0" w:line="240" w:lineRule="auto"/>
        <w:ind w:left="360" w:firstLine="720"/>
        <w:jc w:val="both"/>
        <w:rPr>
          <w:sz w:val="16"/>
          <w:szCs w:val="16"/>
        </w:rPr>
      </w:pPr>
    </w:p>
    <w:p w:rsidRPr="00EA5DFB" w:rsidR="00C22783" w:rsidP="00DF44A4" w:rsidRDefault="000218EE" w14:paraId="6C88E771" w14:textId="05E80DB6">
      <w:pPr>
        <w:spacing w:after="0" w:line="240" w:lineRule="auto"/>
        <w:ind w:left="360" w:firstLine="720"/>
        <w:jc w:val="both"/>
        <w:rPr>
          <w:sz w:val="16"/>
          <w:szCs w:val="16"/>
        </w:rPr>
      </w:pPr>
      <w:r>
        <w:rPr>
          <w:sz w:val="16"/>
          <w:szCs w:val="16"/>
        </w:rPr>
        <w:t>The PE Committee</w:t>
      </w:r>
      <w:r w:rsidRPr="00EA5DFB" w:rsidR="00AA5C76">
        <w:rPr>
          <w:sz w:val="16"/>
          <w:szCs w:val="16"/>
        </w:rPr>
        <w:t xml:space="preserve"> appeal </w:t>
      </w:r>
      <w:r>
        <w:rPr>
          <w:sz w:val="16"/>
          <w:szCs w:val="16"/>
        </w:rPr>
        <w:t>review</w:t>
      </w:r>
      <w:r w:rsidRPr="00EA5DFB" w:rsidR="006D0357">
        <w:rPr>
          <w:sz w:val="16"/>
          <w:szCs w:val="16"/>
        </w:rPr>
        <w:t xml:space="preserve"> will be as followed</w:t>
      </w:r>
      <w:r w:rsidRPr="00EA5DFB" w:rsidR="004E3997">
        <w:rPr>
          <w:sz w:val="16"/>
          <w:szCs w:val="16"/>
        </w:rPr>
        <w:t>:</w:t>
      </w:r>
    </w:p>
    <w:p w:rsidRPr="00EA5DFB" w:rsidR="004E3997" w:rsidP="00DF44A4" w:rsidRDefault="004E007A" w14:paraId="2B472DC6" w14:textId="59C2C9E2">
      <w:pPr>
        <w:pStyle w:val="ListParagraph"/>
        <w:numPr>
          <w:ilvl w:val="0"/>
          <w:numId w:val="13"/>
        </w:numPr>
        <w:spacing w:after="0" w:line="240" w:lineRule="auto"/>
        <w:ind w:left="1800"/>
        <w:jc w:val="both"/>
        <w:rPr>
          <w:sz w:val="16"/>
          <w:szCs w:val="16"/>
        </w:rPr>
      </w:pPr>
      <w:r>
        <w:rPr>
          <w:sz w:val="16"/>
          <w:szCs w:val="16"/>
        </w:rPr>
        <w:t>R</w:t>
      </w:r>
      <w:r w:rsidRPr="00EA5DFB" w:rsidR="00E80D09">
        <w:rPr>
          <w:sz w:val="16"/>
          <w:szCs w:val="16"/>
        </w:rPr>
        <w:t xml:space="preserve">eview </w:t>
      </w:r>
      <w:r>
        <w:rPr>
          <w:sz w:val="16"/>
          <w:szCs w:val="16"/>
        </w:rPr>
        <w:t xml:space="preserve">and assess </w:t>
      </w:r>
      <w:r w:rsidRPr="00EA5DFB" w:rsidR="00E80D09">
        <w:rPr>
          <w:sz w:val="16"/>
          <w:szCs w:val="16"/>
        </w:rPr>
        <w:t xml:space="preserve">the </w:t>
      </w:r>
      <w:r w:rsidRPr="00EA5DFB" w:rsidR="007C5EBE">
        <w:rPr>
          <w:sz w:val="16"/>
          <w:szCs w:val="16"/>
        </w:rPr>
        <w:t>appeal.</w:t>
      </w:r>
      <w:r w:rsidRPr="00EA5DFB" w:rsidR="00E80D09">
        <w:rPr>
          <w:sz w:val="16"/>
          <w:szCs w:val="16"/>
        </w:rPr>
        <w:t xml:space="preserve"> </w:t>
      </w:r>
    </w:p>
    <w:p w:rsidRPr="00EA5DFB" w:rsidR="007C5EBE" w:rsidP="00DF44A4" w:rsidRDefault="004E007A" w14:paraId="0671A78F" w14:textId="3154418A">
      <w:pPr>
        <w:pStyle w:val="ListParagraph"/>
        <w:numPr>
          <w:ilvl w:val="0"/>
          <w:numId w:val="13"/>
        </w:numPr>
        <w:spacing w:after="0" w:line="240" w:lineRule="auto"/>
        <w:ind w:left="1800"/>
        <w:jc w:val="both"/>
        <w:rPr>
          <w:sz w:val="16"/>
          <w:szCs w:val="16"/>
        </w:rPr>
      </w:pPr>
      <w:r>
        <w:rPr>
          <w:sz w:val="16"/>
          <w:szCs w:val="16"/>
        </w:rPr>
        <w:t>M</w:t>
      </w:r>
      <w:r w:rsidR="00A11E74">
        <w:rPr>
          <w:sz w:val="16"/>
          <w:szCs w:val="16"/>
        </w:rPr>
        <w:t>ake</w:t>
      </w:r>
      <w:r w:rsidRPr="00EA5DFB" w:rsidR="00CA4B2F">
        <w:rPr>
          <w:sz w:val="16"/>
          <w:szCs w:val="16"/>
        </w:rPr>
        <w:t xml:space="preserve"> a</w:t>
      </w:r>
      <w:r w:rsidRPr="00EA5DFB" w:rsidR="00D65A0B">
        <w:rPr>
          <w:sz w:val="16"/>
          <w:szCs w:val="16"/>
        </w:rPr>
        <w:t xml:space="preserve"> decision </w:t>
      </w:r>
      <w:r w:rsidRPr="00EA5DFB" w:rsidR="00093856">
        <w:rPr>
          <w:sz w:val="16"/>
          <w:szCs w:val="16"/>
        </w:rPr>
        <w:t>within</w:t>
      </w:r>
      <w:r w:rsidRPr="00EA5DFB" w:rsidR="00D65A0B">
        <w:rPr>
          <w:sz w:val="16"/>
          <w:szCs w:val="16"/>
        </w:rPr>
        <w:t xml:space="preserve"> </w:t>
      </w:r>
      <w:r w:rsidRPr="00EA5DFB" w:rsidR="00CC1202">
        <w:rPr>
          <w:sz w:val="16"/>
          <w:szCs w:val="16"/>
        </w:rPr>
        <w:t>48</w:t>
      </w:r>
      <w:r w:rsidRPr="00EA5DFB" w:rsidR="00D65A0B">
        <w:rPr>
          <w:sz w:val="16"/>
          <w:szCs w:val="16"/>
        </w:rPr>
        <w:t xml:space="preserve">hr </w:t>
      </w:r>
      <w:r w:rsidRPr="00EA5DFB" w:rsidR="00CC1202">
        <w:rPr>
          <w:sz w:val="16"/>
          <w:szCs w:val="16"/>
        </w:rPr>
        <w:t xml:space="preserve">after receipt of the </w:t>
      </w:r>
      <w:r w:rsidRPr="00EA5DFB" w:rsidR="00093856">
        <w:rPr>
          <w:sz w:val="16"/>
          <w:szCs w:val="16"/>
        </w:rPr>
        <w:t>appeal and notify</w:t>
      </w:r>
      <w:r w:rsidRPr="00EA5DFB" w:rsidR="00D847ED">
        <w:rPr>
          <w:sz w:val="16"/>
          <w:szCs w:val="16"/>
        </w:rPr>
        <w:t xml:space="preserve"> the</w:t>
      </w:r>
      <w:r w:rsidRPr="00EA5DFB" w:rsidR="00093856">
        <w:rPr>
          <w:sz w:val="16"/>
          <w:szCs w:val="16"/>
        </w:rPr>
        <w:t xml:space="preserve"> provider</w:t>
      </w:r>
      <w:r w:rsidRPr="00EA5DFB" w:rsidR="00D847ED">
        <w:rPr>
          <w:sz w:val="16"/>
          <w:szCs w:val="16"/>
        </w:rPr>
        <w:t xml:space="preserve"> via email</w:t>
      </w:r>
      <w:r w:rsidRPr="00EA5DFB" w:rsidR="00093856">
        <w:rPr>
          <w:sz w:val="16"/>
          <w:szCs w:val="16"/>
        </w:rPr>
        <w:t>.</w:t>
      </w:r>
    </w:p>
    <w:p w:rsidR="004B2CDC" w:rsidP="00DF44A4" w:rsidRDefault="00A11E74" w14:paraId="3BE5549B" w14:textId="7A6AADBC">
      <w:pPr>
        <w:pStyle w:val="ListParagraph"/>
        <w:numPr>
          <w:ilvl w:val="0"/>
          <w:numId w:val="13"/>
        </w:numPr>
        <w:spacing w:after="0" w:line="240" w:lineRule="auto"/>
        <w:ind w:left="1800"/>
        <w:jc w:val="both"/>
        <w:rPr>
          <w:sz w:val="16"/>
          <w:szCs w:val="16"/>
        </w:rPr>
      </w:pPr>
      <w:r>
        <w:rPr>
          <w:sz w:val="16"/>
          <w:szCs w:val="16"/>
        </w:rPr>
        <w:t>M</w:t>
      </w:r>
      <w:r w:rsidRPr="00EA5DFB" w:rsidR="007D2C62">
        <w:rPr>
          <w:sz w:val="16"/>
          <w:szCs w:val="16"/>
        </w:rPr>
        <w:t xml:space="preserve">ake </w:t>
      </w:r>
      <w:r w:rsidRPr="00EA5DFB" w:rsidR="00382D33">
        <w:rPr>
          <w:sz w:val="16"/>
          <w:szCs w:val="16"/>
        </w:rPr>
        <w:t>any changes to the provider score accordingly.</w:t>
      </w:r>
    </w:p>
    <w:p w:rsidRPr="00BB4B74" w:rsidR="00DF44A4" w:rsidP="00D07A55" w:rsidRDefault="00BB4B74" w14:paraId="2A98212F" w14:textId="28C78FFF">
      <w:pPr>
        <w:spacing w:after="0" w:line="240" w:lineRule="auto"/>
        <w:ind w:left="360" w:firstLine="720"/>
        <w:jc w:val="both"/>
        <w:rPr>
          <w:sz w:val="16"/>
          <w:szCs w:val="16"/>
          <w:u w:val="single"/>
        </w:rPr>
      </w:pPr>
      <w:r w:rsidRPr="00BB4B74">
        <w:rPr>
          <w:sz w:val="16"/>
          <w:szCs w:val="16"/>
          <w:u w:val="single"/>
        </w:rPr>
        <w:t>TIER Classification</w:t>
      </w:r>
    </w:p>
    <w:p w:rsidR="00D07A55" w:rsidP="00D07A55" w:rsidRDefault="00D07A55" w14:paraId="4B495E9A" w14:textId="6C1F7C8F">
      <w:pPr>
        <w:pStyle w:val="ListParagraph"/>
        <w:spacing w:after="0" w:line="240" w:lineRule="auto"/>
        <w:ind w:left="1080"/>
        <w:jc w:val="both"/>
        <w:rPr>
          <w:sz w:val="16"/>
          <w:szCs w:val="16"/>
        </w:rPr>
      </w:pPr>
      <w:r w:rsidRPr="00EA5DFB">
        <w:rPr>
          <w:sz w:val="16"/>
          <w:szCs w:val="16"/>
        </w:rPr>
        <w:t xml:space="preserve">Providers may appeal </w:t>
      </w:r>
      <w:r w:rsidR="004D5B88">
        <w:rPr>
          <w:sz w:val="16"/>
          <w:szCs w:val="16"/>
        </w:rPr>
        <w:t>TIER classification</w:t>
      </w:r>
      <w:r w:rsidRPr="00EA5DFB">
        <w:rPr>
          <w:sz w:val="16"/>
          <w:szCs w:val="16"/>
        </w:rPr>
        <w:t xml:space="preserve">. </w:t>
      </w:r>
      <w:r>
        <w:rPr>
          <w:sz w:val="16"/>
          <w:szCs w:val="16"/>
        </w:rPr>
        <w:t xml:space="preserve">The PE Committee </w:t>
      </w:r>
      <w:r w:rsidRPr="00EA5DFB">
        <w:rPr>
          <w:sz w:val="16"/>
          <w:szCs w:val="16"/>
        </w:rPr>
        <w:t>will accept any appeal submitted within 24hr after results are complete</w:t>
      </w:r>
      <w:r>
        <w:rPr>
          <w:sz w:val="16"/>
          <w:szCs w:val="16"/>
        </w:rPr>
        <w:t>d/</w:t>
      </w:r>
      <w:r w:rsidRPr="00EA5DFB">
        <w:rPr>
          <w:sz w:val="16"/>
          <w:szCs w:val="16"/>
        </w:rPr>
        <w:t>submitted and must be related to the following only:</w:t>
      </w:r>
    </w:p>
    <w:p w:rsidRPr="00EA5DFB" w:rsidR="004D5B88" w:rsidP="009D3E55" w:rsidRDefault="009D3E55" w14:paraId="3724DED5" w14:textId="2EC7D637">
      <w:pPr>
        <w:pStyle w:val="ListParagraph"/>
        <w:numPr>
          <w:ilvl w:val="0"/>
          <w:numId w:val="9"/>
        </w:numPr>
        <w:spacing w:after="0" w:line="240" w:lineRule="auto"/>
        <w:jc w:val="both"/>
        <w:rPr>
          <w:sz w:val="16"/>
          <w:szCs w:val="16"/>
        </w:rPr>
      </w:pPr>
      <w:r>
        <w:rPr>
          <w:sz w:val="16"/>
          <w:szCs w:val="16"/>
        </w:rPr>
        <w:t xml:space="preserve">Dispute committee </w:t>
      </w:r>
      <w:r w:rsidR="00205EEF">
        <w:rPr>
          <w:sz w:val="16"/>
          <w:szCs w:val="16"/>
        </w:rPr>
        <w:t xml:space="preserve">overall decision </w:t>
      </w:r>
      <w:r w:rsidR="00876C94">
        <w:rPr>
          <w:sz w:val="16"/>
          <w:szCs w:val="16"/>
        </w:rPr>
        <w:t>to classify project in TIER</w:t>
      </w:r>
      <w:r w:rsidR="00A83B7B">
        <w:rPr>
          <w:sz w:val="16"/>
          <w:szCs w:val="16"/>
        </w:rPr>
        <w:t>2</w:t>
      </w:r>
    </w:p>
    <w:p w:rsidRPr="00DF44A4" w:rsidR="00BB4B74" w:rsidP="00BB4B74" w:rsidRDefault="00BB4B74" w14:paraId="1A2EBDED" w14:textId="77777777">
      <w:pPr>
        <w:spacing w:after="0" w:line="240" w:lineRule="auto"/>
        <w:ind w:left="720" w:firstLine="720"/>
        <w:jc w:val="both"/>
        <w:rPr>
          <w:sz w:val="16"/>
          <w:szCs w:val="16"/>
        </w:rPr>
      </w:pPr>
    </w:p>
    <w:p w:rsidRPr="00EA5DFB" w:rsidR="00A83B7B" w:rsidP="00A83B7B" w:rsidRDefault="00A83B7B" w14:paraId="08B8B6D1" w14:textId="46989A8D">
      <w:pPr>
        <w:spacing w:after="0" w:line="240" w:lineRule="auto"/>
        <w:ind w:left="1080"/>
        <w:jc w:val="both"/>
        <w:rPr>
          <w:sz w:val="16"/>
          <w:szCs w:val="16"/>
        </w:rPr>
      </w:pPr>
      <w:r w:rsidRPr="00EA5DFB">
        <w:rPr>
          <w:sz w:val="16"/>
          <w:szCs w:val="16"/>
        </w:rPr>
        <w:t xml:space="preserve">If a provider wishes to appeal </w:t>
      </w:r>
      <w:r>
        <w:rPr>
          <w:sz w:val="16"/>
          <w:szCs w:val="16"/>
        </w:rPr>
        <w:t>TIER classification</w:t>
      </w:r>
      <w:r w:rsidRPr="00EA5DFB">
        <w:rPr>
          <w:sz w:val="16"/>
          <w:szCs w:val="16"/>
        </w:rPr>
        <w:t>, they must do the following:</w:t>
      </w:r>
    </w:p>
    <w:p w:rsidRPr="00EA5DFB" w:rsidR="00A83B7B" w:rsidP="00A83B7B" w:rsidRDefault="00A83B7B" w14:paraId="314A28CC" w14:textId="2586AF7C">
      <w:pPr>
        <w:pStyle w:val="ListParagraph"/>
        <w:numPr>
          <w:ilvl w:val="0"/>
          <w:numId w:val="12"/>
        </w:numPr>
        <w:spacing w:after="0" w:line="240" w:lineRule="auto"/>
        <w:ind w:left="1800"/>
        <w:jc w:val="both"/>
        <w:rPr>
          <w:sz w:val="16"/>
          <w:szCs w:val="16"/>
        </w:rPr>
      </w:pPr>
      <w:r w:rsidRPr="00EA5DFB">
        <w:rPr>
          <w:sz w:val="16"/>
          <w:szCs w:val="16"/>
        </w:rPr>
        <w:t xml:space="preserve">submit a notification of appeal to the </w:t>
      </w:r>
      <w:r w:rsidR="0034324E">
        <w:rPr>
          <w:sz w:val="16"/>
          <w:szCs w:val="16"/>
        </w:rPr>
        <w:t>committee</w:t>
      </w:r>
      <w:r w:rsidRPr="00EA5DFB">
        <w:rPr>
          <w:sz w:val="16"/>
          <w:szCs w:val="16"/>
        </w:rPr>
        <w:t xml:space="preserve"> lead via email.</w:t>
      </w:r>
    </w:p>
    <w:p w:rsidRPr="00EA5DFB" w:rsidR="00A83B7B" w:rsidP="00A83B7B" w:rsidRDefault="00A83B7B" w14:paraId="050BEEC8" w14:textId="77777777">
      <w:pPr>
        <w:pStyle w:val="ListParagraph"/>
        <w:numPr>
          <w:ilvl w:val="0"/>
          <w:numId w:val="12"/>
        </w:numPr>
        <w:spacing w:after="0" w:line="240" w:lineRule="auto"/>
        <w:ind w:left="1800"/>
        <w:jc w:val="both"/>
        <w:rPr>
          <w:sz w:val="16"/>
          <w:szCs w:val="16"/>
        </w:rPr>
      </w:pPr>
      <w:r w:rsidRPr="00EA5DFB">
        <w:rPr>
          <w:sz w:val="16"/>
          <w:szCs w:val="16"/>
        </w:rPr>
        <w:t>Clearly describe the nature of the appeal.</w:t>
      </w:r>
    </w:p>
    <w:p w:rsidRPr="00EA5DFB" w:rsidR="00A83B7B" w:rsidP="00A83B7B" w:rsidRDefault="00A83B7B" w14:paraId="35D42BE0" w14:textId="591ABB91">
      <w:pPr>
        <w:pStyle w:val="ListParagraph"/>
        <w:numPr>
          <w:ilvl w:val="0"/>
          <w:numId w:val="12"/>
        </w:numPr>
        <w:spacing w:after="0" w:line="240" w:lineRule="auto"/>
        <w:ind w:left="1800"/>
        <w:jc w:val="both"/>
        <w:rPr>
          <w:sz w:val="16"/>
          <w:szCs w:val="16"/>
        </w:rPr>
      </w:pPr>
      <w:r w:rsidRPr="00EA5DFB">
        <w:rPr>
          <w:sz w:val="16"/>
          <w:szCs w:val="16"/>
        </w:rPr>
        <w:t>Provide all relevant documentation to support the appeal</w:t>
      </w:r>
      <w:r w:rsidR="0034324E">
        <w:rPr>
          <w:sz w:val="16"/>
          <w:szCs w:val="16"/>
        </w:rPr>
        <w:t xml:space="preserve"> (narrative, </w:t>
      </w:r>
      <w:r w:rsidR="002B0F1A">
        <w:rPr>
          <w:sz w:val="16"/>
          <w:szCs w:val="16"/>
        </w:rPr>
        <w:t>reports, etc.)</w:t>
      </w:r>
      <w:r w:rsidRPr="00EA5DFB">
        <w:rPr>
          <w:sz w:val="16"/>
          <w:szCs w:val="16"/>
        </w:rPr>
        <w:t xml:space="preserve"> </w:t>
      </w:r>
    </w:p>
    <w:p w:rsidRPr="00EA5DFB" w:rsidR="00A83B7B" w:rsidP="00A83B7B" w:rsidRDefault="00A83B7B" w14:paraId="27A3F336" w14:textId="77777777">
      <w:pPr>
        <w:spacing w:after="0" w:line="240" w:lineRule="auto"/>
        <w:jc w:val="both"/>
        <w:rPr>
          <w:sz w:val="16"/>
          <w:szCs w:val="16"/>
        </w:rPr>
      </w:pPr>
    </w:p>
    <w:p w:rsidRPr="00EA5DFB" w:rsidR="00A83B7B" w:rsidP="00A83B7B" w:rsidRDefault="00A83B7B" w14:paraId="57B6395B" w14:textId="68E32A91">
      <w:pPr>
        <w:spacing w:after="0" w:line="240" w:lineRule="auto"/>
        <w:ind w:left="1080"/>
        <w:jc w:val="both"/>
        <w:rPr>
          <w:sz w:val="16"/>
          <w:szCs w:val="16"/>
        </w:rPr>
      </w:pPr>
      <w:r>
        <w:rPr>
          <w:sz w:val="16"/>
          <w:szCs w:val="16"/>
        </w:rPr>
        <w:t xml:space="preserve">The PE Committee </w:t>
      </w:r>
      <w:r w:rsidRPr="00EA5DFB">
        <w:rPr>
          <w:sz w:val="16"/>
          <w:szCs w:val="16"/>
        </w:rPr>
        <w:t xml:space="preserve">will decline any appeal and will maintain </w:t>
      </w:r>
      <w:r w:rsidRPr="00EA5DFB" w:rsidR="00041F47">
        <w:rPr>
          <w:sz w:val="16"/>
          <w:szCs w:val="16"/>
        </w:rPr>
        <w:t>the current</w:t>
      </w:r>
      <w:r w:rsidRPr="00EA5DFB">
        <w:rPr>
          <w:sz w:val="16"/>
          <w:szCs w:val="16"/>
        </w:rPr>
        <w:t xml:space="preserve"> </w:t>
      </w:r>
      <w:r w:rsidR="002B0F1A">
        <w:rPr>
          <w:sz w:val="16"/>
          <w:szCs w:val="16"/>
        </w:rPr>
        <w:t>TIER class</w:t>
      </w:r>
      <w:r w:rsidRPr="00EA5DFB">
        <w:rPr>
          <w:sz w:val="16"/>
          <w:szCs w:val="16"/>
        </w:rPr>
        <w:t xml:space="preserve"> if the appeal is not properly submitted. No delays will be allowed or accommodated in this process.</w:t>
      </w:r>
    </w:p>
    <w:p w:rsidRPr="00EA5DFB" w:rsidR="00A83B7B" w:rsidP="00A83B7B" w:rsidRDefault="00A83B7B" w14:paraId="04C330A1" w14:textId="77777777">
      <w:pPr>
        <w:spacing w:after="0" w:line="240" w:lineRule="auto"/>
        <w:ind w:left="360" w:firstLine="720"/>
        <w:jc w:val="both"/>
        <w:rPr>
          <w:sz w:val="16"/>
          <w:szCs w:val="16"/>
        </w:rPr>
      </w:pPr>
    </w:p>
    <w:p w:rsidRPr="00EA5DFB" w:rsidR="00A83B7B" w:rsidP="00A83B7B" w:rsidRDefault="00A83B7B" w14:paraId="4F2D386D" w14:textId="77777777">
      <w:pPr>
        <w:spacing w:after="0" w:line="240" w:lineRule="auto"/>
        <w:ind w:left="360" w:firstLine="720"/>
        <w:jc w:val="both"/>
        <w:rPr>
          <w:sz w:val="16"/>
          <w:szCs w:val="16"/>
        </w:rPr>
      </w:pPr>
      <w:r>
        <w:rPr>
          <w:sz w:val="16"/>
          <w:szCs w:val="16"/>
        </w:rPr>
        <w:t>The PE Committee</w:t>
      </w:r>
      <w:r w:rsidRPr="00EA5DFB">
        <w:rPr>
          <w:sz w:val="16"/>
          <w:szCs w:val="16"/>
        </w:rPr>
        <w:t xml:space="preserve"> appeal </w:t>
      </w:r>
      <w:r>
        <w:rPr>
          <w:sz w:val="16"/>
          <w:szCs w:val="16"/>
        </w:rPr>
        <w:t>review</w:t>
      </w:r>
      <w:r w:rsidRPr="00EA5DFB">
        <w:rPr>
          <w:sz w:val="16"/>
          <w:szCs w:val="16"/>
        </w:rPr>
        <w:t xml:space="preserve"> will be as followed:</w:t>
      </w:r>
    </w:p>
    <w:p w:rsidRPr="00EA5DFB" w:rsidR="00A83B7B" w:rsidP="00A83B7B" w:rsidRDefault="00A83B7B" w14:paraId="14DA8052" w14:textId="77777777">
      <w:pPr>
        <w:pStyle w:val="ListParagraph"/>
        <w:numPr>
          <w:ilvl w:val="0"/>
          <w:numId w:val="13"/>
        </w:numPr>
        <w:spacing w:after="0" w:line="240" w:lineRule="auto"/>
        <w:ind w:left="1800"/>
        <w:jc w:val="both"/>
        <w:rPr>
          <w:sz w:val="16"/>
          <w:szCs w:val="16"/>
        </w:rPr>
      </w:pPr>
      <w:r>
        <w:rPr>
          <w:sz w:val="16"/>
          <w:szCs w:val="16"/>
        </w:rPr>
        <w:t>R</w:t>
      </w:r>
      <w:r w:rsidRPr="00EA5DFB">
        <w:rPr>
          <w:sz w:val="16"/>
          <w:szCs w:val="16"/>
        </w:rPr>
        <w:t xml:space="preserve">eview </w:t>
      </w:r>
      <w:r>
        <w:rPr>
          <w:sz w:val="16"/>
          <w:szCs w:val="16"/>
        </w:rPr>
        <w:t xml:space="preserve">and assess </w:t>
      </w:r>
      <w:r w:rsidRPr="00EA5DFB">
        <w:rPr>
          <w:sz w:val="16"/>
          <w:szCs w:val="16"/>
        </w:rPr>
        <w:t xml:space="preserve">the appeal. </w:t>
      </w:r>
    </w:p>
    <w:p w:rsidRPr="00EA5DFB" w:rsidR="00A83B7B" w:rsidP="00A83B7B" w:rsidRDefault="00A83B7B" w14:paraId="1D7991A6" w14:textId="77777777">
      <w:pPr>
        <w:pStyle w:val="ListParagraph"/>
        <w:numPr>
          <w:ilvl w:val="0"/>
          <w:numId w:val="13"/>
        </w:numPr>
        <w:spacing w:after="0" w:line="240" w:lineRule="auto"/>
        <w:ind w:left="1800"/>
        <w:jc w:val="both"/>
        <w:rPr>
          <w:sz w:val="16"/>
          <w:szCs w:val="16"/>
        </w:rPr>
      </w:pPr>
      <w:r>
        <w:rPr>
          <w:sz w:val="16"/>
          <w:szCs w:val="16"/>
        </w:rPr>
        <w:t>Make</w:t>
      </w:r>
      <w:r w:rsidRPr="00EA5DFB">
        <w:rPr>
          <w:sz w:val="16"/>
          <w:szCs w:val="16"/>
        </w:rPr>
        <w:t xml:space="preserve"> a decision within 48hr after receipt of the appeal and notify the provider via email.</w:t>
      </w:r>
    </w:p>
    <w:p w:rsidR="00A83B7B" w:rsidP="00A83B7B" w:rsidRDefault="00A83B7B" w14:paraId="5BD54832" w14:textId="6F54B8A9">
      <w:pPr>
        <w:pStyle w:val="ListParagraph"/>
        <w:numPr>
          <w:ilvl w:val="0"/>
          <w:numId w:val="13"/>
        </w:numPr>
        <w:spacing w:after="0" w:line="240" w:lineRule="auto"/>
        <w:ind w:left="1800"/>
        <w:jc w:val="both"/>
        <w:rPr>
          <w:sz w:val="16"/>
          <w:szCs w:val="16"/>
        </w:rPr>
      </w:pPr>
      <w:r>
        <w:rPr>
          <w:sz w:val="16"/>
          <w:szCs w:val="16"/>
        </w:rPr>
        <w:t>M</w:t>
      </w:r>
      <w:r w:rsidRPr="00EA5DFB">
        <w:rPr>
          <w:sz w:val="16"/>
          <w:szCs w:val="16"/>
        </w:rPr>
        <w:t xml:space="preserve">ake any changes to the provider </w:t>
      </w:r>
      <w:r w:rsidR="00797A08">
        <w:rPr>
          <w:sz w:val="16"/>
          <w:szCs w:val="16"/>
        </w:rPr>
        <w:t>classification</w:t>
      </w:r>
      <w:r w:rsidRPr="00EA5DFB">
        <w:rPr>
          <w:sz w:val="16"/>
          <w:szCs w:val="16"/>
        </w:rPr>
        <w:t xml:space="preserve"> accordingly.</w:t>
      </w:r>
    </w:p>
    <w:p w:rsidRPr="00EA5DFB" w:rsidR="00B21311" w:rsidP="00A83B7B" w:rsidRDefault="00B21311" w14:paraId="43193E56" w14:textId="77777777">
      <w:pPr>
        <w:spacing w:after="0" w:line="240" w:lineRule="auto"/>
        <w:ind w:left="720"/>
        <w:rPr>
          <w:b/>
          <w:bCs/>
          <w:sz w:val="16"/>
          <w:szCs w:val="16"/>
        </w:rPr>
      </w:pPr>
    </w:p>
    <w:p w:rsidRPr="00EA5DFB" w:rsidR="00365747" w:rsidP="00FC069B" w:rsidRDefault="00365747" w14:paraId="2172E6ED" w14:textId="77777777">
      <w:pPr>
        <w:spacing w:after="0" w:line="240" w:lineRule="auto"/>
        <w:jc w:val="both"/>
        <w:rPr>
          <w:sz w:val="16"/>
          <w:szCs w:val="16"/>
        </w:rPr>
      </w:pPr>
    </w:p>
    <w:p w:rsidRPr="00EA5DFB" w:rsidR="00F55F9B" w:rsidP="00FC069B" w:rsidRDefault="00F55F9B" w14:paraId="75941A1F" w14:textId="77777777">
      <w:pPr>
        <w:spacing w:after="0" w:line="240" w:lineRule="auto"/>
        <w:rPr>
          <w:b/>
          <w:bCs/>
          <w:sz w:val="16"/>
          <w:szCs w:val="16"/>
        </w:rPr>
      </w:pPr>
    </w:p>
    <w:p w:rsidRPr="00EA5DFB" w:rsidR="00F55F9B" w:rsidP="00FC069B" w:rsidRDefault="00F55F9B" w14:paraId="1EA92547" w14:textId="77777777">
      <w:pPr>
        <w:spacing w:after="0" w:line="240" w:lineRule="auto"/>
        <w:rPr>
          <w:b/>
          <w:bCs/>
          <w:sz w:val="16"/>
          <w:szCs w:val="16"/>
        </w:rPr>
      </w:pPr>
    </w:p>
    <w:sectPr w:rsidRPr="00EA5DFB" w:rsidR="00F55F9B">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58FC" w:rsidP="00EB32FE" w:rsidRDefault="006B58FC" w14:paraId="68B51EC2" w14:textId="77777777">
      <w:pPr>
        <w:spacing w:after="0" w:line="240" w:lineRule="auto"/>
      </w:pPr>
      <w:r>
        <w:separator/>
      </w:r>
    </w:p>
  </w:endnote>
  <w:endnote w:type="continuationSeparator" w:id="0">
    <w:p w:rsidR="006B58FC" w:rsidP="00EB32FE" w:rsidRDefault="006B58FC" w14:paraId="04CF9B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97961"/>
      <w:docPartObj>
        <w:docPartGallery w:val="Page Numbers (Bottom of Page)"/>
        <w:docPartUnique/>
      </w:docPartObj>
    </w:sdtPr>
    <w:sdtContent>
      <w:sdt>
        <w:sdtPr>
          <w:id w:val="-1769616900"/>
          <w:docPartObj>
            <w:docPartGallery w:val="Page Numbers (Top of Page)"/>
            <w:docPartUnique/>
          </w:docPartObj>
        </w:sdtPr>
        <w:sdtContent>
          <w:p w:rsidR="006E45A8" w:rsidRDefault="006E45A8" w14:paraId="660B1A3E" w14:textId="6C0FDE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B32FE" w:rsidRDefault="00EB32FE" w14:paraId="5E8916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58FC" w:rsidP="00EB32FE" w:rsidRDefault="006B58FC" w14:paraId="05F20B29" w14:textId="77777777">
      <w:pPr>
        <w:spacing w:after="0" w:line="240" w:lineRule="auto"/>
      </w:pPr>
      <w:r>
        <w:separator/>
      </w:r>
    </w:p>
  </w:footnote>
  <w:footnote w:type="continuationSeparator" w:id="0">
    <w:p w:rsidR="006B58FC" w:rsidP="00EB32FE" w:rsidRDefault="006B58FC" w14:paraId="50695A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3499"/>
    <w:multiLevelType w:val="hybridMultilevel"/>
    <w:tmpl w:val="FC281C1C"/>
    <w:lvl w:ilvl="0" w:tplc="3A90396A">
      <w:start w:val="1"/>
      <w:numFmt w:val="bullet"/>
      <w:lvlText w:val="-"/>
      <w:lvlJc w:val="left"/>
      <w:pPr>
        <w:ind w:left="2160" w:hanging="360"/>
      </w:pPr>
      <w:rPr>
        <w:rFonts w:hint="default" w:ascii="Calibri" w:hAnsi="Calibri" w:cs="Calibri" w:eastAsiaTheme="minorHAnsi"/>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AF3423A"/>
    <w:multiLevelType w:val="hybridMultilevel"/>
    <w:tmpl w:val="C2E8E2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41EE8"/>
    <w:multiLevelType w:val="hybridMultilevel"/>
    <w:tmpl w:val="1FD236EA"/>
    <w:lvl w:ilvl="0" w:tplc="F1F83D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5D6DD1"/>
    <w:multiLevelType w:val="hybridMultilevel"/>
    <w:tmpl w:val="6AFCE19E"/>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4" w15:restartNumberingAfterBreak="0">
    <w:nsid w:val="209658AF"/>
    <w:multiLevelType w:val="hybridMultilevel"/>
    <w:tmpl w:val="3AB6CE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FA5D56"/>
    <w:multiLevelType w:val="hybridMultilevel"/>
    <w:tmpl w:val="A31ACFEA"/>
    <w:lvl w:ilvl="0" w:tplc="15E4098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9110B"/>
    <w:multiLevelType w:val="hybridMultilevel"/>
    <w:tmpl w:val="CB344578"/>
    <w:lvl w:ilvl="0" w:tplc="E4EA98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3141F3"/>
    <w:multiLevelType w:val="hybridMultilevel"/>
    <w:tmpl w:val="B79ED2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055C5"/>
    <w:multiLevelType w:val="hybridMultilevel"/>
    <w:tmpl w:val="37B2F742"/>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9" w15:restartNumberingAfterBreak="0">
    <w:nsid w:val="337438BE"/>
    <w:multiLevelType w:val="hybridMultilevel"/>
    <w:tmpl w:val="37B2F742"/>
    <w:lvl w:ilvl="0" w:tplc="AD9A6E88">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57675885"/>
    <w:multiLevelType w:val="hybridMultilevel"/>
    <w:tmpl w:val="4C6424C8"/>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59502E34"/>
    <w:multiLevelType w:val="hybridMultilevel"/>
    <w:tmpl w:val="8D9890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60EF8"/>
    <w:multiLevelType w:val="hybridMultilevel"/>
    <w:tmpl w:val="D3F4B19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F062B56"/>
    <w:multiLevelType w:val="hybridMultilevel"/>
    <w:tmpl w:val="679E9D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C7070"/>
    <w:multiLevelType w:val="hybridMultilevel"/>
    <w:tmpl w:val="9FF2A080"/>
    <w:lvl w:ilvl="0" w:tplc="9C8AF44C">
      <w:start w:val="8"/>
      <w:numFmt w:val="upperRoman"/>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13C7623"/>
    <w:multiLevelType w:val="hybridMultilevel"/>
    <w:tmpl w:val="DB90DE2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63866752"/>
    <w:multiLevelType w:val="hybridMultilevel"/>
    <w:tmpl w:val="24B0C9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55937"/>
    <w:multiLevelType w:val="hybridMultilevel"/>
    <w:tmpl w:val="D6040A0C"/>
    <w:lvl w:ilvl="0" w:tplc="48F8BA16">
      <w:start w:val="3"/>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D7413"/>
    <w:multiLevelType w:val="hybridMultilevel"/>
    <w:tmpl w:val="C0E0E1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247725"/>
    <w:multiLevelType w:val="hybridMultilevel"/>
    <w:tmpl w:val="4C64038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F47AB1"/>
    <w:multiLevelType w:val="hybridMultilevel"/>
    <w:tmpl w:val="7214FB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0056C"/>
    <w:multiLevelType w:val="hybridMultilevel"/>
    <w:tmpl w:val="2C0043C2"/>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22" w15:restartNumberingAfterBreak="0">
    <w:nsid w:val="7B7D4ED1"/>
    <w:multiLevelType w:val="hybridMultilevel"/>
    <w:tmpl w:val="2A0C5BE0"/>
    <w:lvl w:ilvl="0" w:tplc="39DAD526">
      <w:start w:val="4"/>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C7A10"/>
    <w:multiLevelType w:val="hybridMultilevel"/>
    <w:tmpl w:val="399EF3A8"/>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048991615">
    <w:abstractNumId w:val="5"/>
  </w:num>
  <w:num w:numId="2" w16cid:durableId="1508060746">
    <w:abstractNumId w:val="17"/>
  </w:num>
  <w:num w:numId="3" w16cid:durableId="1674071310">
    <w:abstractNumId w:val="18"/>
  </w:num>
  <w:num w:numId="4" w16cid:durableId="569928043">
    <w:abstractNumId w:val="2"/>
  </w:num>
  <w:num w:numId="5" w16cid:durableId="269164428">
    <w:abstractNumId w:val="22"/>
  </w:num>
  <w:num w:numId="6" w16cid:durableId="1467776891">
    <w:abstractNumId w:val="6"/>
  </w:num>
  <w:num w:numId="7" w16cid:durableId="851142523">
    <w:abstractNumId w:val="9"/>
  </w:num>
  <w:num w:numId="8" w16cid:durableId="1361470005">
    <w:abstractNumId w:val="14"/>
  </w:num>
  <w:num w:numId="9" w16cid:durableId="997929176">
    <w:abstractNumId w:val="0"/>
  </w:num>
  <w:num w:numId="10" w16cid:durableId="1389962245">
    <w:abstractNumId w:val="23"/>
  </w:num>
  <w:num w:numId="11" w16cid:durableId="592709847">
    <w:abstractNumId w:val="21"/>
  </w:num>
  <w:num w:numId="12" w16cid:durableId="1279220690">
    <w:abstractNumId w:val="3"/>
  </w:num>
  <w:num w:numId="13" w16cid:durableId="794983599">
    <w:abstractNumId w:val="8"/>
  </w:num>
  <w:num w:numId="14" w16cid:durableId="465198492">
    <w:abstractNumId w:val="16"/>
  </w:num>
  <w:num w:numId="15" w16cid:durableId="1185049376">
    <w:abstractNumId w:val="19"/>
  </w:num>
  <w:num w:numId="16" w16cid:durableId="947657773">
    <w:abstractNumId w:val="7"/>
  </w:num>
  <w:num w:numId="17" w16cid:durableId="491720468">
    <w:abstractNumId w:val="4"/>
  </w:num>
  <w:num w:numId="18" w16cid:durableId="1318680275">
    <w:abstractNumId w:val="11"/>
  </w:num>
  <w:num w:numId="19" w16cid:durableId="2110351376">
    <w:abstractNumId w:val="20"/>
  </w:num>
  <w:num w:numId="20" w16cid:durableId="47458034">
    <w:abstractNumId w:val="12"/>
  </w:num>
  <w:num w:numId="21" w16cid:durableId="814487428">
    <w:abstractNumId w:val="15"/>
  </w:num>
  <w:num w:numId="22" w16cid:durableId="1460421266">
    <w:abstractNumId w:val="1"/>
  </w:num>
  <w:num w:numId="23" w16cid:durableId="1889221341">
    <w:abstractNumId w:val="13"/>
  </w:num>
  <w:num w:numId="24" w16cid:durableId="16750622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E2"/>
    <w:rsid w:val="00000E5F"/>
    <w:rsid w:val="00001C7D"/>
    <w:rsid w:val="00001EDF"/>
    <w:rsid w:val="00003332"/>
    <w:rsid w:val="00003D2B"/>
    <w:rsid w:val="00003E45"/>
    <w:rsid w:val="00004557"/>
    <w:rsid w:val="00004D15"/>
    <w:rsid w:val="00006544"/>
    <w:rsid w:val="00010B87"/>
    <w:rsid w:val="00011E7E"/>
    <w:rsid w:val="0001378F"/>
    <w:rsid w:val="00013A99"/>
    <w:rsid w:val="000163F3"/>
    <w:rsid w:val="00016879"/>
    <w:rsid w:val="000174B2"/>
    <w:rsid w:val="000201BD"/>
    <w:rsid w:val="00020AA9"/>
    <w:rsid w:val="000218EE"/>
    <w:rsid w:val="00022984"/>
    <w:rsid w:val="00024128"/>
    <w:rsid w:val="00024B60"/>
    <w:rsid w:val="00024E3F"/>
    <w:rsid w:val="000272FD"/>
    <w:rsid w:val="000315E0"/>
    <w:rsid w:val="00031C59"/>
    <w:rsid w:val="000364F8"/>
    <w:rsid w:val="00041F47"/>
    <w:rsid w:val="000420C8"/>
    <w:rsid w:val="00043521"/>
    <w:rsid w:val="00045A6A"/>
    <w:rsid w:val="00047B3E"/>
    <w:rsid w:val="0004BA9D"/>
    <w:rsid w:val="00051842"/>
    <w:rsid w:val="0005226C"/>
    <w:rsid w:val="000551EA"/>
    <w:rsid w:val="00055347"/>
    <w:rsid w:val="00055774"/>
    <w:rsid w:val="00056056"/>
    <w:rsid w:val="00056E8B"/>
    <w:rsid w:val="00057D45"/>
    <w:rsid w:val="000602F0"/>
    <w:rsid w:val="00061E18"/>
    <w:rsid w:val="00066061"/>
    <w:rsid w:val="00067BF5"/>
    <w:rsid w:val="000706CE"/>
    <w:rsid w:val="00072F44"/>
    <w:rsid w:val="0007365B"/>
    <w:rsid w:val="0007528B"/>
    <w:rsid w:val="00076805"/>
    <w:rsid w:val="00077E01"/>
    <w:rsid w:val="00080E7D"/>
    <w:rsid w:val="00081B87"/>
    <w:rsid w:val="00081BB0"/>
    <w:rsid w:val="00082E08"/>
    <w:rsid w:val="0008552A"/>
    <w:rsid w:val="00090055"/>
    <w:rsid w:val="0009017D"/>
    <w:rsid w:val="000908C8"/>
    <w:rsid w:val="00090EF2"/>
    <w:rsid w:val="000927E2"/>
    <w:rsid w:val="00093856"/>
    <w:rsid w:val="00093FDF"/>
    <w:rsid w:val="000A0D24"/>
    <w:rsid w:val="000A0D86"/>
    <w:rsid w:val="000A1970"/>
    <w:rsid w:val="000A1D66"/>
    <w:rsid w:val="000A3B7F"/>
    <w:rsid w:val="000A69E0"/>
    <w:rsid w:val="000A7950"/>
    <w:rsid w:val="000A7BE3"/>
    <w:rsid w:val="000B02EE"/>
    <w:rsid w:val="000B0D9B"/>
    <w:rsid w:val="000B4BC4"/>
    <w:rsid w:val="000B6C15"/>
    <w:rsid w:val="000C15B4"/>
    <w:rsid w:val="000C1859"/>
    <w:rsid w:val="000C28B9"/>
    <w:rsid w:val="000C291F"/>
    <w:rsid w:val="000C4A5D"/>
    <w:rsid w:val="000C4B3E"/>
    <w:rsid w:val="000C5566"/>
    <w:rsid w:val="000C7A1E"/>
    <w:rsid w:val="000C7EB3"/>
    <w:rsid w:val="000D0547"/>
    <w:rsid w:val="000D0685"/>
    <w:rsid w:val="000D2129"/>
    <w:rsid w:val="000D2DD8"/>
    <w:rsid w:val="000D2F7D"/>
    <w:rsid w:val="000D30AE"/>
    <w:rsid w:val="000D4BD8"/>
    <w:rsid w:val="000D513D"/>
    <w:rsid w:val="000D533B"/>
    <w:rsid w:val="000D596A"/>
    <w:rsid w:val="000D654B"/>
    <w:rsid w:val="000D6643"/>
    <w:rsid w:val="000E078D"/>
    <w:rsid w:val="000E080F"/>
    <w:rsid w:val="000E24A0"/>
    <w:rsid w:val="000E445D"/>
    <w:rsid w:val="000E494D"/>
    <w:rsid w:val="000E5A86"/>
    <w:rsid w:val="000E5ED0"/>
    <w:rsid w:val="000E68E4"/>
    <w:rsid w:val="000F0A98"/>
    <w:rsid w:val="000F1E54"/>
    <w:rsid w:val="000F2226"/>
    <w:rsid w:val="000F2E1B"/>
    <w:rsid w:val="000F3962"/>
    <w:rsid w:val="000F45BA"/>
    <w:rsid w:val="000F48DE"/>
    <w:rsid w:val="000F524C"/>
    <w:rsid w:val="000F706F"/>
    <w:rsid w:val="001003EA"/>
    <w:rsid w:val="001011D0"/>
    <w:rsid w:val="00102EDF"/>
    <w:rsid w:val="00103086"/>
    <w:rsid w:val="00103A68"/>
    <w:rsid w:val="00104802"/>
    <w:rsid w:val="0010663D"/>
    <w:rsid w:val="00106B14"/>
    <w:rsid w:val="001072EF"/>
    <w:rsid w:val="00107635"/>
    <w:rsid w:val="00112E7E"/>
    <w:rsid w:val="00114BA6"/>
    <w:rsid w:val="00115952"/>
    <w:rsid w:val="00117E25"/>
    <w:rsid w:val="00120B44"/>
    <w:rsid w:val="00120C71"/>
    <w:rsid w:val="00120F52"/>
    <w:rsid w:val="001248B3"/>
    <w:rsid w:val="0013056D"/>
    <w:rsid w:val="001316C2"/>
    <w:rsid w:val="00132342"/>
    <w:rsid w:val="00132C51"/>
    <w:rsid w:val="00135B06"/>
    <w:rsid w:val="00136AF4"/>
    <w:rsid w:val="00141A87"/>
    <w:rsid w:val="00144CAA"/>
    <w:rsid w:val="00145570"/>
    <w:rsid w:val="00151C0C"/>
    <w:rsid w:val="0015349F"/>
    <w:rsid w:val="00154047"/>
    <w:rsid w:val="0015413E"/>
    <w:rsid w:val="00156631"/>
    <w:rsid w:val="00156CB9"/>
    <w:rsid w:val="001600D4"/>
    <w:rsid w:val="001601CB"/>
    <w:rsid w:val="00161E79"/>
    <w:rsid w:val="00162EFA"/>
    <w:rsid w:val="0016337C"/>
    <w:rsid w:val="001649FE"/>
    <w:rsid w:val="00166A16"/>
    <w:rsid w:val="00167D67"/>
    <w:rsid w:val="00170477"/>
    <w:rsid w:val="00170867"/>
    <w:rsid w:val="0017320F"/>
    <w:rsid w:val="00174C3A"/>
    <w:rsid w:val="00174D4F"/>
    <w:rsid w:val="00175150"/>
    <w:rsid w:val="0017651B"/>
    <w:rsid w:val="00176D71"/>
    <w:rsid w:val="001800B9"/>
    <w:rsid w:val="00180A85"/>
    <w:rsid w:val="00180C5D"/>
    <w:rsid w:val="00181DA6"/>
    <w:rsid w:val="00181FF5"/>
    <w:rsid w:val="001840F2"/>
    <w:rsid w:val="0018480A"/>
    <w:rsid w:val="0018570C"/>
    <w:rsid w:val="00186084"/>
    <w:rsid w:val="00190AF9"/>
    <w:rsid w:val="0019156F"/>
    <w:rsid w:val="001939AC"/>
    <w:rsid w:val="00193DD5"/>
    <w:rsid w:val="00195361"/>
    <w:rsid w:val="00195822"/>
    <w:rsid w:val="00195C9F"/>
    <w:rsid w:val="00197645"/>
    <w:rsid w:val="001A0FF8"/>
    <w:rsid w:val="001A1F6C"/>
    <w:rsid w:val="001A62D6"/>
    <w:rsid w:val="001A665B"/>
    <w:rsid w:val="001A762C"/>
    <w:rsid w:val="001B11B7"/>
    <w:rsid w:val="001B18D6"/>
    <w:rsid w:val="001B6920"/>
    <w:rsid w:val="001B69E4"/>
    <w:rsid w:val="001B7C04"/>
    <w:rsid w:val="001C1238"/>
    <w:rsid w:val="001C168A"/>
    <w:rsid w:val="001C1B28"/>
    <w:rsid w:val="001C2008"/>
    <w:rsid w:val="001C26B2"/>
    <w:rsid w:val="001C42F4"/>
    <w:rsid w:val="001C6B29"/>
    <w:rsid w:val="001C7997"/>
    <w:rsid w:val="001D3289"/>
    <w:rsid w:val="001D4CF8"/>
    <w:rsid w:val="001D5511"/>
    <w:rsid w:val="001E134D"/>
    <w:rsid w:val="001E1680"/>
    <w:rsid w:val="001E169E"/>
    <w:rsid w:val="001E223C"/>
    <w:rsid w:val="001E44B4"/>
    <w:rsid w:val="001E4FB1"/>
    <w:rsid w:val="001E5140"/>
    <w:rsid w:val="001E5D49"/>
    <w:rsid w:val="001E5F09"/>
    <w:rsid w:val="001E66B2"/>
    <w:rsid w:val="001F057C"/>
    <w:rsid w:val="001F1A69"/>
    <w:rsid w:val="001F3296"/>
    <w:rsid w:val="001F32B8"/>
    <w:rsid w:val="001F4807"/>
    <w:rsid w:val="001F4E4A"/>
    <w:rsid w:val="001F5589"/>
    <w:rsid w:val="001F6C47"/>
    <w:rsid w:val="0020003F"/>
    <w:rsid w:val="002026B9"/>
    <w:rsid w:val="00205EEF"/>
    <w:rsid w:val="0020627B"/>
    <w:rsid w:val="00206B5C"/>
    <w:rsid w:val="002100F2"/>
    <w:rsid w:val="00212BA0"/>
    <w:rsid w:val="002146F3"/>
    <w:rsid w:val="00215EAE"/>
    <w:rsid w:val="00224160"/>
    <w:rsid w:val="00224680"/>
    <w:rsid w:val="00224D52"/>
    <w:rsid w:val="00226A78"/>
    <w:rsid w:val="00227133"/>
    <w:rsid w:val="0023366E"/>
    <w:rsid w:val="00234592"/>
    <w:rsid w:val="0023517C"/>
    <w:rsid w:val="002405B2"/>
    <w:rsid w:val="002409E2"/>
    <w:rsid w:val="00240AC6"/>
    <w:rsid w:val="0024174D"/>
    <w:rsid w:val="002431D4"/>
    <w:rsid w:val="002452B9"/>
    <w:rsid w:val="0024568E"/>
    <w:rsid w:val="00245B54"/>
    <w:rsid w:val="00247DAF"/>
    <w:rsid w:val="00251E48"/>
    <w:rsid w:val="0025339C"/>
    <w:rsid w:val="00253CF4"/>
    <w:rsid w:val="00257258"/>
    <w:rsid w:val="00257486"/>
    <w:rsid w:val="00260BF7"/>
    <w:rsid w:val="0026214C"/>
    <w:rsid w:val="00262928"/>
    <w:rsid w:val="00263A0E"/>
    <w:rsid w:val="00264E8A"/>
    <w:rsid w:val="00265EE3"/>
    <w:rsid w:val="00271108"/>
    <w:rsid w:val="00273D18"/>
    <w:rsid w:val="0027499C"/>
    <w:rsid w:val="00281BC8"/>
    <w:rsid w:val="00283001"/>
    <w:rsid w:val="00285599"/>
    <w:rsid w:val="00285C2D"/>
    <w:rsid w:val="00286780"/>
    <w:rsid w:val="00287E4D"/>
    <w:rsid w:val="002902EC"/>
    <w:rsid w:val="002918F7"/>
    <w:rsid w:val="00292BD2"/>
    <w:rsid w:val="00295FD2"/>
    <w:rsid w:val="002973BD"/>
    <w:rsid w:val="00297921"/>
    <w:rsid w:val="002A0308"/>
    <w:rsid w:val="002A0453"/>
    <w:rsid w:val="002A1273"/>
    <w:rsid w:val="002A2862"/>
    <w:rsid w:val="002A2A80"/>
    <w:rsid w:val="002A3E36"/>
    <w:rsid w:val="002A4833"/>
    <w:rsid w:val="002A4A22"/>
    <w:rsid w:val="002A4A77"/>
    <w:rsid w:val="002A60AC"/>
    <w:rsid w:val="002A71BE"/>
    <w:rsid w:val="002A7505"/>
    <w:rsid w:val="002A7C9F"/>
    <w:rsid w:val="002B09D3"/>
    <w:rsid w:val="002B0F1A"/>
    <w:rsid w:val="002B34A1"/>
    <w:rsid w:val="002B3E91"/>
    <w:rsid w:val="002B57FC"/>
    <w:rsid w:val="002B68D9"/>
    <w:rsid w:val="002C0D31"/>
    <w:rsid w:val="002C0E42"/>
    <w:rsid w:val="002C3ACC"/>
    <w:rsid w:val="002C6A19"/>
    <w:rsid w:val="002D12C2"/>
    <w:rsid w:val="002D14DA"/>
    <w:rsid w:val="002D1C9A"/>
    <w:rsid w:val="002D27BB"/>
    <w:rsid w:val="002D414C"/>
    <w:rsid w:val="002D50D9"/>
    <w:rsid w:val="002D52F2"/>
    <w:rsid w:val="002D59DE"/>
    <w:rsid w:val="002D5C36"/>
    <w:rsid w:val="002E2139"/>
    <w:rsid w:val="002E4B35"/>
    <w:rsid w:val="002F145B"/>
    <w:rsid w:val="002F1718"/>
    <w:rsid w:val="002F184D"/>
    <w:rsid w:val="002F30E3"/>
    <w:rsid w:val="002F5622"/>
    <w:rsid w:val="002F5D74"/>
    <w:rsid w:val="002F7A16"/>
    <w:rsid w:val="00300E22"/>
    <w:rsid w:val="0030236A"/>
    <w:rsid w:val="00305A2A"/>
    <w:rsid w:val="00305F6D"/>
    <w:rsid w:val="00306595"/>
    <w:rsid w:val="00311C13"/>
    <w:rsid w:val="00311C6F"/>
    <w:rsid w:val="003127B2"/>
    <w:rsid w:val="00313F7B"/>
    <w:rsid w:val="003144FE"/>
    <w:rsid w:val="00315024"/>
    <w:rsid w:val="0031509E"/>
    <w:rsid w:val="0031527B"/>
    <w:rsid w:val="00315FDF"/>
    <w:rsid w:val="00317B78"/>
    <w:rsid w:val="00317D63"/>
    <w:rsid w:val="0032045C"/>
    <w:rsid w:val="00322342"/>
    <w:rsid w:val="00323F65"/>
    <w:rsid w:val="00323F6A"/>
    <w:rsid w:val="003240D9"/>
    <w:rsid w:val="00324221"/>
    <w:rsid w:val="00324727"/>
    <w:rsid w:val="00325171"/>
    <w:rsid w:val="00325822"/>
    <w:rsid w:val="003304DE"/>
    <w:rsid w:val="00334213"/>
    <w:rsid w:val="00341257"/>
    <w:rsid w:val="0034324E"/>
    <w:rsid w:val="003433B8"/>
    <w:rsid w:val="00343B8A"/>
    <w:rsid w:val="00344082"/>
    <w:rsid w:val="00346944"/>
    <w:rsid w:val="00350788"/>
    <w:rsid w:val="00350BE3"/>
    <w:rsid w:val="00351B3B"/>
    <w:rsid w:val="003525AF"/>
    <w:rsid w:val="003534C8"/>
    <w:rsid w:val="00353DC1"/>
    <w:rsid w:val="00353DF2"/>
    <w:rsid w:val="003540C2"/>
    <w:rsid w:val="0035454A"/>
    <w:rsid w:val="00354ABC"/>
    <w:rsid w:val="00355B15"/>
    <w:rsid w:val="003560A4"/>
    <w:rsid w:val="003603E0"/>
    <w:rsid w:val="00361419"/>
    <w:rsid w:val="003648EF"/>
    <w:rsid w:val="00365747"/>
    <w:rsid w:val="00365D79"/>
    <w:rsid w:val="003670E9"/>
    <w:rsid w:val="003678A4"/>
    <w:rsid w:val="00367F26"/>
    <w:rsid w:val="00371430"/>
    <w:rsid w:val="003718FD"/>
    <w:rsid w:val="00373AAD"/>
    <w:rsid w:val="00375660"/>
    <w:rsid w:val="00375B88"/>
    <w:rsid w:val="00377478"/>
    <w:rsid w:val="003802A7"/>
    <w:rsid w:val="00382782"/>
    <w:rsid w:val="00382D33"/>
    <w:rsid w:val="00384025"/>
    <w:rsid w:val="00386674"/>
    <w:rsid w:val="00386946"/>
    <w:rsid w:val="003908E8"/>
    <w:rsid w:val="003919F3"/>
    <w:rsid w:val="003927CE"/>
    <w:rsid w:val="00392A97"/>
    <w:rsid w:val="00394395"/>
    <w:rsid w:val="003959F5"/>
    <w:rsid w:val="003A02CE"/>
    <w:rsid w:val="003A09FA"/>
    <w:rsid w:val="003A263F"/>
    <w:rsid w:val="003A3C44"/>
    <w:rsid w:val="003A4ACF"/>
    <w:rsid w:val="003A5AAA"/>
    <w:rsid w:val="003A69A3"/>
    <w:rsid w:val="003B03A1"/>
    <w:rsid w:val="003B0919"/>
    <w:rsid w:val="003B1E6B"/>
    <w:rsid w:val="003B2163"/>
    <w:rsid w:val="003B25EA"/>
    <w:rsid w:val="003B3241"/>
    <w:rsid w:val="003B6207"/>
    <w:rsid w:val="003B67A9"/>
    <w:rsid w:val="003B7EFA"/>
    <w:rsid w:val="003C0092"/>
    <w:rsid w:val="003C0248"/>
    <w:rsid w:val="003C1DD2"/>
    <w:rsid w:val="003C2694"/>
    <w:rsid w:val="003C3119"/>
    <w:rsid w:val="003C37CE"/>
    <w:rsid w:val="003C3A70"/>
    <w:rsid w:val="003C4C42"/>
    <w:rsid w:val="003C62C3"/>
    <w:rsid w:val="003C761C"/>
    <w:rsid w:val="003D0A10"/>
    <w:rsid w:val="003D1254"/>
    <w:rsid w:val="003D169A"/>
    <w:rsid w:val="003D1C93"/>
    <w:rsid w:val="003D28F4"/>
    <w:rsid w:val="003D31DC"/>
    <w:rsid w:val="003D3FAA"/>
    <w:rsid w:val="003D44A6"/>
    <w:rsid w:val="003D4571"/>
    <w:rsid w:val="003D6155"/>
    <w:rsid w:val="003D6AC3"/>
    <w:rsid w:val="003E077C"/>
    <w:rsid w:val="003E510C"/>
    <w:rsid w:val="003E5B36"/>
    <w:rsid w:val="003F0ECC"/>
    <w:rsid w:val="003F10FA"/>
    <w:rsid w:val="003F1EDB"/>
    <w:rsid w:val="003F4C56"/>
    <w:rsid w:val="003F580C"/>
    <w:rsid w:val="003F59A6"/>
    <w:rsid w:val="003F7F82"/>
    <w:rsid w:val="00400FDD"/>
    <w:rsid w:val="004014B1"/>
    <w:rsid w:val="00402FCB"/>
    <w:rsid w:val="00407067"/>
    <w:rsid w:val="004100CF"/>
    <w:rsid w:val="00410A73"/>
    <w:rsid w:val="00410E7C"/>
    <w:rsid w:val="00412216"/>
    <w:rsid w:val="00413998"/>
    <w:rsid w:val="00417CE5"/>
    <w:rsid w:val="0042125B"/>
    <w:rsid w:val="004216F9"/>
    <w:rsid w:val="00422B83"/>
    <w:rsid w:val="00422CC4"/>
    <w:rsid w:val="004234EC"/>
    <w:rsid w:val="00426225"/>
    <w:rsid w:val="00427AC0"/>
    <w:rsid w:val="004308ED"/>
    <w:rsid w:val="004314BF"/>
    <w:rsid w:val="004329E2"/>
    <w:rsid w:val="00433675"/>
    <w:rsid w:val="00434B66"/>
    <w:rsid w:val="00435E09"/>
    <w:rsid w:val="00437B9E"/>
    <w:rsid w:val="00440754"/>
    <w:rsid w:val="00440EC1"/>
    <w:rsid w:val="00441EC1"/>
    <w:rsid w:val="00442007"/>
    <w:rsid w:val="004427FF"/>
    <w:rsid w:val="00443A05"/>
    <w:rsid w:val="00446FB6"/>
    <w:rsid w:val="00450A13"/>
    <w:rsid w:val="00450F34"/>
    <w:rsid w:val="00452CE2"/>
    <w:rsid w:val="004535EC"/>
    <w:rsid w:val="00457306"/>
    <w:rsid w:val="00457D06"/>
    <w:rsid w:val="0046045B"/>
    <w:rsid w:val="004675ED"/>
    <w:rsid w:val="00467996"/>
    <w:rsid w:val="00467D1F"/>
    <w:rsid w:val="0047013B"/>
    <w:rsid w:val="00470D6C"/>
    <w:rsid w:val="00471227"/>
    <w:rsid w:val="0047240C"/>
    <w:rsid w:val="00472DA4"/>
    <w:rsid w:val="004733E9"/>
    <w:rsid w:val="00474D2C"/>
    <w:rsid w:val="0047732E"/>
    <w:rsid w:val="004779D3"/>
    <w:rsid w:val="004826FD"/>
    <w:rsid w:val="00482775"/>
    <w:rsid w:val="00483781"/>
    <w:rsid w:val="00484166"/>
    <w:rsid w:val="00484EED"/>
    <w:rsid w:val="00490A0B"/>
    <w:rsid w:val="004915FB"/>
    <w:rsid w:val="00491632"/>
    <w:rsid w:val="00492503"/>
    <w:rsid w:val="004925B3"/>
    <w:rsid w:val="00493A5E"/>
    <w:rsid w:val="004946FB"/>
    <w:rsid w:val="00495B2C"/>
    <w:rsid w:val="00496042"/>
    <w:rsid w:val="004969C8"/>
    <w:rsid w:val="00497EB1"/>
    <w:rsid w:val="004A0831"/>
    <w:rsid w:val="004A1066"/>
    <w:rsid w:val="004A118D"/>
    <w:rsid w:val="004A15E9"/>
    <w:rsid w:val="004A2669"/>
    <w:rsid w:val="004A3291"/>
    <w:rsid w:val="004A3932"/>
    <w:rsid w:val="004A59A7"/>
    <w:rsid w:val="004A5D73"/>
    <w:rsid w:val="004A62B4"/>
    <w:rsid w:val="004B0C64"/>
    <w:rsid w:val="004B298E"/>
    <w:rsid w:val="004B2CDC"/>
    <w:rsid w:val="004B2E05"/>
    <w:rsid w:val="004B2F2A"/>
    <w:rsid w:val="004B3BC4"/>
    <w:rsid w:val="004B4297"/>
    <w:rsid w:val="004B4762"/>
    <w:rsid w:val="004B5948"/>
    <w:rsid w:val="004B5FC4"/>
    <w:rsid w:val="004B6A9A"/>
    <w:rsid w:val="004B7729"/>
    <w:rsid w:val="004C1BB2"/>
    <w:rsid w:val="004C3D0F"/>
    <w:rsid w:val="004C6B54"/>
    <w:rsid w:val="004C6B55"/>
    <w:rsid w:val="004C7B8D"/>
    <w:rsid w:val="004D04C3"/>
    <w:rsid w:val="004D075B"/>
    <w:rsid w:val="004D08EF"/>
    <w:rsid w:val="004D32B6"/>
    <w:rsid w:val="004D3BBE"/>
    <w:rsid w:val="004D4D76"/>
    <w:rsid w:val="004D52BD"/>
    <w:rsid w:val="004D5B88"/>
    <w:rsid w:val="004D710B"/>
    <w:rsid w:val="004D71CA"/>
    <w:rsid w:val="004E007A"/>
    <w:rsid w:val="004E0178"/>
    <w:rsid w:val="004E048F"/>
    <w:rsid w:val="004E3559"/>
    <w:rsid w:val="004E3695"/>
    <w:rsid w:val="004E38E5"/>
    <w:rsid w:val="004E3986"/>
    <w:rsid w:val="004E3997"/>
    <w:rsid w:val="004E3A2F"/>
    <w:rsid w:val="004E4E79"/>
    <w:rsid w:val="004E55E5"/>
    <w:rsid w:val="004F3775"/>
    <w:rsid w:val="004F44E6"/>
    <w:rsid w:val="004F619B"/>
    <w:rsid w:val="004F6F63"/>
    <w:rsid w:val="00500DFC"/>
    <w:rsid w:val="00501BAB"/>
    <w:rsid w:val="00501E30"/>
    <w:rsid w:val="00501F47"/>
    <w:rsid w:val="00506EB1"/>
    <w:rsid w:val="00515017"/>
    <w:rsid w:val="00515408"/>
    <w:rsid w:val="00515565"/>
    <w:rsid w:val="005159D1"/>
    <w:rsid w:val="0051729C"/>
    <w:rsid w:val="00517B94"/>
    <w:rsid w:val="005235A1"/>
    <w:rsid w:val="0052392A"/>
    <w:rsid w:val="00523EE0"/>
    <w:rsid w:val="00523FFA"/>
    <w:rsid w:val="00524DCF"/>
    <w:rsid w:val="0052775E"/>
    <w:rsid w:val="00527EF8"/>
    <w:rsid w:val="00527FED"/>
    <w:rsid w:val="0053102B"/>
    <w:rsid w:val="00531636"/>
    <w:rsid w:val="0053248A"/>
    <w:rsid w:val="00533534"/>
    <w:rsid w:val="00533D9B"/>
    <w:rsid w:val="0053507E"/>
    <w:rsid w:val="00536B6E"/>
    <w:rsid w:val="005374CC"/>
    <w:rsid w:val="005375D7"/>
    <w:rsid w:val="00537986"/>
    <w:rsid w:val="00541650"/>
    <w:rsid w:val="00541910"/>
    <w:rsid w:val="00541A42"/>
    <w:rsid w:val="0054211B"/>
    <w:rsid w:val="0054578F"/>
    <w:rsid w:val="005459E9"/>
    <w:rsid w:val="00550B5C"/>
    <w:rsid w:val="00551F0C"/>
    <w:rsid w:val="00552212"/>
    <w:rsid w:val="0055237D"/>
    <w:rsid w:val="00552852"/>
    <w:rsid w:val="0055301E"/>
    <w:rsid w:val="00553AA5"/>
    <w:rsid w:val="005544E3"/>
    <w:rsid w:val="00555C37"/>
    <w:rsid w:val="005560FA"/>
    <w:rsid w:val="00556926"/>
    <w:rsid w:val="00557B99"/>
    <w:rsid w:val="00560419"/>
    <w:rsid w:val="00560AC4"/>
    <w:rsid w:val="00562859"/>
    <w:rsid w:val="00564CF1"/>
    <w:rsid w:val="00564FAE"/>
    <w:rsid w:val="00565CD1"/>
    <w:rsid w:val="00566324"/>
    <w:rsid w:val="00566576"/>
    <w:rsid w:val="005668A3"/>
    <w:rsid w:val="00567B49"/>
    <w:rsid w:val="0057220A"/>
    <w:rsid w:val="00572421"/>
    <w:rsid w:val="005755AD"/>
    <w:rsid w:val="00577F03"/>
    <w:rsid w:val="00580AE5"/>
    <w:rsid w:val="00583723"/>
    <w:rsid w:val="00584C42"/>
    <w:rsid w:val="00586FD4"/>
    <w:rsid w:val="005902AE"/>
    <w:rsid w:val="00591B66"/>
    <w:rsid w:val="00591D2A"/>
    <w:rsid w:val="00591FD7"/>
    <w:rsid w:val="00592DDD"/>
    <w:rsid w:val="0059479B"/>
    <w:rsid w:val="005A1148"/>
    <w:rsid w:val="005A417A"/>
    <w:rsid w:val="005A441B"/>
    <w:rsid w:val="005A6711"/>
    <w:rsid w:val="005A7EE0"/>
    <w:rsid w:val="005A7FC2"/>
    <w:rsid w:val="005B0344"/>
    <w:rsid w:val="005B0EA8"/>
    <w:rsid w:val="005B3210"/>
    <w:rsid w:val="005B36C9"/>
    <w:rsid w:val="005B3A8D"/>
    <w:rsid w:val="005B4F1A"/>
    <w:rsid w:val="005B53BB"/>
    <w:rsid w:val="005C02A7"/>
    <w:rsid w:val="005C1F58"/>
    <w:rsid w:val="005C28FF"/>
    <w:rsid w:val="005C3DC5"/>
    <w:rsid w:val="005C5CF0"/>
    <w:rsid w:val="005D04D7"/>
    <w:rsid w:val="005D0570"/>
    <w:rsid w:val="005D367F"/>
    <w:rsid w:val="005D3AB9"/>
    <w:rsid w:val="005D55AD"/>
    <w:rsid w:val="005E0B81"/>
    <w:rsid w:val="005E0C0C"/>
    <w:rsid w:val="005E104D"/>
    <w:rsid w:val="005E1D5E"/>
    <w:rsid w:val="005E1F68"/>
    <w:rsid w:val="005E27E0"/>
    <w:rsid w:val="005E3A81"/>
    <w:rsid w:val="005E469F"/>
    <w:rsid w:val="005E46A8"/>
    <w:rsid w:val="005E63BB"/>
    <w:rsid w:val="005E7BA9"/>
    <w:rsid w:val="005F02DF"/>
    <w:rsid w:val="005F0A7F"/>
    <w:rsid w:val="005F3058"/>
    <w:rsid w:val="005F38C5"/>
    <w:rsid w:val="005F517A"/>
    <w:rsid w:val="00601B52"/>
    <w:rsid w:val="00601D86"/>
    <w:rsid w:val="006020A0"/>
    <w:rsid w:val="00602D01"/>
    <w:rsid w:val="006030BD"/>
    <w:rsid w:val="00603E8D"/>
    <w:rsid w:val="00606E97"/>
    <w:rsid w:val="0061023E"/>
    <w:rsid w:val="006108AE"/>
    <w:rsid w:val="0061114A"/>
    <w:rsid w:val="00611FE8"/>
    <w:rsid w:val="00612842"/>
    <w:rsid w:val="00613EEB"/>
    <w:rsid w:val="00615FE1"/>
    <w:rsid w:val="006163B7"/>
    <w:rsid w:val="0061677C"/>
    <w:rsid w:val="00620612"/>
    <w:rsid w:val="00620BA9"/>
    <w:rsid w:val="00620CA9"/>
    <w:rsid w:val="00622DD9"/>
    <w:rsid w:val="00622EFA"/>
    <w:rsid w:val="006235CB"/>
    <w:rsid w:val="00623C71"/>
    <w:rsid w:val="00624369"/>
    <w:rsid w:val="00624634"/>
    <w:rsid w:val="00625063"/>
    <w:rsid w:val="006253EC"/>
    <w:rsid w:val="00625A45"/>
    <w:rsid w:val="006277B2"/>
    <w:rsid w:val="006305E3"/>
    <w:rsid w:val="00637D8D"/>
    <w:rsid w:val="00640FE1"/>
    <w:rsid w:val="00641CB3"/>
    <w:rsid w:val="00641DB8"/>
    <w:rsid w:val="00642608"/>
    <w:rsid w:val="00642ED2"/>
    <w:rsid w:val="00643991"/>
    <w:rsid w:val="00645480"/>
    <w:rsid w:val="006464BD"/>
    <w:rsid w:val="006465CB"/>
    <w:rsid w:val="0065193F"/>
    <w:rsid w:val="00651F38"/>
    <w:rsid w:val="006523E4"/>
    <w:rsid w:val="00653799"/>
    <w:rsid w:val="00661C0D"/>
    <w:rsid w:val="006627AE"/>
    <w:rsid w:val="006633E0"/>
    <w:rsid w:val="0066496F"/>
    <w:rsid w:val="00670E93"/>
    <w:rsid w:val="006721D1"/>
    <w:rsid w:val="006749EC"/>
    <w:rsid w:val="00675158"/>
    <w:rsid w:val="00676B7A"/>
    <w:rsid w:val="00680971"/>
    <w:rsid w:val="00681964"/>
    <w:rsid w:val="006822E8"/>
    <w:rsid w:val="00682D51"/>
    <w:rsid w:val="00683059"/>
    <w:rsid w:val="00683E21"/>
    <w:rsid w:val="00685FD5"/>
    <w:rsid w:val="00686201"/>
    <w:rsid w:val="006865DF"/>
    <w:rsid w:val="00686611"/>
    <w:rsid w:val="00686AB7"/>
    <w:rsid w:val="00686D8E"/>
    <w:rsid w:val="0069080F"/>
    <w:rsid w:val="00691D01"/>
    <w:rsid w:val="00692407"/>
    <w:rsid w:val="006928C0"/>
    <w:rsid w:val="00693796"/>
    <w:rsid w:val="00693C66"/>
    <w:rsid w:val="00697C4C"/>
    <w:rsid w:val="006A047F"/>
    <w:rsid w:val="006A1100"/>
    <w:rsid w:val="006A2690"/>
    <w:rsid w:val="006A28A1"/>
    <w:rsid w:val="006A3D23"/>
    <w:rsid w:val="006A51B0"/>
    <w:rsid w:val="006A660F"/>
    <w:rsid w:val="006A69BF"/>
    <w:rsid w:val="006A7368"/>
    <w:rsid w:val="006A73DC"/>
    <w:rsid w:val="006A7F49"/>
    <w:rsid w:val="006B1586"/>
    <w:rsid w:val="006B217A"/>
    <w:rsid w:val="006B2E6F"/>
    <w:rsid w:val="006B4C75"/>
    <w:rsid w:val="006B58FC"/>
    <w:rsid w:val="006B5DBA"/>
    <w:rsid w:val="006B7431"/>
    <w:rsid w:val="006C02EB"/>
    <w:rsid w:val="006C2194"/>
    <w:rsid w:val="006C290F"/>
    <w:rsid w:val="006C4F33"/>
    <w:rsid w:val="006C62BB"/>
    <w:rsid w:val="006D0357"/>
    <w:rsid w:val="006D0CAF"/>
    <w:rsid w:val="006D0DA6"/>
    <w:rsid w:val="006D1845"/>
    <w:rsid w:val="006D2158"/>
    <w:rsid w:val="006D2302"/>
    <w:rsid w:val="006D3AE2"/>
    <w:rsid w:val="006D5C06"/>
    <w:rsid w:val="006D5C12"/>
    <w:rsid w:val="006D6632"/>
    <w:rsid w:val="006D6D79"/>
    <w:rsid w:val="006E0CD6"/>
    <w:rsid w:val="006E45A8"/>
    <w:rsid w:val="006E50A1"/>
    <w:rsid w:val="006E5CD8"/>
    <w:rsid w:val="006E72ED"/>
    <w:rsid w:val="006E74A7"/>
    <w:rsid w:val="006F004C"/>
    <w:rsid w:val="006F1421"/>
    <w:rsid w:val="006F1D0E"/>
    <w:rsid w:val="006F20B6"/>
    <w:rsid w:val="006F24E6"/>
    <w:rsid w:val="006F3C05"/>
    <w:rsid w:val="006F447D"/>
    <w:rsid w:val="006F564F"/>
    <w:rsid w:val="006F796E"/>
    <w:rsid w:val="007056EF"/>
    <w:rsid w:val="00710227"/>
    <w:rsid w:val="00710F25"/>
    <w:rsid w:val="007121C2"/>
    <w:rsid w:val="00716543"/>
    <w:rsid w:val="00723333"/>
    <w:rsid w:val="007237A9"/>
    <w:rsid w:val="00723953"/>
    <w:rsid w:val="00724EC3"/>
    <w:rsid w:val="00726184"/>
    <w:rsid w:val="00727E2E"/>
    <w:rsid w:val="007311EB"/>
    <w:rsid w:val="00731AA2"/>
    <w:rsid w:val="0073454B"/>
    <w:rsid w:val="00734736"/>
    <w:rsid w:val="00734753"/>
    <w:rsid w:val="00735126"/>
    <w:rsid w:val="00735295"/>
    <w:rsid w:val="00742290"/>
    <w:rsid w:val="00742560"/>
    <w:rsid w:val="007425C4"/>
    <w:rsid w:val="00743002"/>
    <w:rsid w:val="007442A6"/>
    <w:rsid w:val="007445D2"/>
    <w:rsid w:val="007457D5"/>
    <w:rsid w:val="00746179"/>
    <w:rsid w:val="007469BA"/>
    <w:rsid w:val="00746D01"/>
    <w:rsid w:val="00751F19"/>
    <w:rsid w:val="00752CE1"/>
    <w:rsid w:val="00755DC6"/>
    <w:rsid w:val="00756345"/>
    <w:rsid w:val="00760027"/>
    <w:rsid w:val="007643AA"/>
    <w:rsid w:val="00767426"/>
    <w:rsid w:val="00767A57"/>
    <w:rsid w:val="00770EFB"/>
    <w:rsid w:val="00772C95"/>
    <w:rsid w:val="0077514C"/>
    <w:rsid w:val="00777E1D"/>
    <w:rsid w:val="00780F71"/>
    <w:rsid w:val="00784C31"/>
    <w:rsid w:val="0078623A"/>
    <w:rsid w:val="007869A2"/>
    <w:rsid w:val="0079006B"/>
    <w:rsid w:val="00790D9A"/>
    <w:rsid w:val="00790F07"/>
    <w:rsid w:val="00791541"/>
    <w:rsid w:val="00792B9C"/>
    <w:rsid w:val="0079387D"/>
    <w:rsid w:val="007954B9"/>
    <w:rsid w:val="0079610B"/>
    <w:rsid w:val="00796732"/>
    <w:rsid w:val="00797952"/>
    <w:rsid w:val="00797A08"/>
    <w:rsid w:val="007A0E50"/>
    <w:rsid w:val="007A1980"/>
    <w:rsid w:val="007A1FB2"/>
    <w:rsid w:val="007A2AC8"/>
    <w:rsid w:val="007A3257"/>
    <w:rsid w:val="007A4506"/>
    <w:rsid w:val="007A6DC0"/>
    <w:rsid w:val="007A7AF1"/>
    <w:rsid w:val="007B0183"/>
    <w:rsid w:val="007B2CBE"/>
    <w:rsid w:val="007B2D6F"/>
    <w:rsid w:val="007B3EEF"/>
    <w:rsid w:val="007B678C"/>
    <w:rsid w:val="007B745E"/>
    <w:rsid w:val="007B78BD"/>
    <w:rsid w:val="007C0537"/>
    <w:rsid w:val="007C3973"/>
    <w:rsid w:val="007C5EBE"/>
    <w:rsid w:val="007C658F"/>
    <w:rsid w:val="007D0420"/>
    <w:rsid w:val="007D09A4"/>
    <w:rsid w:val="007D0EF4"/>
    <w:rsid w:val="007D2C62"/>
    <w:rsid w:val="007D30EF"/>
    <w:rsid w:val="007D36FB"/>
    <w:rsid w:val="007D41B2"/>
    <w:rsid w:val="007D4401"/>
    <w:rsid w:val="007D5CEF"/>
    <w:rsid w:val="007D6B6C"/>
    <w:rsid w:val="007D7987"/>
    <w:rsid w:val="007E3ABC"/>
    <w:rsid w:val="007E3B68"/>
    <w:rsid w:val="007E4ADD"/>
    <w:rsid w:val="007E7BA2"/>
    <w:rsid w:val="007F02DC"/>
    <w:rsid w:val="007F4869"/>
    <w:rsid w:val="007F5C3F"/>
    <w:rsid w:val="007F6307"/>
    <w:rsid w:val="00800499"/>
    <w:rsid w:val="008038C5"/>
    <w:rsid w:val="008047C0"/>
    <w:rsid w:val="008049E2"/>
    <w:rsid w:val="00804AE8"/>
    <w:rsid w:val="008055A8"/>
    <w:rsid w:val="00805C1C"/>
    <w:rsid w:val="00811FD9"/>
    <w:rsid w:val="008126E7"/>
    <w:rsid w:val="0081679A"/>
    <w:rsid w:val="00817E64"/>
    <w:rsid w:val="00820D77"/>
    <w:rsid w:val="008217F8"/>
    <w:rsid w:val="008226D2"/>
    <w:rsid w:val="008335E9"/>
    <w:rsid w:val="00833924"/>
    <w:rsid w:val="0083478B"/>
    <w:rsid w:val="0083560C"/>
    <w:rsid w:val="008356EA"/>
    <w:rsid w:val="00844254"/>
    <w:rsid w:val="0084443E"/>
    <w:rsid w:val="008447DA"/>
    <w:rsid w:val="0084550E"/>
    <w:rsid w:val="00845F8C"/>
    <w:rsid w:val="008469B2"/>
    <w:rsid w:val="008470F6"/>
    <w:rsid w:val="00847F50"/>
    <w:rsid w:val="00853925"/>
    <w:rsid w:val="00853FB3"/>
    <w:rsid w:val="00857593"/>
    <w:rsid w:val="00857B84"/>
    <w:rsid w:val="0086029F"/>
    <w:rsid w:val="00860C84"/>
    <w:rsid w:val="00862053"/>
    <w:rsid w:val="0086344C"/>
    <w:rsid w:val="00864008"/>
    <w:rsid w:val="00865ECD"/>
    <w:rsid w:val="00866E16"/>
    <w:rsid w:val="0087147F"/>
    <w:rsid w:val="00872881"/>
    <w:rsid w:val="00873622"/>
    <w:rsid w:val="00875AB0"/>
    <w:rsid w:val="0087603D"/>
    <w:rsid w:val="00876C94"/>
    <w:rsid w:val="00877A20"/>
    <w:rsid w:val="00877CBA"/>
    <w:rsid w:val="0088029B"/>
    <w:rsid w:val="00881B2D"/>
    <w:rsid w:val="0088358C"/>
    <w:rsid w:val="0088379D"/>
    <w:rsid w:val="008851CF"/>
    <w:rsid w:val="0088640D"/>
    <w:rsid w:val="00886FA7"/>
    <w:rsid w:val="008909CC"/>
    <w:rsid w:val="008927AE"/>
    <w:rsid w:val="0089335C"/>
    <w:rsid w:val="0089440E"/>
    <w:rsid w:val="008959BC"/>
    <w:rsid w:val="0089606B"/>
    <w:rsid w:val="008960D5"/>
    <w:rsid w:val="00896E91"/>
    <w:rsid w:val="008A0382"/>
    <w:rsid w:val="008A2599"/>
    <w:rsid w:val="008A3230"/>
    <w:rsid w:val="008A363B"/>
    <w:rsid w:val="008A429F"/>
    <w:rsid w:val="008A7A5E"/>
    <w:rsid w:val="008B221F"/>
    <w:rsid w:val="008B3BFD"/>
    <w:rsid w:val="008B6C59"/>
    <w:rsid w:val="008B7002"/>
    <w:rsid w:val="008C4DBA"/>
    <w:rsid w:val="008C5554"/>
    <w:rsid w:val="008C593E"/>
    <w:rsid w:val="008C66A2"/>
    <w:rsid w:val="008C7550"/>
    <w:rsid w:val="008D05C9"/>
    <w:rsid w:val="008D2192"/>
    <w:rsid w:val="008D23AE"/>
    <w:rsid w:val="008D265D"/>
    <w:rsid w:val="008D371F"/>
    <w:rsid w:val="008D4389"/>
    <w:rsid w:val="008D5816"/>
    <w:rsid w:val="008D6C16"/>
    <w:rsid w:val="008E0A78"/>
    <w:rsid w:val="008E3AC8"/>
    <w:rsid w:val="008E514B"/>
    <w:rsid w:val="008E542B"/>
    <w:rsid w:val="008E5981"/>
    <w:rsid w:val="008E7529"/>
    <w:rsid w:val="008E7C8F"/>
    <w:rsid w:val="008F04FB"/>
    <w:rsid w:val="008F3D0B"/>
    <w:rsid w:val="00900F78"/>
    <w:rsid w:val="009047DF"/>
    <w:rsid w:val="00905169"/>
    <w:rsid w:val="00905B19"/>
    <w:rsid w:val="009069B1"/>
    <w:rsid w:val="009070AA"/>
    <w:rsid w:val="00907C8A"/>
    <w:rsid w:val="009122A9"/>
    <w:rsid w:val="009132EA"/>
    <w:rsid w:val="00913CB4"/>
    <w:rsid w:val="009147EA"/>
    <w:rsid w:val="00915C5E"/>
    <w:rsid w:val="009228AD"/>
    <w:rsid w:val="0092593F"/>
    <w:rsid w:val="00932F01"/>
    <w:rsid w:val="009345DA"/>
    <w:rsid w:val="00936545"/>
    <w:rsid w:val="0094007E"/>
    <w:rsid w:val="0094140C"/>
    <w:rsid w:val="00941935"/>
    <w:rsid w:val="0094208F"/>
    <w:rsid w:val="00945B62"/>
    <w:rsid w:val="0094683D"/>
    <w:rsid w:val="009508D4"/>
    <w:rsid w:val="0095100B"/>
    <w:rsid w:val="00951123"/>
    <w:rsid w:val="009525DC"/>
    <w:rsid w:val="00952640"/>
    <w:rsid w:val="00952C94"/>
    <w:rsid w:val="00952E4D"/>
    <w:rsid w:val="00953208"/>
    <w:rsid w:val="009532C8"/>
    <w:rsid w:val="00954227"/>
    <w:rsid w:val="00962472"/>
    <w:rsid w:val="00966717"/>
    <w:rsid w:val="00966A9F"/>
    <w:rsid w:val="00970797"/>
    <w:rsid w:val="00974E44"/>
    <w:rsid w:val="009759A8"/>
    <w:rsid w:val="0098014E"/>
    <w:rsid w:val="00980A76"/>
    <w:rsid w:val="009835E6"/>
    <w:rsid w:val="00984431"/>
    <w:rsid w:val="009872B1"/>
    <w:rsid w:val="009906FC"/>
    <w:rsid w:val="00992E5D"/>
    <w:rsid w:val="00994BC6"/>
    <w:rsid w:val="009965D7"/>
    <w:rsid w:val="00996DB9"/>
    <w:rsid w:val="009A1633"/>
    <w:rsid w:val="009A5468"/>
    <w:rsid w:val="009A64F2"/>
    <w:rsid w:val="009B13B7"/>
    <w:rsid w:val="009B23F8"/>
    <w:rsid w:val="009B2DC9"/>
    <w:rsid w:val="009B2F97"/>
    <w:rsid w:val="009B31FB"/>
    <w:rsid w:val="009B34F6"/>
    <w:rsid w:val="009B35D4"/>
    <w:rsid w:val="009C23CB"/>
    <w:rsid w:val="009C4C9F"/>
    <w:rsid w:val="009C56BF"/>
    <w:rsid w:val="009C6839"/>
    <w:rsid w:val="009C7919"/>
    <w:rsid w:val="009C7E1D"/>
    <w:rsid w:val="009D1318"/>
    <w:rsid w:val="009D3E55"/>
    <w:rsid w:val="009D47A4"/>
    <w:rsid w:val="009D4A31"/>
    <w:rsid w:val="009D4BDB"/>
    <w:rsid w:val="009E198C"/>
    <w:rsid w:val="009E2676"/>
    <w:rsid w:val="009E4010"/>
    <w:rsid w:val="009E6A4A"/>
    <w:rsid w:val="009E6B4D"/>
    <w:rsid w:val="009E6F14"/>
    <w:rsid w:val="009E72D5"/>
    <w:rsid w:val="009E7833"/>
    <w:rsid w:val="009E7DE7"/>
    <w:rsid w:val="009F2207"/>
    <w:rsid w:val="009F3917"/>
    <w:rsid w:val="009F43F9"/>
    <w:rsid w:val="009F61BB"/>
    <w:rsid w:val="009F74CF"/>
    <w:rsid w:val="009F7528"/>
    <w:rsid w:val="009F79CA"/>
    <w:rsid w:val="00A00B34"/>
    <w:rsid w:val="00A02300"/>
    <w:rsid w:val="00A02364"/>
    <w:rsid w:val="00A02E12"/>
    <w:rsid w:val="00A04A8E"/>
    <w:rsid w:val="00A052CD"/>
    <w:rsid w:val="00A07239"/>
    <w:rsid w:val="00A10027"/>
    <w:rsid w:val="00A10869"/>
    <w:rsid w:val="00A114F4"/>
    <w:rsid w:val="00A11E74"/>
    <w:rsid w:val="00A128EF"/>
    <w:rsid w:val="00A13991"/>
    <w:rsid w:val="00A1401E"/>
    <w:rsid w:val="00A14F2A"/>
    <w:rsid w:val="00A1613C"/>
    <w:rsid w:val="00A214A2"/>
    <w:rsid w:val="00A216D2"/>
    <w:rsid w:val="00A22B61"/>
    <w:rsid w:val="00A24D53"/>
    <w:rsid w:val="00A25FAB"/>
    <w:rsid w:val="00A26D59"/>
    <w:rsid w:val="00A26E17"/>
    <w:rsid w:val="00A27E08"/>
    <w:rsid w:val="00A3075D"/>
    <w:rsid w:val="00A322CD"/>
    <w:rsid w:val="00A32760"/>
    <w:rsid w:val="00A334A7"/>
    <w:rsid w:val="00A36FF9"/>
    <w:rsid w:val="00A412BB"/>
    <w:rsid w:val="00A41575"/>
    <w:rsid w:val="00A41C62"/>
    <w:rsid w:val="00A445D2"/>
    <w:rsid w:val="00A44701"/>
    <w:rsid w:val="00A44F45"/>
    <w:rsid w:val="00A45B1B"/>
    <w:rsid w:val="00A47715"/>
    <w:rsid w:val="00A56B91"/>
    <w:rsid w:val="00A573C5"/>
    <w:rsid w:val="00A5753C"/>
    <w:rsid w:val="00A603BB"/>
    <w:rsid w:val="00A625FE"/>
    <w:rsid w:val="00A62686"/>
    <w:rsid w:val="00A62B66"/>
    <w:rsid w:val="00A64319"/>
    <w:rsid w:val="00A66560"/>
    <w:rsid w:val="00A67881"/>
    <w:rsid w:val="00A70A93"/>
    <w:rsid w:val="00A7213C"/>
    <w:rsid w:val="00A7306B"/>
    <w:rsid w:val="00A73E7B"/>
    <w:rsid w:val="00A75577"/>
    <w:rsid w:val="00A75681"/>
    <w:rsid w:val="00A81126"/>
    <w:rsid w:val="00A839CD"/>
    <w:rsid w:val="00A83B7B"/>
    <w:rsid w:val="00A8433E"/>
    <w:rsid w:val="00A84438"/>
    <w:rsid w:val="00A853AB"/>
    <w:rsid w:val="00A86D42"/>
    <w:rsid w:val="00A8743E"/>
    <w:rsid w:val="00A905A6"/>
    <w:rsid w:val="00A905C4"/>
    <w:rsid w:val="00A90B4B"/>
    <w:rsid w:val="00A90D76"/>
    <w:rsid w:val="00A928AE"/>
    <w:rsid w:val="00A93E7F"/>
    <w:rsid w:val="00A95F3F"/>
    <w:rsid w:val="00AA247C"/>
    <w:rsid w:val="00AA3992"/>
    <w:rsid w:val="00AA5C76"/>
    <w:rsid w:val="00AA645A"/>
    <w:rsid w:val="00AA6BF2"/>
    <w:rsid w:val="00AA6E82"/>
    <w:rsid w:val="00AB36DE"/>
    <w:rsid w:val="00AB6FCD"/>
    <w:rsid w:val="00AC0752"/>
    <w:rsid w:val="00AC1C74"/>
    <w:rsid w:val="00AC32C7"/>
    <w:rsid w:val="00AC389C"/>
    <w:rsid w:val="00AC4860"/>
    <w:rsid w:val="00AC49ED"/>
    <w:rsid w:val="00AC4E54"/>
    <w:rsid w:val="00AC4F4D"/>
    <w:rsid w:val="00AD0CA6"/>
    <w:rsid w:val="00AD165B"/>
    <w:rsid w:val="00AD211E"/>
    <w:rsid w:val="00AD217A"/>
    <w:rsid w:val="00AD3D89"/>
    <w:rsid w:val="00AD6EEA"/>
    <w:rsid w:val="00AD6F80"/>
    <w:rsid w:val="00AD765B"/>
    <w:rsid w:val="00AE0E53"/>
    <w:rsid w:val="00AE41B9"/>
    <w:rsid w:val="00AE47F1"/>
    <w:rsid w:val="00AE6D01"/>
    <w:rsid w:val="00AE72A5"/>
    <w:rsid w:val="00AE79AF"/>
    <w:rsid w:val="00AF0209"/>
    <w:rsid w:val="00AF0E69"/>
    <w:rsid w:val="00AF34F7"/>
    <w:rsid w:val="00AF371B"/>
    <w:rsid w:val="00AF5DBF"/>
    <w:rsid w:val="00AF7912"/>
    <w:rsid w:val="00B018A2"/>
    <w:rsid w:val="00B02707"/>
    <w:rsid w:val="00B04E6B"/>
    <w:rsid w:val="00B12B0B"/>
    <w:rsid w:val="00B13E9B"/>
    <w:rsid w:val="00B17471"/>
    <w:rsid w:val="00B202D1"/>
    <w:rsid w:val="00B20F3C"/>
    <w:rsid w:val="00B21311"/>
    <w:rsid w:val="00B21C5D"/>
    <w:rsid w:val="00B22363"/>
    <w:rsid w:val="00B25C4B"/>
    <w:rsid w:val="00B26A75"/>
    <w:rsid w:val="00B26F3E"/>
    <w:rsid w:val="00B30E12"/>
    <w:rsid w:val="00B312A7"/>
    <w:rsid w:val="00B33E7B"/>
    <w:rsid w:val="00B4076F"/>
    <w:rsid w:val="00B40ED9"/>
    <w:rsid w:val="00B43D05"/>
    <w:rsid w:val="00B44193"/>
    <w:rsid w:val="00B44C00"/>
    <w:rsid w:val="00B45D06"/>
    <w:rsid w:val="00B47226"/>
    <w:rsid w:val="00B475D2"/>
    <w:rsid w:val="00B47DAA"/>
    <w:rsid w:val="00B5016E"/>
    <w:rsid w:val="00B5297F"/>
    <w:rsid w:val="00B55256"/>
    <w:rsid w:val="00B557A0"/>
    <w:rsid w:val="00B567F6"/>
    <w:rsid w:val="00B5732B"/>
    <w:rsid w:val="00B60D9A"/>
    <w:rsid w:val="00B63A6B"/>
    <w:rsid w:val="00B66AF3"/>
    <w:rsid w:val="00B67827"/>
    <w:rsid w:val="00B67DDA"/>
    <w:rsid w:val="00B70732"/>
    <w:rsid w:val="00B7151C"/>
    <w:rsid w:val="00B73FF5"/>
    <w:rsid w:val="00B74C2B"/>
    <w:rsid w:val="00B75AB6"/>
    <w:rsid w:val="00B763F2"/>
    <w:rsid w:val="00B76409"/>
    <w:rsid w:val="00B7657A"/>
    <w:rsid w:val="00B82205"/>
    <w:rsid w:val="00B82401"/>
    <w:rsid w:val="00B82786"/>
    <w:rsid w:val="00B82B33"/>
    <w:rsid w:val="00B82E1C"/>
    <w:rsid w:val="00B83863"/>
    <w:rsid w:val="00B83D11"/>
    <w:rsid w:val="00B83FE4"/>
    <w:rsid w:val="00B84E76"/>
    <w:rsid w:val="00B85126"/>
    <w:rsid w:val="00B85A61"/>
    <w:rsid w:val="00B8757B"/>
    <w:rsid w:val="00B90E7E"/>
    <w:rsid w:val="00B91AB2"/>
    <w:rsid w:val="00B97622"/>
    <w:rsid w:val="00BA2280"/>
    <w:rsid w:val="00BA2690"/>
    <w:rsid w:val="00BA5000"/>
    <w:rsid w:val="00BA5787"/>
    <w:rsid w:val="00BA59CA"/>
    <w:rsid w:val="00BA6907"/>
    <w:rsid w:val="00BA6F21"/>
    <w:rsid w:val="00BA78F1"/>
    <w:rsid w:val="00BB127C"/>
    <w:rsid w:val="00BB1AA6"/>
    <w:rsid w:val="00BB1E3B"/>
    <w:rsid w:val="00BB2649"/>
    <w:rsid w:val="00BB37F2"/>
    <w:rsid w:val="00BB4B74"/>
    <w:rsid w:val="00BB50A1"/>
    <w:rsid w:val="00BB5916"/>
    <w:rsid w:val="00BB7B57"/>
    <w:rsid w:val="00BC3416"/>
    <w:rsid w:val="00BC35E8"/>
    <w:rsid w:val="00BC3DE5"/>
    <w:rsid w:val="00BC46E2"/>
    <w:rsid w:val="00BC54FA"/>
    <w:rsid w:val="00BC5C4D"/>
    <w:rsid w:val="00BD0D45"/>
    <w:rsid w:val="00BD11ED"/>
    <w:rsid w:val="00BD1A96"/>
    <w:rsid w:val="00BD26F7"/>
    <w:rsid w:val="00BD4FDE"/>
    <w:rsid w:val="00BD639A"/>
    <w:rsid w:val="00BD6BF0"/>
    <w:rsid w:val="00BD6C2D"/>
    <w:rsid w:val="00BD6EE9"/>
    <w:rsid w:val="00BD7541"/>
    <w:rsid w:val="00BD7CAC"/>
    <w:rsid w:val="00BE07D6"/>
    <w:rsid w:val="00BE08B6"/>
    <w:rsid w:val="00BE1196"/>
    <w:rsid w:val="00BE2E65"/>
    <w:rsid w:val="00BE3347"/>
    <w:rsid w:val="00BE41DA"/>
    <w:rsid w:val="00BE488E"/>
    <w:rsid w:val="00BE513A"/>
    <w:rsid w:val="00BE73C0"/>
    <w:rsid w:val="00BF4779"/>
    <w:rsid w:val="00BF49E9"/>
    <w:rsid w:val="00BF4FF2"/>
    <w:rsid w:val="00BF58C9"/>
    <w:rsid w:val="00BF6246"/>
    <w:rsid w:val="00BF777B"/>
    <w:rsid w:val="00C00465"/>
    <w:rsid w:val="00C01521"/>
    <w:rsid w:val="00C029B4"/>
    <w:rsid w:val="00C0308B"/>
    <w:rsid w:val="00C031EC"/>
    <w:rsid w:val="00C0432E"/>
    <w:rsid w:val="00C04C29"/>
    <w:rsid w:val="00C061ED"/>
    <w:rsid w:val="00C07253"/>
    <w:rsid w:val="00C105ED"/>
    <w:rsid w:val="00C14151"/>
    <w:rsid w:val="00C141CD"/>
    <w:rsid w:val="00C1461C"/>
    <w:rsid w:val="00C168EE"/>
    <w:rsid w:val="00C16D2A"/>
    <w:rsid w:val="00C200A3"/>
    <w:rsid w:val="00C2063D"/>
    <w:rsid w:val="00C20793"/>
    <w:rsid w:val="00C21938"/>
    <w:rsid w:val="00C21FE8"/>
    <w:rsid w:val="00C22783"/>
    <w:rsid w:val="00C2375A"/>
    <w:rsid w:val="00C23B72"/>
    <w:rsid w:val="00C24533"/>
    <w:rsid w:val="00C27F84"/>
    <w:rsid w:val="00C30735"/>
    <w:rsid w:val="00C32FDB"/>
    <w:rsid w:val="00C40469"/>
    <w:rsid w:val="00C41480"/>
    <w:rsid w:val="00C42031"/>
    <w:rsid w:val="00C44B58"/>
    <w:rsid w:val="00C45117"/>
    <w:rsid w:val="00C453A2"/>
    <w:rsid w:val="00C46D0C"/>
    <w:rsid w:val="00C477FB"/>
    <w:rsid w:val="00C51C1B"/>
    <w:rsid w:val="00C535C0"/>
    <w:rsid w:val="00C542E8"/>
    <w:rsid w:val="00C548AE"/>
    <w:rsid w:val="00C54C38"/>
    <w:rsid w:val="00C54FA2"/>
    <w:rsid w:val="00C555F8"/>
    <w:rsid w:val="00C55D58"/>
    <w:rsid w:val="00C561C5"/>
    <w:rsid w:val="00C57233"/>
    <w:rsid w:val="00C60CAD"/>
    <w:rsid w:val="00C60DB9"/>
    <w:rsid w:val="00C60E65"/>
    <w:rsid w:val="00C628B5"/>
    <w:rsid w:val="00C62DCC"/>
    <w:rsid w:val="00C63147"/>
    <w:rsid w:val="00C6533B"/>
    <w:rsid w:val="00C665F7"/>
    <w:rsid w:val="00C67554"/>
    <w:rsid w:val="00C70811"/>
    <w:rsid w:val="00C738C1"/>
    <w:rsid w:val="00C74647"/>
    <w:rsid w:val="00C749ED"/>
    <w:rsid w:val="00C7672F"/>
    <w:rsid w:val="00C76A3A"/>
    <w:rsid w:val="00C77DDB"/>
    <w:rsid w:val="00C77F48"/>
    <w:rsid w:val="00C8270F"/>
    <w:rsid w:val="00C82EEE"/>
    <w:rsid w:val="00C83394"/>
    <w:rsid w:val="00C85DBC"/>
    <w:rsid w:val="00C86118"/>
    <w:rsid w:val="00C90332"/>
    <w:rsid w:val="00C93DBC"/>
    <w:rsid w:val="00CA001F"/>
    <w:rsid w:val="00CA31A5"/>
    <w:rsid w:val="00CA38A8"/>
    <w:rsid w:val="00CA39F2"/>
    <w:rsid w:val="00CA3B6B"/>
    <w:rsid w:val="00CA4B2F"/>
    <w:rsid w:val="00CA5C51"/>
    <w:rsid w:val="00CA6148"/>
    <w:rsid w:val="00CA746C"/>
    <w:rsid w:val="00CB014F"/>
    <w:rsid w:val="00CB0511"/>
    <w:rsid w:val="00CB05AC"/>
    <w:rsid w:val="00CB0E90"/>
    <w:rsid w:val="00CB253F"/>
    <w:rsid w:val="00CB2671"/>
    <w:rsid w:val="00CB26B3"/>
    <w:rsid w:val="00CB278B"/>
    <w:rsid w:val="00CB335B"/>
    <w:rsid w:val="00CB380E"/>
    <w:rsid w:val="00CB38FE"/>
    <w:rsid w:val="00CB3E19"/>
    <w:rsid w:val="00CB523F"/>
    <w:rsid w:val="00CB54D7"/>
    <w:rsid w:val="00CB56C2"/>
    <w:rsid w:val="00CB7573"/>
    <w:rsid w:val="00CC0A3A"/>
    <w:rsid w:val="00CC0E4E"/>
    <w:rsid w:val="00CC1202"/>
    <w:rsid w:val="00CC1D85"/>
    <w:rsid w:val="00CC3B7A"/>
    <w:rsid w:val="00CC51AB"/>
    <w:rsid w:val="00CC5A78"/>
    <w:rsid w:val="00CC624C"/>
    <w:rsid w:val="00CC6C3F"/>
    <w:rsid w:val="00CC6DF7"/>
    <w:rsid w:val="00CD3A2E"/>
    <w:rsid w:val="00CD4D9D"/>
    <w:rsid w:val="00CD65CC"/>
    <w:rsid w:val="00CD6A37"/>
    <w:rsid w:val="00CD7B14"/>
    <w:rsid w:val="00CD7EDA"/>
    <w:rsid w:val="00CE1998"/>
    <w:rsid w:val="00CE2E05"/>
    <w:rsid w:val="00CE3330"/>
    <w:rsid w:val="00CE3959"/>
    <w:rsid w:val="00CE447A"/>
    <w:rsid w:val="00CE4732"/>
    <w:rsid w:val="00CE4BAA"/>
    <w:rsid w:val="00CE5124"/>
    <w:rsid w:val="00CF206D"/>
    <w:rsid w:val="00CF2CC0"/>
    <w:rsid w:val="00CF30C5"/>
    <w:rsid w:val="00CF391D"/>
    <w:rsid w:val="00CF5E35"/>
    <w:rsid w:val="00D01134"/>
    <w:rsid w:val="00D01F20"/>
    <w:rsid w:val="00D02BAF"/>
    <w:rsid w:val="00D0609B"/>
    <w:rsid w:val="00D06999"/>
    <w:rsid w:val="00D06A99"/>
    <w:rsid w:val="00D07A55"/>
    <w:rsid w:val="00D1059C"/>
    <w:rsid w:val="00D10BB5"/>
    <w:rsid w:val="00D10C3A"/>
    <w:rsid w:val="00D11897"/>
    <w:rsid w:val="00D146CB"/>
    <w:rsid w:val="00D14AD6"/>
    <w:rsid w:val="00D14BBD"/>
    <w:rsid w:val="00D15978"/>
    <w:rsid w:val="00D15E54"/>
    <w:rsid w:val="00D17574"/>
    <w:rsid w:val="00D17D45"/>
    <w:rsid w:val="00D17D47"/>
    <w:rsid w:val="00D216BA"/>
    <w:rsid w:val="00D2195A"/>
    <w:rsid w:val="00D22848"/>
    <w:rsid w:val="00D23F9F"/>
    <w:rsid w:val="00D25D6A"/>
    <w:rsid w:val="00D26144"/>
    <w:rsid w:val="00D27EAF"/>
    <w:rsid w:val="00D3073F"/>
    <w:rsid w:val="00D33718"/>
    <w:rsid w:val="00D33B93"/>
    <w:rsid w:val="00D363D4"/>
    <w:rsid w:val="00D367E0"/>
    <w:rsid w:val="00D37C03"/>
    <w:rsid w:val="00D40DC1"/>
    <w:rsid w:val="00D42B6C"/>
    <w:rsid w:val="00D43CBF"/>
    <w:rsid w:val="00D47285"/>
    <w:rsid w:val="00D505B5"/>
    <w:rsid w:val="00D5211F"/>
    <w:rsid w:val="00D526DA"/>
    <w:rsid w:val="00D52E82"/>
    <w:rsid w:val="00D530C1"/>
    <w:rsid w:val="00D53C7A"/>
    <w:rsid w:val="00D53CC0"/>
    <w:rsid w:val="00D5798D"/>
    <w:rsid w:val="00D61B1A"/>
    <w:rsid w:val="00D61C0F"/>
    <w:rsid w:val="00D61C7A"/>
    <w:rsid w:val="00D6392A"/>
    <w:rsid w:val="00D6528C"/>
    <w:rsid w:val="00D652D9"/>
    <w:rsid w:val="00D65839"/>
    <w:rsid w:val="00D65A0B"/>
    <w:rsid w:val="00D66DA6"/>
    <w:rsid w:val="00D7022D"/>
    <w:rsid w:val="00D72B20"/>
    <w:rsid w:val="00D73881"/>
    <w:rsid w:val="00D743E3"/>
    <w:rsid w:val="00D74F6B"/>
    <w:rsid w:val="00D842D7"/>
    <w:rsid w:val="00D847ED"/>
    <w:rsid w:val="00D851DA"/>
    <w:rsid w:val="00D8779C"/>
    <w:rsid w:val="00D8786C"/>
    <w:rsid w:val="00D91AC6"/>
    <w:rsid w:val="00D9295E"/>
    <w:rsid w:val="00D92C05"/>
    <w:rsid w:val="00D95AA8"/>
    <w:rsid w:val="00D9699C"/>
    <w:rsid w:val="00DA0F0D"/>
    <w:rsid w:val="00DA2E4A"/>
    <w:rsid w:val="00DA35C2"/>
    <w:rsid w:val="00DA4229"/>
    <w:rsid w:val="00DA50C4"/>
    <w:rsid w:val="00DA6CBA"/>
    <w:rsid w:val="00DB074B"/>
    <w:rsid w:val="00DB42EA"/>
    <w:rsid w:val="00DB51D5"/>
    <w:rsid w:val="00DB55CD"/>
    <w:rsid w:val="00DB5E26"/>
    <w:rsid w:val="00DC1A95"/>
    <w:rsid w:val="00DC2862"/>
    <w:rsid w:val="00DC6681"/>
    <w:rsid w:val="00DC68BD"/>
    <w:rsid w:val="00DC6F04"/>
    <w:rsid w:val="00DD0A90"/>
    <w:rsid w:val="00DD2322"/>
    <w:rsid w:val="00DD33D0"/>
    <w:rsid w:val="00DD51C3"/>
    <w:rsid w:val="00DD68B3"/>
    <w:rsid w:val="00DD7472"/>
    <w:rsid w:val="00DE019F"/>
    <w:rsid w:val="00DE1794"/>
    <w:rsid w:val="00DE1CFF"/>
    <w:rsid w:val="00DE2053"/>
    <w:rsid w:val="00DE3E14"/>
    <w:rsid w:val="00DE4F28"/>
    <w:rsid w:val="00DE593A"/>
    <w:rsid w:val="00DE6137"/>
    <w:rsid w:val="00DE70A6"/>
    <w:rsid w:val="00DE7897"/>
    <w:rsid w:val="00DF0F80"/>
    <w:rsid w:val="00DF184A"/>
    <w:rsid w:val="00DF281B"/>
    <w:rsid w:val="00DF44A4"/>
    <w:rsid w:val="00DF4B7E"/>
    <w:rsid w:val="00DF5D33"/>
    <w:rsid w:val="00E0016B"/>
    <w:rsid w:val="00E00775"/>
    <w:rsid w:val="00E019EB"/>
    <w:rsid w:val="00E022B9"/>
    <w:rsid w:val="00E0514D"/>
    <w:rsid w:val="00E05F0C"/>
    <w:rsid w:val="00E06941"/>
    <w:rsid w:val="00E10EFF"/>
    <w:rsid w:val="00E171CF"/>
    <w:rsid w:val="00E17A23"/>
    <w:rsid w:val="00E205F3"/>
    <w:rsid w:val="00E21AB7"/>
    <w:rsid w:val="00E233AD"/>
    <w:rsid w:val="00E27907"/>
    <w:rsid w:val="00E3032F"/>
    <w:rsid w:val="00E303E6"/>
    <w:rsid w:val="00E3061F"/>
    <w:rsid w:val="00E32C8E"/>
    <w:rsid w:val="00E3532F"/>
    <w:rsid w:val="00E35525"/>
    <w:rsid w:val="00E36E9E"/>
    <w:rsid w:val="00E37870"/>
    <w:rsid w:val="00E41D05"/>
    <w:rsid w:val="00E431F7"/>
    <w:rsid w:val="00E43726"/>
    <w:rsid w:val="00E44793"/>
    <w:rsid w:val="00E45BD6"/>
    <w:rsid w:val="00E50E6A"/>
    <w:rsid w:val="00E5244E"/>
    <w:rsid w:val="00E53147"/>
    <w:rsid w:val="00E54791"/>
    <w:rsid w:val="00E548A2"/>
    <w:rsid w:val="00E5617A"/>
    <w:rsid w:val="00E56951"/>
    <w:rsid w:val="00E5772D"/>
    <w:rsid w:val="00E57F26"/>
    <w:rsid w:val="00E6064C"/>
    <w:rsid w:val="00E60F75"/>
    <w:rsid w:val="00E61ACE"/>
    <w:rsid w:val="00E61CD5"/>
    <w:rsid w:val="00E6287A"/>
    <w:rsid w:val="00E62909"/>
    <w:rsid w:val="00E6483B"/>
    <w:rsid w:val="00E64AD5"/>
    <w:rsid w:val="00E65E16"/>
    <w:rsid w:val="00E66843"/>
    <w:rsid w:val="00E67222"/>
    <w:rsid w:val="00E70081"/>
    <w:rsid w:val="00E7057B"/>
    <w:rsid w:val="00E706E9"/>
    <w:rsid w:val="00E74E97"/>
    <w:rsid w:val="00E779DB"/>
    <w:rsid w:val="00E80D09"/>
    <w:rsid w:val="00E821F8"/>
    <w:rsid w:val="00E83418"/>
    <w:rsid w:val="00E836B6"/>
    <w:rsid w:val="00E84902"/>
    <w:rsid w:val="00E857AD"/>
    <w:rsid w:val="00E85DC0"/>
    <w:rsid w:val="00E8683B"/>
    <w:rsid w:val="00E9007B"/>
    <w:rsid w:val="00E9065B"/>
    <w:rsid w:val="00E926D4"/>
    <w:rsid w:val="00E93C3F"/>
    <w:rsid w:val="00E94552"/>
    <w:rsid w:val="00E9570D"/>
    <w:rsid w:val="00E966FB"/>
    <w:rsid w:val="00EA0A77"/>
    <w:rsid w:val="00EA1F16"/>
    <w:rsid w:val="00EA31F2"/>
    <w:rsid w:val="00EA4FD1"/>
    <w:rsid w:val="00EA5C53"/>
    <w:rsid w:val="00EA5DFB"/>
    <w:rsid w:val="00EA6304"/>
    <w:rsid w:val="00EB0CFA"/>
    <w:rsid w:val="00EB0FAB"/>
    <w:rsid w:val="00EB11DF"/>
    <w:rsid w:val="00EB195A"/>
    <w:rsid w:val="00EB250F"/>
    <w:rsid w:val="00EB32FE"/>
    <w:rsid w:val="00EB3C31"/>
    <w:rsid w:val="00EB4F6A"/>
    <w:rsid w:val="00EB578A"/>
    <w:rsid w:val="00EB5E7B"/>
    <w:rsid w:val="00EB6517"/>
    <w:rsid w:val="00EB736F"/>
    <w:rsid w:val="00EC23DC"/>
    <w:rsid w:val="00EC32F0"/>
    <w:rsid w:val="00EC3872"/>
    <w:rsid w:val="00EC497A"/>
    <w:rsid w:val="00EC537C"/>
    <w:rsid w:val="00EC55D4"/>
    <w:rsid w:val="00EC6402"/>
    <w:rsid w:val="00EC64E3"/>
    <w:rsid w:val="00EC6968"/>
    <w:rsid w:val="00EC76FF"/>
    <w:rsid w:val="00EC7FE3"/>
    <w:rsid w:val="00ED1567"/>
    <w:rsid w:val="00ED18AB"/>
    <w:rsid w:val="00ED1DF9"/>
    <w:rsid w:val="00ED41CC"/>
    <w:rsid w:val="00ED41E9"/>
    <w:rsid w:val="00ED52A5"/>
    <w:rsid w:val="00ED7AA0"/>
    <w:rsid w:val="00EE0A9C"/>
    <w:rsid w:val="00EE1165"/>
    <w:rsid w:val="00EE1547"/>
    <w:rsid w:val="00EE2D17"/>
    <w:rsid w:val="00EE4065"/>
    <w:rsid w:val="00EE436E"/>
    <w:rsid w:val="00EE5FD2"/>
    <w:rsid w:val="00EE6F12"/>
    <w:rsid w:val="00EE6F26"/>
    <w:rsid w:val="00EF0583"/>
    <w:rsid w:val="00EF161B"/>
    <w:rsid w:val="00EF3627"/>
    <w:rsid w:val="00EF7FF9"/>
    <w:rsid w:val="00F01621"/>
    <w:rsid w:val="00F03400"/>
    <w:rsid w:val="00F04331"/>
    <w:rsid w:val="00F04572"/>
    <w:rsid w:val="00F04C62"/>
    <w:rsid w:val="00F0661F"/>
    <w:rsid w:val="00F07740"/>
    <w:rsid w:val="00F07F21"/>
    <w:rsid w:val="00F10B42"/>
    <w:rsid w:val="00F12871"/>
    <w:rsid w:val="00F13588"/>
    <w:rsid w:val="00F169DB"/>
    <w:rsid w:val="00F17BBA"/>
    <w:rsid w:val="00F203AA"/>
    <w:rsid w:val="00F21CE3"/>
    <w:rsid w:val="00F228AC"/>
    <w:rsid w:val="00F2556D"/>
    <w:rsid w:val="00F25AC3"/>
    <w:rsid w:val="00F25E21"/>
    <w:rsid w:val="00F26DEA"/>
    <w:rsid w:val="00F27D21"/>
    <w:rsid w:val="00F30231"/>
    <w:rsid w:val="00F314D7"/>
    <w:rsid w:val="00F3291F"/>
    <w:rsid w:val="00F32979"/>
    <w:rsid w:val="00F34F48"/>
    <w:rsid w:val="00F36521"/>
    <w:rsid w:val="00F37CD3"/>
    <w:rsid w:val="00F40225"/>
    <w:rsid w:val="00F44532"/>
    <w:rsid w:val="00F44A2D"/>
    <w:rsid w:val="00F455EC"/>
    <w:rsid w:val="00F502DF"/>
    <w:rsid w:val="00F51385"/>
    <w:rsid w:val="00F520A7"/>
    <w:rsid w:val="00F5252B"/>
    <w:rsid w:val="00F52F1C"/>
    <w:rsid w:val="00F53B07"/>
    <w:rsid w:val="00F54556"/>
    <w:rsid w:val="00F55205"/>
    <w:rsid w:val="00F554AC"/>
    <w:rsid w:val="00F5586A"/>
    <w:rsid w:val="00F55F9B"/>
    <w:rsid w:val="00F61980"/>
    <w:rsid w:val="00F6445C"/>
    <w:rsid w:val="00F65431"/>
    <w:rsid w:val="00F6745E"/>
    <w:rsid w:val="00F67FFD"/>
    <w:rsid w:val="00F70289"/>
    <w:rsid w:val="00F71B75"/>
    <w:rsid w:val="00F7210D"/>
    <w:rsid w:val="00F7356D"/>
    <w:rsid w:val="00F74566"/>
    <w:rsid w:val="00F755BE"/>
    <w:rsid w:val="00F76FD7"/>
    <w:rsid w:val="00F831C5"/>
    <w:rsid w:val="00F83841"/>
    <w:rsid w:val="00F8462C"/>
    <w:rsid w:val="00F84646"/>
    <w:rsid w:val="00F857C7"/>
    <w:rsid w:val="00F92899"/>
    <w:rsid w:val="00F92EE4"/>
    <w:rsid w:val="00F96378"/>
    <w:rsid w:val="00F973F6"/>
    <w:rsid w:val="00F97B7D"/>
    <w:rsid w:val="00FA125B"/>
    <w:rsid w:val="00FA2672"/>
    <w:rsid w:val="00FB0A37"/>
    <w:rsid w:val="00FB1D35"/>
    <w:rsid w:val="00FB22EA"/>
    <w:rsid w:val="00FB43DC"/>
    <w:rsid w:val="00FB7EEF"/>
    <w:rsid w:val="00FC069B"/>
    <w:rsid w:val="00FC1312"/>
    <w:rsid w:val="00FC59B9"/>
    <w:rsid w:val="00FC6B30"/>
    <w:rsid w:val="00FC7012"/>
    <w:rsid w:val="00FD55E2"/>
    <w:rsid w:val="00FD5D02"/>
    <w:rsid w:val="00FD5E4F"/>
    <w:rsid w:val="00FD5FF3"/>
    <w:rsid w:val="00FE0354"/>
    <w:rsid w:val="00FE130B"/>
    <w:rsid w:val="00FE159C"/>
    <w:rsid w:val="00FE1C2B"/>
    <w:rsid w:val="00FE27E9"/>
    <w:rsid w:val="00FE305B"/>
    <w:rsid w:val="00FE30FA"/>
    <w:rsid w:val="00FE546D"/>
    <w:rsid w:val="00FE572C"/>
    <w:rsid w:val="00FE5D6D"/>
    <w:rsid w:val="00FE5D73"/>
    <w:rsid w:val="00FE7C1C"/>
    <w:rsid w:val="00FF03CB"/>
    <w:rsid w:val="00FF2611"/>
    <w:rsid w:val="00FF3AB3"/>
    <w:rsid w:val="00FF5425"/>
    <w:rsid w:val="00FF59F7"/>
    <w:rsid w:val="00FF67EE"/>
    <w:rsid w:val="00FF6E61"/>
    <w:rsid w:val="08B09588"/>
    <w:rsid w:val="0BC6179E"/>
    <w:rsid w:val="0FAAB1C0"/>
    <w:rsid w:val="133EE4CC"/>
    <w:rsid w:val="19B93031"/>
    <w:rsid w:val="1C9C0630"/>
    <w:rsid w:val="212E0F70"/>
    <w:rsid w:val="2D688D99"/>
    <w:rsid w:val="305CE381"/>
    <w:rsid w:val="39D4DA55"/>
    <w:rsid w:val="3DEEB7FB"/>
    <w:rsid w:val="4A1728D8"/>
    <w:rsid w:val="4BB5487F"/>
    <w:rsid w:val="4DD40585"/>
    <w:rsid w:val="5090FDBC"/>
    <w:rsid w:val="56CFF9F2"/>
    <w:rsid w:val="5AE3A4A9"/>
    <w:rsid w:val="5ECE4B1C"/>
    <w:rsid w:val="60241F6F"/>
    <w:rsid w:val="620C7C89"/>
    <w:rsid w:val="62B7550E"/>
    <w:rsid w:val="7C4C8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5293"/>
  <w15:chartTrackingRefBased/>
  <w15:docId w15:val="{565EA316-ABD8-4ADA-A651-5BB1DAD9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909CC"/>
    <w:pPr>
      <w:keepNext/>
      <w:keepLines/>
      <w:spacing w:before="240" w:after="0" w:line="276" w:lineRule="auto"/>
      <w:outlineLvl w:val="0"/>
    </w:pPr>
    <w:rPr>
      <w:rFonts w:asciiTheme="majorHAnsi" w:hAnsiTheme="majorHAnsi" w:eastAsiaTheme="majorEastAsia" w:cstheme="majorBidi"/>
      <w:color w:val="2F5496" w:themeColor="accent1" w:themeShade="BF"/>
      <w:kern w:val="0"/>
      <w:sz w:val="32"/>
      <w:szCs w:val="32"/>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16D2"/>
    <w:pPr>
      <w:ind w:left="720"/>
      <w:contextualSpacing/>
    </w:pPr>
  </w:style>
  <w:style w:type="character" w:styleId="Heading1Char" w:customStyle="1">
    <w:name w:val="Heading 1 Char"/>
    <w:basedOn w:val="DefaultParagraphFont"/>
    <w:link w:val="Heading1"/>
    <w:uiPriority w:val="9"/>
    <w:rsid w:val="008909CC"/>
    <w:rPr>
      <w:rFonts w:asciiTheme="majorHAnsi" w:hAnsiTheme="majorHAnsi" w:eastAsiaTheme="majorEastAsia" w:cstheme="majorBidi"/>
      <w:color w:val="2F5496" w:themeColor="accent1" w:themeShade="BF"/>
      <w:kern w:val="0"/>
      <w:sz w:val="32"/>
      <w:szCs w:val="32"/>
      <w14:ligatures w14:val="none"/>
    </w:rPr>
  </w:style>
  <w:style w:type="character" w:styleId="Hyperlink">
    <w:name w:val="Hyperlink"/>
    <w:basedOn w:val="DefaultParagraphFont"/>
    <w:uiPriority w:val="99"/>
    <w:semiHidden/>
    <w:unhideWhenUsed/>
    <w:rsid w:val="00350788"/>
    <w:rPr>
      <w:color w:val="0000FF"/>
      <w:u w:val="single"/>
    </w:rPr>
  </w:style>
  <w:style w:type="character" w:styleId="FollowedHyperlink">
    <w:name w:val="FollowedHyperlink"/>
    <w:basedOn w:val="DefaultParagraphFont"/>
    <w:uiPriority w:val="99"/>
    <w:semiHidden/>
    <w:unhideWhenUsed/>
    <w:rsid w:val="00EE4065"/>
    <w:rPr>
      <w:color w:val="954F72" w:themeColor="followedHyperlink"/>
      <w:u w:val="single"/>
    </w:rPr>
  </w:style>
  <w:style w:type="table" w:styleId="TableGrid">
    <w:name w:val="Table Grid"/>
    <w:basedOn w:val="TableNormal"/>
    <w:uiPriority w:val="39"/>
    <w:rsid w:val="00C46D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32F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32FE"/>
  </w:style>
  <w:style w:type="paragraph" w:styleId="Footer">
    <w:name w:val="footer"/>
    <w:basedOn w:val="Normal"/>
    <w:link w:val="FooterChar"/>
    <w:uiPriority w:val="99"/>
    <w:unhideWhenUsed/>
    <w:rsid w:val="00EB32F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1591">
      <w:bodyDiv w:val="1"/>
      <w:marLeft w:val="0"/>
      <w:marRight w:val="0"/>
      <w:marTop w:val="0"/>
      <w:marBottom w:val="0"/>
      <w:divBdr>
        <w:top w:val="none" w:sz="0" w:space="0" w:color="auto"/>
        <w:left w:val="none" w:sz="0" w:space="0" w:color="auto"/>
        <w:bottom w:val="none" w:sz="0" w:space="0" w:color="auto"/>
        <w:right w:val="none" w:sz="0" w:space="0" w:color="auto"/>
      </w:divBdr>
    </w:div>
    <w:div w:id="161507373">
      <w:bodyDiv w:val="1"/>
      <w:marLeft w:val="0"/>
      <w:marRight w:val="0"/>
      <w:marTop w:val="0"/>
      <w:marBottom w:val="0"/>
      <w:divBdr>
        <w:top w:val="none" w:sz="0" w:space="0" w:color="auto"/>
        <w:left w:val="none" w:sz="0" w:space="0" w:color="auto"/>
        <w:bottom w:val="none" w:sz="0" w:space="0" w:color="auto"/>
        <w:right w:val="none" w:sz="0" w:space="0" w:color="auto"/>
      </w:divBdr>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589194071">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78053586">
      <w:bodyDiv w:val="1"/>
      <w:marLeft w:val="0"/>
      <w:marRight w:val="0"/>
      <w:marTop w:val="0"/>
      <w:marBottom w:val="0"/>
      <w:divBdr>
        <w:top w:val="none" w:sz="0" w:space="0" w:color="auto"/>
        <w:left w:val="none" w:sz="0" w:space="0" w:color="auto"/>
        <w:bottom w:val="none" w:sz="0" w:space="0" w:color="auto"/>
        <w:right w:val="none" w:sz="0" w:space="0" w:color="auto"/>
      </w:divBdr>
    </w:div>
    <w:div w:id="1006634401">
      <w:bodyDiv w:val="1"/>
      <w:marLeft w:val="0"/>
      <w:marRight w:val="0"/>
      <w:marTop w:val="0"/>
      <w:marBottom w:val="0"/>
      <w:divBdr>
        <w:top w:val="none" w:sz="0" w:space="0" w:color="auto"/>
        <w:left w:val="none" w:sz="0" w:space="0" w:color="auto"/>
        <w:bottom w:val="none" w:sz="0" w:space="0" w:color="auto"/>
        <w:right w:val="none" w:sz="0" w:space="0" w:color="auto"/>
      </w:divBdr>
    </w:div>
    <w:div w:id="1025206998">
      <w:bodyDiv w:val="1"/>
      <w:marLeft w:val="0"/>
      <w:marRight w:val="0"/>
      <w:marTop w:val="0"/>
      <w:marBottom w:val="0"/>
      <w:divBdr>
        <w:top w:val="none" w:sz="0" w:space="0" w:color="auto"/>
        <w:left w:val="none" w:sz="0" w:space="0" w:color="auto"/>
        <w:bottom w:val="none" w:sz="0" w:space="0" w:color="auto"/>
        <w:right w:val="none" w:sz="0" w:space="0" w:color="auto"/>
      </w:divBdr>
    </w:div>
    <w:div w:id="1264462192">
      <w:bodyDiv w:val="1"/>
      <w:marLeft w:val="0"/>
      <w:marRight w:val="0"/>
      <w:marTop w:val="0"/>
      <w:marBottom w:val="0"/>
      <w:divBdr>
        <w:top w:val="none" w:sz="0" w:space="0" w:color="auto"/>
        <w:left w:val="none" w:sz="0" w:space="0" w:color="auto"/>
        <w:bottom w:val="none" w:sz="0" w:space="0" w:color="auto"/>
        <w:right w:val="none" w:sz="0" w:space="0" w:color="auto"/>
      </w:divBdr>
    </w:div>
    <w:div w:id="1287159351">
      <w:bodyDiv w:val="1"/>
      <w:marLeft w:val="0"/>
      <w:marRight w:val="0"/>
      <w:marTop w:val="0"/>
      <w:marBottom w:val="0"/>
      <w:divBdr>
        <w:top w:val="none" w:sz="0" w:space="0" w:color="auto"/>
        <w:left w:val="none" w:sz="0" w:space="0" w:color="auto"/>
        <w:bottom w:val="none" w:sz="0" w:space="0" w:color="auto"/>
        <w:right w:val="none" w:sz="0" w:space="0" w:color="auto"/>
      </w:divBdr>
    </w:div>
    <w:div w:id="1300649662">
      <w:bodyDiv w:val="1"/>
      <w:marLeft w:val="0"/>
      <w:marRight w:val="0"/>
      <w:marTop w:val="0"/>
      <w:marBottom w:val="0"/>
      <w:divBdr>
        <w:top w:val="none" w:sz="0" w:space="0" w:color="auto"/>
        <w:left w:val="none" w:sz="0" w:space="0" w:color="auto"/>
        <w:bottom w:val="none" w:sz="0" w:space="0" w:color="auto"/>
        <w:right w:val="none" w:sz="0" w:space="0" w:color="auto"/>
      </w:divBdr>
    </w:div>
    <w:div w:id="1346252055">
      <w:bodyDiv w:val="1"/>
      <w:marLeft w:val="0"/>
      <w:marRight w:val="0"/>
      <w:marTop w:val="0"/>
      <w:marBottom w:val="0"/>
      <w:divBdr>
        <w:top w:val="none" w:sz="0" w:space="0" w:color="auto"/>
        <w:left w:val="none" w:sz="0" w:space="0" w:color="auto"/>
        <w:bottom w:val="none" w:sz="0" w:space="0" w:color="auto"/>
        <w:right w:val="none" w:sz="0" w:space="0" w:color="auto"/>
      </w:divBdr>
    </w:div>
    <w:div w:id="1378698258">
      <w:bodyDiv w:val="1"/>
      <w:marLeft w:val="0"/>
      <w:marRight w:val="0"/>
      <w:marTop w:val="0"/>
      <w:marBottom w:val="0"/>
      <w:divBdr>
        <w:top w:val="none" w:sz="0" w:space="0" w:color="auto"/>
        <w:left w:val="none" w:sz="0" w:space="0" w:color="auto"/>
        <w:bottom w:val="none" w:sz="0" w:space="0" w:color="auto"/>
        <w:right w:val="none" w:sz="0" w:space="0" w:color="auto"/>
      </w:divBdr>
    </w:div>
    <w:div w:id="1836384826">
      <w:bodyDiv w:val="1"/>
      <w:marLeft w:val="0"/>
      <w:marRight w:val="0"/>
      <w:marTop w:val="0"/>
      <w:marBottom w:val="0"/>
      <w:divBdr>
        <w:top w:val="none" w:sz="0" w:space="0" w:color="auto"/>
        <w:left w:val="none" w:sz="0" w:space="0" w:color="auto"/>
        <w:bottom w:val="none" w:sz="0" w:space="0" w:color="auto"/>
        <w:right w:val="none" w:sz="0" w:space="0" w:color="auto"/>
      </w:divBdr>
    </w:div>
    <w:div w:id="1919900438">
      <w:bodyDiv w:val="1"/>
      <w:marLeft w:val="0"/>
      <w:marRight w:val="0"/>
      <w:marTop w:val="0"/>
      <w:marBottom w:val="0"/>
      <w:divBdr>
        <w:top w:val="none" w:sz="0" w:space="0" w:color="auto"/>
        <w:left w:val="none" w:sz="0" w:space="0" w:color="auto"/>
        <w:bottom w:val="none" w:sz="0" w:space="0" w:color="auto"/>
        <w:right w:val="none" w:sz="0" w:space="0" w:color="auto"/>
      </w:divBdr>
    </w:div>
    <w:div w:id="1922637876">
      <w:bodyDiv w:val="1"/>
      <w:marLeft w:val="0"/>
      <w:marRight w:val="0"/>
      <w:marTop w:val="0"/>
      <w:marBottom w:val="0"/>
      <w:divBdr>
        <w:top w:val="none" w:sz="0" w:space="0" w:color="auto"/>
        <w:left w:val="none" w:sz="0" w:space="0" w:color="auto"/>
        <w:bottom w:val="none" w:sz="0" w:space="0" w:color="auto"/>
        <w:right w:val="none" w:sz="0" w:space="0" w:color="auto"/>
      </w:divBdr>
    </w:div>
    <w:div w:id="20126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fcfac32e36377596bb607a1d202db173">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0c05604dcbbf0758b318f89d92871d93"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AED22C-592F-4572-A3A3-61C0DEFE93B5}">
  <ds:schemaRefs>
    <ds:schemaRef ds:uri="http://schemas.openxmlformats.org/officeDocument/2006/bibliography"/>
  </ds:schemaRefs>
</ds:datastoreItem>
</file>

<file path=customXml/itemProps2.xml><?xml version="1.0" encoding="utf-8"?>
<ds:datastoreItem xmlns:ds="http://schemas.openxmlformats.org/officeDocument/2006/customXml" ds:itemID="{AD2A9D1F-4CF3-4A64-B7A8-B2E6A7DDFF5C}"/>
</file>

<file path=customXml/itemProps3.xml><?xml version="1.0" encoding="utf-8"?>
<ds:datastoreItem xmlns:ds="http://schemas.openxmlformats.org/officeDocument/2006/customXml" ds:itemID="{B3170008-1AF2-4474-B25C-5E47FBF34793}"/>
</file>

<file path=customXml/itemProps4.xml><?xml version="1.0" encoding="utf-8"?>
<ds:datastoreItem xmlns:ds="http://schemas.openxmlformats.org/officeDocument/2006/customXml" ds:itemID="{D3FB48B4-8058-4C5F-B0B4-D221571E53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Sagna, Lamine (EOHLC)</dc:creator>
  <keywords/>
  <dc:description/>
  <lastModifiedBy>Byron, Karen (EOHLC)</lastModifiedBy>
  <revision>85</revision>
  <dcterms:created xsi:type="dcterms:W3CDTF">2024-05-21T18:21:00.0000000Z</dcterms:created>
  <dcterms:modified xsi:type="dcterms:W3CDTF">2024-06-10T15:22:59.7738603Z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y fmtid="{D5CDD505-2E9C-101B-9397-08002B2CF9AE}" pid="3" name="MediaServiceImageTags">
    <vt:lpwstr/>
  </property>
</Properties>
</file>