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22796" w:rsidR="00AA5FA9" w:rsidP="00F22796" w:rsidRDefault="008B4B14" w14:paraId="721B8E52" w14:textId="2C6AEAC6">
      <w:pPr>
        <w:spacing w:after="0" w:line="240" w:lineRule="auto"/>
        <w:jc w:val="center"/>
        <w:rPr>
          <w:sz w:val="28"/>
          <w:szCs w:val="28"/>
        </w:rPr>
      </w:pPr>
      <w:r w:rsidRPr="00F22796">
        <w:rPr>
          <w:sz w:val="28"/>
          <w:szCs w:val="28"/>
        </w:rPr>
        <w:t>MA-516 Reallocation Policy</w:t>
      </w:r>
    </w:p>
    <w:p w:rsidR="008B4B14" w:rsidP="00F22796" w:rsidRDefault="00F22796" w14:paraId="2BFD7A09" w14:textId="60FF6C6B">
      <w:pPr>
        <w:spacing w:after="0" w:line="240" w:lineRule="auto"/>
        <w:jc w:val="center"/>
        <w:rPr>
          <w:sz w:val="28"/>
          <w:szCs w:val="28"/>
        </w:rPr>
      </w:pPr>
      <w:r w:rsidRPr="00F22796">
        <w:rPr>
          <w:sz w:val="28"/>
          <w:szCs w:val="28"/>
        </w:rPr>
        <w:t>2024</w:t>
      </w:r>
    </w:p>
    <w:p w:rsidR="007A0628" w:rsidP="00F22796" w:rsidRDefault="007A0628" w14:paraId="709873C3" w14:textId="77777777">
      <w:pPr>
        <w:spacing w:after="0" w:line="240" w:lineRule="auto"/>
        <w:jc w:val="center"/>
        <w:rPr>
          <w:sz w:val="28"/>
          <w:szCs w:val="28"/>
        </w:rPr>
      </w:pPr>
    </w:p>
    <w:p w:rsidR="00F62B19" w:rsidP="007A0628" w:rsidRDefault="00F62B19" w14:paraId="706B2B5D" w14:textId="77777777">
      <w:pPr>
        <w:spacing w:after="0" w:line="240" w:lineRule="auto"/>
        <w:rPr>
          <w:b/>
          <w:bCs/>
          <w:szCs w:val="28"/>
        </w:rPr>
      </w:pPr>
    </w:p>
    <w:p w:rsidR="007A0628" w:rsidP="007A0628" w:rsidRDefault="007A0628" w14:paraId="20829FDA" w14:textId="166D0BD2">
      <w:pPr>
        <w:spacing w:after="0" w:line="240" w:lineRule="auto"/>
        <w:rPr>
          <w:b/>
          <w:bCs/>
          <w:szCs w:val="28"/>
        </w:rPr>
      </w:pPr>
      <w:r>
        <w:rPr>
          <w:b/>
          <w:bCs/>
          <w:szCs w:val="28"/>
        </w:rPr>
        <w:t>Background</w:t>
      </w:r>
    </w:p>
    <w:p w:rsidR="00E436ED" w:rsidP="007A0628" w:rsidRDefault="00A46AA1" w14:paraId="26C24901" w14:textId="77777777">
      <w:pPr>
        <w:spacing w:after="0" w:line="240" w:lineRule="auto"/>
        <w:rPr>
          <w:rFonts w:cstheme="minorHAnsi"/>
          <w:szCs w:val="24"/>
        </w:rPr>
      </w:pPr>
      <w:r w:rsidRPr="00614D59">
        <w:rPr>
          <w:rFonts w:cstheme="minorHAnsi"/>
          <w:szCs w:val="24"/>
        </w:rPr>
        <w:t xml:space="preserve">The Massachusetts Balance of State Continuum of Care, MA-516, (BoS CoC), </w:t>
      </w:r>
      <w:r w:rsidRPr="00614D59" w:rsidR="008F2BE5">
        <w:rPr>
          <w:rFonts w:cstheme="minorHAnsi"/>
          <w:szCs w:val="24"/>
        </w:rPr>
        <w:t xml:space="preserve">is committed to maximizing the resources available </w:t>
      </w:r>
      <w:r w:rsidRPr="00614D59" w:rsidR="005E4571">
        <w:rPr>
          <w:rFonts w:cstheme="minorHAnsi"/>
          <w:szCs w:val="24"/>
        </w:rPr>
        <w:t>to serve those who are homeless to ensure it is rare, brief, and non-re</w:t>
      </w:r>
      <w:r w:rsidRPr="00614D59" w:rsidR="002A11BA">
        <w:rPr>
          <w:rFonts w:cstheme="minorHAnsi"/>
          <w:szCs w:val="24"/>
        </w:rPr>
        <w:t>oc</w:t>
      </w:r>
      <w:r w:rsidRPr="00614D59" w:rsidR="005E4571">
        <w:rPr>
          <w:rFonts w:cstheme="minorHAnsi"/>
          <w:szCs w:val="24"/>
        </w:rPr>
        <w:t>curring.</w:t>
      </w:r>
      <w:r w:rsidRPr="00614D59" w:rsidR="00C17001">
        <w:rPr>
          <w:rFonts w:cstheme="minorHAnsi"/>
          <w:szCs w:val="24"/>
        </w:rPr>
        <w:t xml:space="preserve"> One of the mechanisms for achieving t</w:t>
      </w:r>
      <w:r w:rsidRPr="00614D59" w:rsidR="000A29EF">
        <w:rPr>
          <w:rFonts w:cstheme="minorHAnsi"/>
          <w:szCs w:val="24"/>
        </w:rPr>
        <w:t xml:space="preserve">hat is through the reallocation process. </w:t>
      </w:r>
    </w:p>
    <w:p w:rsidR="00E436ED" w:rsidP="007A0628" w:rsidRDefault="00E436ED" w14:paraId="2E80B8A1" w14:textId="77777777">
      <w:pPr>
        <w:spacing w:after="0" w:line="240" w:lineRule="auto"/>
        <w:rPr>
          <w:rFonts w:cstheme="minorHAnsi"/>
          <w:szCs w:val="24"/>
        </w:rPr>
      </w:pPr>
    </w:p>
    <w:p w:rsidRPr="00614D59" w:rsidR="00A46AA1" w:rsidP="007A0628" w:rsidRDefault="00D775C9" w14:paraId="579408B4" w14:textId="7AF95E96">
      <w:pPr>
        <w:spacing w:after="0" w:line="240" w:lineRule="auto"/>
        <w:rPr>
          <w:rFonts w:cstheme="minorHAnsi"/>
          <w:szCs w:val="24"/>
        </w:rPr>
      </w:pPr>
      <w:r w:rsidRPr="00614D59">
        <w:rPr>
          <w:rFonts w:eastAsia="Calibri" w:cstheme="minorHAnsi"/>
          <w:szCs w:val="24"/>
        </w:rPr>
        <w:t>Reallocation is a strategy encouraged by HUD to allow a CoC to shift funds in whole or in part from existing CoC-funded projects that are eligible for renewal, to create one or more new projects</w:t>
      </w:r>
      <w:r w:rsidR="007B38CB">
        <w:rPr>
          <w:rFonts w:eastAsia="Calibri" w:cstheme="minorHAnsi"/>
          <w:szCs w:val="24"/>
        </w:rPr>
        <w:t>.</w:t>
      </w:r>
      <w:r w:rsidRPr="00614D59">
        <w:rPr>
          <w:rFonts w:cstheme="minorHAnsi"/>
          <w:szCs w:val="24"/>
        </w:rPr>
        <w:t xml:space="preserve"> </w:t>
      </w:r>
      <w:r w:rsidRPr="00614D59" w:rsidR="00381991">
        <w:rPr>
          <w:rFonts w:cstheme="minorHAnsi"/>
          <w:szCs w:val="24"/>
        </w:rPr>
        <w:t>Project reallocation may be voluntary, involuntary, or part of a process to transition the existing grant to a more appropriate model.</w:t>
      </w:r>
      <w:r w:rsidRPr="00614D59" w:rsidR="005E4571">
        <w:rPr>
          <w:rFonts w:cstheme="minorHAnsi"/>
          <w:szCs w:val="24"/>
        </w:rPr>
        <w:t xml:space="preserve"> </w:t>
      </w:r>
    </w:p>
    <w:p w:rsidR="00181CC8" w:rsidP="007A0628" w:rsidRDefault="00181CC8" w14:paraId="2082CDE0" w14:textId="77777777">
      <w:pPr>
        <w:spacing w:after="0" w:line="240" w:lineRule="auto"/>
        <w:rPr>
          <w:szCs w:val="28"/>
        </w:rPr>
      </w:pPr>
    </w:p>
    <w:p w:rsidR="00181CC8" w:rsidP="465A8318" w:rsidRDefault="00181CC8" w14:paraId="686FF434" w14:textId="2B0D44F2">
      <w:pPr>
        <w:spacing w:after="0" w:line="240" w:lineRule="auto"/>
      </w:pPr>
      <w:r w:rsidR="00181CC8">
        <w:rPr/>
        <w:t xml:space="preserve">This policy outlines the approach the BoS CoC will use in implementing </w:t>
      </w:r>
      <w:r w:rsidR="00907B1B">
        <w:rPr/>
        <w:t xml:space="preserve">reallocation. It will be updated annually to be reflective of guidance in the most recent HUD Notice of Funding </w:t>
      </w:r>
      <w:r w:rsidR="380015A7">
        <w:rPr/>
        <w:t>Opportunity</w:t>
      </w:r>
      <w:r w:rsidR="00907B1B">
        <w:rPr/>
        <w:t xml:space="preserve"> (NOFO).</w:t>
      </w:r>
    </w:p>
    <w:p w:rsidR="00B63C1E" w:rsidP="007A0628" w:rsidRDefault="00B63C1E" w14:paraId="0548F92D" w14:textId="77777777">
      <w:pPr>
        <w:spacing w:after="0" w:line="240" w:lineRule="auto"/>
        <w:rPr>
          <w:szCs w:val="28"/>
        </w:rPr>
      </w:pPr>
    </w:p>
    <w:p w:rsidRPr="00B63C1E" w:rsidR="00B63C1E" w:rsidP="007A0628" w:rsidRDefault="00B63C1E" w14:paraId="78244571" w14:textId="3CBBA90F">
      <w:pPr>
        <w:spacing w:after="0" w:line="240" w:lineRule="auto"/>
        <w:rPr>
          <w:b/>
          <w:bCs/>
          <w:szCs w:val="28"/>
        </w:rPr>
      </w:pPr>
      <w:r>
        <w:rPr>
          <w:b/>
          <w:bCs/>
          <w:szCs w:val="28"/>
        </w:rPr>
        <w:t>Definition</w:t>
      </w:r>
      <w:r w:rsidR="00130D93">
        <w:rPr>
          <w:b/>
          <w:bCs/>
          <w:szCs w:val="28"/>
        </w:rPr>
        <w:t xml:space="preserve"> per FY23 NOFO</w:t>
      </w:r>
    </w:p>
    <w:p w:rsidR="00455B96" w:rsidP="00B63C1E" w:rsidRDefault="00B63C1E" w14:paraId="54EE64DB" w14:textId="44875680">
      <w:pPr>
        <w:spacing w:after="0" w:line="240" w:lineRule="auto"/>
        <w:rPr>
          <w:szCs w:val="28"/>
        </w:rPr>
      </w:pPr>
      <w:r w:rsidRPr="00B63C1E">
        <w:rPr>
          <w:szCs w:val="28"/>
        </w:rPr>
        <w:t>Reallocation is a process CoCs use to shift funds in whole or in part from</w:t>
      </w:r>
      <w:r w:rsidR="00C7351F">
        <w:rPr>
          <w:szCs w:val="28"/>
        </w:rPr>
        <w:t xml:space="preserve"> </w:t>
      </w:r>
      <w:r w:rsidRPr="00B63C1E">
        <w:rPr>
          <w:szCs w:val="28"/>
        </w:rPr>
        <w:t xml:space="preserve">existing eligible </w:t>
      </w:r>
      <w:r w:rsidR="00C7351F">
        <w:rPr>
          <w:szCs w:val="28"/>
        </w:rPr>
        <w:t>r</w:t>
      </w:r>
      <w:r w:rsidRPr="00B63C1E">
        <w:rPr>
          <w:szCs w:val="28"/>
        </w:rPr>
        <w:t>enewal projects to create one or more new projects without decreasing the</w:t>
      </w:r>
      <w:r w:rsidR="008E6B26">
        <w:rPr>
          <w:szCs w:val="28"/>
        </w:rPr>
        <w:t xml:space="preserve"> </w:t>
      </w:r>
      <w:r w:rsidRPr="00B63C1E">
        <w:rPr>
          <w:szCs w:val="28"/>
        </w:rPr>
        <w:t xml:space="preserve">CoC’s </w:t>
      </w:r>
      <w:r w:rsidR="00C7351F">
        <w:rPr>
          <w:szCs w:val="28"/>
        </w:rPr>
        <w:t>Annual Renewal Demand (</w:t>
      </w:r>
      <w:r w:rsidRPr="00B63C1E">
        <w:rPr>
          <w:szCs w:val="28"/>
        </w:rPr>
        <w:t>ARD</w:t>
      </w:r>
      <w:r w:rsidR="00C7351F">
        <w:rPr>
          <w:szCs w:val="28"/>
        </w:rPr>
        <w:t>)</w:t>
      </w:r>
      <w:r w:rsidRPr="00B63C1E">
        <w:rPr>
          <w:szCs w:val="28"/>
        </w:rPr>
        <w:t xml:space="preserve">. New projects created through reallocation must meet </w:t>
      </w:r>
      <w:r w:rsidR="00130D93">
        <w:rPr>
          <w:szCs w:val="28"/>
        </w:rPr>
        <w:t>t</w:t>
      </w:r>
      <w:r w:rsidRPr="00B63C1E">
        <w:rPr>
          <w:szCs w:val="28"/>
        </w:rPr>
        <w:t xml:space="preserve">he </w:t>
      </w:r>
      <w:r w:rsidR="00614D59">
        <w:rPr>
          <w:szCs w:val="28"/>
        </w:rPr>
        <w:t>r</w:t>
      </w:r>
      <w:r w:rsidRPr="00B63C1E">
        <w:rPr>
          <w:szCs w:val="28"/>
        </w:rPr>
        <w:t>equirements in</w:t>
      </w:r>
      <w:r w:rsidR="00130D93">
        <w:rPr>
          <w:szCs w:val="28"/>
        </w:rPr>
        <w:t xml:space="preserve"> </w:t>
      </w:r>
      <w:r w:rsidRPr="00B63C1E">
        <w:rPr>
          <w:szCs w:val="28"/>
        </w:rPr>
        <w:t>section I.B.3.a, III.B.4.b.(3) and the project eligibility and project quality thresholds</w:t>
      </w:r>
      <w:r w:rsidR="00CD0490">
        <w:rPr>
          <w:szCs w:val="28"/>
        </w:rPr>
        <w:t xml:space="preserve"> </w:t>
      </w:r>
      <w:r w:rsidRPr="00B63C1E">
        <w:rPr>
          <w:szCs w:val="28"/>
        </w:rPr>
        <w:t xml:space="preserve">established in sections III.C.5.b. and c. of </w:t>
      </w:r>
      <w:r w:rsidR="00F639FC">
        <w:rPr>
          <w:szCs w:val="28"/>
        </w:rPr>
        <w:t>[the FY23]</w:t>
      </w:r>
      <w:r w:rsidR="00705A25">
        <w:rPr>
          <w:szCs w:val="28"/>
        </w:rPr>
        <w:t xml:space="preserve"> </w:t>
      </w:r>
      <w:r w:rsidRPr="00B63C1E">
        <w:rPr>
          <w:szCs w:val="28"/>
        </w:rPr>
        <w:t xml:space="preserve">NOFO. </w:t>
      </w:r>
    </w:p>
    <w:p w:rsidR="00455B96" w:rsidP="00B63C1E" w:rsidRDefault="00455B96" w14:paraId="0CFBDEE5" w14:textId="77777777">
      <w:pPr>
        <w:spacing w:after="0" w:line="240" w:lineRule="auto"/>
        <w:rPr>
          <w:szCs w:val="28"/>
        </w:rPr>
      </w:pPr>
    </w:p>
    <w:p w:rsidR="00455B96" w:rsidP="00B63C1E" w:rsidRDefault="00B63C1E" w14:paraId="3C3816C5" w14:textId="77777777">
      <w:pPr>
        <w:spacing w:after="0" w:line="240" w:lineRule="auto"/>
        <w:rPr>
          <w:szCs w:val="28"/>
        </w:rPr>
      </w:pPr>
      <w:r w:rsidRPr="00B63C1E">
        <w:rPr>
          <w:szCs w:val="28"/>
        </w:rPr>
        <w:t xml:space="preserve">CoCs may only reallocate </w:t>
      </w:r>
      <w:r w:rsidR="00CD0490">
        <w:rPr>
          <w:szCs w:val="28"/>
        </w:rPr>
        <w:t>e</w:t>
      </w:r>
      <w:r w:rsidRPr="00B63C1E">
        <w:rPr>
          <w:szCs w:val="28"/>
        </w:rPr>
        <w:t>ligible</w:t>
      </w:r>
      <w:r w:rsidR="00CD0490">
        <w:rPr>
          <w:szCs w:val="28"/>
        </w:rPr>
        <w:t xml:space="preserve"> </w:t>
      </w:r>
      <w:r w:rsidRPr="00B63C1E">
        <w:rPr>
          <w:szCs w:val="28"/>
        </w:rPr>
        <w:t xml:space="preserve">renewal projects that HUD previously renewed during a CoC Program competition. </w:t>
      </w:r>
    </w:p>
    <w:p w:rsidR="00455B96" w:rsidP="00B63C1E" w:rsidRDefault="00455B96" w14:paraId="6D0D4912" w14:textId="77777777">
      <w:pPr>
        <w:spacing w:after="0" w:line="240" w:lineRule="auto"/>
        <w:rPr>
          <w:szCs w:val="28"/>
        </w:rPr>
      </w:pPr>
    </w:p>
    <w:p w:rsidRPr="00B63C1E" w:rsidR="00B63C1E" w:rsidP="00B63C1E" w:rsidRDefault="00B63C1E" w14:paraId="7CDC41BD" w14:textId="735A5F77">
      <w:pPr>
        <w:spacing w:after="0" w:line="240" w:lineRule="auto"/>
        <w:rPr>
          <w:szCs w:val="28"/>
        </w:rPr>
      </w:pPr>
      <w:r w:rsidRPr="00B63C1E">
        <w:rPr>
          <w:szCs w:val="28"/>
        </w:rPr>
        <w:t>To</w:t>
      </w:r>
      <w:r w:rsidR="00455B96">
        <w:rPr>
          <w:szCs w:val="28"/>
        </w:rPr>
        <w:t xml:space="preserve"> </w:t>
      </w:r>
      <w:r w:rsidRPr="00B63C1E">
        <w:rPr>
          <w:szCs w:val="28"/>
        </w:rPr>
        <w:t>create a Transition Grant through the reallocation process, the CoC must wholly eliminate</w:t>
      </w:r>
    </w:p>
    <w:p w:rsidRPr="00B63C1E" w:rsidR="00B63C1E" w:rsidP="00B63C1E" w:rsidRDefault="00B63C1E" w14:paraId="28D2F39C" w14:textId="77777777">
      <w:pPr>
        <w:spacing w:after="0" w:line="240" w:lineRule="auto"/>
        <w:rPr>
          <w:szCs w:val="28"/>
        </w:rPr>
      </w:pPr>
      <w:r w:rsidRPr="00B63C1E">
        <w:rPr>
          <w:szCs w:val="28"/>
        </w:rPr>
        <w:t>one or more projects and use those funds to create the single, new transition grant [see</w:t>
      </w:r>
    </w:p>
    <w:p w:rsidR="00F62B19" w:rsidP="465A8318" w:rsidRDefault="00F62B19" w14:paraId="321AA373" w14:textId="041D58EE">
      <w:pPr>
        <w:spacing w:after="0" w:line="240" w:lineRule="auto"/>
        <w:rPr>
          <w:i w:val="1"/>
          <w:iCs w:val="1"/>
        </w:rPr>
      </w:pPr>
      <w:r w:rsidR="00B63C1E">
        <w:rPr/>
        <w:t>section I.B.2.b.(30) of this NOFO].</w:t>
      </w:r>
      <w:r w:rsidR="00F656BD">
        <w:rPr/>
        <w:t xml:space="preserve"> </w:t>
      </w:r>
      <w:r w:rsidRPr="465A8318" w:rsidR="00F656BD">
        <w:rPr>
          <w:i w:val="1"/>
          <w:iCs w:val="1"/>
        </w:rPr>
        <w:t xml:space="preserve">A </w:t>
      </w:r>
      <w:r w:rsidRPr="465A8318" w:rsidR="007C7B28">
        <w:rPr>
          <w:i w:val="1"/>
          <w:iCs w:val="1"/>
        </w:rPr>
        <w:t>Transition Grant</w:t>
      </w:r>
      <w:r w:rsidRPr="465A8318" w:rsidR="00F656BD">
        <w:rPr>
          <w:i w:val="1"/>
          <w:iCs w:val="1"/>
        </w:rPr>
        <w:t xml:space="preserve"> </w:t>
      </w:r>
      <w:r w:rsidRPr="465A8318" w:rsidR="00877125">
        <w:rPr>
          <w:i w:val="1"/>
          <w:iCs w:val="1"/>
        </w:rPr>
        <w:t xml:space="preserve">creates </w:t>
      </w:r>
      <w:r w:rsidRPr="465A8318" w:rsidR="007C7B28">
        <w:rPr>
          <w:i w:val="1"/>
          <w:iCs w:val="1"/>
        </w:rPr>
        <w:t>a new CoC project to transition an eligible renewal</w:t>
      </w:r>
      <w:r w:rsidRPr="465A8318" w:rsidR="006321CA">
        <w:rPr>
          <w:i w:val="1"/>
          <w:iCs w:val="1"/>
        </w:rPr>
        <w:t xml:space="preserve"> </w:t>
      </w:r>
      <w:r w:rsidRPr="465A8318" w:rsidR="007C7B28">
        <w:rPr>
          <w:i w:val="1"/>
          <w:iCs w:val="1"/>
        </w:rPr>
        <w:t xml:space="preserve">project being eliminated through reallocation from one program </w:t>
      </w:r>
      <w:r w:rsidRPr="465A8318" w:rsidR="007C7B28">
        <w:rPr>
          <w:i w:val="1"/>
          <w:iCs w:val="1"/>
        </w:rPr>
        <w:t>component</w:t>
      </w:r>
      <w:r w:rsidRPr="465A8318" w:rsidR="007C7B28">
        <w:rPr>
          <w:i w:val="1"/>
          <w:iCs w:val="1"/>
        </w:rPr>
        <w:t xml:space="preserve"> to another</w:t>
      </w:r>
      <w:r w:rsidRPr="465A8318" w:rsidR="006321CA">
        <w:rPr>
          <w:i w:val="1"/>
          <w:iCs w:val="1"/>
        </w:rPr>
        <w:t xml:space="preserve"> </w:t>
      </w:r>
      <w:r w:rsidRPr="465A8318" w:rsidR="007C7B28">
        <w:rPr>
          <w:i w:val="1"/>
          <w:iCs w:val="1"/>
        </w:rPr>
        <w:t xml:space="preserve">eligible new </w:t>
      </w:r>
      <w:r w:rsidRPr="465A8318" w:rsidR="007C7B28">
        <w:rPr>
          <w:i w:val="1"/>
          <w:iCs w:val="1"/>
        </w:rPr>
        <w:t>component</w:t>
      </w:r>
      <w:r w:rsidRPr="465A8318" w:rsidR="007C7B28">
        <w:rPr>
          <w:i w:val="1"/>
          <w:iCs w:val="1"/>
        </w:rPr>
        <w:t xml:space="preserve"> over a 1-year period. </w:t>
      </w:r>
    </w:p>
    <w:p w:rsidR="00F62B19" w:rsidP="007C7B28" w:rsidRDefault="00F62B19" w14:paraId="06C5255D" w14:textId="77777777">
      <w:pPr>
        <w:spacing w:after="0" w:line="240" w:lineRule="auto"/>
        <w:rPr>
          <w:b/>
          <w:bCs/>
          <w:szCs w:val="28"/>
        </w:rPr>
      </w:pPr>
    </w:p>
    <w:p w:rsidR="008829B3" w:rsidP="007C7B28" w:rsidRDefault="008829B3" w14:paraId="2F1B9163" w14:textId="42FD341D">
      <w:pPr>
        <w:spacing w:after="0" w:line="240" w:lineRule="auto"/>
        <w:rPr>
          <w:b/>
          <w:bCs/>
          <w:szCs w:val="28"/>
        </w:rPr>
      </w:pPr>
      <w:r>
        <w:rPr>
          <w:b/>
          <w:bCs/>
          <w:szCs w:val="28"/>
        </w:rPr>
        <w:t>Process</w:t>
      </w:r>
    </w:p>
    <w:p w:rsidR="007A2142" w:rsidP="007C7B28" w:rsidRDefault="00DF2F2A" w14:paraId="214A9BC8" w14:textId="77777777">
      <w:pPr>
        <w:spacing w:after="0" w:line="240" w:lineRule="auto"/>
        <w:rPr>
          <w:i/>
          <w:iCs/>
          <w:szCs w:val="28"/>
        </w:rPr>
      </w:pPr>
      <w:r>
        <w:rPr>
          <w:i/>
          <w:iCs/>
          <w:szCs w:val="28"/>
        </w:rPr>
        <w:t>Voluntary Reallocation-</w:t>
      </w:r>
    </w:p>
    <w:p w:rsidR="009E747F" w:rsidP="465A8318" w:rsidRDefault="009E747F" w14:paraId="4B1FDED0" w14:textId="56945144">
      <w:pPr>
        <w:pStyle w:val="Normal"/>
        <w:suppressLineNumbers w:val="0"/>
        <w:bidi w:val="0"/>
        <w:spacing w:before="0" w:beforeAutospacing="off" w:after="0" w:afterAutospacing="off" w:line="240" w:lineRule="auto"/>
        <w:ind w:left="0" w:right="0"/>
        <w:jc w:val="left"/>
      </w:pPr>
      <w:r w:rsidR="009E747F">
        <w:rPr/>
        <w:t xml:space="preserve">A subrecipient may notify </w:t>
      </w:r>
      <w:r w:rsidR="3AFFB0C8">
        <w:rPr/>
        <w:t>the CoC</w:t>
      </w:r>
      <w:r w:rsidR="009E747F">
        <w:rPr/>
        <w:t xml:space="preserve"> </w:t>
      </w:r>
      <w:r w:rsidR="009E747F">
        <w:rPr/>
        <w:t xml:space="preserve">at any time that it would like to reallocate all or part of the project </w:t>
      </w:r>
      <w:r w:rsidR="007A2142">
        <w:rPr/>
        <w:t xml:space="preserve">in the next NOFA </w:t>
      </w:r>
      <w:r w:rsidR="009E747F">
        <w:rPr/>
        <w:t xml:space="preserve">due to </w:t>
      </w:r>
      <w:r w:rsidR="009E747F">
        <w:rPr/>
        <w:t>capacity</w:t>
      </w:r>
      <w:r w:rsidR="009E747F">
        <w:rPr/>
        <w:t xml:space="preserve"> issues, need, </w:t>
      </w:r>
      <w:r w:rsidR="00151B24">
        <w:rPr/>
        <w:t xml:space="preserve">an inability to fully </w:t>
      </w:r>
      <w:r w:rsidR="00151B24">
        <w:rPr/>
        <w:t>expend</w:t>
      </w:r>
      <w:r w:rsidR="00151B24">
        <w:rPr/>
        <w:t xml:space="preserve"> funds, or other </w:t>
      </w:r>
      <w:r w:rsidR="27A07C42">
        <w:rPr/>
        <w:t>reasons.</w:t>
      </w:r>
    </w:p>
    <w:p w:rsidR="00764CE2" w:rsidP="007C7B28" w:rsidRDefault="00764CE2" w14:paraId="5626336E" w14:textId="77777777">
      <w:pPr>
        <w:spacing w:after="0" w:line="240" w:lineRule="auto"/>
        <w:rPr>
          <w:szCs w:val="28"/>
        </w:rPr>
      </w:pPr>
    </w:p>
    <w:p w:rsidR="007A2142" w:rsidP="007C7B28" w:rsidRDefault="00151B24" w14:paraId="03DAD4D2" w14:textId="77777777">
      <w:pPr>
        <w:spacing w:after="0" w:line="240" w:lineRule="auto"/>
      </w:pPr>
      <w:r w:rsidR="00151B24">
        <w:rPr/>
        <w:t xml:space="preserve">If the CoC </w:t>
      </w:r>
      <w:r w:rsidR="00151B24">
        <w:rPr/>
        <w:t>determines</w:t>
      </w:r>
      <w:r w:rsidR="00151B24">
        <w:rPr/>
        <w:t xml:space="preserve"> there is </w:t>
      </w:r>
      <w:r w:rsidR="00764CE2">
        <w:rPr/>
        <w:t xml:space="preserve">continued </w:t>
      </w:r>
      <w:r w:rsidR="00151B24">
        <w:rPr/>
        <w:t xml:space="preserve">need for the project, it may explore </w:t>
      </w:r>
      <w:r w:rsidR="00764CE2">
        <w:rPr/>
        <w:t xml:space="preserve">a change of subrecipient before a full reallocation. This is </w:t>
      </w:r>
      <w:r w:rsidR="00764CE2">
        <w:rPr/>
        <w:t>determined</w:t>
      </w:r>
      <w:r w:rsidR="00764CE2">
        <w:rPr/>
        <w:t xml:space="preserve"> on a case-by-case basis.</w:t>
      </w:r>
    </w:p>
    <w:p w:rsidR="2539540B" w:rsidP="2539540B" w:rsidRDefault="2539540B" w14:paraId="5744E55C" w14:textId="6B8A0AE8">
      <w:pPr>
        <w:pStyle w:val="Normal"/>
        <w:spacing w:after="0" w:line="240" w:lineRule="auto"/>
      </w:pPr>
    </w:p>
    <w:p w:rsidR="007A2142" w:rsidP="007C7B28" w:rsidRDefault="007A2142" w14:paraId="39509713" w14:textId="77777777">
      <w:pPr>
        <w:spacing w:after="0" w:line="240" w:lineRule="auto"/>
        <w:rPr>
          <w:szCs w:val="28"/>
        </w:rPr>
      </w:pPr>
    </w:p>
    <w:p w:rsidRPr="00DF2F2A" w:rsidR="00DF2F2A" w:rsidP="007C7B28" w:rsidRDefault="007A2142" w14:paraId="6632ED7B" w14:textId="2803FC7A">
      <w:pPr>
        <w:spacing w:after="0" w:line="240" w:lineRule="auto"/>
        <w:rPr>
          <w:szCs w:val="28"/>
        </w:rPr>
      </w:pPr>
      <w:r>
        <w:rPr>
          <w:i/>
          <w:iCs/>
          <w:szCs w:val="28"/>
        </w:rPr>
        <w:t>Involuntary Reallocation-</w:t>
      </w:r>
      <w:r w:rsidR="00764CE2">
        <w:rPr>
          <w:szCs w:val="28"/>
        </w:rPr>
        <w:t xml:space="preserve"> </w:t>
      </w:r>
    </w:p>
    <w:p w:rsidR="000B5B09" w:rsidP="007C7B28" w:rsidRDefault="005B432A" w14:paraId="081A3F50" w14:textId="1183A065">
      <w:pPr>
        <w:spacing w:after="0" w:line="240" w:lineRule="auto"/>
        <w:rPr>
          <w:szCs w:val="28"/>
        </w:rPr>
      </w:pPr>
      <w:r>
        <w:rPr>
          <w:szCs w:val="28"/>
        </w:rPr>
        <w:t xml:space="preserve">The BoS CoC carefully reviews projects </w:t>
      </w:r>
      <w:r w:rsidR="00877B58">
        <w:rPr>
          <w:szCs w:val="28"/>
        </w:rPr>
        <w:t>in partnership with the subrecipients before determining a</w:t>
      </w:r>
      <w:r w:rsidR="00F62B19">
        <w:rPr>
          <w:szCs w:val="28"/>
        </w:rPr>
        <w:t xml:space="preserve"> partial or full </w:t>
      </w:r>
      <w:r w:rsidR="00DF2F2A">
        <w:rPr>
          <w:szCs w:val="28"/>
        </w:rPr>
        <w:t>involuntary</w:t>
      </w:r>
      <w:r w:rsidR="00877B58">
        <w:rPr>
          <w:szCs w:val="28"/>
        </w:rPr>
        <w:t xml:space="preserve"> reallocation is necessary to better serve the </w:t>
      </w:r>
      <w:r w:rsidR="00814C27">
        <w:rPr>
          <w:szCs w:val="28"/>
        </w:rPr>
        <w:t xml:space="preserve">needs of those within the BoS geography. </w:t>
      </w:r>
      <w:r w:rsidR="000B5B09">
        <w:rPr>
          <w:szCs w:val="28"/>
        </w:rPr>
        <w:t>Decisions to reallocate funds are evidence-</w:t>
      </w:r>
      <w:r w:rsidR="00DF2F2A">
        <w:rPr>
          <w:szCs w:val="28"/>
        </w:rPr>
        <w:t>based and</w:t>
      </w:r>
      <w:r w:rsidR="000B5B09">
        <w:rPr>
          <w:szCs w:val="28"/>
        </w:rPr>
        <w:t xml:space="preserve"> </w:t>
      </w:r>
      <w:r w:rsidR="00C1519B">
        <w:rPr>
          <w:szCs w:val="28"/>
        </w:rPr>
        <w:t xml:space="preserve">are preceded by efforts </w:t>
      </w:r>
      <w:r w:rsidR="00691DC0">
        <w:rPr>
          <w:szCs w:val="28"/>
        </w:rPr>
        <w:t xml:space="preserve">that may include modifying </w:t>
      </w:r>
      <w:r w:rsidR="00C1519B">
        <w:rPr>
          <w:szCs w:val="28"/>
        </w:rPr>
        <w:t>the pro</w:t>
      </w:r>
      <w:r w:rsidR="00691DC0">
        <w:rPr>
          <w:szCs w:val="28"/>
        </w:rPr>
        <w:t>ject</w:t>
      </w:r>
      <w:r w:rsidR="00C1519B">
        <w:rPr>
          <w:szCs w:val="28"/>
        </w:rPr>
        <w:t xml:space="preserve"> through budget </w:t>
      </w:r>
      <w:r w:rsidR="00055396">
        <w:rPr>
          <w:szCs w:val="28"/>
        </w:rPr>
        <w:t>line-item</w:t>
      </w:r>
      <w:r w:rsidR="00C1519B">
        <w:rPr>
          <w:szCs w:val="28"/>
        </w:rPr>
        <w:t xml:space="preserve"> changes</w:t>
      </w:r>
      <w:r w:rsidR="00901B6B">
        <w:rPr>
          <w:szCs w:val="28"/>
        </w:rPr>
        <w:t xml:space="preserve">, </w:t>
      </w:r>
      <w:r w:rsidR="00691DC0">
        <w:rPr>
          <w:szCs w:val="28"/>
        </w:rPr>
        <w:t xml:space="preserve">implementing </w:t>
      </w:r>
      <w:r w:rsidR="00065985">
        <w:rPr>
          <w:szCs w:val="28"/>
        </w:rPr>
        <w:t xml:space="preserve">corrective action plans, </w:t>
      </w:r>
      <w:r w:rsidR="00691DC0">
        <w:rPr>
          <w:szCs w:val="28"/>
        </w:rPr>
        <w:t xml:space="preserve">or </w:t>
      </w:r>
      <w:r w:rsidR="00901B6B">
        <w:rPr>
          <w:szCs w:val="28"/>
        </w:rPr>
        <w:t>review</w:t>
      </w:r>
      <w:r w:rsidR="00691DC0">
        <w:rPr>
          <w:szCs w:val="28"/>
        </w:rPr>
        <w:t>ing</w:t>
      </w:r>
      <w:r w:rsidR="00901B6B">
        <w:rPr>
          <w:szCs w:val="28"/>
        </w:rPr>
        <w:t xml:space="preserve"> creative solutions with the contract coordinator, monitor, and in some cases, the BoS CoC desk officer.</w:t>
      </w:r>
    </w:p>
    <w:p w:rsidR="00D22700" w:rsidP="007C7B28" w:rsidRDefault="00D22700" w14:paraId="286D0756" w14:textId="77777777">
      <w:pPr>
        <w:spacing w:after="0" w:line="240" w:lineRule="auto"/>
        <w:rPr>
          <w:szCs w:val="28"/>
        </w:rPr>
      </w:pPr>
    </w:p>
    <w:p w:rsidR="00D22700" w:rsidP="007C7B28" w:rsidRDefault="00D22700" w14:paraId="39402AAF" w14:textId="294D09C4">
      <w:pPr>
        <w:spacing w:after="0" w:line="240" w:lineRule="auto"/>
        <w:rPr>
          <w:szCs w:val="28"/>
        </w:rPr>
      </w:pPr>
      <w:r>
        <w:rPr>
          <w:szCs w:val="28"/>
        </w:rPr>
        <w:t xml:space="preserve">Involuntary reallocation </w:t>
      </w:r>
      <w:r w:rsidR="00CD5F28">
        <w:rPr>
          <w:szCs w:val="28"/>
        </w:rPr>
        <w:t xml:space="preserve">may occur due to: </w:t>
      </w:r>
    </w:p>
    <w:p w:rsidRPr="0039357A" w:rsidR="00D22700" w:rsidP="0039357A" w:rsidRDefault="00D22700" w14:paraId="77E11FE4" w14:textId="72B3FEF1">
      <w:pPr>
        <w:pStyle w:val="ListParagraph"/>
        <w:numPr>
          <w:ilvl w:val="1"/>
          <w:numId w:val="30"/>
        </w:numPr>
        <w:spacing w:after="0" w:line="240" w:lineRule="auto"/>
        <w:rPr>
          <w:szCs w:val="28"/>
        </w:rPr>
      </w:pPr>
      <w:r w:rsidRPr="0039357A">
        <w:rPr>
          <w:szCs w:val="28"/>
        </w:rPr>
        <w:t>Chronic Underperformance</w:t>
      </w:r>
    </w:p>
    <w:p w:rsidRPr="0039357A" w:rsidR="00D22700" w:rsidP="0039357A" w:rsidRDefault="00082297" w14:paraId="5E3FB7E4" w14:textId="06D03509">
      <w:pPr>
        <w:pStyle w:val="ListParagraph"/>
        <w:numPr>
          <w:ilvl w:val="1"/>
          <w:numId w:val="30"/>
        </w:numPr>
        <w:spacing w:after="0" w:line="240" w:lineRule="auto"/>
        <w:rPr>
          <w:szCs w:val="28"/>
        </w:rPr>
      </w:pPr>
      <w:r w:rsidRPr="0039357A">
        <w:rPr>
          <w:szCs w:val="28"/>
        </w:rPr>
        <w:t>Chronic Underspending</w:t>
      </w:r>
    </w:p>
    <w:p w:rsidRPr="0039357A" w:rsidR="00082297" w:rsidP="0039357A" w:rsidRDefault="00082297" w14:paraId="085B2159" w14:textId="05F4DA24">
      <w:pPr>
        <w:pStyle w:val="ListParagraph"/>
        <w:numPr>
          <w:ilvl w:val="1"/>
          <w:numId w:val="30"/>
        </w:numPr>
        <w:spacing w:after="0" w:line="240" w:lineRule="auto"/>
        <w:rPr>
          <w:szCs w:val="28"/>
        </w:rPr>
      </w:pPr>
      <w:r w:rsidRPr="0039357A">
        <w:rPr>
          <w:szCs w:val="28"/>
        </w:rPr>
        <w:t xml:space="preserve">Regulatory non-compliance </w:t>
      </w:r>
    </w:p>
    <w:p w:rsidR="0039357A" w:rsidP="0039357A" w:rsidRDefault="0039357A" w14:paraId="7D79882B" w14:textId="766DADF4">
      <w:pPr>
        <w:pStyle w:val="ListParagraph"/>
        <w:numPr>
          <w:ilvl w:val="1"/>
          <w:numId w:val="30"/>
        </w:numPr>
        <w:spacing w:after="0" w:line="240" w:lineRule="auto"/>
        <w:rPr>
          <w:szCs w:val="28"/>
        </w:rPr>
      </w:pPr>
      <w:r w:rsidRPr="0039357A">
        <w:rPr>
          <w:szCs w:val="28"/>
        </w:rPr>
        <w:t>A determination that the project no longer meets the needs of the homeless population served within the BoS CoC geographic area</w:t>
      </w:r>
    </w:p>
    <w:p w:rsidR="00B101D4" w:rsidP="00B101D4" w:rsidRDefault="00B101D4" w14:paraId="40F11678" w14:textId="77777777">
      <w:pPr>
        <w:spacing w:after="0" w:line="240" w:lineRule="auto"/>
        <w:rPr>
          <w:szCs w:val="28"/>
        </w:rPr>
      </w:pPr>
    </w:p>
    <w:p w:rsidR="08A3C63D" w:rsidP="465A8318" w:rsidRDefault="08A3C63D" w14:noSpellErr="1" w14:paraId="223F54A4" w14:textId="52BCD7C2">
      <w:pPr>
        <w:spacing w:after="0" w:line="240" w:lineRule="auto"/>
        <w:rPr>
          <w:u w:val="single"/>
        </w:rPr>
      </w:pPr>
      <w:r w:rsidRPr="465A8318" w:rsidR="08A3C63D">
        <w:rPr>
          <w:u w:val="single"/>
        </w:rPr>
        <w:t>Chronic Underperformance</w:t>
      </w:r>
    </w:p>
    <w:p xmlns:wp14="http://schemas.microsoft.com/office/word/2010/wordml" w:rsidR="08A3C63D" w:rsidP="465A8318" w:rsidRDefault="08A3C63D" w14:noSpellErr="1" w14:paraId="3C596931" wp14:textId="77777777">
      <w:pPr>
        <w:spacing w:after="0" w:line="240" w:lineRule="auto"/>
      </w:pPr>
      <w:r w:rsidR="08A3C63D">
        <w:rPr/>
        <w:t xml:space="preserve">The CoC Monitoring Lead works with the CE and HMIS Leads to review vacancy ratios in CoC projects on a quarterly basis. </w:t>
      </w:r>
    </w:p>
    <w:p xmlns:wp14="http://schemas.microsoft.com/office/word/2010/wordml" w:rsidR="465A8318" w:rsidP="465A8318" w:rsidRDefault="465A8318" w14:noSpellErr="1" w14:paraId="6AF8E7D0" wp14:textId="77777777">
      <w:pPr>
        <w:spacing w:after="0" w:line="240" w:lineRule="auto"/>
      </w:pPr>
    </w:p>
    <w:p w:rsidR="08A3C63D" w:rsidP="465A8318" w:rsidRDefault="08A3C63D" w14:noSpellErr="1" w14:paraId="59D6928B" w14:textId="159D62C4">
      <w:pPr>
        <w:spacing w:after="0" w:line="240" w:lineRule="auto"/>
      </w:pPr>
      <w:r w:rsidR="08A3C63D">
        <w:rPr/>
        <w:t>If a leasing project has a vacancy rate of 20% or more, the Monitoring and CE Leads will meet with the project to identify any barriers to 100% utilization, and work to identify solutions.</w:t>
      </w:r>
    </w:p>
    <w:p xmlns:wp14="http://schemas.microsoft.com/office/word/2010/wordml" w:rsidR="465A8318" w:rsidP="465A8318" w:rsidRDefault="465A8318" w14:noSpellErr="1" w14:paraId="66CF85B7" wp14:textId="77777777">
      <w:pPr>
        <w:spacing w:after="0" w:line="240" w:lineRule="auto"/>
      </w:pPr>
    </w:p>
    <w:p w:rsidR="08A3C63D" w:rsidP="465A8318" w:rsidRDefault="08A3C63D" w14:noSpellErr="1" w14:paraId="501EACD8" w14:textId="0F20D069">
      <w:pPr>
        <w:spacing w:after="0" w:line="240" w:lineRule="auto"/>
      </w:pPr>
      <w:r w:rsidR="08A3C63D">
        <w:rPr/>
        <w:t>If a rental assistance project has a vacancy rate of 20% or more, the Monitoring and CE Leads will meet with the project to identify any barriers to 100% utilization, and work to identify solutions.</w:t>
      </w:r>
    </w:p>
    <w:p xmlns:wp14="http://schemas.microsoft.com/office/word/2010/wordml" w:rsidR="465A8318" w:rsidP="465A8318" w:rsidRDefault="465A8318" w14:noSpellErr="1" w14:paraId="11FB254B" wp14:textId="77777777">
      <w:pPr>
        <w:spacing w:after="0" w:line="240" w:lineRule="auto"/>
      </w:pPr>
    </w:p>
    <w:p w:rsidR="08A3C63D" w:rsidP="465A8318" w:rsidRDefault="08A3C63D" w14:noSpellErr="1" w14:paraId="3B24F9F3" w14:textId="4E8D5EEA">
      <w:pPr>
        <w:spacing w:after="0" w:line="240" w:lineRule="auto"/>
      </w:pPr>
      <w:r w:rsidR="08A3C63D">
        <w:rPr/>
        <w:t xml:space="preserve">If the project needs a budget line-item modification, or there are issues with the project design, the Contract Coordinator and BoS CoC Lead will be included in discussions to create strategies. </w:t>
      </w:r>
    </w:p>
    <w:p xmlns:wp14="http://schemas.microsoft.com/office/word/2010/wordml" w:rsidR="465A8318" w:rsidP="465A8318" w:rsidRDefault="465A8318" w14:noSpellErr="1" w14:paraId="74E197C8" wp14:textId="77777777">
      <w:pPr>
        <w:spacing w:after="0" w:line="240" w:lineRule="auto"/>
      </w:pPr>
    </w:p>
    <w:p w:rsidR="08A3C63D" w:rsidP="465A8318" w:rsidRDefault="08A3C63D" w14:noSpellErr="1" w14:paraId="3CED9958" w14:textId="06F261AB">
      <w:pPr>
        <w:spacing w:after="0" w:line="240" w:lineRule="auto"/>
      </w:pPr>
      <w:r w:rsidR="08A3C63D">
        <w:rPr/>
        <w:t>If vacancy rates haven’t improved when the annual monitoring is undertaken, it may result in a concern or finding, and the Monitoring Lead will develop a corrective action plan for the subrecipient and work with them over the next year to ensure implementation.</w:t>
      </w:r>
    </w:p>
    <w:p xmlns:wp14="http://schemas.microsoft.com/office/word/2010/wordml" w:rsidR="465A8318" w:rsidP="465A8318" w:rsidRDefault="465A8318" w14:noSpellErr="1" w14:paraId="74867D86" wp14:textId="77777777">
      <w:pPr>
        <w:spacing w:after="0" w:line="240" w:lineRule="auto"/>
      </w:pPr>
    </w:p>
    <w:p w:rsidR="08A3C63D" w:rsidP="465A8318" w:rsidRDefault="08A3C63D" w14:noSpellErr="1" w14:paraId="045B82F2" w14:textId="287DAD02">
      <w:pPr>
        <w:spacing w:after="0" w:line="240" w:lineRule="auto"/>
      </w:pPr>
      <w:r w:rsidR="08A3C63D">
        <w:rPr/>
        <w:t>If a project continues to underperform over a 3-year period, it will be subject to partial or full reallocation.</w:t>
      </w:r>
    </w:p>
    <w:p w:rsidR="465A8318" w:rsidP="465A8318" w:rsidRDefault="465A8318" w14:paraId="615B6D19" w14:textId="58AF8344">
      <w:pPr>
        <w:pStyle w:val="Normal"/>
        <w:spacing w:after="0" w:line="240" w:lineRule="auto"/>
        <w:rPr>
          <w:u w:val="single"/>
        </w:rPr>
      </w:pPr>
    </w:p>
    <w:p w:rsidR="00A52CFB" w:rsidP="00A52CFB" w:rsidRDefault="00A52CFB" w14:paraId="112F9342" w14:textId="77777777">
      <w:pPr>
        <w:spacing w:after="0" w:line="240" w:lineRule="auto"/>
        <w:rPr>
          <w:szCs w:val="28"/>
          <w:u w:val="single"/>
        </w:rPr>
      </w:pPr>
      <w:r>
        <w:rPr>
          <w:szCs w:val="28"/>
          <w:u w:val="single"/>
        </w:rPr>
        <w:t>Chronic Underspending</w:t>
      </w:r>
    </w:p>
    <w:p w:rsidR="00A52CFB" w:rsidP="00A52CFB" w:rsidRDefault="00A52CFB" w14:paraId="6931129B" w14:textId="77777777">
      <w:pPr>
        <w:spacing w:after="0" w:line="240" w:lineRule="auto"/>
        <w:rPr>
          <w:szCs w:val="28"/>
        </w:rPr>
      </w:pPr>
      <w:r>
        <w:rPr>
          <w:szCs w:val="28"/>
        </w:rPr>
        <w:t>EOHLC staff who manage and monitor CoC contracts and projects review funding expenditures on a regular basis to minimize the need to revert funding to HUD. Any funding reverted specifically under a leasing or rental assistance line is returned to the US Treasury and is completely lost as a resource to serve the most vulnerable households in the CoC.</w:t>
      </w:r>
    </w:p>
    <w:p w:rsidR="00A52CFB" w:rsidP="00A52CFB" w:rsidRDefault="00A52CFB" w14:paraId="1AA3B707" w14:textId="77777777">
      <w:pPr>
        <w:spacing w:after="0" w:line="240" w:lineRule="auto"/>
        <w:rPr>
          <w:szCs w:val="28"/>
        </w:rPr>
      </w:pPr>
    </w:p>
    <w:p w:rsidR="00A52CFB" w:rsidP="00A52CFB" w:rsidRDefault="00A52CFB" w14:paraId="15B13E8B" w14:textId="229E91CA">
      <w:pPr>
        <w:spacing w:after="0" w:line="240" w:lineRule="auto"/>
      </w:pPr>
      <w:r>
        <w:t>If a project is identified as a slow spender, (one that is not within 10% of the contract spending projection during a quarterly review), the Contract Coordinator and CoC Monitoring Lead will meet with the project to review any challenges the project may be facing. During this meeting, possible solutions will be reviewed</w:t>
      </w:r>
      <w:r w:rsidR="5F1C852F">
        <w:t>,</w:t>
      </w:r>
      <w:r>
        <w:t xml:space="preserve"> and the project will have an opportunity to put a strategy in place to increase spending. </w:t>
      </w:r>
    </w:p>
    <w:p w:rsidR="00A52CFB" w:rsidP="00A52CFB" w:rsidRDefault="00A52CFB" w14:paraId="4BB91A69" w14:textId="77777777">
      <w:pPr>
        <w:spacing w:after="0" w:line="240" w:lineRule="auto"/>
        <w:rPr>
          <w:szCs w:val="28"/>
        </w:rPr>
      </w:pPr>
    </w:p>
    <w:p w:rsidR="00A52CFB" w:rsidP="00A52CFB" w:rsidRDefault="00A52CFB" w14:paraId="173705AA" w14:textId="73937106">
      <w:pPr>
        <w:spacing w:after="0" w:line="240" w:lineRule="auto"/>
      </w:pPr>
      <w:r w:rsidR="00A52CFB">
        <w:rPr/>
        <w:t xml:space="preserve">If spending </w:t>
      </w:r>
      <w:r w:rsidR="00A52CFB">
        <w:rPr/>
        <w:t>hasn’t</w:t>
      </w:r>
      <w:r w:rsidR="00A52CFB">
        <w:rPr/>
        <w:t xml:space="preserve"> improved when the annual monitoring is undertaken, it may result in a concern or finding, and the Monitoring Lead will develop a corrective action plan for the subrecipient and work with them over the next year to ensure implementation.</w:t>
      </w:r>
    </w:p>
    <w:p w:rsidR="00A52CFB" w:rsidP="00A52CFB" w:rsidRDefault="00A52CFB" w14:paraId="34E1043B" w14:textId="77777777">
      <w:pPr>
        <w:spacing w:after="0" w:line="240" w:lineRule="auto"/>
        <w:rPr>
          <w:szCs w:val="28"/>
        </w:rPr>
      </w:pPr>
    </w:p>
    <w:p w:rsidR="00A52CFB" w:rsidP="00A52CFB" w:rsidRDefault="00A52CFB" w14:paraId="376C0B20" w14:textId="6CF8BEFA">
      <w:pPr>
        <w:spacing w:after="0" w:line="240" w:lineRule="auto"/>
        <w:rPr>
          <w:szCs w:val="28"/>
        </w:rPr>
      </w:pPr>
      <w:r>
        <w:rPr>
          <w:szCs w:val="28"/>
        </w:rPr>
        <w:t xml:space="preserve">If a </w:t>
      </w:r>
      <w:r w:rsidR="006336F0">
        <w:rPr>
          <w:szCs w:val="28"/>
        </w:rPr>
        <w:t xml:space="preserve">leasing </w:t>
      </w:r>
      <w:r>
        <w:rPr>
          <w:szCs w:val="28"/>
        </w:rPr>
        <w:t>project continues to underspend at a rate of 20% or more over three years, it will be subject to partial or full reallocation.</w:t>
      </w:r>
    </w:p>
    <w:p w:rsidR="00A52CFB" w:rsidP="465A8318" w:rsidRDefault="00A52CFB" w14:paraId="4963B550" w14:noSpellErr="1" w14:textId="4FC2CFB6">
      <w:pPr>
        <w:pStyle w:val="Normal"/>
        <w:spacing w:after="0" w:line="240" w:lineRule="auto"/>
      </w:pPr>
    </w:p>
    <w:p w:rsidR="006336F0" w:rsidP="006336F0" w:rsidRDefault="006336F0" w14:paraId="743274E9" w14:textId="1F2ED0FE">
      <w:pPr>
        <w:spacing w:after="0" w:line="240" w:lineRule="auto"/>
      </w:pPr>
      <w:r w:rsidR="006336F0">
        <w:rPr/>
        <w:t xml:space="preserve">If a rental </w:t>
      </w:r>
      <w:r w:rsidR="006336F0">
        <w:rPr/>
        <w:t>assistance</w:t>
      </w:r>
      <w:r w:rsidR="006336F0">
        <w:rPr/>
        <w:t xml:space="preserve"> project continues to underspend at a rate</w:t>
      </w:r>
      <w:r w:rsidR="000F2CA9">
        <w:rPr/>
        <w:t xml:space="preserve"> equal to 1.5 times </w:t>
      </w:r>
      <w:r w:rsidR="00B01111">
        <w:rPr/>
        <w:t xml:space="preserve">the FMR </w:t>
      </w:r>
      <w:r w:rsidR="00492950">
        <w:rPr/>
        <w:t xml:space="preserve">of the smallest unit the project funds </w:t>
      </w:r>
      <w:r w:rsidR="006336F0">
        <w:rPr/>
        <w:t>or more over three years, it will be subject to partial or full reallocation.</w:t>
      </w:r>
    </w:p>
    <w:p w:rsidR="00AE626C" w:rsidP="00B101D4" w:rsidRDefault="00AE626C" w14:paraId="78630050" w14:textId="090FEE0F">
      <w:pPr>
        <w:spacing w:after="0" w:line="240" w:lineRule="auto"/>
        <w:rPr>
          <w:szCs w:val="28"/>
        </w:rPr>
      </w:pPr>
    </w:p>
    <w:p w:rsidR="00AE626C" w:rsidP="00B101D4" w:rsidRDefault="00AE626C" w14:paraId="432C65A1" w14:textId="307FB464">
      <w:pPr>
        <w:spacing w:after="0" w:line="240" w:lineRule="auto"/>
        <w:rPr>
          <w:szCs w:val="28"/>
          <w:u w:val="single"/>
        </w:rPr>
      </w:pPr>
      <w:r>
        <w:rPr>
          <w:szCs w:val="28"/>
          <w:u w:val="single"/>
        </w:rPr>
        <w:t>Regulatory Non-compliance</w:t>
      </w:r>
    </w:p>
    <w:p w:rsidRPr="00AE626C" w:rsidR="00AE626C" w:rsidP="00B101D4" w:rsidRDefault="00AE626C" w14:paraId="2E38251D" w14:textId="213EFA6F">
      <w:pPr>
        <w:spacing w:after="0" w:line="240" w:lineRule="auto"/>
      </w:pPr>
      <w:r w:rsidR="00AE626C">
        <w:rPr/>
        <w:t xml:space="preserve">Every CoC project is subject to regular monitoring. Should a project be </w:t>
      </w:r>
      <w:r w:rsidR="00AE626C">
        <w:rPr/>
        <w:t>determined</w:t>
      </w:r>
      <w:r w:rsidR="00AE626C">
        <w:rPr/>
        <w:t xml:space="preserve"> during this review to be using funding in a manner that is </w:t>
      </w:r>
      <w:r w:rsidR="00CB276C">
        <w:rPr/>
        <w:t xml:space="preserve">not in compliance with HUD regulations governing the Continuum of Care, the CoC Monitoring Lead will work with the project to come into compliance. </w:t>
      </w:r>
      <w:r w:rsidR="00CB276C">
        <w:rPr/>
        <w:t xml:space="preserve">If it is unable to do so, or if it is </w:t>
      </w:r>
      <w:r w:rsidR="00CB276C">
        <w:rPr/>
        <w:t>determined</w:t>
      </w:r>
      <w:r w:rsidR="00CB276C">
        <w:rPr/>
        <w:t xml:space="preserve"> that there have been actions that were the result of malfeasance or mismanagement, the project may be subject to reallocation.</w:t>
      </w:r>
    </w:p>
    <w:p w:rsidR="00055396" w:rsidP="007C7B28" w:rsidRDefault="00055396" w14:paraId="6477F544" w14:textId="77777777">
      <w:pPr>
        <w:spacing w:after="0" w:line="240" w:lineRule="auto"/>
        <w:rPr>
          <w:szCs w:val="28"/>
        </w:rPr>
      </w:pPr>
    </w:p>
    <w:p w:rsidRPr="00FF2AD4" w:rsidR="00FF2AD4" w:rsidP="00FF2AD4" w:rsidRDefault="00FF2AD4" w14:paraId="4E04B5F5" w14:textId="69FA04AF">
      <w:pPr>
        <w:spacing w:after="0" w:line="240" w:lineRule="auto"/>
        <w:rPr>
          <w:szCs w:val="28"/>
        </w:rPr>
      </w:pPr>
      <w:r w:rsidRPr="00FF2AD4">
        <w:rPr>
          <w:szCs w:val="28"/>
          <w:u w:val="single"/>
        </w:rPr>
        <w:t>Project No Longer Needed</w:t>
      </w:r>
    </w:p>
    <w:p w:rsidR="00FF2AD4" w:rsidP="00FF2AD4" w:rsidRDefault="00FF2AD4" w14:paraId="464189D3" w14:textId="3C5F6D8D">
      <w:pPr>
        <w:spacing w:after="0" w:line="240" w:lineRule="auto"/>
        <w:rPr>
          <w:szCs w:val="28"/>
        </w:rPr>
      </w:pPr>
      <w:r w:rsidRPr="00FF2AD4">
        <w:rPr>
          <w:szCs w:val="28"/>
        </w:rPr>
        <w:t xml:space="preserve">The </w:t>
      </w:r>
      <w:r w:rsidR="00837314">
        <w:rPr>
          <w:szCs w:val="28"/>
        </w:rPr>
        <w:t xml:space="preserve">CoC </w:t>
      </w:r>
      <w:r w:rsidRPr="00FF2AD4">
        <w:rPr>
          <w:szCs w:val="28"/>
        </w:rPr>
        <w:t>conducts an annual gaps analysis as well as ongoing needs assessments.</w:t>
      </w:r>
      <w:r w:rsidR="00163077">
        <w:rPr>
          <w:szCs w:val="28"/>
        </w:rPr>
        <w:t xml:space="preserve"> If this process identifies areas of need inadequately served</w:t>
      </w:r>
      <w:r w:rsidR="00817AE7">
        <w:rPr>
          <w:szCs w:val="28"/>
        </w:rPr>
        <w:t xml:space="preserve"> in the CoC</w:t>
      </w:r>
      <w:r w:rsidR="00163077">
        <w:rPr>
          <w:szCs w:val="28"/>
        </w:rPr>
        <w:t>, and data and project</w:t>
      </w:r>
      <w:r w:rsidR="00817AE7">
        <w:rPr>
          <w:szCs w:val="28"/>
        </w:rPr>
        <w:t xml:space="preserve"> underspending or underutilization </w:t>
      </w:r>
      <w:r w:rsidR="00163077">
        <w:rPr>
          <w:szCs w:val="28"/>
        </w:rPr>
        <w:t xml:space="preserve">demonstrate </w:t>
      </w:r>
      <w:r w:rsidR="00817AE7">
        <w:rPr>
          <w:szCs w:val="28"/>
        </w:rPr>
        <w:t xml:space="preserve">project funding could more effectively be used to serve the unmet need, a reallocation may occur. </w:t>
      </w:r>
      <w:r w:rsidRPr="00FF2AD4">
        <w:rPr>
          <w:szCs w:val="28"/>
        </w:rPr>
        <w:t>All grants are subject to reallocation should the analysis and assessment indicate that they are no longer required</w:t>
      </w:r>
      <w:r w:rsidR="00F56000">
        <w:rPr>
          <w:szCs w:val="28"/>
        </w:rPr>
        <w:t>.</w:t>
      </w:r>
    </w:p>
    <w:p w:rsidR="00837314" w:rsidP="00FF2AD4" w:rsidRDefault="00837314" w14:paraId="305F4C5B" w14:textId="77777777">
      <w:pPr>
        <w:spacing w:after="0" w:line="240" w:lineRule="auto"/>
        <w:rPr>
          <w:szCs w:val="28"/>
        </w:rPr>
      </w:pPr>
    </w:p>
    <w:p w:rsidR="001E26AE" w:rsidP="007C7B28" w:rsidRDefault="00837314" w14:paraId="79090C4D" w14:textId="33696DBC">
      <w:pPr>
        <w:spacing w:after="0" w:line="240" w:lineRule="auto"/>
        <w:rPr>
          <w:szCs w:val="28"/>
        </w:rPr>
      </w:pPr>
      <w:r>
        <w:rPr>
          <w:szCs w:val="28"/>
        </w:rPr>
        <w:t xml:space="preserve">Should a project be identified in this process, the </w:t>
      </w:r>
      <w:r w:rsidRPr="00FF2AD4" w:rsidR="00FF2AD4">
        <w:rPr>
          <w:szCs w:val="28"/>
        </w:rPr>
        <w:t>Project Evaluation Committee, after review of the gaps analysis</w:t>
      </w:r>
      <w:r w:rsidR="00C10583">
        <w:rPr>
          <w:szCs w:val="28"/>
        </w:rPr>
        <w:t xml:space="preserve"> and other relevant documentation,</w:t>
      </w:r>
      <w:r w:rsidRPr="00FF2AD4" w:rsidR="00FF2AD4">
        <w:rPr>
          <w:szCs w:val="28"/>
        </w:rPr>
        <w:t xml:space="preserve"> may determine that a grant should be reallocated, either partially or in full, even when the subrecipient disagrees.  After communication with the subrecipient and upon recommendation of reallocation from the Project Evaluation Committee, the Advisory Board will vote whether to reallocate the </w:t>
      </w:r>
      <w:r w:rsidRPr="00FF2AD4" w:rsidR="00FF2AD4">
        <w:rPr>
          <w:szCs w:val="28"/>
        </w:rPr>
        <w:t xml:space="preserve">project.  They will base their decisions on the recommendation of the Project Evaluation Committee and any additional materials the project subrecipient wishes to present. The subrecipient, if </w:t>
      </w:r>
      <w:r w:rsidRPr="00FF2AD4" w:rsidR="00BC7800">
        <w:rPr>
          <w:szCs w:val="28"/>
        </w:rPr>
        <w:t>they</w:t>
      </w:r>
      <w:r w:rsidRPr="00FF2AD4" w:rsidR="00FF2AD4">
        <w:rPr>
          <w:szCs w:val="28"/>
        </w:rPr>
        <w:t xml:space="preserve"> choose, will be able to address the Advisory Board, in advance of a vote. </w:t>
      </w:r>
    </w:p>
    <w:p w:rsidR="001E26AE" w:rsidP="007C7B28" w:rsidRDefault="001E26AE" w14:paraId="3F11994F" w14:textId="77777777">
      <w:pPr>
        <w:spacing w:after="0" w:line="240" w:lineRule="auto"/>
        <w:rPr>
          <w:szCs w:val="28"/>
        </w:rPr>
      </w:pPr>
    </w:p>
    <w:p w:rsidR="00901B6B" w:rsidP="007C7B28" w:rsidRDefault="00901B6B" w14:paraId="52F20124" w14:textId="77777777">
      <w:pPr>
        <w:spacing w:after="0" w:line="240" w:lineRule="auto"/>
        <w:rPr>
          <w:szCs w:val="28"/>
        </w:rPr>
      </w:pPr>
    </w:p>
    <w:p w:rsidRPr="005B432A" w:rsidR="00901B6B" w:rsidP="007C7B28" w:rsidRDefault="00901B6B" w14:paraId="2F657C50" w14:textId="77777777">
      <w:pPr>
        <w:spacing w:after="0" w:line="240" w:lineRule="auto"/>
        <w:rPr>
          <w:szCs w:val="28"/>
        </w:rPr>
      </w:pPr>
    </w:p>
    <w:p w:rsidRPr="008829B3" w:rsidR="008829B3" w:rsidP="007C7B28" w:rsidRDefault="008829B3" w14:paraId="49B45571" w14:textId="77777777">
      <w:pPr>
        <w:spacing w:after="0" w:line="240" w:lineRule="auto"/>
        <w:rPr>
          <w:b/>
          <w:bCs/>
          <w:szCs w:val="28"/>
        </w:rPr>
      </w:pPr>
    </w:p>
    <w:sectPr w:rsidRPr="008829B3" w:rsidR="008829B3" w:rsidSect="00BE6BC3">
      <w:headerReference w:type="default" r:id="rId11"/>
      <w:footerReference w:type="default" r:id="rId12"/>
      <w:headerReference w:type="first" r:id="rId13"/>
      <w:footerReference w:type="first" r:id="rId14"/>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C232B" w:rsidP="004519B2" w:rsidRDefault="00EC232B" w14:paraId="6DED5144" w14:textId="77777777">
      <w:pPr>
        <w:spacing w:after="0" w:line="240" w:lineRule="auto"/>
      </w:pPr>
      <w:r>
        <w:separator/>
      </w:r>
    </w:p>
  </w:endnote>
  <w:endnote w:type="continuationSeparator" w:id="0">
    <w:p w:rsidR="00EC232B" w:rsidP="004519B2" w:rsidRDefault="00EC232B" w14:paraId="545C9BCB" w14:textId="77777777">
      <w:pPr>
        <w:spacing w:after="0" w:line="240" w:lineRule="auto"/>
      </w:pPr>
      <w:r>
        <w:continuationSeparator/>
      </w:r>
    </w:p>
  </w:endnote>
  <w:endnote w:type="continuationNotice" w:id="1">
    <w:p w:rsidR="00EC232B" w:rsidRDefault="00EC232B" w14:paraId="25EAB3E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86"/>
      <w:gridCol w:w="3118"/>
      <w:gridCol w:w="3056"/>
    </w:tblGrid>
    <w:tr w:rsidRPr="002E1275" w:rsidR="002E1275" w:rsidTr="002E1275" w14:paraId="325C6D14" w14:textId="77777777">
      <w:tc>
        <w:tcPr>
          <w:tcW w:w="3596" w:type="dxa"/>
          <w:shd w:val="clear" w:color="auto" w:fill="auto"/>
          <w:vAlign w:val="bottom"/>
        </w:tcPr>
        <w:p w:rsidRPr="002E1275" w:rsidR="002E1275" w:rsidP="002E1275" w:rsidRDefault="002E1275" w14:paraId="26EB214D" w14:textId="77777777">
          <w:pPr>
            <w:pStyle w:val="Footer"/>
          </w:pPr>
          <w:r w:rsidRPr="002E1275">
            <w:rPr>
              <w:noProof/>
            </w:rPr>
            <w:drawing>
              <wp:inline distT="0" distB="0" distL="0" distR="0" wp14:anchorId="453F385B" wp14:editId="2561C457">
                <wp:extent cx="521574" cy="2743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HCD BoS Logo No Lines No Tex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1574" cy="274320"/>
                        </a:xfrm>
                        <a:prstGeom prst="rect">
                          <a:avLst/>
                        </a:prstGeom>
                      </pic:spPr>
                    </pic:pic>
                  </a:graphicData>
                </a:graphic>
              </wp:inline>
            </w:drawing>
          </w:r>
        </w:p>
      </w:tc>
      <w:tc>
        <w:tcPr>
          <w:tcW w:w="3597" w:type="dxa"/>
          <w:shd w:val="clear" w:color="auto" w:fill="auto"/>
          <w:vAlign w:val="bottom"/>
        </w:tcPr>
        <w:p w:rsidRPr="002E1275" w:rsidR="002E1275" w:rsidP="002E1275" w:rsidRDefault="002E1275" w14:paraId="256944CA" w14:textId="566E5887">
          <w:pPr>
            <w:pStyle w:val="Footer"/>
            <w:jc w:val="center"/>
          </w:pPr>
          <w:r w:rsidRPr="002E1275">
            <w:t xml:space="preserve">Page </w:t>
          </w:r>
          <w:r>
            <w:fldChar w:fldCharType="begin"/>
          </w:r>
          <w:r>
            <w:instrText xml:space="preserve"> PAGE   \* MERGEFORMAT </w:instrText>
          </w:r>
          <w:r>
            <w:fldChar w:fldCharType="separate"/>
          </w:r>
          <w:r w:rsidR="00A33103">
            <w:rPr>
              <w:noProof/>
            </w:rPr>
            <w:t>3</w:t>
          </w:r>
          <w:r>
            <w:rPr>
              <w:noProof/>
            </w:rPr>
            <w:fldChar w:fldCharType="end"/>
          </w:r>
        </w:p>
      </w:tc>
      <w:sdt>
        <w:sdtPr>
          <w:alias w:val="Publish Date"/>
          <w:tag w:val=""/>
          <w:id w:val="1567845697"/>
          <w:showingPlcHdr/>
          <w:dataBinding w:prefixMappings="xmlns:ns0='http://schemas.microsoft.com/office/2006/coverPageProps' " w:xpath="/ns0:CoverPageProperties[1]/ns0:PublishDate[1]" w:storeItemID="{55AF091B-3C7A-41E3-B477-F2FDAA23CFDA}"/>
          <w:date w:fullDate="2021-05-12T00:00:00Z">
            <w:dateFormat w:val="MMMM yyyy"/>
            <w:lid w:val="en-US"/>
            <w:storeMappedDataAs w:val="dateTime"/>
            <w:calendar w:val="gregorian"/>
          </w:date>
        </w:sdtPr>
        <w:sdtContent>
          <w:tc>
            <w:tcPr>
              <w:tcW w:w="3597" w:type="dxa"/>
              <w:shd w:val="clear" w:color="auto" w:fill="auto"/>
              <w:vAlign w:val="bottom"/>
            </w:tcPr>
            <w:p w:rsidRPr="002E1275" w:rsidR="002E1275" w:rsidP="002E1275" w:rsidRDefault="00EE548C" w14:paraId="5280CD9A" w14:textId="22F082C1">
              <w:pPr>
                <w:pStyle w:val="Footer"/>
                <w:jc w:val="right"/>
              </w:pPr>
              <w:r>
                <w:t xml:space="preserve">     </w:t>
              </w:r>
            </w:p>
          </w:tc>
        </w:sdtContent>
      </w:sdt>
    </w:tr>
  </w:tbl>
  <w:p w:rsidR="002E1275" w:rsidRDefault="002E1275" w14:paraId="1ED173D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90" w:type="dxa"/>
      <w:tblBorders>
        <w:top w:val="single" w:color="14558F" w:themeColor="accent1" w:sz="8"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90"/>
    </w:tblGrid>
    <w:tr w:rsidRPr="009905F3" w:rsidR="00CD7B94" w:rsidTr="00CD7B94" w14:paraId="07CAA573" w14:textId="77777777">
      <w:tc>
        <w:tcPr>
          <w:tcW w:w="10890" w:type="dxa"/>
          <w:shd w:val="clear" w:color="auto" w:fill="auto"/>
          <w:vAlign w:val="bottom"/>
        </w:tcPr>
        <w:p w:rsidR="00CD7B94" w:rsidP="00CD7B94" w:rsidRDefault="004158B9" w14:paraId="728EB910" w14:textId="4434B035">
          <w:pPr>
            <w:pStyle w:val="Footer"/>
            <w:jc w:val="center"/>
            <w:rPr>
              <w:sz w:val="18"/>
            </w:rPr>
          </w:pPr>
          <w:r>
            <w:rPr>
              <w:sz w:val="18"/>
            </w:rPr>
            <w:t xml:space="preserve">Executive Office of </w:t>
          </w:r>
          <w:r w:rsidR="00DD1DF4">
            <w:rPr>
              <w:sz w:val="18"/>
            </w:rPr>
            <w:t>Housing and Livable Communities</w:t>
          </w:r>
          <w:r w:rsidR="00CD7B94">
            <w:rPr>
              <w:sz w:val="18"/>
            </w:rPr>
            <w:t xml:space="preserve"> </w:t>
          </w:r>
          <w:r w:rsidR="00CD7B94">
            <w:rPr>
              <w:rFonts w:ascii="Wingdings" w:hAnsi="Wingdings" w:eastAsia="Wingdings" w:cs="Wingdings"/>
              <w:sz w:val="18"/>
            </w:rPr>
            <w:t>w</w:t>
          </w:r>
          <w:r w:rsidR="00CD7B94">
            <w:rPr>
              <w:sz w:val="18"/>
            </w:rPr>
            <w:t xml:space="preserve"> </w:t>
          </w:r>
          <w:r w:rsidRPr="009905F3" w:rsidR="00CD7B94">
            <w:rPr>
              <w:sz w:val="18"/>
            </w:rPr>
            <w:t>100 Cambridge St, Suite 300, Boston, MA 02114</w:t>
          </w:r>
        </w:p>
        <w:p w:rsidRPr="009905F3" w:rsidR="00A33103" w:rsidP="00CD7B94" w:rsidRDefault="00A33103" w14:paraId="212AF375" w14:textId="1CB63DDF">
          <w:pPr>
            <w:pStyle w:val="Footer"/>
            <w:jc w:val="center"/>
            <w:rPr>
              <w:sz w:val="18"/>
            </w:rPr>
          </w:pPr>
          <w:r>
            <w:rPr>
              <w:sz w:val="18"/>
            </w:rPr>
            <w:t>Making Homelessness Rare, Brief and Non-</w:t>
          </w:r>
          <w:proofErr w:type="spellStart"/>
          <w:r>
            <w:rPr>
              <w:sz w:val="18"/>
            </w:rPr>
            <w:t>Reoccuring</w:t>
          </w:r>
          <w:proofErr w:type="spellEnd"/>
        </w:p>
      </w:tc>
    </w:tr>
  </w:tbl>
  <w:p w:rsidR="004519B2" w:rsidRDefault="004519B2" w14:paraId="0439ED5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C232B" w:rsidP="004519B2" w:rsidRDefault="00EC232B" w14:paraId="7124EDA5" w14:textId="77777777">
      <w:pPr>
        <w:spacing w:after="0" w:line="240" w:lineRule="auto"/>
      </w:pPr>
      <w:r>
        <w:separator/>
      </w:r>
    </w:p>
  </w:footnote>
  <w:footnote w:type="continuationSeparator" w:id="0">
    <w:p w:rsidR="00EC232B" w:rsidP="004519B2" w:rsidRDefault="00EC232B" w14:paraId="7C688F0C" w14:textId="77777777">
      <w:pPr>
        <w:spacing w:after="0" w:line="240" w:lineRule="auto"/>
      </w:pPr>
      <w:r>
        <w:continuationSeparator/>
      </w:r>
    </w:p>
  </w:footnote>
  <w:footnote w:type="continuationNotice" w:id="1">
    <w:p w:rsidR="00EC232B" w:rsidRDefault="00EC232B" w14:paraId="33925C5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color="auto" w:sz="0" w:space="0"/>
        <w:left w:val="none" w:color="auto" w:sz="0" w:space="0"/>
        <w:bottom w:val="single" w:color="14558F" w:themeColor="accent1" w:sz="4" w:space="0"/>
        <w:right w:val="none" w:color="auto" w:sz="0" w:space="0"/>
        <w:insideH w:val="none" w:color="auto" w:sz="0" w:space="0"/>
        <w:insideV w:val="none" w:color="auto" w:sz="0" w:space="0"/>
      </w:tblBorders>
      <w:tblLook w:val="04A0" w:firstRow="1" w:lastRow="0" w:firstColumn="1" w:lastColumn="0" w:noHBand="0" w:noVBand="1"/>
    </w:tblPr>
    <w:tblGrid>
      <w:gridCol w:w="4684"/>
      <w:gridCol w:w="4676"/>
    </w:tblGrid>
    <w:tr w:rsidRPr="002E1275" w:rsidR="009905F3" w14:paraId="6D0935FA" w14:textId="77777777">
      <w:sdt>
        <w:sdtPr>
          <w:alias w:val="Title"/>
          <w:tag w:val=""/>
          <w:id w:val="308451094"/>
          <w:dataBinding w:prefixMappings="xmlns:ns0='http://purl.org/dc/elements/1.1/' xmlns:ns1='http://schemas.openxmlformats.org/package/2006/metadata/core-properties' " w:xpath="/ns1:coreProperties[1]/ns0:title[1]" w:storeItemID="{6C3C8BC8-F283-45AE-878A-BAB7291924A1}"/>
          <w:text/>
        </w:sdtPr>
        <w:sdtContent>
          <w:tc>
            <w:tcPr>
              <w:tcW w:w="5310" w:type="dxa"/>
              <w:shd w:val="clear" w:color="auto" w:fill="auto"/>
            </w:tcPr>
            <w:p w:rsidRPr="002E1275" w:rsidR="009905F3" w:rsidP="002E1275" w:rsidRDefault="00C45613" w14:paraId="19DCAB66" w14:textId="23381B4D">
              <w:pPr>
                <w:pStyle w:val="Header"/>
                <w:rPr>
                  <w:color w:val="auto"/>
                </w:rPr>
              </w:pPr>
              <w:r>
                <w:t>MA Balance of State Continuum of Care</w:t>
              </w:r>
            </w:p>
          </w:tc>
        </w:sdtContent>
      </w:sdt>
      <w:sdt>
        <w:sdtPr>
          <w:alias w:val="Subject"/>
          <w:tag w:val=""/>
          <w:id w:val="323941996"/>
          <w:showingPlcHdr/>
          <w:dataBinding w:prefixMappings="xmlns:ns0='http://purl.org/dc/elements/1.1/' xmlns:ns1='http://schemas.openxmlformats.org/package/2006/metadata/core-properties' " w:xpath="/ns1:coreProperties[1]/ns0:subject[1]" w:storeItemID="{6C3C8BC8-F283-45AE-878A-BAB7291924A1}"/>
          <w:text/>
        </w:sdtPr>
        <w:sdtContent>
          <w:tc>
            <w:tcPr>
              <w:tcW w:w="5480" w:type="dxa"/>
              <w:shd w:val="clear" w:color="auto" w:fill="auto"/>
            </w:tcPr>
            <w:p w:rsidRPr="002E1275" w:rsidR="009905F3" w:rsidP="002E1275" w:rsidRDefault="00CC3617" w14:paraId="41A83515" w14:textId="1DC48A9E">
              <w:pPr>
                <w:pStyle w:val="Header"/>
                <w:jc w:val="right"/>
                <w:rPr>
                  <w:color w:val="auto"/>
                </w:rPr>
              </w:pPr>
              <w:r>
                <w:t xml:space="preserve">     </w:t>
              </w:r>
            </w:p>
          </w:tc>
        </w:sdtContent>
      </w:sdt>
    </w:tr>
  </w:tbl>
  <w:p w:rsidRPr="002E1275" w:rsidR="002E1275" w:rsidP="002E1275" w:rsidRDefault="002E1275" w14:paraId="15689F6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068"/>
      <w:gridCol w:w="5292"/>
    </w:tblGrid>
    <w:tr w:rsidRPr="009905F3" w:rsidR="009905F3" w:rsidTr="009905F3" w14:paraId="1F986EDA" w14:textId="77777777">
      <w:tc>
        <w:tcPr>
          <w:tcW w:w="4230" w:type="dxa"/>
          <w:shd w:val="clear" w:color="auto" w:fill="auto"/>
        </w:tcPr>
        <w:p w:rsidRPr="009905F3" w:rsidR="009905F3" w:rsidP="009905F3" w:rsidRDefault="009905F3" w14:paraId="3AFD968F" w14:textId="77777777">
          <w:pPr>
            <w:pStyle w:val="Header"/>
          </w:pPr>
          <w:r>
            <w:rPr>
              <w:noProof/>
            </w:rPr>
            <w:drawing>
              <wp:inline distT="0" distB="0" distL="0" distR="0" wp14:anchorId="32B609CF" wp14:editId="0CA319A0">
                <wp:extent cx="2173228" cy="114300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HCD BoS Logo No Lines No Tex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73228" cy="1143002"/>
                        </a:xfrm>
                        <a:prstGeom prst="rect">
                          <a:avLst/>
                        </a:prstGeom>
                      </pic:spPr>
                    </pic:pic>
                  </a:graphicData>
                </a:graphic>
              </wp:inline>
            </w:drawing>
          </w:r>
        </w:p>
      </w:tc>
      <w:tc>
        <w:tcPr>
          <w:tcW w:w="6560" w:type="dxa"/>
          <w:shd w:val="clear" w:color="auto" w:fill="auto"/>
        </w:tcPr>
        <w:sdt>
          <w:sdtPr>
            <w:alias w:val="Title"/>
            <w:tag w:val=""/>
            <w:id w:val="-1245794226"/>
            <w:dataBinding w:prefixMappings="xmlns:ns0='http://purl.org/dc/elements/1.1/' xmlns:ns1='http://schemas.openxmlformats.org/package/2006/metadata/core-properties' " w:xpath="/ns1:coreProperties[1]/ns0:title[1]" w:storeItemID="{6C3C8BC8-F283-45AE-878A-BAB7291924A1}"/>
            <w:text/>
          </w:sdtPr>
          <w:sdtContent>
            <w:p w:rsidR="009905F3" w:rsidP="009905F3" w:rsidRDefault="00C45613" w14:paraId="2D85C2CB" w14:textId="446F2404">
              <w:pPr>
                <w:pStyle w:val="Title"/>
              </w:pPr>
              <w:r>
                <w:t>MA Balance of State Continuum of Care</w:t>
              </w:r>
            </w:p>
          </w:sdtContent>
        </w:sdt>
        <w:p w:rsidRPr="009905F3" w:rsidR="009905F3" w:rsidP="009905F3" w:rsidRDefault="009905F3" w14:paraId="7F8EAD39" w14:textId="255B5BE1">
          <w:pPr>
            <w:pStyle w:val="Subtitle"/>
          </w:pPr>
        </w:p>
      </w:tc>
    </w:tr>
    <w:tr w:rsidRPr="009905F3" w:rsidR="009905F3" w:rsidTr="009905F3" w14:paraId="170C5EA6" w14:textId="77777777">
      <w:tc>
        <w:tcPr>
          <w:tcW w:w="4230" w:type="dxa"/>
          <w:tcBorders>
            <w:bottom w:val="single" w:color="14558F" w:themeColor="accent1" w:sz="8" w:space="0"/>
          </w:tcBorders>
          <w:shd w:val="clear" w:color="auto" w:fill="auto"/>
          <w:vAlign w:val="bottom"/>
        </w:tcPr>
        <w:p w:rsidRPr="009905F3" w:rsidR="009905F3" w:rsidP="009905F3" w:rsidRDefault="009905F3" w14:paraId="35E16083" w14:textId="7C076159">
          <w:pPr>
            <w:pStyle w:val="Header"/>
            <w:rPr>
              <w:b/>
              <w:noProof/>
            </w:rPr>
          </w:pPr>
        </w:p>
      </w:tc>
      <w:tc>
        <w:tcPr>
          <w:tcW w:w="6560" w:type="dxa"/>
          <w:tcBorders>
            <w:bottom w:val="single" w:color="14558F" w:themeColor="accent1" w:sz="8" w:space="0"/>
          </w:tcBorders>
          <w:shd w:val="clear" w:color="auto" w:fill="auto"/>
          <w:vAlign w:val="bottom"/>
        </w:tcPr>
        <w:sdt>
          <w:sdtPr>
            <w:rPr>
              <w:sz w:val="24"/>
            </w:rPr>
            <w:alias w:val="Publish Date"/>
            <w:tag w:val=""/>
            <w:id w:val="1645078760"/>
            <w:showingPlcHdr/>
            <w:dataBinding w:prefixMappings="xmlns:ns0='http://schemas.microsoft.com/office/2006/coverPageProps' " w:xpath="/ns0:CoverPageProperties[1]/ns0:PublishDate[1]" w:storeItemID="{55AF091B-3C7A-41E3-B477-F2FDAA23CFDA}"/>
            <w:date w:fullDate="2021-05-12T00:00:00Z">
              <w:dateFormat w:val="MMMM yyyy"/>
              <w:lid w:val="en-US"/>
              <w:storeMappedDataAs w:val="dateTime"/>
              <w:calendar w:val="gregorian"/>
            </w:date>
          </w:sdtPr>
          <w:sdtContent>
            <w:p w:rsidRPr="009905F3" w:rsidR="009905F3" w:rsidP="009905F3" w:rsidRDefault="00EE548C" w14:paraId="224047BA" w14:textId="372E6D80">
              <w:pPr>
                <w:pStyle w:val="Header"/>
                <w:jc w:val="center"/>
                <w:rPr>
                  <w:sz w:val="24"/>
                </w:rPr>
              </w:pPr>
              <w:r>
                <w:rPr>
                  <w:sz w:val="24"/>
                </w:rPr>
                <w:t xml:space="preserve">     </w:t>
              </w:r>
            </w:p>
          </w:sdtContent>
        </w:sdt>
      </w:tc>
    </w:tr>
  </w:tbl>
  <w:p w:rsidRPr="002E1275" w:rsidR="00E73EEC" w:rsidP="009905F3" w:rsidRDefault="00E73EEC" w14:paraId="5097C2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7604"/>
    <w:multiLevelType w:val="hybridMultilevel"/>
    <w:tmpl w:val="4802CF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85F43"/>
    <w:multiLevelType w:val="hybridMultilevel"/>
    <w:tmpl w:val="F0FEF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37764"/>
    <w:multiLevelType w:val="hybridMultilevel"/>
    <w:tmpl w:val="00DEB3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0193C06"/>
    <w:multiLevelType w:val="hybridMultilevel"/>
    <w:tmpl w:val="1410F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8687B"/>
    <w:multiLevelType w:val="hybridMultilevel"/>
    <w:tmpl w:val="1090A88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F8E43DD"/>
    <w:multiLevelType w:val="multilevel"/>
    <w:tmpl w:val="79540D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2497A07"/>
    <w:multiLevelType w:val="hybridMultilevel"/>
    <w:tmpl w:val="2C88D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671A87"/>
    <w:multiLevelType w:val="multilevel"/>
    <w:tmpl w:val="A2C850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9ED1775"/>
    <w:multiLevelType w:val="multilevel"/>
    <w:tmpl w:val="42E80D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ABE71D5"/>
    <w:multiLevelType w:val="hybridMultilevel"/>
    <w:tmpl w:val="E9CE4B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9896A5F"/>
    <w:multiLevelType w:val="hybridMultilevel"/>
    <w:tmpl w:val="28C437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E7243D7"/>
    <w:multiLevelType w:val="multilevel"/>
    <w:tmpl w:val="1B40A9C0"/>
    <w:lvl w:ilvl="0">
      <w:start w:val="1"/>
      <w:numFmt w:val="decimal"/>
      <w:pStyle w:val="Multi-LevelList1"/>
      <w:lvlText w:val="%1."/>
      <w:lvlJc w:val="left"/>
      <w:pPr>
        <w:ind w:left="360" w:hanging="360"/>
      </w:pPr>
      <w:rPr>
        <w:rFonts w:hint="default"/>
      </w:rPr>
    </w:lvl>
    <w:lvl w:ilvl="1">
      <w:start w:val="1"/>
      <w:numFmt w:val="lowerLetter"/>
      <w:pStyle w:val="Multi-LevelList2"/>
      <w:lvlText w:val="%2."/>
      <w:lvlJc w:val="left"/>
      <w:pPr>
        <w:ind w:left="720" w:hanging="360"/>
      </w:pPr>
      <w:rPr>
        <w:rFonts w:hint="default"/>
      </w:rPr>
    </w:lvl>
    <w:lvl w:ilvl="2">
      <w:start w:val="1"/>
      <w:numFmt w:val="lowerRoman"/>
      <w:pStyle w:val="Multi-LevelList3"/>
      <w:lvlText w:val="%3."/>
      <w:lvlJc w:val="left"/>
      <w:pPr>
        <w:ind w:left="1080" w:hanging="360"/>
      </w:pPr>
      <w:rPr>
        <w:rFonts w:hint="default"/>
      </w:rPr>
    </w:lvl>
    <w:lvl w:ilvl="3">
      <w:start w:val="1"/>
      <w:numFmt w:val="decimal"/>
      <w:pStyle w:val="Multi-LevelList4"/>
      <w:lvlText w:val="%4)"/>
      <w:lvlJc w:val="left"/>
      <w:pPr>
        <w:ind w:left="1440" w:hanging="360"/>
      </w:pPr>
      <w:rPr>
        <w:rFonts w:hint="default"/>
      </w:rPr>
    </w:lvl>
    <w:lvl w:ilvl="4">
      <w:start w:val="1"/>
      <w:numFmt w:val="lowerLetter"/>
      <w:pStyle w:val="Multi-LevelList5"/>
      <w:lvlText w:val="%5)"/>
      <w:lvlJc w:val="left"/>
      <w:pPr>
        <w:ind w:left="1800" w:hanging="360"/>
      </w:pPr>
      <w:rPr>
        <w:rFonts w:hint="default"/>
      </w:rPr>
    </w:lvl>
    <w:lvl w:ilvl="5">
      <w:start w:val="1"/>
      <w:numFmt w:val="lowerRoman"/>
      <w:pStyle w:val="Multi-LevelList6"/>
      <w:lvlText w:val="%6)"/>
      <w:lvlJc w:val="left"/>
      <w:pPr>
        <w:ind w:left="2160" w:hanging="360"/>
      </w:pPr>
      <w:rPr>
        <w:rFonts w:hint="default"/>
      </w:rPr>
    </w:lvl>
    <w:lvl w:ilvl="6">
      <w:start w:val="1"/>
      <w:numFmt w:val="decimal"/>
      <w:pStyle w:val="Multi-LevelList7"/>
      <w:lvlText w:val="(%7)"/>
      <w:lvlJc w:val="left"/>
      <w:pPr>
        <w:ind w:left="2520" w:hanging="360"/>
      </w:pPr>
      <w:rPr>
        <w:rFonts w:hint="default"/>
      </w:rPr>
    </w:lvl>
    <w:lvl w:ilvl="7">
      <w:start w:val="1"/>
      <w:numFmt w:val="lowerLetter"/>
      <w:pStyle w:val="Multi-LevelList8"/>
      <w:lvlText w:val="(%8)"/>
      <w:lvlJc w:val="left"/>
      <w:pPr>
        <w:ind w:left="2880" w:hanging="360"/>
      </w:pPr>
      <w:rPr>
        <w:rFonts w:hint="default"/>
      </w:rPr>
    </w:lvl>
    <w:lvl w:ilvl="8">
      <w:start w:val="1"/>
      <w:numFmt w:val="lowerRoman"/>
      <w:pStyle w:val="Multi-LevelList9"/>
      <w:lvlText w:val="(%9)"/>
      <w:lvlJc w:val="left"/>
      <w:pPr>
        <w:ind w:left="3240" w:hanging="360"/>
      </w:pPr>
      <w:rPr>
        <w:rFonts w:hint="default"/>
      </w:rPr>
    </w:lvl>
  </w:abstractNum>
  <w:abstractNum w:abstractNumId="12" w15:restartNumberingAfterBreak="0">
    <w:nsid w:val="55B428E0"/>
    <w:multiLevelType w:val="multilevel"/>
    <w:tmpl w:val="8C9240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5FD54A21"/>
    <w:multiLevelType w:val="hybridMultilevel"/>
    <w:tmpl w:val="06F069F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601552F2"/>
    <w:multiLevelType w:val="hybridMultilevel"/>
    <w:tmpl w:val="CEB8F58C"/>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5" w15:restartNumberingAfterBreak="0">
    <w:nsid w:val="65B34915"/>
    <w:multiLevelType w:val="hybridMultilevel"/>
    <w:tmpl w:val="34B6AD2C"/>
    <w:lvl w:ilvl="0" w:tplc="FFFFFFFF">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6" w15:restartNumberingAfterBreak="0">
    <w:nsid w:val="6DBD3EE1"/>
    <w:multiLevelType w:val="multilevel"/>
    <w:tmpl w:val="110C42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6FF01D95"/>
    <w:multiLevelType w:val="multilevel"/>
    <w:tmpl w:val="1F626F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799D55F9"/>
    <w:multiLevelType w:val="hybridMultilevel"/>
    <w:tmpl w:val="43265A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7AB36D87"/>
    <w:multiLevelType w:val="hybridMultilevel"/>
    <w:tmpl w:val="3B047610"/>
    <w:lvl w:ilvl="0" w:tplc="D32617B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7B6B0BA0"/>
    <w:multiLevelType w:val="hybridMultilevel"/>
    <w:tmpl w:val="436E3F38"/>
    <w:lvl w:ilvl="0" w:tplc="1F38F300">
      <w:start w:val="1"/>
      <w:numFmt w:val="decimal"/>
      <w:pStyle w:val="SimpleNumbered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C871106"/>
    <w:multiLevelType w:val="hybridMultilevel"/>
    <w:tmpl w:val="83AA9D0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317109205">
    <w:abstractNumId w:val="19"/>
  </w:num>
  <w:num w:numId="2" w16cid:durableId="1947691771">
    <w:abstractNumId w:val="11"/>
  </w:num>
  <w:num w:numId="3" w16cid:durableId="1042247906">
    <w:abstractNumId w:val="11"/>
  </w:num>
  <w:num w:numId="4" w16cid:durableId="897547784">
    <w:abstractNumId w:val="11"/>
  </w:num>
  <w:num w:numId="5" w16cid:durableId="574826335">
    <w:abstractNumId w:val="11"/>
  </w:num>
  <w:num w:numId="6" w16cid:durableId="2040737944">
    <w:abstractNumId w:val="11"/>
  </w:num>
  <w:num w:numId="7" w16cid:durableId="2012027036">
    <w:abstractNumId w:val="11"/>
  </w:num>
  <w:num w:numId="8" w16cid:durableId="42488102">
    <w:abstractNumId w:val="11"/>
  </w:num>
  <w:num w:numId="9" w16cid:durableId="1059548789">
    <w:abstractNumId w:val="11"/>
  </w:num>
  <w:num w:numId="10" w16cid:durableId="446124086">
    <w:abstractNumId w:val="11"/>
  </w:num>
  <w:num w:numId="11" w16cid:durableId="717820421">
    <w:abstractNumId w:val="20"/>
  </w:num>
  <w:num w:numId="12" w16cid:durableId="746347674">
    <w:abstractNumId w:val="21"/>
  </w:num>
  <w:num w:numId="13" w16cid:durableId="936062582">
    <w:abstractNumId w:val="0"/>
  </w:num>
  <w:num w:numId="14" w16cid:durableId="1032192831">
    <w:abstractNumId w:val="2"/>
  </w:num>
  <w:num w:numId="15" w16cid:durableId="299380918">
    <w:abstractNumId w:val="12"/>
  </w:num>
  <w:num w:numId="16" w16cid:durableId="1654523678">
    <w:abstractNumId w:val="7"/>
  </w:num>
  <w:num w:numId="17" w16cid:durableId="1145663707">
    <w:abstractNumId w:val="8"/>
  </w:num>
  <w:num w:numId="18" w16cid:durableId="1178882301">
    <w:abstractNumId w:val="5"/>
  </w:num>
  <w:num w:numId="19" w16cid:durableId="949093784">
    <w:abstractNumId w:val="16"/>
  </w:num>
  <w:num w:numId="20" w16cid:durableId="337469165">
    <w:abstractNumId w:val="1"/>
  </w:num>
  <w:num w:numId="21" w16cid:durableId="929042112">
    <w:abstractNumId w:val="6"/>
  </w:num>
  <w:num w:numId="22" w16cid:durableId="162666870">
    <w:abstractNumId w:val="3"/>
  </w:num>
  <w:num w:numId="23" w16cid:durableId="2112627229">
    <w:abstractNumId w:val="9"/>
  </w:num>
  <w:num w:numId="24" w16cid:durableId="506091357">
    <w:abstractNumId w:val="13"/>
  </w:num>
  <w:num w:numId="25" w16cid:durableId="1880508736">
    <w:abstractNumId w:val="14"/>
  </w:num>
  <w:num w:numId="26" w16cid:durableId="1270620935">
    <w:abstractNumId w:val="18"/>
  </w:num>
  <w:num w:numId="27" w16cid:durableId="200872783">
    <w:abstractNumId w:val="10"/>
  </w:num>
  <w:num w:numId="28" w16cid:durableId="1479614559">
    <w:abstractNumId w:val="17"/>
  </w:num>
  <w:num w:numId="29" w16cid:durableId="2074350593">
    <w:abstractNumId w:val="4"/>
  </w:num>
  <w:num w:numId="30" w16cid:durableId="1723945826">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ttachedTemplate r:id="rId1"/>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C36"/>
    <w:rsid w:val="00000303"/>
    <w:rsid w:val="000006A8"/>
    <w:rsid w:val="00001DA8"/>
    <w:rsid w:val="00031D2F"/>
    <w:rsid w:val="00055396"/>
    <w:rsid w:val="0005595C"/>
    <w:rsid w:val="00055C4D"/>
    <w:rsid w:val="00065985"/>
    <w:rsid w:val="000675CC"/>
    <w:rsid w:val="00082297"/>
    <w:rsid w:val="00082A32"/>
    <w:rsid w:val="000845AA"/>
    <w:rsid w:val="000A29EF"/>
    <w:rsid w:val="000A4FB6"/>
    <w:rsid w:val="000B351C"/>
    <w:rsid w:val="000B5B09"/>
    <w:rsid w:val="000C0DD7"/>
    <w:rsid w:val="000C1724"/>
    <w:rsid w:val="000C34FE"/>
    <w:rsid w:val="000C658B"/>
    <w:rsid w:val="000C7E36"/>
    <w:rsid w:val="000D23AE"/>
    <w:rsid w:val="000D2E39"/>
    <w:rsid w:val="000D5362"/>
    <w:rsid w:val="000E389C"/>
    <w:rsid w:val="000F01F3"/>
    <w:rsid w:val="000F061C"/>
    <w:rsid w:val="000F2CA9"/>
    <w:rsid w:val="000F357E"/>
    <w:rsid w:val="000F698B"/>
    <w:rsid w:val="00121208"/>
    <w:rsid w:val="001226EB"/>
    <w:rsid w:val="0012737D"/>
    <w:rsid w:val="00130D93"/>
    <w:rsid w:val="00131666"/>
    <w:rsid w:val="00137E30"/>
    <w:rsid w:val="001467DA"/>
    <w:rsid w:val="00147CA6"/>
    <w:rsid w:val="001515C8"/>
    <w:rsid w:val="00151B24"/>
    <w:rsid w:val="00163077"/>
    <w:rsid w:val="00164C7B"/>
    <w:rsid w:val="00164F0D"/>
    <w:rsid w:val="00181CC8"/>
    <w:rsid w:val="00182908"/>
    <w:rsid w:val="00184B53"/>
    <w:rsid w:val="00186C7B"/>
    <w:rsid w:val="001A7EF5"/>
    <w:rsid w:val="001B7386"/>
    <w:rsid w:val="001E26AE"/>
    <w:rsid w:val="001E5D3B"/>
    <w:rsid w:val="001F1E15"/>
    <w:rsid w:val="001F2196"/>
    <w:rsid w:val="00202217"/>
    <w:rsid w:val="002038F3"/>
    <w:rsid w:val="00204E1A"/>
    <w:rsid w:val="00205D02"/>
    <w:rsid w:val="00214B1D"/>
    <w:rsid w:val="002307D3"/>
    <w:rsid w:val="002324E1"/>
    <w:rsid w:val="00235F5E"/>
    <w:rsid w:val="0024450F"/>
    <w:rsid w:val="00245289"/>
    <w:rsid w:val="00245AB1"/>
    <w:rsid w:val="0026743B"/>
    <w:rsid w:val="002876B4"/>
    <w:rsid w:val="00291A5E"/>
    <w:rsid w:val="002A11BA"/>
    <w:rsid w:val="002A2B95"/>
    <w:rsid w:val="002A5437"/>
    <w:rsid w:val="002A54D1"/>
    <w:rsid w:val="002A611F"/>
    <w:rsid w:val="002B57CC"/>
    <w:rsid w:val="002C0B7F"/>
    <w:rsid w:val="002D1409"/>
    <w:rsid w:val="002D6445"/>
    <w:rsid w:val="002E0431"/>
    <w:rsid w:val="002E1275"/>
    <w:rsid w:val="002E1DB4"/>
    <w:rsid w:val="002E6FD3"/>
    <w:rsid w:val="002F12CC"/>
    <w:rsid w:val="002F6D8B"/>
    <w:rsid w:val="00300443"/>
    <w:rsid w:val="00302275"/>
    <w:rsid w:val="003027C1"/>
    <w:rsid w:val="00311D31"/>
    <w:rsid w:val="003170E4"/>
    <w:rsid w:val="00323B93"/>
    <w:rsid w:val="00331F30"/>
    <w:rsid w:val="00333834"/>
    <w:rsid w:val="00334810"/>
    <w:rsid w:val="0033650E"/>
    <w:rsid w:val="00336974"/>
    <w:rsid w:val="003430C4"/>
    <w:rsid w:val="00344475"/>
    <w:rsid w:val="00344B81"/>
    <w:rsid w:val="00363432"/>
    <w:rsid w:val="00366977"/>
    <w:rsid w:val="00376D05"/>
    <w:rsid w:val="00381991"/>
    <w:rsid w:val="0039357A"/>
    <w:rsid w:val="003A2C94"/>
    <w:rsid w:val="003A2E9D"/>
    <w:rsid w:val="003A3C6D"/>
    <w:rsid w:val="003C6D63"/>
    <w:rsid w:val="003D297B"/>
    <w:rsid w:val="003D5237"/>
    <w:rsid w:val="003D5C04"/>
    <w:rsid w:val="003E0888"/>
    <w:rsid w:val="003E0FCA"/>
    <w:rsid w:val="003E6FCC"/>
    <w:rsid w:val="003F5136"/>
    <w:rsid w:val="00406444"/>
    <w:rsid w:val="004066D3"/>
    <w:rsid w:val="00413E82"/>
    <w:rsid w:val="004158B9"/>
    <w:rsid w:val="00415E14"/>
    <w:rsid w:val="00421831"/>
    <w:rsid w:val="00421B8F"/>
    <w:rsid w:val="00422928"/>
    <w:rsid w:val="004278AB"/>
    <w:rsid w:val="00427AB7"/>
    <w:rsid w:val="00430CAB"/>
    <w:rsid w:val="00431B5B"/>
    <w:rsid w:val="00431BDE"/>
    <w:rsid w:val="00436137"/>
    <w:rsid w:val="00440380"/>
    <w:rsid w:val="0044109D"/>
    <w:rsid w:val="00443BAD"/>
    <w:rsid w:val="00443DBA"/>
    <w:rsid w:val="00450FFD"/>
    <w:rsid w:val="004519B2"/>
    <w:rsid w:val="00455B96"/>
    <w:rsid w:val="0047199F"/>
    <w:rsid w:val="00484FD9"/>
    <w:rsid w:val="0048596F"/>
    <w:rsid w:val="00492950"/>
    <w:rsid w:val="0049508F"/>
    <w:rsid w:val="00495A59"/>
    <w:rsid w:val="004A2D36"/>
    <w:rsid w:val="004A3CA7"/>
    <w:rsid w:val="004A6D17"/>
    <w:rsid w:val="004C442A"/>
    <w:rsid w:val="004D00CF"/>
    <w:rsid w:val="004E2498"/>
    <w:rsid w:val="004E25F2"/>
    <w:rsid w:val="004E7C32"/>
    <w:rsid w:val="004F0A16"/>
    <w:rsid w:val="00537719"/>
    <w:rsid w:val="0055005E"/>
    <w:rsid w:val="005514D8"/>
    <w:rsid w:val="00553570"/>
    <w:rsid w:val="00560F14"/>
    <w:rsid w:val="005641C1"/>
    <w:rsid w:val="00564A36"/>
    <w:rsid w:val="0056512B"/>
    <w:rsid w:val="00565370"/>
    <w:rsid w:val="00567516"/>
    <w:rsid w:val="00567855"/>
    <w:rsid w:val="00572FB7"/>
    <w:rsid w:val="005744AB"/>
    <w:rsid w:val="00597EDE"/>
    <w:rsid w:val="005B432A"/>
    <w:rsid w:val="005C2228"/>
    <w:rsid w:val="005D1DD6"/>
    <w:rsid w:val="005E4571"/>
    <w:rsid w:val="005F299C"/>
    <w:rsid w:val="005F5B99"/>
    <w:rsid w:val="005F7D0B"/>
    <w:rsid w:val="00603723"/>
    <w:rsid w:val="006052F9"/>
    <w:rsid w:val="00612909"/>
    <w:rsid w:val="00614D59"/>
    <w:rsid w:val="0062102F"/>
    <w:rsid w:val="00625D28"/>
    <w:rsid w:val="00626885"/>
    <w:rsid w:val="0062720F"/>
    <w:rsid w:val="006321CA"/>
    <w:rsid w:val="006336F0"/>
    <w:rsid w:val="0063461A"/>
    <w:rsid w:val="00634CDB"/>
    <w:rsid w:val="006364CD"/>
    <w:rsid w:val="00637F51"/>
    <w:rsid w:val="00646D11"/>
    <w:rsid w:val="006521C2"/>
    <w:rsid w:val="006654DC"/>
    <w:rsid w:val="00667C46"/>
    <w:rsid w:val="0068142C"/>
    <w:rsid w:val="0068248C"/>
    <w:rsid w:val="00685788"/>
    <w:rsid w:val="00691DC0"/>
    <w:rsid w:val="006A3A9B"/>
    <w:rsid w:val="006A433C"/>
    <w:rsid w:val="006A5AEA"/>
    <w:rsid w:val="006B2D7B"/>
    <w:rsid w:val="006B6155"/>
    <w:rsid w:val="006C2437"/>
    <w:rsid w:val="006D6DDD"/>
    <w:rsid w:val="006E01E4"/>
    <w:rsid w:val="007000FA"/>
    <w:rsid w:val="00705A25"/>
    <w:rsid w:val="00714B93"/>
    <w:rsid w:val="00720CF9"/>
    <w:rsid w:val="00722F7C"/>
    <w:rsid w:val="0072425E"/>
    <w:rsid w:val="00730162"/>
    <w:rsid w:val="007314B1"/>
    <w:rsid w:val="0073356D"/>
    <w:rsid w:val="007337E9"/>
    <w:rsid w:val="007401B8"/>
    <w:rsid w:val="0075789B"/>
    <w:rsid w:val="00760A0B"/>
    <w:rsid w:val="007644C9"/>
    <w:rsid w:val="00764CE2"/>
    <w:rsid w:val="00772B77"/>
    <w:rsid w:val="00774096"/>
    <w:rsid w:val="0078254E"/>
    <w:rsid w:val="007873F4"/>
    <w:rsid w:val="007A0628"/>
    <w:rsid w:val="007A2142"/>
    <w:rsid w:val="007A2BF7"/>
    <w:rsid w:val="007A3909"/>
    <w:rsid w:val="007A73C5"/>
    <w:rsid w:val="007B158F"/>
    <w:rsid w:val="007B38CB"/>
    <w:rsid w:val="007C140D"/>
    <w:rsid w:val="007C5386"/>
    <w:rsid w:val="007C6633"/>
    <w:rsid w:val="007C7B28"/>
    <w:rsid w:val="007D4CFD"/>
    <w:rsid w:val="007D52C6"/>
    <w:rsid w:val="007D6D5D"/>
    <w:rsid w:val="007F1040"/>
    <w:rsid w:val="007F14CD"/>
    <w:rsid w:val="008024DD"/>
    <w:rsid w:val="008028A7"/>
    <w:rsid w:val="00814C27"/>
    <w:rsid w:val="00817AE7"/>
    <w:rsid w:val="008207E0"/>
    <w:rsid w:val="00827BDF"/>
    <w:rsid w:val="00835028"/>
    <w:rsid w:val="00837314"/>
    <w:rsid w:val="00842100"/>
    <w:rsid w:val="008436DA"/>
    <w:rsid w:val="00851D06"/>
    <w:rsid w:val="008645EF"/>
    <w:rsid w:val="00865B8E"/>
    <w:rsid w:val="00865F74"/>
    <w:rsid w:val="008700FF"/>
    <w:rsid w:val="00877125"/>
    <w:rsid w:val="00877B58"/>
    <w:rsid w:val="008829B3"/>
    <w:rsid w:val="008914E4"/>
    <w:rsid w:val="008921D0"/>
    <w:rsid w:val="00892C1E"/>
    <w:rsid w:val="00896EF2"/>
    <w:rsid w:val="008A2253"/>
    <w:rsid w:val="008A5A6B"/>
    <w:rsid w:val="008B0ABE"/>
    <w:rsid w:val="008B4B14"/>
    <w:rsid w:val="008B70FB"/>
    <w:rsid w:val="008B725A"/>
    <w:rsid w:val="008D4E53"/>
    <w:rsid w:val="008E3826"/>
    <w:rsid w:val="008E69DC"/>
    <w:rsid w:val="008E6B26"/>
    <w:rsid w:val="008F0D7D"/>
    <w:rsid w:val="008F2BE5"/>
    <w:rsid w:val="008F67A8"/>
    <w:rsid w:val="009010C2"/>
    <w:rsid w:val="00901B6B"/>
    <w:rsid w:val="009024B4"/>
    <w:rsid w:val="00907B1B"/>
    <w:rsid w:val="009143B7"/>
    <w:rsid w:val="00914F4A"/>
    <w:rsid w:val="009267BE"/>
    <w:rsid w:val="009328DB"/>
    <w:rsid w:val="00942252"/>
    <w:rsid w:val="00945CB1"/>
    <w:rsid w:val="00950023"/>
    <w:rsid w:val="00954E96"/>
    <w:rsid w:val="00956461"/>
    <w:rsid w:val="0096166D"/>
    <w:rsid w:val="00976D00"/>
    <w:rsid w:val="00980137"/>
    <w:rsid w:val="00985C8E"/>
    <w:rsid w:val="00986C29"/>
    <w:rsid w:val="009905F3"/>
    <w:rsid w:val="009A37AF"/>
    <w:rsid w:val="009A73F0"/>
    <w:rsid w:val="009C018F"/>
    <w:rsid w:val="009E22F0"/>
    <w:rsid w:val="009E747F"/>
    <w:rsid w:val="009F578D"/>
    <w:rsid w:val="00A045A0"/>
    <w:rsid w:val="00A24072"/>
    <w:rsid w:val="00A31277"/>
    <w:rsid w:val="00A33103"/>
    <w:rsid w:val="00A44972"/>
    <w:rsid w:val="00A46AA1"/>
    <w:rsid w:val="00A52CFB"/>
    <w:rsid w:val="00A53F3E"/>
    <w:rsid w:val="00A60224"/>
    <w:rsid w:val="00A60E7E"/>
    <w:rsid w:val="00A67772"/>
    <w:rsid w:val="00A75A56"/>
    <w:rsid w:val="00A934CA"/>
    <w:rsid w:val="00A955C4"/>
    <w:rsid w:val="00AA09A7"/>
    <w:rsid w:val="00AA5212"/>
    <w:rsid w:val="00AA5FA9"/>
    <w:rsid w:val="00AB0519"/>
    <w:rsid w:val="00AD4D29"/>
    <w:rsid w:val="00AE45F8"/>
    <w:rsid w:val="00AE5553"/>
    <w:rsid w:val="00AE5923"/>
    <w:rsid w:val="00AE626C"/>
    <w:rsid w:val="00AF13BD"/>
    <w:rsid w:val="00B01111"/>
    <w:rsid w:val="00B0298C"/>
    <w:rsid w:val="00B02EB8"/>
    <w:rsid w:val="00B101D4"/>
    <w:rsid w:val="00B1326B"/>
    <w:rsid w:val="00B14AC1"/>
    <w:rsid w:val="00B26E11"/>
    <w:rsid w:val="00B46B2B"/>
    <w:rsid w:val="00B47B5C"/>
    <w:rsid w:val="00B51B04"/>
    <w:rsid w:val="00B63C1E"/>
    <w:rsid w:val="00B77143"/>
    <w:rsid w:val="00B8444C"/>
    <w:rsid w:val="00B903AE"/>
    <w:rsid w:val="00B926A5"/>
    <w:rsid w:val="00BA3A4C"/>
    <w:rsid w:val="00BA765F"/>
    <w:rsid w:val="00BB07AE"/>
    <w:rsid w:val="00BB2203"/>
    <w:rsid w:val="00BB45E5"/>
    <w:rsid w:val="00BC3AB9"/>
    <w:rsid w:val="00BC43D5"/>
    <w:rsid w:val="00BC7800"/>
    <w:rsid w:val="00BD11C5"/>
    <w:rsid w:val="00BD29B3"/>
    <w:rsid w:val="00BD6661"/>
    <w:rsid w:val="00BE0A49"/>
    <w:rsid w:val="00BE4277"/>
    <w:rsid w:val="00BE6BC3"/>
    <w:rsid w:val="00BE7C0F"/>
    <w:rsid w:val="00BF1662"/>
    <w:rsid w:val="00C0780A"/>
    <w:rsid w:val="00C10583"/>
    <w:rsid w:val="00C1519B"/>
    <w:rsid w:val="00C16FE5"/>
    <w:rsid w:val="00C17001"/>
    <w:rsid w:val="00C2042A"/>
    <w:rsid w:val="00C3331E"/>
    <w:rsid w:val="00C35B4F"/>
    <w:rsid w:val="00C45613"/>
    <w:rsid w:val="00C463F5"/>
    <w:rsid w:val="00C52410"/>
    <w:rsid w:val="00C532AC"/>
    <w:rsid w:val="00C55CC6"/>
    <w:rsid w:val="00C5734C"/>
    <w:rsid w:val="00C612C2"/>
    <w:rsid w:val="00C624DA"/>
    <w:rsid w:val="00C7351F"/>
    <w:rsid w:val="00C75EFA"/>
    <w:rsid w:val="00C80699"/>
    <w:rsid w:val="00C92E2E"/>
    <w:rsid w:val="00C95820"/>
    <w:rsid w:val="00CA45D6"/>
    <w:rsid w:val="00CA5798"/>
    <w:rsid w:val="00CA71C7"/>
    <w:rsid w:val="00CB0C38"/>
    <w:rsid w:val="00CB276C"/>
    <w:rsid w:val="00CB2FC1"/>
    <w:rsid w:val="00CB5D2A"/>
    <w:rsid w:val="00CB5DE3"/>
    <w:rsid w:val="00CC3617"/>
    <w:rsid w:val="00CC51BA"/>
    <w:rsid w:val="00CC5FED"/>
    <w:rsid w:val="00CC64F6"/>
    <w:rsid w:val="00CD0490"/>
    <w:rsid w:val="00CD5F28"/>
    <w:rsid w:val="00CD7B94"/>
    <w:rsid w:val="00CE2868"/>
    <w:rsid w:val="00CE33C8"/>
    <w:rsid w:val="00CE6C54"/>
    <w:rsid w:val="00CF296B"/>
    <w:rsid w:val="00CF3562"/>
    <w:rsid w:val="00D103C4"/>
    <w:rsid w:val="00D12A02"/>
    <w:rsid w:val="00D178A5"/>
    <w:rsid w:val="00D2106D"/>
    <w:rsid w:val="00D22700"/>
    <w:rsid w:val="00D25393"/>
    <w:rsid w:val="00D42004"/>
    <w:rsid w:val="00D440B2"/>
    <w:rsid w:val="00D66847"/>
    <w:rsid w:val="00D675CE"/>
    <w:rsid w:val="00D72C44"/>
    <w:rsid w:val="00D775C9"/>
    <w:rsid w:val="00D83617"/>
    <w:rsid w:val="00D83880"/>
    <w:rsid w:val="00D85E34"/>
    <w:rsid w:val="00D87D0E"/>
    <w:rsid w:val="00D90963"/>
    <w:rsid w:val="00D93E88"/>
    <w:rsid w:val="00DA0A7B"/>
    <w:rsid w:val="00DA7E1E"/>
    <w:rsid w:val="00DD1DF4"/>
    <w:rsid w:val="00DD24E1"/>
    <w:rsid w:val="00DE1694"/>
    <w:rsid w:val="00DE38C9"/>
    <w:rsid w:val="00DE7329"/>
    <w:rsid w:val="00DE7CD6"/>
    <w:rsid w:val="00DF2000"/>
    <w:rsid w:val="00DF2F2A"/>
    <w:rsid w:val="00DF640E"/>
    <w:rsid w:val="00E05063"/>
    <w:rsid w:val="00E06282"/>
    <w:rsid w:val="00E11D6A"/>
    <w:rsid w:val="00E15CCC"/>
    <w:rsid w:val="00E25EE1"/>
    <w:rsid w:val="00E4182A"/>
    <w:rsid w:val="00E4254C"/>
    <w:rsid w:val="00E426DF"/>
    <w:rsid w:val="00E436ED"/>
    <w:rsid w:val="00E621F3"/>
    <w:rsid w:val="00E73865"/>
    <w:rsid w:val="00E73EEC"/>
    <w:rsid w:val="00E8255A"/>
    <w:rsid w:val="00EB6AB0"/>
    <w:rsid w:val="00EC0C36"/>
    <w:rsid w:val="00EC10E9"/>
    <w:rsid w:val="00EC232B"/>
    <w:rsid w:val="00EC798A"/>
    <w:rsid w:val="00ED3479"/>
    <w:rsid w:val="00EE1328"/>
    <w:rsid w:val="00EE548C"/>
    <w:rsid w:val="00EF26EB"/>
    <w:rsid w:val="00EF60B6"/>
    <w:rsid w:val="00F049ED"/>
    <w:rsid w:val="00F1661B"/>
    <w:rsid w:val="00F22796"/>
    <w:rsid w:val="00F32F16"/>
    <w:rsid w:val="00F459EA"/>
    <w:rsid w:val="00F503D6"/>
    <w:rsid w:val="00F56000"/>
    <w:rsid w:val="00F57144"/>
    <w:rsid w:val="00F5740F"/>
    <w:rsid w:val="00F62B19"/>
    <w:rsid w:val="00F62B70"/>
    <w:rsid w:val="00F639FC"/>
    <w:rsid w:val="00F656BD"/>
    <w:rsid w:val="00F72FC9"/>
    <w:rsid w:val="00F74F82"/>
    <w:rsid w:val="00F81A33"/>
    <w:rsid w:val="00F847D2"/>
    <w:rsid w:val="00FB17DA"/>
    <w:rsid w:val="00FB69D4"/>
    <w:rsid w:val="00FD1555"/>
    <w:rsid w:val="00FF2AD4"/>
    <w:rsid w:val="08A3C63D"/>
    <w:rsid w:val="13494556"/>
    <w:rsid w:val="2539540B"/>
    <w:rsid w:val="27A07C42"/>
    <w:rsid w:val="290D74D9"/>
    <w:rsid w:val="2AA9453A"/>
    <w:rsid w:val="380015A7"/>
    <w:rsid w:val="3AFFB0C8"/>
    <w:rsid w:val="41BBBC4F"/>
    <w:rsid w:val="465A8318"/>
    <w:rsid w:val="4CEAD0D6"/>
    <w:rsid w:val="5F1C852F"/>
    <w:rsid w:val="6296F748"/>
    <w:rsid w:val="68FFA790"/>
    <w:rsid w:val="7711E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15645"/>
  <w15:chartTrackingRefBased/>
  <w15:docId w15:val="{25E53A22-013F-4D65-9D3C-C1B62237141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uiPriority="2" w:semiHidden="1" w:unhideWhenUsed="1" w:qFormat="1"/>
    <w:lsdException w:name="heading 3" w:uiPriority="2" w:semiHidden="1" w:unhideWhenUsed="1"/>
    <w:lsdException w:name="heading 4" w:uiPriority="2" w:semiHidden="1" w:unhideWhenUsed="1"/>
    <w:lsdException w:name="heading 5" w:uiPriority="2"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519B2"/>
    <w:pPr>
      <w:spacing w:after="240" w:line="360" w:lineRule="auto"/>
    </w:pPr>
    <w:rPr>
      <w:sz w:val="24"/>
    </w:rPr>
  </w:style>
  <w:style w:type="paragraph" w:styleId="Heading1">
    <w:name w:val="heading 1"/>
    <w:basedOn w:val="Normal"/>
    <w:next w:val="BodyText"/>
    <w:link w:val="Heading1Char"/>
    <w:uiPriority w:val="2"/>
    <w:qFormat/>
    <w:rsid w:val="009905F3"/>
    <w:pPr>
      <w:keepNext/>
      <w:keepLines/>
      <w:spacing w:line="240" w:lineRule="auto"/>
      <w:jc w:val="center"/>
      <w:outlineLvl w:val="0"/>
    </w:pPr>
    <w:rPr>
      <w:rFonts w:asciiTheme="majorHAnsi" w:hAnsiTheme="majorHAnsi" w:eastAsiaTheme="majorEastAsia" w:cstheme="majorBidi"/>
      <w:b/>
      <w:color w:val="14558F"/>
      <w:sz w:val="28"/>
      <w:szCs w:val="32"/>
    </w:rPr>
  </w:style>
  <w:style w:type="paragraph" w:styleId="Heading2">
    <w:name w:val="heading 2"/>
    <w:basedOn w:val="Normal"/>
    <w:next w:val="Normal"/>
    <w:link w:val="Heading2Char"/>
    <w:uiPriority w:val="2"/>
    <w:unhideWhenUsed/>
    <w:qFormat/>
    <w:rsid w:val="00E73EEC"/>
    <w:pPr>
      <w:keepNext/>
      <w:keepLines/>
      <w:spacing w:before="240" w:line="240" w:lineRule="auto"/>
      <w:outlineLvl w:val="1"/>
    </w:pPr>
    <w:rPr>
      <w:rFonts w:asciiTheme="majorHAnsi" w:hAnsiTheme="majorHAnsi" w:eastAsiaTheme="majorEastAsia" w:cstheme="majorBidi"/>
      <w:b/>
      <w:color w:val="489AE5" w:themeColor="accent1" w:themeTint="99"/>
      <w:szCs w:val="26"/>
    </w:rPr>
  </w:style>
  <w:style w:type="paragraph" w:styleId="Heading3">
    <w:name w:val="heading 3"/>
    <w:basedOn w:val="Normal"/>
    <w:next w:val="Normal"/>
    <w:link w:val="Heading3Char"/>
    <w:uiPriority w:val="2"/>
    <w:unhideWhenUsed/>
    <w:rsid w:val="004519B2"/>
    <w:pPr>
      <w:keepNext/>
      <w:keepLines/>
      <w:spacing w:before="120" w:after="120" w:line="240" w:lineRule="auto"/>
      <w:outlineLvl w:val="2"/>
    </w:pPr>
    <w:rPr>
      <w:rFonts w:asciiTheme="majorHAnsi" w:hAnsiTheme="majorHAnsi" w:eastAsiaTheme="majorEastAsia" w:cstheme="majorBidi"/>
      <w:color w:val="0A2A47" w:themeColor="accent1" w:themeShade="7F"/>
      <w:sz w:val="32"/>
      <w:szCs w:val="24"/>
    </w:rPr>
  </w:style>
  <w:style w:type="paragraph" w:styleId="Heading4">
    <w:name w:val="heading 4"/>
    <w:basedOn w:val="Normal"/>
    <w:next w:val="Normal"/>
    <w:link w:val="Heading4Char"/>
    <w:uiPriority w:val="2"/>
    <w:unhideWhenUsed/>
    <w:rsid w:val="004519B2"/>
    <w:pPr>
      <w:keepNext/>
      <w:keepLines/>
      <w:spacing w:before="240" w:after="120" w:line="240" w:lineRule="auto"/>
      <w:outlineLvl w:val="3"/>
    </w:pPr>
    <w:rPr>
      <w:rFonts w:asciiTheme="majorHAnsi" w:hAnsiTheme="majorHAnsi" w:eastAsiaTheme="majorEastAsia" w:cstheme="majorBidi"/>
      <w:iCs/>
      <w:color w:val="14558F"/>
      <w:sz w:val="28"/>
    </w:rPr>
  </w:style>
  <w:style w:type="paragraph" w:styleId="Heading5">
    <w:name w:val="heading 5"/>
    <w:basedOn w:val="Normal"/>
    <w:next w:val="Normal"/>
    <w:link w:val="Heading5Char"/>
    <w:uiPriority w:val="2"/>
    <w:semiHidden/>
    <w:unhideWhenUsed/>
    <w:rsid w:val="004519B2"/>
    <w:pPr>
      <w:keepNext/>
      <w:keepLines/>
      <w:spacing w:before="40" w:after="0"/>
      <w:outlineLvl w:val="4"/>
    </w:pPr>
    <w:rPr>
      <w:rFonts w:asciiTheme="majorHAnsi" w:hAnsiTheme="majorHAnsi" w:eastAsiaTheme="majorEastAsia" w:cstheme="majorBidi"/>
      <w:color w:val="0F3F6B" w:themeColor="accent1" w:themeShade="BF"/>
      <w:sz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4519B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519B2"/>
    <w:rPr>
      <w:rFonts w:ascii="Segoe UI" w:hAnsi="Segoe UI" w:cs="Segoe UI"/>
      <w:sz w:val="18"/>
      <w:szCs w:val="18"/>
    </w:rPr>
  </w:style>
  <w:style w:type="paragraph" w:styleId="Bibliography">
    <w:name w:val="Bibliography"/>
    <w:basedOn w:val="Normal"/>
    <w:next w:val="Normal"/>
    <w:uiPriority w:val="37"/>
    <w:unhideWhenUsed/>
    <w:rsid w:val="004519B2"/>
  </w:style>
  <w:style w:type="character" w:styleId="BookTitle">
    <w:name w:val="Book Title"/>
    <w:basedOn w:val="DefaultParagraphFont"/>
    <w:uiPriority w:val="33"/>
    <w:rsid w:val="004519B2"/>
    <w:rPr>
      <w:b/>
      <w:bCs/>
      <w:i w:val="0"/>
      <w:iCs/>
      <w:spacing w:val="5"/>
    </w:rPr>
  </w:style>
  <w:style w:type="paragraph" w:styleId="ListParagraph">
    <w:name w:val="List Paragraph"/>
    <w:basedOn w:val="Normal"/>
    <w:uiPriority w:val="34"/>
    <w:rsid w:val="004519B2"/>
    <w:pPr>
      <w:ind w:left="720"/>
      <w:contextualSpacing/>
    </w:pPr>
  </w:style>
  <w:style w:type="paragraph" w:styleId="BulletedItem" w:customStyle="1">
    <w:name w:val="Bulleted Item"/>
    <w:basedOn w:val="ListParagraph"/>
    <w:uiPriority w:val="3"/>
    <w:rsid w:val="004519B2"/>
    <w:pPr>
      <w:ind w:left="1440" w:hanging="720"/>
    </w:pPr>
  </w:style>
  <w:style w:type="paragraph" w:styleId="Caption">
    <w:name w:val="caption"/>
    <w:basedOn w:val="Normal"/>
    <w:next w:val="Normal"/>
    <w:uiPriority w:val="35"/>
    <w:unhideWhenUsed/>
    <w:rsid w:val="004519B2"/>
    <w:pPr>
      <w:spacing w:after="120" w:line="240" w:lineRule="auto"/>
    </w:pPr>
    <w:rPr>
      <w:iCs/>
      <w:color w:val="44546A" w:themeColor="text2"/>
      <w:sz w:val="18"/>
      <w:szCs w:val="18"/>
    </w:rPr>
  </w:style>
  <w:style w:type="paragraph" w:styleId="Footer">
    <w:name w:val="footer"/>
    <w:basedOn w:val="Normal"/>
    <w:link w:val="FooterChar"/>
    <w:uiPriority w:val="99"/>
    <w:unhideWhenUsed/>
    <w:rsid w:val="004519B2"/>
    <w:pPr>
      <w:tabs>
        <w:tab w:val="center" w:pos="4680"/>
        <w:tab w:val="right" w:pos="9360"/>
      </w:tabs>
      <w:spacing w:after="0" w:line="240" w:lineRule="auto"/>
    </w:pPr>
    <w:rPr>
      <w:color w:val="14558F"/>
      <w:sz w:val="20"/>
    </w:rPr>
  </w:style>
  <w:style w:type="character" w:styleId="FooterChar" w:customStyle="1">
    <w:name w:val="Footer Char"/>
    <w:basedOn w:val="DefaultParagraphFont"/>
    <w:link w:val="Footer"/>
    <w:uiPriority w:val="99"/>
    <w:rsid w:val="004519B2"/>
    <w:rPr>
      <w:color w:val="14558F"/>
      <w:sz w:val="20"/>
    </w:rPr>
  </w:style>
  <w:style w:type="table" w:styleId="GridTable4-Accent1">
    <w:name w:val="Grid Table 4 Accent 1"/>
    <w:basedOn w:val="TableNormal"/>
    <w:uiPriority w:val="49"/>
    <w:rsid w:val="004519B2"/>
    <w:pPr>
      <w:spacing w:after="0" w:line="240" w:lineRule="auto"/>
    </w:pPr>
    <w:tblPr>
      <w:tblStyleRowBandSize w:val="1"/>
      <w:tblStyleColBandSize w:val="1"/>
      <w:tblBorders>
        <w:top w:val="single" w:color="489AE5" w:themeColor="accent1" w:themeTint="99" w:sz="4" w:space="0"/>
        <w:left w:val="single" w:color="489AE5" w:themeColor="accent1" w:themeTint="99" w:sz="4" w:space="0"/>
        <w:bottom w:val="single" w:color="489AE5" w:themeColor="accent1" w:themeTint="99" w:sz="4" w:space="0"/>
        <w:right w:val="single" w:color="489AE5" w:themeColor="accent1" w:themeTint="99" w:sz="4" w:space="0"/>
        <w:insideH w:val="single" w:color="489AE5" w:themeColor="accent1" w:themeTint="99" w:sz="4" w:space="0"/>
        <w:insideV w:val="single" w:color="489AE5" w:themeColor="accent1" w:themeTint="99" w:sz="4" w:space="0"/>
      </w:tblBorders>
    </w:tblPr>
    <w:tblStylePr w:type="firstRow">
      <w:rPr>
        <w:b/>
        <w:bCs/>
        <w:color w:val="FFFFFF" w:themeColor="background1"/>
      </w:rPr>
      <w:tblPr/>
      <w:tcPr>
        <w:tcBorders>
          <w:top w:val="single" w:color="14558F" w:themeColor="accent1" w:sz="4" w:space="0"/>
          <w:left w:val="single" w:color="14558F" w:themeColor="accent1" w:sz="4" w:space="0"/>
          <w:bottom w:val="single" w:color="14558F" w:themeColor="accent1" w:sz="4" w:space="0"/>
          <w:right w:val="single" w:color="14558F" w:themeColor="accent1" w:sz="4" w:space="0"/>
          <w:insideH w:val="nil"/>
          <w:insideV w:val="nil"/>
        </w:tcBorders>
        <w:shd w:val="clear" w:color="auto" w:fill="14558F" w:themeFill="accent1"/>
      </w:tcPr>
    </w:tblStylePr>
    <w:tblStylePr w:type="lastRow">
      <w:rPr>
        <w:b/>
        <w:bCs/>
      </w:rPr>
      <w:tblPr/>
      <w:tcPr>
        <w:tcBorders>
          <w:top w:val="double" w:color="14558F" w:themeColor="accent1" w:sz="4" w:space="0"/>
        </w:tcBorders>
      </w:tcPr>
    </w:tblStylePr>
    <w:tblStylePr w:type="firstCol">
      <w:rPr>
        <w:b/>
        <w:bCs/>
      </w:rPr>
    </w:tblStylePr>
    <w:tblStylePr w:type="lastCol">
      <w:rPr>
        <w:b/>
        <w:bCs/>
      </w:rPr>
    </w:tblStylePr>
    <w:tblStylePr w:type="band1Vert">
      <w:tblPr/>
      <w:tcPr>
        <w:shd w:val="clear" w:color="auto" w:fill="C1DDF6" w:themeFill="accent1" w:themeFillTint="33"/>
      </w:tcPr>
    </w:tblStylePr>
    <w:tblStylePr w:type="band1Horz">
      <w:tblPr/>
      <w:tcPr>
        <w:shd w:val="clear" w:color="auto" w:fill="C1DDF6" w:themeFill="accent1" w:themeFillTint="33"/>
      </w:tcPr>
    </w:tblStylePr>
  </w:style>
  <w:style w:type="table" w:styleId="GridTable4-Accent5">
    <w:name w:val="Grid Table 4 Accent 5"/>
    <w:basedOn w:val="TableNormal"/>
    <w:uiPriority w:val="49"/>
    <w:rsid w:val="004519B2"/>
    <w:pPr>
      <w:spacing w:after="0" w:line="240" w:lineRule="auto"/>
    </w:pPr>
    <w:tblPr>
      <w:tblStyleRowBandSize w:val="1"/>
      <w:tblStyleColBandSize w:val="1"/>
      <w:tblBorders>
        <w:top w:val="single" w:color="F1C57E" w:themeColor="accent5" w:themeTint="99" w:sz="4" w:space="0"/>
        <w:left w:val="single" w:color="F1C57E" w:themeColor="accent5" w:themeTint="99" w:sz="4" w:space="0"/>
        <w:bottom w:val="single" w:color="F1C57E" w:themeColor="accent5" w:themeTint="99" w:sz="4" w:space="0"/>
        <w:right w:val="single" w:color="F1C57E" w:themeColor="accent5" w:themeTint="99" w:sz="4" w:space="0"/>
        <w:insideH w:val="single" w:color="F1C57E" w:themeColor="accent5" w:themeTint="99" w:sz="4" w:space="0"/>
        <w:insideV w:val="single" w:color="F1C57E" w:themeColor="accent5" w:themeTint="99" w:sz="4" w:space="0"/>
      </w:tblBorders>
    </w:tblPr>
    <w:tblStylePr w:type="firstRow">
      <w:rPr>
        <w:b/>
        <w:bCs/>
        <w:color w:val="FFFFFF" w:themeColor="background1"/>
      </w:rPr>
      <w:tblPr/>
      <w:tcPr>
        <w:tcBorders>
          <w:top w:val="single" w:color="E9A029" w:themeColor="accent5" w:sz="4" w:space="0"/>
          <w:left w:val="single" w:color="E9A029" w:themeColor="accent5" w:sz="4" w:space="0"/>
          <w:bottom w:val="single" w:color="E9A029" w:themeColor="accent5" w:sz="4" w:space="0"/>
          <w:right w:val="single" w:color="E9A029" w:themeColor="accent5" w:sz="4" w:space="0"/>
          <w:insideH w:val="nil"/>
          <w:insideV w:val="nil"/>
        </w:tcBorders>
        <w:shd w:val="clear" w:color="auto" w:fill="E9A029" w:themeFill="accent5"/>
      </w:tcPr>
    </w:tblStylePr>
    <w:tblStylePr w:type="lastRow">
      <w:rPr>
        <w:b/>
        <w:bCs/>
      </w:rPr>
      <w:tblPr/>
      <w:tcPr>
        <w:tcBorders>
          <w:top w:val="double" w:color="E9A029" w:themeColor="accent5" w:sz="4" w:space="0"/>
        </w:tcBorders>
      </w:tcPr>
    </w:tblStylePr>
    <w:tblStylePr w:type="firstCol">
      <w:rPr>
        <w:b/>
        <w:bCs/>
      </w:rPr>
    </w:tblStylePr>
    <w:tblStylePr w:type="lastCol">
      <w:rPr>
        <w:b/>
        <w:bCs/>
      </w:rPr>
    </w:tblStylePr>
    <w:tblStylePr w:type="band1Vert">
      <w:tblPr/>
      <w:tcPr>
        <w:shd w:val="clear" w:color="auto" w:fill="FAEBD4" w:themeFill="accent5" w:themeFillTint="33"/>
      </w:tcPr>
    </w:tblStylePr>
    <w:tblStylePr w:type="band1Horz">
      <w:tblPr/>
      <w:tcPr>
        <w:shd w:val="clear" w:color="auto" w:fill="FAEBD4" w:themeFill="accent5" w:themeFillTint="33"/>
      </w:tcPr>
    </w:tblStylePr>
  </w:style>
  <w:style w:type="paragraph" w:styleId="Header">
    <w:name w:val="header"/>
    <w:basedOn w:val="Normal"/>
    <w:link w:val="HeaderChar"/>
    <w:uiPriority w:val="99"/>
    <w:unhideWhenUsed/>
    <w:rsid w:val="00E73EEC"/>
    <w:pPr>
      <w:tabs>
        <w:tab w:val="center" w:pos="4680"/>
        <w:tab w:val="right" w:pos="9360"/>
      </w:tabs>
      <w:spacing w:after="0" w:line="240" w:lineRule="auto"/>
    </w:pPr>
    <w:rPr>
      <w:color w:val="14558F" w:themeColor="accent1"/>
      <w:sz w:val="22"/>
    </w:rPr>
  </w:style>
  <w:style w:type="character" w:styleId="HeaderChar" w:customStyle="1">
    <w:name w:val="Header Char"/>
    <w:basedOn w:val="DefaultParagraphFont"/>
    <w:link w:val="Header"/>
    <w:uiPriority w:val="99"/>
    <w:rsid w:val="00E73EEC"/>
    <w:rPr>
      <w:color w:val="14558F" w:themeColor="accent1"/>
    </w:rPr>
  </w:style>
  <w:style w:type="character" w:styleId="Heading1Char" w:customStyle="1">
    <w:name w:val="Heading 1 Char"/>
    <w:basedOn w:val="DefaultParagraphFont"/>
    <w:link w:val="Heading1"/>
    <w:uiPriority w:val="2"/>
    <w:rsid w:val="009905F3"/>
    <w:rPr>
      <w:rFonts w:asciiTheme="majorHAnsi" w:hAnsiTheme="majorHAnsi" w:eastAsiaTheme="majorEastAsia" w:cstheme="majorBidi"/>
      <w:b/>
      <w:color w:val="14558F"/>
      <w:sz w:val="28"/>
      <w:szCs w:val="32"/>
    </w:rPr>
  </w:style>
  <w:style w:type="character" w:styleId="Heading2Char" w:customStyle="1">
    <w:name w:val="Heading 2 Char"/>
    <w:basedOn w:val="DefaultParagraphFont"/>
    <w:link w:val="Heading2"/>
    <w:uiPriority w:val="2"/>
    <w:rsid w:val="00E73EEC"/>
    <w:rPr>
      <w:rFonts w:asciiTheme="majorHAnsi" w:hAnsiTheme="majorHAnsi" w:eastAsiaTheme="majorEastAsia" w:cstheme="majorBidi"/>
      <w:b/>
      <w:color w:val="489AE5" w:themeColor="accent1" w:themeTint="99"/>
      <w:sz w:val="24"/>
      <w:szCs w:val="26"/>
    </w:rPr>
  </w:style>
  <w:style w:type="character" w:styleId="Heading3Char" w:customStyle="1">
    <w:name w:val="Heading 3 Char"/>
    <w:basedOn w:val="DefaultParagraphFont"/>
    <w:link w:val="Heading3"/>
    <w:uiPriority w:val="2"/>
    <w:rsid w:val="004519B2"/>
    <w:rPr>
      <w:rFonts w:asciiTheme="majorHAnsi" w:hAnsiTheme="majorHAnsi" w:eastAsiaTheme="majorEastAsia" w:cstheme="majorBidi"/>
      <w:color w:val="0A2A47" w:themeColor="accent1" w:themeShade="7F"/>
      <w:sz w:val="32"/>
      <w:szCs w:val="24"/>
    </w:rPr>
  </w:style>
  <w:style w:type="character" w:styleId="Heading4Char" w:customStyle="1">
    <w:name w:val="Heading 4 Char"/>
    <w:basedOn w:val="DefaultParagraphFont"/>
    <w:link w:val="Heading4"/>
    <w:uiPriority w:val="2"/>
    <w:rsid w:val="004519B2"/>
    <w:rPr>
      <w:rFonts w:asciiTheme="majorHAnsi" w:hAnsiTheme="majorHAnsi" w:eastAsiaTheme="majorEastAsia" w:cstheme="majorBidi"/>
      <w:iCs/>
      <w:color w:val="14558F"/>
      <w:sz w:val="28"/>
    </w:rPr>
  </w:style>
  <w:style w:type="character" w:styleId="Heading5Char" w:customStyle="1">
    <w:name w:val="Heading 5 Char"/>
    <w:basedOn w:val="DefaultParagraphFont"/>
    <w:link w:val="Heading5"/>
    <w:uiPriority w:val="2"/>
    <w:semiHidden/>
    <w:rsid w:val="004519B2"/>
    <w:rPr>
      <w:rFonts w:asciiTheme="majorHAnsi" w:hAnsiTheme="majorHAnsi" w:eastAsiaTheme="majorEastAsia" w:cstheme="majorBidi"/>
      <w:color w:val="0F3F6B" w:themeColor="accent1" w:themeShade="BF"/>
      <w:sz w:val="28"/>
    </w:rPr>
  </w:style>
  <w:style w:type="character" w:styleId="Hyperlink">
    <w:name w:val="Hyperlink"/>
    <w:basedOn w:val="DefaultParagraphFont"/>
    <w:uiPriority w:val="99"/>
    <w:unhideWhenUsed/>
    <w:rsid w:val="004519B2"/>
    <w:rPr>
      <w:color w:val="0563C1" w:themeColor="hyperlink"/>
      <w:u w:val="single"/>
    </w:rPr>
  </w:style>
  <w:style w:type="paragraph" w:styleId="IntenseQuote">
    <w:name w:val="Intense Quote"/>
    <w:basedOn w:val="Normal"/>
    <w:next w:val="Normal"/>
    <w:link w:val="IntenseQuoteChar"/>
    <w:uiPriority w:val="30"/>
    <w:rsid w:val="004519B2"/>
    <w:pPr>
      <w:pBdr>
        <w:top w:val="single" w:color="14558F" w:themeColor="accent1" w:sz="4" w:space="10"/>
        <w:bottom w:val="single" w:color="14558F" w:themeColor="accent1" w:sz="4" w:space="10"/>
      </w:pBdr>
      <w:spacing w:before="240" w:after="120"/>
      <w:ind w:left="864" w:right="864"/>
      <w:jc w:val="both"/>
    </w:pPr>
    <w:rPr>
      <w:iCs/>
      <w:color w:val="14558F" w:themeColor="accent1"/>
    </w:rPr>
  </w:style>
  <w:style w:type="character" w:styleId="IntenseQuoteChar" w:customStyle="1">
    <w:name w:val="Intense Quote Char"/>
    <w:basedOn w:val="DefaultParagraphFont"/>
    <w:link w:val="IntenseQuote"/>
    <w:uiPriority w:val="30"/>
    <w:rsid w:val="004519B2"/>
    <w:rPr>
      <w:iCs/>
      <w:color w:val="14558F" w:themeColor="accent1"/>
      <w:sz w:val="24"/>
    </w:rPr>
  </w:style>
  <w:style w:type="paragraph" w:styleId="Multi-LevelList1" w:customStyle="1">
    <w:name w:val="Multi-Level List 1"/>
    <w:basedOn w:val="Normal"/>
    <w:uiPriority w:val="4"/>
    <w:rsid w:val="004519B2"/>
    <w:pPr>
      <w:numPr>
        <w:numId w:val="10"/>
      </w:numPr>
    </w:pPr>
  </w:style>
  <w:style w:type="paragraph" w:styleId="Multi-LevelList2" w:customStyle="1">
    <w:name w:val="Multi-Level List 2"/>
    <w:basedOn w:val="Normal"/>
    <w:uiPriority w:val="4"/>
    <w:unhideWhenUsed/>
    <w:rsid w:val="004519B2"/>
    <w:pPr>
      <w:numPr>
        <w:ilvl w:val="1"/>
        <w:numId w:val="10"/>
      </w:numPr>
    </w:pPr>
  </w:style>
  <w:style w:type="paragraph" w:styleId="Multi-LevelList3" w:customStyle="1">
    <w:name w:val="Multi-Level List 3"/>
    <w:basedOn w:val="Normal"/>
    <w:uiPriority w:val="4"/>
    <w:unhideWhenUsed/>
    <w:rsid w:val="004519B2"/>
    <w:pPr>
      <w:numPr>
        <w:ilvl w:val="2"/>
        <w:numId w:val="10"/>
      </w:numPr>
    </w:pPr>
  </w:style>
  <w:style w:type="paragraph" w:styleId="Multi-LevelList4" w:customStyle="1">
    <w:name w:val="Multi-Level List 4"/>
    <w:basedOn w:val="Normal"/>
    <w:uiPriority w:val="4"/>
    <w:unhideWhenUsed/>
    <w:rsid w:val="004519B2"/>
    <w:pPr>
      <w:numPr>
        <w:ilvl w:val="3"/>
        <w:numId w:val="10"/>
      </w:numPr>
    </w:pPr>
  </w:style>
  <w:style w:type="paragraph" w:styleId="Multi-LevelList5" w:customStyle="1">
    <w:name w:val="Multi-Level List 5"/>
    <w:basedOn w:val="Normal"/>
    <w:uiPriority w:val="4"/>
    <w:unhideWhenUsed/>
    <w:rsid w:val="004519B2"/>
    <w:pPr>
      <w:numPr>
        <w:ilvl w:val="4"/>
        <w:numId w:val="10"/>
      </w:numPr>
    </w:pPr>
  </w:style>
  <w:style w:type="paragraph" w:styleId="Multi-LevelList6" w:customStyle="1">
    <w:name w:val="Multi-Level List 6"/>
    <w:basedOn w:val="Normal"/>
    <w:uiPriority w:val="4"/>
    <w:unhideWhenUsed/>
    <w:rsid w:val="004519B2"/>
    <w:pPr>
      <w:numPr>
        <w:ilvl w:val="5"/>
        <w:numId w:val="10"/>
      </w:numPr>
    </w:pPr>
  </w:style>
  <w:style w:type="paragraph" w:styleId="Multi-LevelList7" w:customStyle="1">
    <w:name w:val="Multi-Level List 7"/>
    <w:basedOn w:val="Normal"/>
    <w:uiPriority w:val="4"/>
    <w:unhideWhenUsed/>
    <w:rsid w:val="004519B2"/>
    <w:pPr>
      <w:numPr>
        <w:ilvl w:val="6"/>
        <w:numId w:val="10"/>
      </w:numPr>
    </w:pPr>
  </w:style>
  <w:style w:type="paragraph" w:styleId="Multi-LevelList8" w:customStyle="1">
    <w:name w:val="Multi-Level List 8"/>
    <w:basedOn w:val="Normal"/>
    <w:uiPriority w:val="4"/>
    <w:unhideWhenUsed/>
    <w:rsid w:val="004519B2"/>
    <w:pPr>
      <w:numPr>
        <w:ilvl w:val="7"/>
        <w:numId w:val="10"/>
      </w:numPr>
    </w:pPr>
  </w:style>
  <w:style w:type="paragraph" w:styleId="Multi-LevelList9" w:customStyle="1">
    <w:name w:val="Multi-Level List 9"/>
    <w:basedOn w:val="Normal"/>
    <w:uiPriority w:val="4"/>
    <w:unhideWhenUsed/>
    <w:rsid w:val="004519B2"/>
    <w:pPr>
      <w:numPr>
        <w:ilvl w:val="8"/>
        <w:numId w:val="10"/>
      </w:numPr>
    </w:pPr>
  </w:style>
  <w:style w:type="paragraph" w:styleId="NoSpacing">
    <w:name w:val="No Spacing"/>
    <w:link w:val="NoSpacingChar"/>
    <w:uiPriority w:val="1"/>
    <w:qFormat/>
    <w:rsid w:val="004519B2"/>
    <w:pPr>
      <w:spacing w:after="0" w:line="240" w:lineRule="auto"/>
    </w:pPr>
    <w:rPr>
      <w:rFonts w:eastAsiaTheme="minorEastAsia"/>
      <w:sz w:val="24"/>
    </w:rPr>
  </w:style>
  <w:style w:type="character" w:styleId="NoSpacingChar" w:customStyle="1">
    <w:name w:val="No Spacing Char"/>
    <w:basedOn w:val="DefaultParagraphFont"/>
    <w:link w:val="NoSpacing"/>
    <w:uiPriority w:val="1"/>
    <w:rsid w:val="004519B2"/>
    <w:rPr>
      <w:rFonts w:eastAsiaTheme="minorEastAsia"/>
      <w:sz w:val="24"/>
    </w:rPr>
  </w:style>
  <w:style w:type="character" w:styleId="PlaceholderText">
    <w:name w:val="Placeholder Text"/>
    <w:basedOn w:val="DefaultParagraphFont"/>
    <w:uiPriority w:val="99"/>
    <w:semiHidden/>
    <w:rsid w:val="004519B2"/>
    <w:rPr>
      <w:color w:val="808080"/>
    </w:rPr>
  </w:style>
  <w:style w:type="paragraph" w:styleId="Quote">
    <w:name w:val="Quote"/>
    <w:basedOn w:val="Normal"/>
    <w:next w:val="Normal"/>
    <w:link w:val="QuoteChar"/>
    <w:uiPriority w:val="29"/>
    <w:rsid w:val="004519B2"/>
    <w:pPr>
      <w:spacing w:before="200" w:after="120"/>
      <w:ind w:left="864" w:right="864"/>
      <w:jc w:val="both"/>
    </w:pPr>
    <w:rPr>
      <w:iCs/>
    </w:rPr>
  </w:style>
  <w:style w:type="character" w:styleId="QuoteChar" w:customStyle="1">
    <w:name w:val="Quote Char"/>
    <w:basedOn w:val="DefaultParagraphFont"/>
    <w:link w:val="Quote"/>
    <w:uiPriority w:val="29"/>
    <w:rsid w:val="004519B2"/>
    <w:rPr>
      <w:iCs/>
      <w:sz w:val="24"/>
    </w:rPr>
  </w:style>
  <w:style w:type="paragraph" w:styleId="SimpleNumberedList" w:customStyle="1">
    <w:name w:val="Simple Numbered List"/>
    <w:basedOn w:val="ListParagraph"/>
    <w:uiPriority w:val="3"/>
    <w:rsid w:val="004519B2"/>
    <w:pPr>
      <w:numPr>
        <w:numId w:val="11"/>
      </w:numPr>
    </w:pPr>
  </w:style>
  <w:style w:type="paragraph" w:styleId="Subtitle">
    <w:name w:val="Subtitle"/>
    <w:basedOn w:val="Normal"/>
    <w:next w:val="Normal"/>
    <w:link w:val="SubtitleChar"/>
    <w:uiPriority w:val="11"/>
    <w:qFormat/>
    <w:rsid w:val="009905F3"/>
    <w:pPr>
      <w:numPr>
        <w:ilvl w:val="1"/>
      </w:numPr>
      <w:spacing w:before="120" w:after="0" w:line="240" w:lineRule="auto"/>
      <w:jc w:val="center"/>
    </w:pPr>
    <w:rPr>
      <w:rFonts w:eastAsiaTheme="minorEastAsia"/>
      <w:color w:val="000000" w:themeColor="text1"/>
      <w:spacing w:val="15"/>
      <w:sz w:val="36"/>
    </w:rPr>
  </w:style>
  <w:style w:type="character" w:styleId="SubtitleChar" w:customStyle="1">
    <w:name w:val="Subtitle Char"/>
    <w:basedOn w:val="DefaultParagraphFont"/>
    <w:link w:val="Subtitle"/>
    <w:uiPriority w:val="11"/>
    <w:rsid w:val="009905F3"/>
    <w:rPr>
      <w:rFonts w:eastAsiaTheme="minorEastAsia"/>
      <w:color w:val="000000" w:themeColor="text1"/>
      <w:spacing w:val="15"/>
      <w:sz w:val="36"/>
    </w:rPr>
  </w:style>
  <w:style w:type="table" w:styleId="TableGrid">
    <w:name w:val="Table Grid"/>
    <w:basedOn w:val="TableNormal"/>
    <w:uiPriority w:val="39"/>
    <w:rsid w:val="004519B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basedOn w:val="Normal"/>
    <w:next w:val="Normal"/>
    <w:link w:val="TitleChar"/>
    <w:uiPriority w:val="10"/>
    <w:qFormat/>
    <w:rsid w:val="002E1275"/>
    <w:pPr>
      <w:spacing w:after="0" w:line="240" w:lineRule="auto"/>
      <w:contextualSpacing/>
      <w:jc w:val="center"/>
    </w:pPr>
    <w:rPr>
      <w:rFonts w:asciiTheme="majorHAnsi" w:hAnsiTheme="majorHAnsi" w:eastAsiaTheme="majorEastAsia" w:cstheme="majorBidi"/>
      <w:b/>
      <w:color w:val="14558F"/>
      <w:spacing w:val="-10"/>
      <w:kern w:val="28"/>
      <w:sz w:val="40"/>
      <w:szCs w:val="56"/>
    </w:rPr>
  </w:style>
  <w:style w:type="character" w:styleId="TitleChar" w:customStyle="1">
    <w:name w:val="Title Char"/>
    <w:basedOn w:val="DefaultParagraphFont"/>
    <w:link w:val="Title"/>
    <w:uiPriority w:val="10"/>
    <w:rsid w:val="002E1275"/>
    <w:rPr>
      <w:rFonts w:asciiTheme="majorHAnsi" w:hAnsiTheme="majorHAnsi" w:eastAsiaTheme="majorEastAsia" w:cstheme="majorBidi"/>
      <w:b/>
      <w:color w:val="14558F"/>
      <w:spacing w:val="-10"/>
      <w:kern w:val="28"/>
      <w:sz w:val="40"/>
      <w:szCs w:val="56"/>
    </w:rPr>
  </w:style>
  <w:style w:type="paragraph" w:styleId="Sub-subtitle" w:customStyle="1">
    <w:name w:val="Sub-subtitle"/>
    <w:basedOn w:val="Subtitle"/>
    <w:qFormat/>
    <w:rsid w:val="00E73EEC"/>
    <w:rPr>
      <w:color w:val="14558F" w:themeColor="accent1"/>
      <w:sz w:val="24"/>
      <w:szCs w:val="24"/>
    </w:rPr>
  </w:style>
  <w:style w:type="paragraph" w:styleId="BodyText">
    <w:name w:val="Body Text"/>
    <w:basedOn w:val="Normal"/>
    <w:link w:val="BodyTextChar"/>
    <w:uiPriority w:val="99"/>
    <w:unhideWhenUsed/>
    <w:rsid w:val="00E73EEC"/>
    <w:pPr>
      <w:spacing w:after="120"/>
      <w:jc w:val="both"/>
    </w:pPr>
  </w:style>
  <w:style w:type="character" w:styleId="BodyTextChar" w:customStyle="1">
    <w:name w:val="Body Text Char"/>
    <w:basedOn w:val="DefaultParagraphFont"/>
    <w:link w:val="BodyText"/>
    <w:uiPriority w:val="99"/>
    <w:rsid w:val="00E73EEC"/>
    <w:rPr>
      <w:sz w:val="24"/>
    </w:rPr>
  </w:style>
  <w:style w:type="paragraph" w:styleId="NormalWeb">
    <w:name w:val="Normal (Web)"/>
    <w:basedOn w:val="Normal"/>
    <w:uiPriority w:val="99"/>
    <w:unhideWhenUsed/>
    <w:rsid w:val="00EC0C36"/>
    <w:pPr>
      <w:spacing w:before="100" w:beforeAutospacing="1" w:after="100" w:afterAutospacing="1" w:line="240" w:lineRule="auto"/>
    </w:pPr>
    <w:rPr>
      <w:rFonts w:ascii="Times New Roman" w:hAnsi="Times New Roman" w:eastAsia="Times New Roman" w:cs="Times New Roman"/>
      <w:szCs w:val="24"/>
    </w:rPr>
  </w:style>
  <w:style w:type="character" w:styleId="UnresolvedMention1" w:customStyle="1">
    <w:name w:val="Unresolved Mention1"/>
    <w:basedOn w:val="DefaultParagraphFont"/>
    <w:uiPriority w:val="99"/>
    <w:semiHidden/>
    <w:unhideWhenUsed/>
    <w:rsid w:val="00EC0C36"/>
    <w:rPr>
      <w:color w:val="605E5C"/>
      <w:shd w:val="clear" w:color="auto" w:fill="E1DFDD"/>
    </w:rPr>
  </w:style>
  <w:style w:type="character" w:styleId="FollowedHyperlink">
    <w:name w:val="FollowedHyperlink"/>
    <w:basedOn w:val="DefaultParagraphFont"/>
    <w:uiPriority w:val="99"/>
    <w:semiHidden/>
    <w:unhideWhenUsed/>
    <w:rsid w:val="00245289"/>
    <w:rPr>
      <w:color w:val="954F72" w:themeColor="followedHyperlink"/>
      <w:u w:val="single"/>
    </w:rPr>
  </w:style>
  <w:style w:type="character" w:styleId="UnresolvedMention">
    <w:name w:val="Unresolved Mention"/>
    <w:basedOn w:val="DefaultParagraphFont"/>
    <w:uiPriority w:val="99"/>
    <w:semiHidden/>
    <w:unhideWhenUsed/>
    <w:rsid w:val="00F166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38338">
      <w:bodyDiv w:val="1"/>
      <w:marLeft w:val="0"/>
      <w:marRight w:val="0"/>
      <w:marTop w:val="0"/>
      <w:marBottom w:val="0"/>
      <w:divBdr>
        <w:top w:val="none" w:sz="0" w:space="0" w:color="auto"/>
        <w:left w:val="none" w:sz="0" w:space="0" w:color="auto"/>
        <w:bottom w:val="none" w:sz="0" w:space="0" w:color="auto"/>
        <w:right w:val="none" w:sz="0" w:space="0" w:color="auto"/>
      </w:divBdr>
    </w:div>
    <w:div w:id="157498383">
      <w:bodyDiv w:val="1"/>
      <w:marLeft w:val="0"/>
      <w:marRight w:val="0"/>
      <w:marTop w:val="0"/>
      <w:marBottom w:val="0"/>
      <w:divBdr>
        <w:top w:val="none" w:sz="0" w:space="0" w:color="auto"/>
        <w:left w:val="none" w:sz="0" w:space="0" w:color="auto"/>
        <w:bottom w:val="none" w:sz="0" w:space="0" w:color="auto"/>
        <w:right w:val="none" w:sz="0" w:space="0" w:color="auto"/>
      </w:divBdr>
      <w:divsChild>
        <w:div w:id="102655664">
          <w:marLeft w:val="0"/>
          <w:marRight w:val="0"/>
          <w:marTop w:val="0"/>
          <w:marBottom w:val="0"/>
          <w:divBdr>
            <w:top w:val="none" w:sz="0" w:space="0" w:color="auto"/>
            <w:left w:val="none" w:sz="0" w:space="0" w:color="auto"/>
            <w:bottom w:val="none" w:sz="0" w:space="0" w:color="auto"/>
            <w:right w:val="none" w:sz="0" w:space="0" w:color="auto"/>
          </w:divBdr>
        </w:div>
        <w:div w:id="105392888">
          <w:marLeft w:val="0"/>
          <w:marRight w:val="0"/>
          <w:marTop w:val="0"/>
          <w:marBottom w:val="0"/>
          <w:divBdr>
            <w:top w:val="none" w:sz="0" w:space="0" w:color="auto"/>
            <w:left w:val="none" w:sz="0" w:space="0" w:color="auto"/>
            <w:bottom w:val="none" w:sz="0" w:space="0" w:color="auto"/>
            <w:right w:val="none" w:sz="0" w:space="0" w:color="auto"/>
          </w:divBdr>
        </w:div>
        <w:div w:id="527840553">
          <w:marLeft w:val="0"/>
          <w:marRight w:val="0"/>
          <w:marTop w:val="0"/>
          <w:marBottom w:val="0"/>
          <w:divBdr>
            <w:top w:val="none" w:sz="0" w:space="0" w:color="auto"/>
            <w:left w:val="none" w:sz="0" w:space="0" w:color="auto"/>
            <w:bottom w:val="none" w:sz="0" w:space="0" w:color="auto"/>
            <w:right w:val="none" w:sz="0" w:space="0" w:color="auto"/>
          </w:divBdr>
          <w:divsChild>
            <w:div w:id="163588707">
              <w:marLeft w:val="0"/>
              <w:marRight w:val="0"/>
              <w:marTop w:val="0"/>
              <w:marBottom w:val="0"/>
              <w:divBdr>
                <w:top w:val="none" w:sz="0" w:space="0" w:color="auto"/>
                <w:left w:val="none" w:sz="0" w:space="0" w:color="auto"/>
                <w:bottom w:val="none" w:sz="0" w:space="0" w:color="auto"/>
                <w:right w:val="none" w:sz="0" w:space="0" w:color="auto"/>
              </w:divBdr>
            </w:div>
            <w:div w:id="876624794">
              <w:marLeft w:val="0"/>
              <w:marRight w:val="0"/>
              <w:marTop w:val="0"/>
              <w:marBottom w:val="0"/>
              <w:divBdr>
                <w:top w:val="none" w:sz="0" w:space="0" w:color="auto"/>
                <w:left w:val="none" w:sz="0" w:space="0" w:color="auto"/>
                <w:bottom w:val="none" w:sz="0" w:space="0" w:color="auto"/>
                <w:right w:val="none" w:sz="0" w:space="0" w:color="auto"/>
              </w:divBdr>
            </w:div>
          </w:divsChild>
        </w:div>
        <w:div w:id="641232046">
          <w:marLeft w:val="0"/>
          <w:marRight w:val="0"/>
          <w:marTop w:val="0"/>
          <w:marBottom w:val="0"/>
          <w:divBdr>
            <w:top w:val="none" w:sz="0" w:space="0" w:color="auto"/>
            <w:left w:val="none" w:sz="0" w:space="0" w:color="auto"/>
            <w:bottom w:val="none" w:sz="0" w:space="0" w:color="auto"/>
            <w:right w:val="none" w:sz="0" w:space="0" w:color="auto"/>
          </w:divBdr>
        </w:div>
        <w:div w:id="1190488506">
          <w:marLeft w:val="0"/>
          <w:marRight w:val="0"/>
          <w:marTop w:val="0"/>
          <w:marBottom w:val="0"/>
          <w:divBdr>
            <w:top w:val="none" w:sz="0" w:space="0" w:color="auto"/>
            <w:left w:val="none" w:sz="0" w:space="0" w:color="auto"/>
            <w:bottom w:val="none" w:sz="0" w:space="0" w:color="auto"/>
            <w:right w:val="none" w:sz="0" w:space="0" w:color="auto"/>
          </w:divBdr>
          <w:divsChild>
            <w:div w:id="394087811">
              <w:marLeft w:val="0"/>
              <w:marRight w:val="0"/>
              <w:marTop w:val="0"/>
              <w:marBottom w:val="0"/>
              <w:divBdr>
                <w:top w:val="none" w:sz="0" w:space="0" w:color="auto"/>
                <w:left w:val="none" w:sz="0" w:space="0" w:color="auto"/>
                <w:bottom w:val="none" w:sz="0" w:space="0" w:color="auto"/>
                <w:right w:val="none" w:sz="0" w:space="0" w:color="auto"/>
              </w:divBdr>
            </w:div>
            <w:div w:id="745032017">
              <w:marLeft w:val="0"/>
              <w:marRight w:val="0"/>
              <w:marTop w:val="0"/>
              <w:marBottom w:val="0"/>
              <w:divBdr>
                <w:top w:val="none" w:sz="0" w:space="0" w:color="auto"/>
                <w:left w:val="none" w:sz="0" w:space="0" w:color="auto"/>
                <w:bottom w:val="none" w:sz="0" w:space="0" w:color="auto"/>
                <w:right w:val="none" w:sz="0" w:space="0" w:color="auto"/>
              </w:divBdr>
            </w:div>
            <w:div w:id="1361274399">
              <w:marLeft w:val="0"/>
              <w:marRight w:val="0"/>
              <w:marTop w:val="0"/>
              <w:marBottom w:val="0"/>
              <w:divBdr>
                <w:top w:val="none" w:sz="0" w:space="0" w:color="auto"/>
                <w:left w:val="none" w:sz="0" w:space="0" w:color="auto"/>
                <w:bottom w:val="none" w:sz="0" w:space="0" w:color="auto"/>
                <w:right w:val="none" w:sz="0" w:space="0" w:color="auto"/>
              </w:divBdr>
            </w:div>
            <w:div w:id="1364987367">
              <w:marLeft w:val="0"/>
              <w:marRight w:val="0"/>
              <w:marTop w:val="0"/>
              <w:marBottom w:val="0"/>
              <w:divBdr>
                <w:top w:val="none" w:sz="0" w:space="0" w:color="auto"/>
                <w:left w:val="none" w:sz="0" w:space="0" w:color="auto"/>
                <w:bottom w:val="none" w:sz="0" w:space="0" w:color="auto"/>
                <w:right w:val="none" w:sz="0" w:space="0" w:color="auto"/>
              </w:divBdr>
            </w:div>
            <w:div w:id="1689714953">
              <w:marLeft w:val="0"/>
              <w:marRight w:val="0"/>
              <w:marTop w:val="0"/>
              <w:marBottom w:val="0"/>
              <w:divBdr>
                <w:top w:val="none" w:sz="0" w:space="0" w:color="auto"/>
                <w:left w:val="none" w:sz="0" w:space="0" w:color="auto"/>
                <w:bottom w:val="none" w:sz="0" w:space="0" w:color="auto"/>
                <w:right w:val="none" w:sz="0" w:space="0" w:color="auto"/>
              </w:divBdr>
            </w:div>
          </w:divsChild>
        </w:div>
        <w:div w:id="1492327907">
          <w:marLeft w:val="0"/>
          <w:marRight w:val="0"/>
          <w:marTop w:val="0"/>
          <w:marBottom w:val="0"/>
          <w:divBdr>
            <w:top w:val="none" w:sz="0" w:space="0" w:color="auto"/>
            <w:left w:val="none" w:sz="0" w:space="0" w:color="auto"/>
            <w:bottom w:val="none" w:sz="0" w:space="0" w:color="auto"/>
            <w:right w:val="none" w:sz="0" w:space="0" w:color="auto"/>
          </w:divBdr>
          <w:divsChild>
            <w:div w:id="1476870097">
              <w:marLeft w:val="0"/>
              <w:marRight w:val="0"/>
              <w:marTop w:val="0"/>
              <w:marBottom w:val="0"/>
              <w:divBdr>
                <w:top w:val="none" w:sz="0" w:space="0" w:color="auto"/>
                <w:left w:val="none" w:sz="0" w:space="0" w:color="auto"/>
                <w:bottom w:val="none" w:sz="0" w:space="0" w:color="auto"/>
                <w:right w:val="none" w:sz="0" w:space="0" w:color="auto"/>
              </w:divBdr>
            </w:div>
          </w:divsChild>
        </w:div>
        <w:div w:id="1770587453">
          <w:marLeft w:val="0"/>
          <w:marRight w:val="0"/>
          <w:marTop w:val="0"/>
          <w:marBottom w:val="0"/>
          <w:divBdr>
            <w:top w:val="none" w:sz="0" w:space="0" w:color="auto"/>
            <w:left w:val="none" w:sz="0" w:space="0" w:color="auto"/>
            <w:bottom w:val="none" w:sz="0" w:space="0" w:color="auto"/>
            <w:right w:val="none" w:sz="0" w:space="0" w:color="auto"/>
          </w:divBdr>
          <w:divsChild>
            <w:div w:id="132253385">
              <w:marLeft w:val="0"/>
              <w:marRight w:val="0"/>
              <w:marTop w:val="0"/>
              <w:marBottom w:val="0"/>
              <w:divBdr>
                <w:top w:val="none" w:sz="0" w:space="0" w:color="auto"/>
                <w:left w:val="none" w:sz="0" w:space="0" w:color="auto"/>
                <w:bottom w:val="none" w:sz="0" w:space="0" w:color="auto"/>
                <w:right w:val="none" w:sz="0" w:space="0" w:color="auto"/>
              </w:divBdr>
            </w:div>
            <w:div w:id="307831990">
              <w:marLeft w:val="0"/>
              <w:marRight w:val="0"/>
              <w:marTop w:val="0"/>
              <w:marBottom w:val="0"/>
              <w:divBdr>
                <w:top w:val="none" w:sz="0" w:space="0" w:color="auto"/>
                <w:left w:val="none" w:sz="0" w:space="0" w:color="auto"/>
                <w:bottom w:val="none" w:sz="0" w:space="0" w:color="auto"/>
                <w:right w:val="none" w:sz="0" w:space="0" w:color="auto"/>
              </w:divBdr>
            </w:div>
            <w:div w:id="1078093187">
              <w:marLeft w:val="0"/>
              <w:marRight w:val="0"/>
              <w:marTop w:val="0"/>
              <w:marBottom w:val="0"/>
              <w:divBdr>
                <w:top w:val="none" w:sz="0" w:space="0" w:color="auto"/>
                <w:left w:val="none" w:sz="0" w:space="0" w:color="auto"/>
                <w:bottom w:val="none" w:sz="0" w:space="0" w:color="auto"/>
                <w:right w:val="none" w:sz="0" w:space="0" w:color="auto"/>
              </w:divBdr>
            </w:div>
            <w:div w:id="2091853908">
              <w:marLeft w:val="0"/>
              <w:marRight w:val="0"/>
              <w:marTop w:val="0"/>
              <w:marBottom w:val="0"/>
              <w:divBdr>
                <w:top w:val="none" w:sz="0" w:space="0" w:color="auto"/>
                <w:left w:val="none" w:sz="0" w:space="0" w:color="auto"/>
                <w:bottom w:val="none" w:sz="0" w:space="0" w:color="auto"/>
                <w:right w:val="none" w:sz="0" w:space="0" w:color="auto"/>
              </w:divBdr>
            </w:div>
            <w:div w:id="2110466441">
              <w:marLeft w:val="0"/>
              <w:marRight w:val="0"/>
              <w:marTop w:val="0"/>
              <w:marBottom w:val="0"/>
              <w:divBdr>
                <w:top w:val="none" w:sz="0" w:space="0" w:color="auto"/>
                <w:left w:val="none" w:sz="0" w:space="0" w:color="auto"/>
                <w:bottom w:val="none" w:sz="0" w:space="0" w:color="auto"/>
                <w:right w:val="none" w:sz="0" w:space="0" w:color="auto"/>
              </w:divBdr>
            </w:div>
          </w:divsChild>
        </w:div>
        <w:div w:id="1835755287">
          <w:marLeft w:val="0"/>
          <w:marRight w:val="0"/>
          <w:marTop w:val="0"/>
          <w:marBottom w:val="0"/>
          <w:divBdr>
            <w:top w:val="none" w:sz="0" w:space="0" w:color="auto"/>
            <w:left w:val="none" w:sz="0" w:space="0" w:color="auto"/>
            <w:bottom w:val="none" w:sz="0" w:space="0" w:color="auto"/>
            <w:right w:val="none" w:sz="0" w:space="0" w:color="auto"/>
          </w:divBdr>
        </w:div>
      </w:divsChild>
    </w:div>
    <w:div w:id="576944389">
      <w:bodyDiv w:val="1"/>
      <w:marLeft w:val="0"/>
      <w:marRight w:val="0"/>
      <w:marTop w:val="0"/>
      <w:marBottom w:val="0"/>
      <w:divBdr>
        <w:top w:val="none" w:sz="0" w:space="0" w:color="auto"/>
        <w:left w:val="none" w:sz="0" w:space="0" w:color="auto"/>
        <w:bottom w:val="none" w:sz="0" w:space="0" w:color="auto"/>
        <w:right w:val="none" w:sz="0" w:space="0" w:color="auto"/>
      </w:divBdr>
    </w:div>
    <w:div w:id="716666171">
      <w:bodyDiv w:val="1"/>
      <w:marLeft w:val="0"/>
      <w:marRight w:val="0"/>
      <w:marTop w:val="0"/>
      <w:marBottom w:val="0"/>
      <w:divBdr>
        <w:top w:val="none" w:sz="0" w:space="0" w:color="auto"/>
        <w:left w:val="none" w:sz="0" w:space="0" w:color="auto"/>
        <w:bottom w:val="none" w:sz="0" w:space="0" w:color="auto"/>
        <w:right w:val="none" w:sz="0" w:space="0" w:color="auto"/>
      </w:divBdr>
    </w:div>
    <w:div w:id="1017928588">
      <w:bodyDiv w:val="1"/>
      <w:marLeft w:val="0"/>
      <w:marRight w:val="0"/>
      <w:marTop w:val="0"/>
      <w:marBottom w:val="0"/>
      <w:divBdr>
        <w:top w:val="none" w:sz="0" w:space="0" w:color="auto"/>
        <w:left w:val="none" w:sz="0" w:space="0" w:color="auto"/>
        <w:bottom w:val="none" w:sz="0" w:space="0" w:color="auto"/>
        <w:right w:val="none" w:sz="0" w:space="0" w:color="auto"/>
      </w:divBdr>
    </w:div>
    <w:div w:id="158788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glossaryDocument" Target="glossary/document.xml" Id="R1e5e428bef434a19"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owen\Downloads\Newsletter%20Decoration%20at%20Top%20(1).dotx" TargetMode="External"/></Relationships>
</file>

<file path=word/glossary/document.xml><?xml version="1.0" encoding="utf-8"?>
<w:glossaryDocument xmlns:wp14="http://schemas.microsoft.com/office/word/2010/wordprocessingDrawing" xmlns:w14="http://schemas.microsoft.com/office/word/2010/wordml" xmlns:w="http://schemas.openxmlformats.org/wordprocessingml/2006/main" xmlns:mc="http://schemas.openxmlformats.org/markup-compatibility/2006" mc:Ignorable="wp14">
  <w:docParts>
    <w:docPart>
      <w:docPartPr>
        <w:name w:val="DefaultPlaceholder_1081868574"/>
        <w:category>
          <w:name w:val="General"/>
          <w:gallery w:val="placeholder"/>
        </w:category>
        <w:types>
          <w:type w:val="bbPlcHdr"/>
        </w:types>
        <w:behaviors>
          <w:behavior w:val="content"/>
        </w:behaviors>
        <w:guid w:val="{ad2e7d61-d0f5-4d88-b1ba-3dc8add81c89}"/>
      </w:docPartPr>
      <w:docPartBody>
        <w:p xmlns:wp14="http://schemas.microsoft.com/office/word/2010/wordml" w14:paraId="1E2C54BD" wp14:textId="77777777">
          <w:r>
            <w:rPr>
              <w:rStyle w:val="PlaceholderText"/>
            </w:rPr>
          </w:r>
        </w:p>
      </w:docPartBody>
    </w:docPart>
  </w:docParts>
</w:glossaryDocument>
</file>

<file path=word/theme/theme1.xml><?xml version="1.0" encoding="utf-8"?>
<a:theme xmlns:a="http://schemas.openxmlformats.org/drawingml/2006/main" name="Balance of State">
  <a:themeElements>
    <a:clrScheme name="Balance of State">
      <a:dk1>
        <a:sysClr val="windowText" lastClr="000000"/>
      </a:dk1>
      <a:lt1>
        <a:sysClr val="window" lastClr="FFFFFF"/>
      </a:lt1>
      <a:dk2>
        <a:srgbClr val="44546A"/>
      </a:dk2>
      <a:lt2>
        <a:srgbClr val="E7E6E6"/>
      </a:lt2>
      <a:accent1>
        <a:srgbClr val="14558F"/>
      </a:accent1>
      <a:accent2>
        <a:srgbClr val="F6C51B"/>
      </a:accent2>
      <a:accent3>
        <a:srgbClr val="9E9FA4"/>
      </a:accent3>
      <a:accent4>
        <a:srgbClr val="4C9DE6"/>
      </a:accent4>
      <a:accent5>
        <a:srgbClr val="E9A029"/>
      </a:accent5>
      <a:accent6>
        <a:srgbClr val="52956D"/>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FBF716E057E448AF15C9A904E7F366" ma:contentTypeVersion="16" ma:contentTypeDescription="Create a new document." ma:contentTypeScope="" ma:versionID="543c354722a2fcbe225429912ef255ff">
  <xsd:schema xmlns:xsd="http://www.w3.org/2001/XMLSchema" xmlns:xs="http://www.w3.org/2001/XMLSchema" xmlns:p="http://schemas.microsoft.com/office/2006/metadata/properties" xmlns:ns2="9bf803aa-ae09-447b-95af-6dda8326dd8b" xmlns:ns3="a63a9c72-e43b-4077-bbd1-fe0cd88be8b0" targetNamespace="http://schemas.microsoft.com/office/2006/metadata/properties" ma:root="true" ma:fieldsID="3b7a512d5333d8e6e0d7700b56a957bb" ns2:_="" ns3:_="">
    <xsd:import namespace="9bf803aa-ae09-447b-95af-6dda8326dd8b"/>
    <xsd:import namespace="a63a9c72-e43b-4077-bbd1-fe0cd88be8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803aa-ae09-447b-95af-6dda8326d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3a9c72-e43b-4077-bbd1-fe0cd88be8b0"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e2e1669-d933-4379-b17c-7ea1a7c0d711}" ma:internalName="TaxCatchAll" ma:showField="CatchAllData" ma:web="a63a9c72-e43b-4077-bbd1-fe0cd88be8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63a9c72-e43b-4077-bbd1-fe0cd88be8b0" xsi:nil="true"/>
    <lcf76f155ced4ddcb4097134ff3c332f xmlns="9bf803aa-ae09-447b-95af-6dda8326dd8b">
      <Terms xmlns="http://schemas.microsoft.com/office/infopath/2007/PartnerControls"/>
    </lcf76f155ced4ddcb4097134ff3c332f>
    <SharedWithUsers xmlns="a63a9c72-e43b-4077-bbd1-fe0cd88be8b0">
      <UserInfo>
        <DisplayName>Calkins, Gordon (EOHLC)</DisplayName>
        <AccountId>48</AccountId>
        <AccountType/>
      </UserInfo>
      <UserInfo>
        <DisplayName>Bowen, Joanna (EOHLC)</DisplayName>
        <AccountId>84</AccountId>
        <AccountType/>
      </UserInfo>
      <UserInfo>
        <DisplayName>Sagna, Lamine (EOHLC)</DisplayName>
        <AccountId>269</AccountId>
        <AccountType/>
      </UserInfo>
      <UserInfo>
        <DisplayName>Fernandes, Troy (EOHLC)</DisplayName>
        <AccountId>505</AccountId>
        <AccountType/>
      </UserInfo>
      <UserInfo>
        <DisplayName>Moskal, Christopher (EOHLC)</DisplayName>
        <AccountId>952</AccountId>
        <AccountType/>
      </UserInfo>
    </SharedWithUser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4436D95-0696-4771-8C61-CBDFE50A13E1}"/>
</file>

<file path=customXml/itemProps3.xml><?xml version="1.0" encoding="utf-8"?>
<ds:datastoreItem xmlns:ds="http://schemas.openxmlformats.org/officeDocument/2006/customXml" ds:itemID="{2D5F6AA0-1944-4D0E-8376-5EBE9AD814B7}">
  <ds:schemaRefs>
    <ds:schemaRef ds:uri="http://schemas.microsoft.com/sharepoint/v3/contenttype/forms"/>
  </ds:schemaRefs>
</ds:datastoreItem>
</file>

<file path=customXml/itemProps4.xml><?xml version="1.0" encoding="utf-8"?>
<ds:datastoreItem xmlns:ds="http://schemas.openxmlformats.org/officeDocument/2006/customXml" ds:itemID="{F32AFE4C-A89B-45D8-A38C-D9DFB5FD70D8}">
  <ds:schemaRefs>
    <ds:schemaRef ds:uri="http://schemas.microsoft.com/office/2006/metadata/properties"/>
    <ds:schemaRef ds:uri="http://schemas.microsoft.com/office/infopath/2007/PartnerControls"/>
    <ds:schemaRef ds:uri="a63a9c72-e43b-4077-bbd1-fe0cd88be8b0"/>
    <ds:schemaRef ds:uri="9bf803aa-ae09-447b-95af-6dda8326dd8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Newsletter Decoration at Top (1)</ap:Template>
  <ap:Application>Microsoft Word for the web</ap:Application>
  <ap:DocSecurity>0</ap:DocSecurity>
  <ap:ScaleCrop>false</ap:ScaleCrop>
  <ap:Company>HEDIT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 Balance of State Continuum of Care</dc:title>
  <dc:subject/>
  <dc:creator>Bowen, Joanna (OCD)</dc:creator>
  <cp:keywords/>
  <dc:description/>
  <cp:lastModifiedBy>Byron, Karen (EOHLC)</cp:lastModifiedBy>
  <cp:revision>22</cp:revision>
  <cp:lastPrinted>2021-05-12T16:20:00Z</cp:lastPrinted>
  <dcterms:created xsi:type="dcterms:W3CDTF">2024-03-22T15:38:00Z</dcterms:created>
  <dcterms:modified xsi:type="dcterms:W3CDTF">2024-06-10T15:29:50Z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0x010100EAFBF716E057E448AF15C9A904E7F366</vt:lpwstr>
  </property>
  <property fmtid="{D5CDD505-2E9C-101B-9397-08002B2CF9AE}" pid="3" name="MediaServiceImageTags">
    <vt:lpwstr/>
  </property>
</Properties>
</file>