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2BEC" w14:textId="02772832" w:rsidR="000D010E" w:rsidRDefault="000D010E" w:rsidP="78E25736">
      <w:pPr>
        <w:pStyle w:val="Heading1"/>
        <w:rPr>
          <w:rFonts w:ascii="Avenir Next LT Pro" w:eastAsia="Avenir Next LT Pro" w:hAnsi="Avenir Next LT Pro" w:cs="Avenir Next LT Pro"/>
          <w:b/>
          <w:bCs/>
          <w:sz w:val="24"/>
          <w:szCs w:val="24"/>
        </w:rPr>
      </w:pPr>
      <w:r w:rsidRPr="78E25736">
        <w:rPr>
          <w:rFonts w:ascii="Avenir Next LT Pro" w:eastAsia="Avenir Next LT Pro" w:hAnsi="Avenir Next LT Pro" w:cs="Avenir Next LT Pro"/>
          <w:b/>
          <w:bCs/>
          <w:sz w:val="24"/>
          <w:szCs w:val="24"/>
        </w:rPr>
        <w:t>MA C Due Process Hearing</w:t>
      </w:r>
      <w:r w:rsidR="769C91A1" w:rsidRPr="78E25736">
        <w:rPr>
          <w:rFonts w:ascii="Avenir Next LT Pro" w:eastAsia="Avenir Next LT Pro" w:hAnsi="Avenir Next LT Pro" w:cs="Avenir Next LT Pro"/>
          <w:b/>
          <w:bCs/>
          <w:sz w:val="24"/>
          <w:szCs w:val="24"/>
        </w:rPr>
        <w:t xml:space="preserve"> Procedures</w:t>
      </w:r>
    </w:p>
    <w:p w14:paraId="78F97243" w14:textId="2662DC4D" w:rsidR="00900D30" w:rsidRPr="00900D30" w:rsidRDefault="00900D30" w:rsidP="78E25736">
      <w:pPr>
        <w:spacing w:after="0" w:line="276" w:lineRule="auto"/>
        <w:ind w:left="540"/>
        <w:rPr>
          <w:rFonts w:ascii="Avenir Next LT Pro" w:eastAsia="Avenir Next LT Pro" w:hAnsi="Avenir Next LT Pro" w:cs="Avenir Next LT Pro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b/>
          <w:bCs/>
          <w:kern w:val="0"/>
          <w14:ligatures w14:val="none"/>
        </w:rPr>
        <w:t xml:space="preserve">Purpose: </w:t>
      </w:r>
      <w:r w:rsidRPr="78E25736">
        <w:rPr>
          <w:rFonts w:ascii="Avenir Next LT Pro" w:eastAsia="Avenir Next LT Pro" w:hAnsi="Avenir Next LT Pro" w:cs="Avenir Next LT Pro"/>
          <w:kern w:val="0"/>
          <w14:ligatures w14:val="none"/>
        </w:rPr>
        <w:t>To articulate the process for the Early Intervention Division’s response to a request for a Due Process Hearing</w:t>
      </w:r>
    </w:p>
    <w:p w14:paraId="14A15B98" w14:textId="77777777" w:rsidR="00900D30" w:rsidRPr="00900D30" w:rsidRDefault="00900D30" w:rsidP="78E25736">
      <w:pPr>
        <w:spacing w:after="0" w:line="276" w:lineRule="auto"/>
        <w:ind w:left="540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b/>
          <w:bCs/>
          <w:color w:val="000000"/>
          <w:kern w:val="0"/>
          <w14:ligatures w14:val="none"/>
        </w:rPr>
        <w:t>Scope: </w:t>
      </w:r>
    </w:p>
    <w:p w14:paraId="3C08B5D1" w14:textId="1E138A4E" w:rsidR="00D42281" w:rsidRPr="00D16449" w:rsidRDefault="00900D30" w:rsidP="78E25736">
      <w:pPr>
        <w:pStyle w:val="ListParagraph"/>
        <w:numPr>
          <w:ilvl w:val="0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b/>
          <w:bCs/>
          <w:color w:val="000000"/>
          <w:kern w:val="0"/>
          <w14:ligatures w14:val="none"/>
        </w:rPr>
        <w:t>What-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formal process where an impartial, qualified, and trained hearing officer decides about a disagreement related to</w:t>
      </w:r>
      <w:r w:rsidR="00D42281" w:rsidRPr="78E25736">
        <w:rPr>
          <w:rFonts w:ascii="Avenir Next LT Pro" w:eastAsia="Avenir Next LT Pro" w:hAnsi="Avenir Next LT Pro" w:cs="Avenir Next LT Pro"/>
        </w:rPr>
        <w:t xml:space="preserve"> any matter identified in </w:t>
      </w:r>
      <w:hyperlink r:id="rId8" w:anchor="p-303.421(a)" w:history="1">
        <w:r w:rsidR="00D42281" w:rsidRPr="78E25736">
          <w:rPr>
            <w:rStyle w:val="Hyperlink"/>
            <w:rFonts w:ascii="Avenir Next LT Pro" w:eastAsia="Avenir Next LT Pro" w:hAnsi="Avenir Next LT Pro" w:cs="Avenir Next LT Pro"/>
          </w:rPr>
          <w:t>§ 303.421(a)</w:t>
        </w:r>
      </w:hyperlink>
      <w:r w:rsidR="00D42281" w:rsidRPr="78E25736">
        <w:rPr>
          <w:rFonts w:ascii="Avenir Next LT Pro" w:eastAsia="Avenir Next LT Pro" w:hAnsi="Avenir Next LT Pro" w:cs="Avenir Next LT Pro"/>
        </w:rPr>
        <w:t xml:space="preserve"> </w:t>
      </w:r>
      <w:r w:rsidR="007633F9" w:rsidRPr="78E25736">
        <w:rPr>
          <w:rFonts w:ascii="Avenir Next LT Pro" w:eastAsia="Avenir Next LT Pro" w:hAnsi="Avenir Next LT Pro" w:cs="Avenir Next LT Pro"/>
        </w:rPr>
        <w:t>such as prior written notice,</w:t>
      </w:r>
      <w:r w:rsidR="009B7E0D" w:rsidRPr="78E25736">
        <w:rPr>
          <w:rFonts w:ascii="Avenir Next LT Pro" w:eastAsia="Avenir Next LT Pro" w:hAnsi="Avenir Next LT Pro" w:cs="Avenir Next LT Pro"/>
        </w:rPr>
        <w:t xml:space="preserve"> whereby a provide</w:t>
      </w:r>
      <w:r w:rsidR="00B95064" w:rsidRPr="78E25736">
        <w:rPr>
          <w:rFonts w:ascii="Avenir Next LT Pro" w:eastAsia="Avenir Next LT Pro" w:hAnsi="Avenir Next LT Pro" w:cs="Avenir Next LT Pro"/>
        </w:rPr>
        <w:t xml:space="preserve">r proposes, or refuses to initiate or change </w:t>
      </w:r>
      <w:r w:rsidR="008A3367" w:rsidRPr="78E25736">
        <w:rPr>
          <w:rFonts w:ascii="Avenir Next LT Pro" w:eastAsia="Avenir Next LT Pro" w:hAnsi="Avenir Next LT Pro" w:cs="Avenir Next LT Pro"/>
        </w:rPr>
        <w:t>the identification, evaluation, or placement or p</w:t>
      </w:r>
      <w:r w:rsidR="00637F3B" w:rsidRPr="78E25736">
        <w:rPr>
          <w:rFonts w:ascii="Avenir Next LT Pro" w:eastAsia="Avenir Next LT Pro" w:hAnsi="Avenir Next LT Pro" w:cs="Avenir Next LT Pro"/>
        </w:rPr>
        <w:t>rovision of early intervention services to the infant or toddler wi</w:t>
      </w:r>
      <w:r w:rsidR="00E97F1A" w:rsidRPr="78E25736">
        <w:rPr>
          <w:rFonts w:ascii="Avenir Next LT Pro" w:eastAsia="Avenir Next LT Pro" w:hAnsi="Avenir Next LT Pro" w:cs="Avenir Next LT Pro"/>
        </w:rPr>
        <w:t>th a disability and their family</w:t>
      </w:r>
      <w:r w:rsidR="001128CD" w:rsidRPr="78E25736">
        <w:rPr>
          <w:rFonts w:ascii="Avenir Next LT Pro" w:eastAsia="Avenir Next LT Pro" w:hAnsi="Avenir Next LT Pro" w:cs="Avenir Next LT Pro"/>
        </w:rPr>
        <w:t>.</w:t>
      </w:r>
    </w:p>
    <w:p w14:paraId="74C6AF28" w14:textId="77777777" w:rsidR="00900D30" w:rsidRPr="00D16449" w:rsidRDefault="00900D30" w:rsidP="78E25736">
      <w:pPr>
        <w:pStyle w:val="ListParagraph"/>
        <w:numPr>
          <w:ilvl w:val="0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b/>
          <w:bCs/>
          <w:color w:val="000000"/>
          <w:kern w:val="0"/>
          <w14:ligatures w14:val="none"/>
        </w:rPr>
        <w:t>Who-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parents can request  </w:t>
      </w:r>
    </w:p>
    <w:p w14:paraId="2A57D177" w14:textId="77777777" w:rsidR="001128CD" w:rsidRPr="00D16449" w:rsidRDefault="00900D30" w:rsidP="78E25736">
      <w:pPr>
        <w:pStyle w:val="ListParagraph"/>
        <w:numPr>
          <w:ilvl w:val="0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b/>
          <w:bCs/>
          <w:color w:val="000000"/>
          <w:kern w:val="0"/>
          <w14:ligatures w14:val="none"/>
        </w:rPr>
        <w:t>When-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when there is a disagreement about the identification, evaluation, or placement of an infant or toddler, or the provision of early intervention services to the infant or toddler with a disability and that child’s family (i.e., child’s eligibility for EI services, the types of EI services, something written into the child’s record) </w:t>
      </w:r>
    </w:p>
    <w:p w14:paraId="3448DBC9" w14:textId="164AEC91" w:rsidR="00900D30" w:rsidRPr="00D16449" w:rsidRDefault="001128CD" w:rsidP="78E25736">
      <w:pPr>
        <w:pStyle w:val="ListParagraph"/>
        <w:numPr>
          <w:ilvl w:val="0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b/>
          <w:bCs/>
          <w:color w:val="000000"/>
          <w:kern w:val="0"/>
          <w14:ligatures w14:val="none"/>
        </w:rPr>
        <w:t>Examples-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</w:t>
      </w:r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Examples of when a Due Process Hearing is an appropriate option (not limited to) </w:t>
      </w:r>
    </w:p>
    <w:p w14:paraId="6A247473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You disagree with the results of your child’s evaluation regarding their eligibility for Part C </w:t>
      </w:r>
    </w:p>
    <w:p w14:paraId="13945618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You believe the Individualized Family Service Plan (IFSP) does not meet your child’s or family’s needs </w:t>
      </w:r>
    </w:p>
    <w:p w14:paraId="3CB782ED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You believe the services included in your child’s IFSP are not being provided  </w:t>
      </w:r>
    </w:p>
    <w:p w14:paraId="67269E61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You disagree with the setting where your child’s receives EI services are delivered </w:t>
      </w:r>
    </w:p>
    <w:p w14:paraId="4F96D8BD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If you and the EI program do not agree about the type(s) of EI services or how often the services(s) are provided </w:t>
      </w:r>
    </w:p>
    <w:p w14:paraId="69059AE8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If the EI program includes information in your child’s record that you believe is inaccurate or misleading </w:t>
      </w:r>
    </w:p>
    <w:p w14:paraId="1714A4BA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There is a disagreement about the child’s eligibility for EI services. </w:t>
      </w:r>
    </w:p>
    <w:p w14:paraId="0E00435F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There is a disagreement about the type(s) of EI services or how often the services(s) are provided </w:t>
      </w:r>
    </w:p>
    <w:p w14:paraId="3B255826" w14:textId="77777777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Disagreements about procedural or timeline issues if they relate to providing appropriate services. </w:t>
      </w:r>
    </w:p>
    <w:p w14:paraId="22B36BF8" w14:textId="28F2A03E" w:rsidR="00900D30" w:rsidRPr="00D16449" w:rsidRDefault="00900D30" w:rsidP="78E25736">
      <w:pPr>
        <w:pStyle w:val="ListParagraph"/>
        <w:numPr>
          <w:ilvl w:val="1"/>
          <w:numId w:val="15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The EI program includes information in your child’s record that you believe is inaccurate or misleading</w:t>
      </w:r>
      <w:r w:rsidR="1394AFEF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and </w:t>
      </w:r>
      <w:r w:rsidR="61B8B52D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refuses to amend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.  </w:t>
      </w:r>
    </w:p>
    <w:p w14:paraId="5841CB7B" w14:textId="66ABC7B2" w:rsidR="00900D30" w:rsidRPr="00900D30" w:rsidRDefault="00900D30" w:rsidP="78E25736">
      <w:pPr>
        <w:spacing w:after="0" w:line="276" w:lineRule="auto"/>
        <w:ind w:left="720" w:firstLine="48"/>
        <w:rPr>
          <w:rFonts w:ascii="Avenir Next LT Pro" w:eastAsia="Avenir Next LT Pro" w:hAnsi="Avenir Next LT Pro" w:cs="Avenir Next LT Pro"/>
          <w:kern w:val="0"/>
          <w14:ligatures w14:val="none"/>
        </w:rPr>
      </w:pPr>
    </w:p>
    <w:p w14:paraId="6F2804F9" w14:textId="77777777" w:rsidR="00900D30" w:rsidRPr="00900D30" w:rsidRDefault="00900D30" w:rsidP="78E25736">
      <w:pPr>
        <w:spacing w:after="0" w:line="276" w:lineRule="auto"/>
        <w:ind w:left="540"/>
        <w:rPr>
          <w:rFonts w:ascii="Avenir Next LT Pro" w:eastAsia="Avenir Next LT Pro" w:hAnsi="Avenir Next LT Pro" w:cs="Avenir Next LT Pro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b/>
          <w:bCs/>
          <w:kern w:val="0"/>
          <w14:ligatures w14:val="none"/>
        </w:rPr>
        <w:t xml:space="preserve">Procedure: </w:t>
      </w:r>
    </w:p>
    <w:p w14:paraId="76ED5A70" w14:textId="1CD2ACAF" w:rsidR="00900D30" w:rsidRPr="00900D30" w:rsidRDefault="16FCB20D" w:rsidP="78E25736">
      <w:pPr>
        <w:numPr>
          <w:ilvl w:val="0"/>
          <w:numId w:val="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lastRenderedPageBreak/>
        <w:t xml:space="preserve">Day 1-7: </w:t>
      </w:r>
      <w:r w:rsidR="001128CD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A </w:t>
      </w:r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Request for a due process hearing is made by </w:t>
      </w:r>
      <w:r w:rsidR="001128CD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p</w:t>
      </w:r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arent or the parent’s representative to the Department of Public Health (DPH) Early Intervention Division’s Family and Community Engagement manager (FCEM), phone: 508-454-2007, </w:t>
      </w:r>
      <w:hyperlink r:id="rId9" w:history="1">
        <w:r w:rsidR="00900D30" w:rsidRPr="78E25736">
          <w:rPr>
            <w:rFonts w:ascii="Avenir Next LT Pro" w:eastAsia="Avenir Next LT Pro" w:hAnsi="Avenir Next LT Pro" w:cs="Avenir Next LT Pro"/>
            <w:color w:val="0000FF"/>
            <w:kern w:val="0"/>
            <w:u w:val="single"/>
            <w14:ligatures w14:val="none"/>
          </w:rPr>
          <w:t>EIDisputeResolution@mass.gov</w:t>
        </w:r>
      </w:hyperlink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, fax: 857-323-8350. </w:t>
      </w:r>
      <w:r w:rsidR="335C4F94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An optional Due Process Request Form is available but not required.  </w:t>
      </w:r>
    </w:p>
    <w:p w14:paraId="15F56603" w14:textId="2AEA0DAA" w:rsidR="00900D30" w:rsidRPr="00900D30" w:rsidRDefault="00900D30" w:rsidP="78E25736">
      <w:pPr>
        <w:numPr>
          <w:ilvl w:val="1"/>
          <w:numId w:val="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Requests for a due process hearing must be made by a parent or designated representative of the parent</w:t>
      </w:r>
      <w:r w:rsidR="4C2226CE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.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</w:t>
      </w:r>
    </w:p>
    <w:p w14:paraId="05163535" w14:textId="4A06D054" w:rsidR="00900D30" w:rsidRPr="00900D30" w:rsidRDefault="2EB0203E" w:rsidP="78E25736">
      <w:pPr>
        <w:numPr>
          <w:ilvl w:val="1"/>
          <w:numId w:val="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 w:themeColor="text1"/>
        </w:rPr>
        <w:t>We</w:t>
      </w:r>
      <w:r w:rsidR="0CE66C2F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="003DBDF7" w:rsidRPr="78E25736">
        <w:rPr>
          <w:rFonts w:ascii="Avenir Next LT Pro" w:eastAsia="Avenir Next LT Pro" w:hAnsi="Avenir Next LT Pro" w:cs="Avenir Next LT Pro"/>
          <w:color w:val="000000" w:themeColor="text1"/>
        </w:rPr>
        <w:t>suggest</w:t>
      </w:r>
      <w:r w:rsidR="5198A6F0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, but do not require, </w:t>
      </w:r>
      <w:r w:rsidR="4FDAC3E4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the request </w:t>
      </w:r>
      <w:proofErr w:type="gramStart"/>
      <w:r w:rsidR="4FDAC3E4" w:rsidRPr="78E25736">
        <w:rPr>
          <w:rFonts w:ascii="Avenir Next LT Pro" w:eastAsia="Avenir Next LT Pro" w:hAnsi="Avenir Next LT Pro" w:cs="Avenir Next LT Pro"/>
          <w:color w:val="000000" w:themeColor="text1"/>
        </w:rPr>
        <w:t>include</w:t>
      </w:r>
      <w:proofErr w:type="gramEnd"/>
      <w:r w:rsidR="4FDAC3E4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 the </w:t>
      </w:r>
      <w:r w:rsidR="5198A6F0" w:rsidRPr="78E25736">
        <w:rPr>
          <w:rFonts w:ascii="Avenir Next LT Pro" w:eastAsia="Avenir Next LT Pro" w:hAnsi="Avenir Next LT Pro" w:cs="Avenir Next LT Pro"/>
          <w:color w:val="000000" w:themeColor="text1"/>
        </w:rPr>
        <w:t>name and contact information, the party or parties involved and their contact information, the general nature of your concerns</w:t>
      </w:r>
      <w:r w:rsidR="005502B1">
        <w:rPr>
          <w:rFonts w:ascii="Avenir Next LT Pro" w:eastAsia="Avenir Next LT Pro" w:hAnsi="Avenir Next LT Pro" w:cs="Avenir Next LT Pro"/>
          <w:color w:val="000000" w:themeColor="text1"/>
        </w:rPr>
        <w:t xml:space="preserve"> and a proposed resolution of the problem</w:t>
      </w:r>
      <w:r w:rsidR="5198A6F0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. </w:t>
      </w:r>
      <w:r w:rsidR="5198A6F0" w:rsidRPr="78E25736">
        <w:rPr>
          <w:rFonts w:ascii="Avenir Next LT Pro" w:eastAsia="Avenir Next LT Pro" w:hAnsi="Avenir Next LT Pro" w:cs="Avenir Next LT Pro"/>
        </w:rPr>
        <w:t xml:space="preserve"> </w:t>
      </w:r>
    </w:p>
    <w:p w14:paraId="3F7052CD" w14:textId="72E01C84" w:rsidR="00900D30" w:rsidRPr="00900D30" w:rsidRDefault="773CF742" w:rsidP="78E25736">
      <w:pPr>
        <w:numPr>
          <w:ilvl w:val="1"/>
          <w:numId w:val="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An optional Due Process Request Form is available for download on our website to assist in requesting due process </w:t>
      </w:r>
      <w:r w:rsidR="5B459E7C" w:rsidRPr="78E25736">
        <w:rPr>
          <w:rFonts w:ascii="Avenir Next LT Pro" w:eastAsia="Avenir Next LT Pro" w:hAnsi="Avenir Next LT Pro" w:cs="Avenir Next LT Pro"/>
          <w:color w:val="000000" w:themeColor="text1"/>
        </w:rPr>
        <w:t>hearing but</w:t>
      </w:r>
      <w:r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 not required. </w:t>
      </w:r>
      <w:r w:rsidRPr="78E25736">
        <w:rPr>
          <w:rFonts w:ascii="Avenir Next LT Pro" w:eastAsia="Avenir Next LT Pro" w:hAnsi="Avenir Next LT Pro" w:cs="Avenir Next LT Pro"/>
        </w:rPr>
        <w:t xml:space="preserve"> </w:t>
      </w:r>
      <w:r w:rsidR="00900D30" w:rsidRPr="78E25736">
        <w:rPr>
          <w:rFonts w:ascii="Avenir Next LT Pro" w:eastAsia="Avenir Next LT Pro" w:hAnsi="Avenir Next LT Pro" w:cs="Avenir Next LT Pro"/>
          <w:b/>
          <w:bCs/>
          <w:i/>
          <w:iCs/>
          <w:color w:val="000000"/>
          <w:kern w:val="0"/>
          <w14:ligatures w14:val="none"/>
        </w:rPr>
        <w:t xml:space="preserve"> </w:t>
      </w:r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 </w:t>
      </w:r>
    </w:p>
    <w:p w14:paraId="3E472919" w14:textId="3A152251" w:rsidR="00900D30" w:rsidRPr="00900D30" w:rsidRDefault="00900D30" w:rsidP="78E25736">
      <w:pPr>
        <w:numPr>
          <w:ilvl w:val="0"/>
          <w:numId w:val="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 FCEM contacts Parent/Parent’s representative (NOTE: Parent permission is needed to release personally identifiable information to a third-party) to </w:t>
      </w:r>
      <w:r w:rsidR="2AA21BAA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confirm receipt of the request.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 </w:t>
      </w:r>
    </w:p>
    <w:p w14:paraId="02FD8544" w14:textId="75EE3799" w:rsidR="00900D30" w:rsidRPr="00900D30" w:rsidRDefault="3EDD80D8" w:rsidP="78E25736">
      <w:pPr>
        <w:numPr>
          <w:ilvl w:val="0"/>
          <w:numId w:val="7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FCEM notifies </w:t>
      </w:r>
      <w:r w:rsidR="36A318E2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the </w:t>
      </w:r>
      <w:r w:rsidR="00900D30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Early Intervention Director</w:t>
      </w:r>
      <w:r w:rsidR="3C0B5191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/Part C Coordinator, the </w:t>
      </w:r>
      <w:r w:rsidR="00900D30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Clinical Quality </w:t>
      </w:r>
      <w:r w:rsidR="001B6176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Manager (</w:t>
      </w:r>
      <w:r w:rsidR="00900D30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CQM)</w:t>
      </w:r>
      <w:r w:rsidR="069E2D53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, and the </w:t>
      </w:r>
      <w:r w:rsidR="00900D30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Director of the BSEA (currently Reece Erlichman, (781.397.4755, reece.erlichman@mass.gov)) </w:t>
      </w:r>
      <w:r w:rsidR="16D4ADD5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to share</w:t>
      </w:r>
      <w:r w:rsidR="52EB27E3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 the information available in the Due Process Hearing request</w:t>
      </w:r>
    </w:p>
    <w:p w14:paraId="52EE315B" w14:textId="6B090298" w:rsidR="00900D30" w:rsidRPr="00900D30" w:rsidRDefault="00900D30" w:rsidP="78E25736">
      <w:pPr>
        <w:numPr>
          <w:ilvl w:val="2"/>
          <w:numId w:val="9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The Director of the BSEA will then assign a trained and impartial </w:t>
      </w:r>
      <w:r w:rsidR="31D8FE69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h</w:t>
      </w:r>
      <w:r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 xml:space="preserve">earing </w:t>
      </w:r>
      <w:r w:rsidR="173DAEBE"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o</w:t>
      </w:r>
      <w:r w:rsidRPr="78E25736">
        <w:rPr>
          <w:rFonts w:ascii="Avenir Next LT Pro" w:eastAsia="Avenir Next LT Pro" w:hAnsi="Avenir Next LT Pro" w:cs="Avenir Next LT Pro"/>
          <w:color w:val="141414"/>
          <w:kern w:val="0"/>
          <w14:ligatures w14:val="none"/>
        </w:rPr>
        <w:t>fficer (HO) to the matter.  </w:t>
      </w:r>
    </w:p>
    <w:p w14:paraId="70865CB3" w14:textId="0272FD49" w:rsidR="59BD3B7C" w:rsidRDefault="59BD3B7C" w:rsidP="78E25736">
      <w:pPr>
        <w:numPr>
          <w:ilvl w:val="3"/>
          <w:numId w:val="9"/>
        </w:numPr>
        <w:spacing w:after="0" w:line="276" w:lineRule="auto"/>
        <w:rPr>
          <w:rFonts w:ascii="Avenir Next LT Pro" w:eastAsia="Avenir Next LT Pro" w:hAnsi="Avenir Next LT Pro" w:cs="Avenir Next LT Pro"/>
          <w:color w:val="141414"/>
        </w:rPr>
      </w:pPr>
      <w:r w:rsidRPr="78E25736">
        <w:rPr>
          <w:rFonts w:ascii="Avenir Next LT Pro" w:eastAsia="Avenir Next LT Pro" w:hAnsi="Avenir Next LT Pro" w:cs="Avenir Next LT Pro"/>
          <w:color w:val="141414"/>
        </w:rPr>
        <w:t>NOTE: The Lead A</w:t>
      </w:r>
      <w:r w:rsidR="41CC903D" w:rsidRPr="78E25736">
        <w:rPr>
          <w:rFonts w:ascii="Avenir Next LT Pro" w:eastAsia="Avenir Next LT Pro" w:hAnsi="Avenir Next LT Pro" w:cs="Avenir Next LT Pro"/>
          <w:color w:val="141414"/>
        </w:rPr>
        <w:t>g</w:t>
      </w:r>
      <w:r w:rsidRPr="78E25736">
        <w:rPr>
          <w:rFonts w:ascii="Avenir Next LT Pro" w:eastAsia="Avenir Next LT Pro" w:hAnsi="Avenir Next LT Pro" w:cs="Avenir Next LT Pro"/>
          <w:color w:val="141414"/>
        </w:rPr>
        <w:t>ency (DPH/EI Division) has no authority to determine whether hearing request</w:t>
      </w:r>
      <w:r w:rsidR="5512BAA6" w:rsidRPr="78E25736">
        <w:rPr>
          <w:rFonts w:ascii="Avenir Next LT Pro" w:eastAsia="Avenir Next LT Pro" w:hAnsi="Avenir Next LT Pro" w:cs="Avenir Next LT Pro"/>
          <w:color w:val="141414"/>
        </w:rPr>
        <w:t xml:space="preserve"> can be granted- a hearing officer must be appointed</w:t>
      </w:r>
    </w:p>
    <w:p w14:paraId="2D6B56AE" w14:textId="3EC24177" w:rsidR="000D010E" w:rsidRDefault="3EDD80D8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FCEM notifies both parties </w:t>
      </w:r>
      <w:r w:rsidR="7E71B9CD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in writing to </w:t>
      </w:r>
    </w:p>
    <w:p w14:paraId="6D45C2B6" w14:textId="34FFDCC9" w:rsidR="000D010E" w:rsidRDefault="3EDD80D8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acknowledg</w:t>
      </w:r>
      <w:r w:rsidR="7C16A2E6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e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receipt of hearing request</w:t>
      </w:r>
      <w:r w:rsidR="1304EC01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, </w:t>
      </w:r>
      <w:r w:rsidR="436F0B97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and that a trained and impartial HO will contact them directly.  </w:t>
      </w:r>
    </w:p>
    <w:p w14:paraId="2056BBFB" w14:textId="1EF997A6" w:rsidR="000D010E" w:rsidRDefault="1304EC01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inform that the </w:t>
      </w:r>
      <w:r w:rsidR="63E64931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process is at no cost except for advocate or attorney fees</w:t>
      </w:r>
    </w:p>
    <w:p w14:paraId="2D57D83D" w14:textId="690494E6" w:rsidR="000D010E" w:rsidRDefault="10EAF5A6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outline</w:t>
      </w:r>
      <w:r w:rsidR="1B469757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the </w:t>
      </w:r>
      <w:r w:rsidR="3EDD80D8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30-day </w:t>
      </w:r>
      <w:r w:rsidR="12904727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timeline,</w:t>
      </w:r>
      <w:r w:rsidR="3EDD80D8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and that </w:t>
      </w:r>
      <w:r w:rsidR="3EDD80D8" w:rsidRPr="78E25736">
        <w:rPr>
          <w:rFonts w:ascii="Avenir Next LT Pro" w:eastAsia="Avenir Next LT Pro" w:hAnsi="Avenir Next LT Pro" w:cs="Avenir Next LT Pro"/>
          <w:color w:val="333333"/>
          <w:kern w:val="0"/>
          <w14:ligatures w14:val="none"/>
        </w:rPr>
        <w:t>HO may grant specific extensions at the request of either party</w:t>
      </w:r>
      <w:r w:rsidR="12904727" w:rsidRPr="78E25736">
        <w:rPr>
          <w:rFonts w:ascii="Avenir Next LT Pro" w:eastAsia="Avenir Next LT Pro" w:hAnsi="Avenir Next LT Pro" w:cs="Avenir Next LT Pro"/>
          <w:color w:val="333333"/>
          <w:kern w:val="0"/>
          <w14:ligatures w14:val="none"/>
        </w:rPr>
        <w:t xml:space="preserve"> </w:t>
      </w:r>
    </w:p>
    <w:p w14:paraId="46FA1882" w14:textId="2D35AC8E" w:rsidR="000D010E" w:rsidRDefault="5533D35A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 w:themeColor="text1"/>
        </w:rPr>
        <w:t>l</w:t>
      </w:r>
      <w:r w:rsidR="46A211DE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et </w:t>
      </w:r>
      <w:r w:rsidR="64ECB6F2" w:rsidRPr="78E25736">
        <w:rPr>
          <w:rFonts w:ascii="Avenir Next LT Pro" w:eastAsia="Avenir Next LT Pro" w:hAnsi="Avenir Next LT Pro" w:cs="Avenir Next LT Pro"/>
          <w:color w:val="000000" w:themeColor="text1"/>
        </w:rPr>
        <w:t>parties</w:t>
      </w:r>
      <w:r w:rsidR="46A211DE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 know </w:t>
      </w:r>
      <w:r w:rsidR="3EDD80D8" w:rsidRPr="78E25736">
        <w:rPr>
          <w:rFonts w:ascii="Avenir Next LT Pro" w:eastAsia="Avenir Next LT Pro" w:hAnsi="Avenir Next LT Pro" w:cs="Avenir Next LT Pro"/>
          <w:color w:val="000000" w:themeColor="text1"/>
        </w:rPr>
        <w:t>th</w:t>
      </w:r>
      <w:r w:rsidR="7109F545" w:rsidRPr="78E25736">
        <w:rPr>
          <w:rFonts w:ascii="Avenir Next LT Pro" w:eastAsia="Avenir Next LT Pro" w:hAnsi="Avenir Next LT Pro" w:cs="Avenir Next LT Pro"/>
          <w:color w:val="000000" w:themeColor="text1"/>
        </w:rPr>
        <w:t>at</w:t>
      </w:r>
      <w:r w:rsidR="3EDD80D8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 mediation</w:t>
      </w:r>
      <w:r w:rsidR="4682B42C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 is always an option</w:t>
      </w:r>
      <w:r w:rsidR="3EDD80D8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, </w:t>
      </w:r>
      <w:r w:rsidR="3C050851" w:rsidRPr="78E25736">
        <w:rPr>
          <w:rFonts w:ascii="Avenir Next LT Pro" w:eastAsia="Avenir Next LT Pro" w:hAnsi="Avenir Next LT Pro" w:cs="Avenir Next LT Pro"/>
          <w:color w:val="000000" w:themeColor="text1"/>
        </w:rPr>
        <w:t>and</w:t>
      </w:r>
    </w:p>
    <w:p w14:paraId="3E4547DA" w14:textId="77777777" w:rsidR="000D010E" w:rsidRDefault="000D010E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</w:p>
    <w:p w14:paraId="452DBFD4" w14:textId="588E4C63" w:rsidR="000D010E" w:rsidRPr="00D16449" w:rsidRDefault="3C050851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provide overview of the process, such as </w:t>
      </w:r>
      <w:r w:rsidR="2452C8CD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the </w:t>
      </w:r>
      <w:proofErr w:type="spellStart"/>
      <w:proofErr w:type="gramStart"/>
      <w:r w:rsidR="2452C8CD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parents</w:t>
      </w:r>
      <w:proofErr w:type="spellEnd"/>
      <w:proofErr w:type="gramEnd"/>
      <w:r w:rsidR="2452C8CD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rig</w:t>
      </w:r>
      <w:r w:rsidR="4AE14A17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hts (see 8 below for details)</w:t>
      </w:r>
    </w:p>
    <w:p w14:paraId="4F59B026" w14:textId="66329D6A" w:rsidR="000D010E" w:rsidRPr="00D16449" w:rsidRDefault="0B04917F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share</w:t>
      </w:r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listing of the </w:t>
      </w:r>
      <w:hyperlink r:id="rId10" w:history="1">
        <w:r w:rsidR="00900D30" w:rsidRPr="78E25736">
          <w:rPr>
            <w:rFonts w:ascii="Avenir Next LT Pro" w:eastAsia="Avenir Next LT Pro" w:hAnsi="Avenir Next LT Pro" w:cs="Avenir Next LT Pro"/>
            <w:color w:val="0000FF"/>
            <w:kern w:val="0"/>
            <w:u w:val="single"/>
            <w:shd w:val="clear" w:color="auto" w:fill="E1E3E6"/>
            <w14:ligatures w14:val="none"/>
          </w:rPr>
          <w:t>BSEA Directory of Legal/Advocacy Services</w:t>
        </w:r>
      </w:hyperlink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 </w:t>
      </w:r>
    </w:p>
    <w:p w14:paraId="6B6A4291" w14:textId="3AF6EF17" w:rsidR="00900D30" w:rsidRPr="00900D30" w:rsidRDefault="00900D30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FCEM and Director of BSEA or designee schedule fifteen-minute weekly check</w:t>
      </w:r>
      <w:r w:rsidR="00D16449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-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in meetings to communicate and track progress</w:t>
      </w:r>
      <w:r w:rsidR="00D16449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and timeliness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. </w:t>
      </w:r>
    </w:p>
    <w:p w14:paraId="6688B374" w14:textId="76C4616D" w:rsidR="00900D30" w:rsidRPr="00900D30" w:rsidRDefault="153EDB59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lastRenderedPageBreak/>
        <w:t xml:space="preserve">Day 7-30: </w:t>
      </w:r>
      <w:r w:rsidR="00900D30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Upon receipt of due process hearing request, the assigned impartial BSEA hearing officer contacts the parties to send out a Notice of Hearing that informs the parties of </w:t>
      </w:r>
    </w:p>
    <w:p w14:paraId="25594FDF" w14:textId="2C71B159" w:rsidR="00900D30" w:rsidRPr="00900D30" w:rsidRDefault="00900D30" w:rsidP="78E25736">
      <w:pPr>
        <w:numPr>
          <w:ilvl w:val="1"/>
          <w:numId w:val="11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the name of the </w:t>
      </w:r>
      <w:r w:rsidR="3AC77BF2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h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earing </w:t>
      </w:r>
      <w:r w:rsidR="1364A239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o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fficer, </w:t>
      </w:r>
    </w:p>
    <w:p w14:paraId="6E59D29C" w14:textId="054885A7" w:rsidR="00900D30" w:rsidRPr="00900D30" w:rsidRDefault="00900D30" w:rsidP="78E25736">
      <w:pPr>
        <w:numPr>
          <w:ilvl w:val="1"/>
          <w:numId w:val="11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the </w:t>
      </w:r>
      <w:r w:rsidR="3590B2C8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c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onference </w:t>
      </w:r>
      <w:r w:rsidR="445A05C1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c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all date and </w:t>
      </w:r>
      <w:r w:rsidR="00D16449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time.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</w:t>
      </w:r>
    </w:p>
    <w:p w14:paraId="6363A12B" w14:textId="106B9A09" w:rsidR="00807E63" w:rsidRDefault="00900D30" w:rsidP="00807E63">
      <w:pPr>
        <w:numPr>
          <w:ilvl w:val="1"/>
          <w:numId w:val="11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the </w:t>
      </w:r>
      <w:r w:rsidR="35ED4DFB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Due Process Hearing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date, time and location (subject to change upon request to ensure it is reasonably convenient </w:t>
      </w:r>
      <w:r w:rsidR="00D16449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for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the parties</w:t>
      </w:r>
      <w:r w:rsid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, which could be virtual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); </w:t>
      </w:r>
    </w:p>
    <w:p w14:paraId="06F19825" w14:textId="1081BAC7" w:rsidR="00900D30" w:rsidRPr="00807E63" w:rsidRDefault="00900D30" w:rsidP="00807E63">
      <w:pPr>
        <w:numPr>
          <w:ilvl w:val="1"/>
          <w:numId w:val="11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a </w:t>
      </w:r>
      <w:r w:rsidR="00D16449" w:rsidRP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d</w:t>
      </w:r>
      <w:r w:rsidRP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ecision issuance date</w:t>
      </w:r>
      <w:r w:rsid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; and</w:t>
      </w:r>
      <w:r w:rsidRP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.  </w:t>
      </w:r>
    </w:p>
    <w:p w14:paraId="7D668573" w14:textId="77777777" w:rsidR="00900D30" w:rsidRPr="00900D30" w:rsidRDefault="00900D30" w:rsidP="78E25736">
      <w:pPr>
        <w:numPr>
          <w:ilvl w:val="1"/>
          <w:numId w:val="11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remind parties about the voluntary process of mediation, at any time.</w:t>
      </w:r>
    </w:p>
    <w:p w14:paraId="611A8DF4" w14:textId="77777777" w:rsidR="00900D30" w:rsidRPr="00900D30" w:rsidRDefault="00900D30" w:rsidP="78E25736">
      <w:pPr>
        <w:numPr>
          <w:ilvl w:val="2"/>
          <w:numId w:val="12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If either party requests mediation </w:t>
      </w:r>
      <w:proofErr w:type="gramStart"/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to</w:t>
      </w:r>
      <w:proofErr w:type="gramEnd"/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the hearing officer, and both parties agree to mediation, the hearing officer will immediately communicate this to the FCEM. </w:t>
      </w:r>
    </w:p>
    <w:p w14:paraId="52C4A92C" w14:textId="77777777" w:rsidR="00900D30" w:rsidRPr="00900D30" w:rsidRDefault="00900D30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At the Hearing, the hearing officer will:  </w:t>
      </w:r>
    </w:p>
    <w:p w14:paraId="5D9AED86" w14:textId="77777777" w:rsidR="00900D30" w:rsidRPr="00900D30" w:rsidRDefault="00900D30" w:rsidP="78E25736">
      <w:pPr>
        <w:numPr>
          <w:ilvl w:val="1"/>
          <w:numId w:val="1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listen to the presentation of relevant viewpoints about the due process complaint.  </w:t>
      </w:r>
    </w:p>
    <w:p w14:paraId="1B972724" w14:textId="77777777" w:rsidR="00900D30" w:rsidRPr="00900D30" w:rsidRDefault="00900D30" w:rsidP="78E25736">
      <w:pPr>
        <w:numPr>
          <w:ilvl w:val="1"/>
          <w:numId w:val="1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examine all information relevant to the issues.  </w:t>
      </w:r>
    </w:p>
    <w:p w14:paraId="10C5546A" w14:textId="77777777" w:rsidR="00900D30" w:rsidRPr="00900D30" w:rsidRDefault="00900D30" w:rsidP="78E25736">
      <w:pPr>
        <w:numPr>
          <w:ilvl w:val="1"/>
          <w:numId w:val="1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seek to reach a timely resolution of the due process complaint. </w:t>
      </w:r>
    </w:p>
    <w:p w14:paraId="7D443328" w14:textId="77777777" w:rsidR="00900D30" w:rsidRPr="00900D30" w:rsidRDefault="00900D30" w:rsidP="78E25736">
      <w:pPr>
        <w:numPr>
          <w:ilvl w:val="1"/>
          <w:numId w:val="13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provide a record of the proceedings, including a written decision.   </w:t>
      </w:r>
    </w:p>
    <w:p w14:paraId="3C6B7EC4" w14:textId="77777777" w:rsidR="00900D30" w:rsidRPr="00900D30" w:rsidRDefault="00900D30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During the Hearing, parents have the right to </w:t>
      </w:r>
    </w:p>
    <w:p w14:paraId="02EAFB26" w14:textId="77777777" w:rsidR="00900D30" w:rsidRPr="00900D30" w:rsidRDefault="00900D30" w:rsidP="78E25736">
      <w:pPr>
        <w:numPr>
          <w:ilvl w:val="1"/>
          <w:numId w:val="14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be accompanied and advised by counsel and by individuals with special knowledge or training with respect to early intervention services for infants and toddlers with disabilities</w:t>
      </w:r>
    </w:p>
    <w:p w14:paraId="0BB1A165" w14:textId="77777777" w:rsidR="00900D30" w:rsidRPr="00900D30" w:rsidRDefault="00900D30" w:rsidP="78E25736">
      <w:pPr>
        <w:numPr>
          <w:ilvl w:val="1"/>
          <w:numId w:val="14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present evidence and confront, cross-examine, and compel the attendance of witnesses</w:t>
      </w:r>
    </w:p>
    <w:p w14:paraId="38896933" w14:textId="77777777" w:rsidR="00900D30" w:rsidRPr="00900D30" w:rsidRDefault="00900D30" w:rsidP="78E25736">
      <w:pPr>
        <w:numPr>
          <w:ilvl w:val="1"/>
          <w:numId w:val="14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prohibit the introduction of any evidence at the hearing that has not been disclosed to the parent at least five days before the hearing</w:t>
      </w:r>
    </w:p>
    <w:p w14:paraId="0A959B45" w14:textId="77777777" w:rsidR="00900D30" w:rsidRPr="00900D30" w:rsidRDefault="00900D30" w:rsidP="78E25736">
      <w:pPr>
        <w:numPr>
          <w:ilvl w:val="1"/>
          <w:numId w:val="14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obtain a written or electronic verbatim transcription of the hearing at no cost to the parent; and </w:t>
      </w:r>
    </w:p>
    <w:p w14:paraId="287250C7" w14:textId="4EA4306A" w:rsidR="00900D30" w:rsidRPr="00900D30" w:rsidRDefault="00900D30" w:rsidP="78E25736">
      <w:pPr>
        <w:numPr>
          <w:ilvl w:val="1"/>
          <w:numId w:val="14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receive a written copy of the findings of fact and decisions at no cost to the parent.  Any party aggrieved by the findings and decision issued pursuant to a due process complaint has the right to bring a civil action in </w:t>
      </w:r>
      <w:r w:rsidR="000D010E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the State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or Federal court</w:t>
      </w:r>
      <w:r w:rsidR="00A13A21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within 90 days of the decision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. </w:t>
      </w:r>
    </w:p>
    <w:p w14:paraId="4491AA4D" w14:textId="02409265" w:rsidR="00900D30" w:rsidRPr="00900D30" w:rsidRDefault="00900D30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The FCEM will assist with securing a mutually agreeable location for the hearing as requested</w:t>
      </w:r>
      <w:r w:rsid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and will advise that virtual hearings are available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. </w:t>
      </w:r>
    </w:p>
    <w:p w14:paraId="008BB5A7" w14:textId="4C6F8F31" w:rsidR="00900D30" w:rsidRPr="00900D30" w:rsidRDefault="00900D30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The HO will keep a log of time spent on the hearing and provide a bill to BSEA Financial Manager for reimbursement for cost associated with the hearing from 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lastRenderedPageBreak/>
        <w:t>EI/DPH in accordance with the Interagency Services Agreement (ISA) between both agencies.</w:t>
      </w:r>
    </w:p>
    <w:p w14:paraId="3D18B618" w14:textId="3F381FB2" w:rsidR="00807E63" w:rsidRDefault="00807E63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The HO will send the decision to the parties with a copy to the FCEM</w:t>
      </w:r>
      <w:r w:rsidR="002C6961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.  The decision will be redacted </w:t>
      </w:r>
      <w:proofErr w:type="gramStart"/>
      <w:r w:rsidR="002C6961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of</w:t>
      </w:r>
      <w:proofErr w:type="gramEnd"/>
      <w:r w:rsidR="002C6961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personally identifiable information (PII)</w:t>
      </w:r>
      <w:r w:rsidR="0057474F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and will be in the native language</w:t>
      </w:r>
      <w:r w:rsidR="009E7C11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of the parents</w:t>
      </w:r>
      <w:r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.</w:t>
      </w:r>
    </w:p>
    <w:p w14:paraId="14789EED" w14:textId="178152D0" w:rsidR="00900D30" w:rsidRPr="00900D30" w:rsidRDefault="3EDD80D8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If a decision is made by the hearing officer in favor of the child/family and requires the EI service provider to provide corrective action</w:t>
      </w:r>
      <w:r w:rsidR="3E61E735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,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copies of the hearing officer’s decision will be provided</w:t>
      </w:r>
      <w:r w:rsid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by the FCEM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to </w:t>
      </w:r>
      <w:r w:rsidR="00807E63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>the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Clinical Quality Manager</w:t>
      </w:r>
      <w:r w:rsidR="64704B73"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 (CQM)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. </w:t>
      </w:r>
    </w:p>
    <w:p w14:paraId="03BBD83B" w14:textId="3D2B092F" w:rsidR="00900D30" w:rsidRPr="00900D30" w:rsidRDefault="3EDD80D8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  <w:t xml:space="preserve">The CQM and the </w:t>
      </w:r>
      <w:r w:rsidR="61870A54" w:rsidRPr="78E25736">
        <w:rPr>
          <w:rFonts w:ascii="Avenir Next LT Pro" w:eastAsia="Avenir Next LT Pro" w:hAnsi="Avenir Next LT Pro" w:cs="Avenir Next LT Pro"/>
          <w:color w:val="000000" w:themeColor="text1"/>
        </w:rPr>
        <w:t>Compliance Oversight and Support Specialist (COSS) will</w:t>
      </w:r>
      <w:r w:rsidR="7447B8E5" w:rsidRPr="78E25736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="61870A54" w:rsidRPr="78E25736">
        <w:rPr>
          <w:rFonts w:ascii="Avenir Next LT Pro" w:eastAsia="Avenir Next LT Pro" w:hAnsi="Avenir Next LT Pro" w:cs="Avenir Next LT Pro"/>
          <w:color w:val="333333"/>
        </w:rPr>
        <w:t xml:space="preserve">notify the Lead Agency, public agency, or EIS provider in writing of the </w:t>
      </w:r>
      <w:r w:rsidR="0B7975AE" w:rsidRPr="78E25736">
        <w:rPr>
          <w:rFonts w:ascii="Avenir Next LT Pro" w:eastAsia="Avenir Next LT Pro" w:hAnsi="Avenir Next LT Pro" w:cs="Avenir Next LT Pro"/>
          <w:color w:val="333333"/>
        </w:rPr>
        <w:t>expectation that</w:t>
      </w:r>
      <w:r w:rsidR="61870A54" w:rsidRPr="78E25736">
        <w:rPr>
          <w:rFonts w:ascii="Avenir Next LT Pro" w:eastAsia="Avenir Next LT Pro" w:hAnsi="Avenir Next LT Pro" w:cs="Avenir Next LT Pro"/>
          <w:color w:val="333333"/>
        </w:rPr>
        <w:t xml:space="preserve"> the noncompliance be corrected as soon as possible, but in no case more than one year from the identification [§ </w:t>
      </w:r>
      <w:hyperlink r:id="rId11">
        <w:r w:rsidR="61870A54" w:rsidRPr="78E25736">
          <w:rPr>
            <w:rStyle w:val="Hyperlink"/>
            <w:rFonts w:ascii="Avenir Next LT Pro" w:eastAsia="Avenir Next LT Pro" w:hAnsi="Avenir Next LT Pro" w:cs="Avenir Next LT Pro"/>
          </w:rPr>
          <w:t>303.700(e)</w:t>
        </w:r>
      </w:hyperlink>
      <w:r w:rsidR="61870A54" w:rsidRPr="78E25736">
        <w:rPr>
          <w:rFonts w:ascii="Avenir Next LT Pro" w:eastAsia="Avenir Next LT Pro" w:hAnsi="Avenir Next LT Pro" w:cs="Avenir Next LT Pro"/>
          <w:color w:val="333333"/>
        </w:rPr>
        <w:t>].</w:t>
      </w:r>
    </w:p>
    <w:p w14:paraId="2C4DFBA0" w14:textId="38BB6614" w:rsidR="00900D30" w:rsidRPr="00900D30" w:rsidRDefault="3EDD80D8" w:rsidP="78E25736">
      <w:pPr>
        <w:numPr>
          <w:ilvl w:val="1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color w:val="000000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/>
          <w:kern w:val="0"/>
          <w:shd w:val="clear" w:color="auto" w:fill="FFFFFF"/>
          <w14:ligatures w14:val="none"/>
        </w:rPr>
        <w:t xml:space="preserve">If a settlement agreement is reached, </w:t>
      </w:r>
      <w:r w:rsidR="00807E63">
        <w:rPr>
          <w:rFonts w:ascii="Avenir Next LT Pro" w:eastAsia="Avenir Next LT Pro" w:hAnsi="Avenir Next LT Pro" w:cs="Avenir Next LT Pro"/>
          <w:color w:val="000000"/>
          <w:kern w:val="0"/>
          <w:shd w:val="clear" w:color="auto" w:fill="FFFFFF"/>
          <w14:ligatures w14:val="none"/>
        </w:rPr>
        <w:t xml:space="preserve">the parties shall provide a copy of the agreement, as appropriate, to the FCEM who will forward it to 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:shd w:val="clear" w:color="auto" w:fill="FFFFFF"/>
          <w14:ligatures w14:val="none"/>
        </w:rPr>
        <w:t>the COSS</w:t>
      </w:r>
      <w:r w:rsidR="00807E63">
        <w:rPr>
          <w:rFonts w:ascii="Avenir Next LT Pro" w:eastAsia="Avenir Next LT Pro" w:hAnsi="Avenir Next LT Pro" w:cs="Avenir Next LT Pro"/>
          <w:color w:val="000000"/>
          <w:kern w:val="0"/>
          <w:shd w:val="clear" w:color="auto" w:fill="FFFFFF"/>
          <w14:ligatures w14:val="none"/>
        </w:rPr>
        <w:t>.  The COSS</w:t>
      </w:r>
      <w:r w:rsidRPr="78E25736">
        <w:rPr>
          <w:rFonts w:ascii="Avenir Next LT Pro" w:eastAsia="Avenir Next LT Pro" w:hAnsi="Avenir Next LT Pro" w:cs="Avenir Next LT Pro"/>
          <w:color w:val="000000"/>
          <w:kern w:val="0"/>
          <w:shd w:val="clear" w:color="auto" w:fill="FFFFFF"/>
          <w14:ligatures w14:val="none"/>
        </w:rPr>
        <w:t xml:space="preserve"> ensures the terms of the agreement are implemented according to any timelines stipulated in the agreement or within one (1) year from when the settlement was issued </w:t>
      </w:r>
    </w:p>
    <w:p w14:paraId="545D5A93" w14:textId="5D507511" w:rsidR="00900D30" w:rsidRPr="00900D30" w:rsidRDefault="46C72085" w:rsidP="78E25736">
      <w:pPr>
        <w:numPr>
          <w:ilvl w:val="2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333333"/>
        </w:rPr>
        <w:t>If there is a mediated agreement that is subsequently violated, a parent has the option to file a state complaint or seek recourse through civil courts.</w:t>
      </w:r>
    </w:p>
    <w:p w14:paraId="265F8A51" w14:textId="72D69685" w:rsidR="00900D30" w:rsidRPr="00900D30" w:rsidRDefault="081FBCF7" w:rsidP="78E25736">
      <w:pPr>
        <w:numPr>
          <w:ilvl w:val="0"/>
          <w:numId w:val="10"/>
        </w:numPr>
        <w:spacing w:after="0" w:line="276" w:lineRule="auto"/>
        <w:textAlignment w:val="center"/>
        <w:rPr>
          <w:rFonts w:ascii="Avenir Next LT Pro" w:eastAsia="Avenir Next LT Pro" w:hAnsi="Avenir Next LT Pro" w:cs="Avenir Next LT Pro"/>
          <w:kern w:val="0"/>
          <w14:ligatures w14:val="none"/>
        </w:rPr>
      </w:pPr>
      <w:r w:rsidRPr="78E25736">
        <w:rPr>
          <w:rFonts w:ascii="Avenir Next LT Pro" w:eastAsia="Avenir Next LT Pro" w:hAnsi="Avenir Next LT Pro" w:cs="Avenir Next LT Pro"/>
          <w:color w:val="000000" w:themeColor="text1"/>
        </w:rPr>
        <w:t>FCEM enters the request for due process hearings and the outcome on the E</w:t>
      </w:r>
      <w:r w:rsidRPr="78E25736">
        <w:rPr>
          <w:rFonts w:ascii="Avenir Next LT Pro" w:eastAsia="Avenir Next LT Pro" w:hAnsi="Avenir Next LT Pro" w:cs="Avenir Next LT Pro"/>
          <w:i/>
          <w:iCs/>
          <w:color w:val="000000" w:themeColor="text1"/>
        </w:rPr>
        <w:t xml:space="preserve">DPAS </w:t>
      </w:r>
      <w:r w:rsidRPr="78E25736">
        <w:rPr>
          <w:rFonts w:ascii="Avenir Next LT Pro" w:eastAsia="Avenir Next LT Pro" w:hAnsi="Avenir Next LT Pro" w:cs="Avenir Next LT Pro"/>
          <w:color w:val="000000" w:themeColor="text1"/>
        </w:rPr>
        <w:t>Table 4 as required by the Office of Special Education Programs annually.</w:t>
      </w:r>
    </w:p>
    <w:p w14:paraId="0AFABFB5" w14:textId="1233745F" w:rsidR="78E25736" w:rsidRDefault="78E25736" w:rsidP="78E25736">
      <w:pPr>
        <w:spacing w:after="0" w:line="276" w:lineRule="auto"/>
        <w:ind w:left="720"/>
        <w:rPr>
          <w:rFonts w:ascii="Avenir Next LT Pro" w:eastAsia="Avenir Next LT Pro" w:hAnsi="Avenir Next LT Pro" w:cs="Avenir Next LT Pro"/>
          <w:color w:val="333333"/>
        </w:rPr>
      </w:pPr>
    </w:p>
    <w:p w14:paraId="605BE51D" w14:textId="77777777" w:rsidR="002273BA" w:rsidRPr="00D16449" w:rsidRDefault="002273BA" w:rsidP="78E25736">
      <w:pPr>
        <w:spacing w:after="0"/>
        <w:rPr>
          <w:rFonts w:ascii="Avenir Next LT Pro" w:eastAsia="Avenir Next LT Pro" w:hAnsi="Avenir Next LT Pro" w:cs="Avenir Next LT Pro"/>
          <w:color w:val="000000"/>
          <w:shd w:val="clear" w:color="auto" w:fill="FFFFFF"/>
        </w:rPr>
      </w:pPr>
    </w:p>
    <w:p w14:paraId="12A80560" w14:textId="2B85F5D2" w:rsidR="000B26FF" w:rsidRPr="002273BA" w:rsidRDefault="000B26F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0B26FF" w:rsidRPr="00227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3160"/>
    <w:multiLevelType w:val="multilevel"/>
    <w:tmpl w:val="FDE8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A26"/>
    <w:multiLevelType w:val="multilevel"/>
    <w:tmpl w:val="ED9E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E3FAD"/>
    <w:multiLevelType w:val="multilevel"/>
    <w:tmpl w:val="1230FFE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FD1C38"/>
    <w:multiLevelType w:val="multilevel"/>
    <w:tmpl w:val="698E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72442A"/>
    <w:multiLevelType w:val="multilevel"/>
    <w:tmpl w:val="67F4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108A8"/>
    <w:multiLevelType w:val="hybridMultilevel"/>
    <w:tmpl w:val="7D32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0224">
    <w:abstractNumId w:val="4"/>
  </w:num>
  <w:num w:numId="2" w16cid:durableId="1703629950">
    <w:abstractNumId w:val="2"/>
  </w:num>
  <w:num w:numId="3" w16cid:durableId="1002242470">
    <w:abstractNumId w:val="0"/>
    <w:lvlOverride w:ilvl="0">
      <w:startOverride w:val="1"/>
    </w:lvlOverride>
  </w:num>
  <w:num w:numId="4" w16cid:durableId="701248022">
    <w:abstractNumId w:val="0"/>
    <w:lvlOverride w:ilvl="0"/>
    <w:lvlOverride w:ilvl="1">
      <w:startOverride w:val="1"/>
    </w:lvlOverride>
  </w:num>
  <w:num w:numId="5" w16cid:durableId="20403649">
    <w:abstractNumId w:val="0"/>
    <w:lvlOverride w:ilvl="0"/>
    <w:lvlOverride w:ilvl="1"/>
    <w:lvlOverride w:ilvl="2">
      <w:startOverride w:val="1"/>
    </w:lvlOverride>
  </w:num>
  <w:num w:numId="6" w16cid:durableId="1095129676">
    <w:abstractNumId w:val="0"/>
    <w:lvlOverride w:ilvl="0"/>
    <w:lvlOverride w:ilvl="1"/>
    <w:lvlOverride w:ilvl="2">
      <w:startOverride w:val="1"/>
    </w:lvlOverride>
  </w:num>
  <w:num w:numId="7" w16cid:durableId="129709431">
    <w:abstractNumId w:val="1"/>
    <w:lvlOverride w:ilvl="0">
      <w:startOverride w:val="3"/>
    </w:lvlOverride>
  </w:num>
  <w:num w:numId="8" w16cid:durableId="1229072866">
    <w:abstractNumId w:val="1"/>
    <w:lvlOverride w:ilvl="0"/>
    <w:lvlOverride w:ilvl="1">
      <w:startOverride w:val="1"/>
    </w:lvlOverride>
  </w:num>
  <w:num w:numId="9" w16cid:durableId="660810465">
    <w:abstractNumId w:val="1"/>
    <w:lvlOverride w:ilvl="0"/>
    <w:lvlOverride w:ilvl="1"/>
    <w:lvlOverride w:ilvl="2">
      <w:startOverride w:val="1"/>
    </w:lvlOverride>
  </w:num>
  <w:num w:numId="10" w16cid:durableId="1131754520">
    <w:abstractNumId w:val="3"/>
    <w:lvlOverride w:ilvl="0">
      <w:startOverride w:val="4"/>
    </w:lvlOverride>
  </w:num>
  <w:num w:numId="11" w16cid:durableId="95831016">
    <w:abstractNumId w:val="3"/>
    <w:lvlOverride w:ilvl="0"/>
    <w:lvlOverride w:ilvl="1">
      <w:startOverride w:val="1"/>
    </w:lvlOverride>
  </w:num>
  <w:num w:numId="12" w16cid:durableId="898050533">
    <w:abstractNumId w:val="3"/>
    <w:lvlOverride w:ilvl="0"/>
    <w:lvlOverride w:ilvl="1"/>
    <w:lvlOverride w:ilvl="2">
      <w:startOverride w:val="1"/>
    </w:lvlOverride>
  </w:num>
  <w:num w:numId="13" w16cid:durableId="1045906676">
    <w:abstractNumId w:val="3"/>
    <w:lvlOverride w:ilvl="0"/>
    <w:lvlOverride w:ilvl="1">
      <w:startOverride w:val="1"/>
    </w:lvlOverride>
  </w:num>
  <w:num w:numId="14" w16cid:durableId="952829024">
    <w:abstractNumId w:val="3"/>
    <w:lvlOverride w:ilvl="0"/>
    <w:lvlOverride w:ilvl="1">
      <w:startOverride w:val="1"/>
    </w:lvlOverride>
  </w:num>
  <w:num w:numId="15" w16cid:durableId="447432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BA"/>
    <w:rsid w:val="0002609D"/>
    <w:rsid w:val="00061E78"/>
    <w:rsid w:val="000B26FF"/>
    <w:rsid w:val="000D010E"/>
    <w:rsid w:val="000D79F5"/>
    <w:rsid w:val="001128CD"/>
    <w:rsid w:val="001569C9"/>
    <w:rsid w:val="001A2AE4"/>
    <w:rsid w:val="001B6176"/>
    <w:rsid w:val="00202DA7"/>
    <w:rsid w:val="002273BA"/>
    <w:rsid w:val="002C6961"/>
    <w:rsid w:val="0036377A"/>
    <w:rsid w:val="003DBDF7"/>
    <w:rsid w:val="004874BA"/>
    <w:rsid w:val="004E1031"/>
    <w:rsid w:val="005502B1"/>
    <w:rsid w:val="00554B01"/>
    <w:rsid w:val="0057474F"/>
    <w:rsid w:val="00623371"/>
    <w:rsid w:val="00637F3B"/>
    <w:rsid w:val="006F66F0"/>
    <w:rsid w:val="00702458"/>
    <w:rsid w:val="0070525F"/>
    <w:rsid w:val="007633F9"/>
    <w:rsid w:val="007D7E56"/>
    <w:rsid w:val="00807E63"/>
    <w:rsid w:val="008A3367"/>
    <w:rsid w:val="008C0702"/>
    <w:rsid w:val="00900D30"/>
    <w:rsid w:val="009B7E0D"/>
    <w:rsid w:val="009E7C11"/>
    <w:rsid w:val="00A13A21"/>
    <w:rsid w:val="00AB56EF"/>
    <w:rsid w:val="00AE7641"/>
    <w:rsid w:val="00B866AA"/>
    <w:rsid w:val="00B95064"/>
    <w:rsid w:val="00D10AB8"/>
    <w:rsid w:val="00D16449"/>
    <w:rsid w:val="00D42281"/>
    <w:rsid w:val="00D557B3"/>
    <w:rsid w:val="00D668FE"/>
    <w:rsid w:val="00DA18B3"/>
    <w:rsid w:val="00DD59A8"/>
    <w:rsid w:val="00E225FE"/>
    <w:rsid w:val="00E50184"/>
    <w:rsid w:val="00E55A1E"/>
    <w:rsid w:val="00E97F1A"/>
    <w:rsid w:val="00F2004D"/>
    <w:rsid w:val="012B2747"/>
    <w:rsid w:val="01ACEF6E"/>
    <w:rsid w:val="063A54A5"/>
    <w:rsid w:val="069E2D53"/>
    <w:rsid w:val="06E7E283"/>
    <w:rsid w:val="06FF240B"/>
    <w:rsid w:val="080D75E1"/>
    <w:rsid w:val="081FBCF7"/>
    <w:rsid w:val="0ABF561E"/>
    <w:rsid w:val="0B04917F"/>
    <w:rsid w:val="0B7975AE"/>
    <w:rsid w:val="0C745F8D"/>
    <w:rsid w:val="0C99913A"/>
    <w:rsid w:val="0CE66C2F"/>
    <w:rsid w:val="10EAF5A6"/>
    <w:rsid w:val="11FAF387"/>
    <w:rsid w:val="126908EC"/>
    <w:rsid w:val="12904727"/>
    <w:rsid w:val="1304EC01"/>
    <w:rsid w:val="1364A239"/>
    <w:rsid w:val="1394AFEF"/>
    <w:rsid w:val="149AABC0"/>
    <w:rsid w:val="153EDB59"/>
    <w:rsid w:val="16D4ADD5"/>
    <w:rsid w:val="16FCB20D"/>
    <w:rsid w:val="173DAEBE"/>
    <w:rsid w:val="180998CB"/>
    <w:rsid w:val="189DF974"/>
    <w:rsid w:val="18A929AA"/>
    <w:rsid w:val="1A411956"/>
    <w:rsid w:val="1B21B126"/>
    <w:rsid w:val="1B469757"/>
    <w:rsid w:val="1BA96DDD"/>
    <w:rsid w:val="1CE77943"/>
    <w:rsid w:val="201A9615"/>
    <w:rsid w:val="20FC8CD3"/>
    <w:rsid w:val="220CC6EE"/>
    <w:rsid w:val="2346F0EF"/>
    <w:rsid w:val="2452C8CD"/>
    <w:rsid w:val="245CF0C0"/>
    <w:rsid w:val="25965B8F"/>
    <w:rsid w:val="26E5F3B7"/>
    <w:rsid w:val="29321B4E"/>
    <w:rsid w:val="2A8F88F2"/>
    <w:rsid w:val="2AA21BAA"/>
    <w:rsid w:val="2AA343CD"/>
    <w:rsid w:val="2BA35A8B"/>
    <w:rsid w:val="2BDF67E1"/>
    <w:rsid w:val="2C34E93C"/>
    <w:rsid w:val="2EB0203E"/>
    <w:rsid w:val="2F366043"/>
    <w:rsid w:val="2F5CA302"/>
    <w:rsid w:val="31D8FE69"/>
    <w:rsid w:val="335C4F94"/>
    <w:rsid w:val="355C7580"/>
    <w:rsid w:val="358DB169"/>
    <w:rsid w:val="3590B2C8"/>
    <w:rsid w:val="35CBF028"/>
    <w:rsid w:val="35ED4DFB"/>
    <w:rsid w:val="36A318E2"/>
    <w:rsid w:val="37D0853F"/>
    <w:rsid w:val="3AC77BF2"/>
    <w:rsid w:val="3C050851"/>
    <w:rsid w:val="3C0B5191"/>
    <w:rsid w:val="3D17C017"/>
    <w:rsid w:val="3E61E735"/>
    <w:rsid w:val="3EDD80D8"/>
    <w:rsid w:val="3F9225D5"/>
    <w:rsid w:val="3FBED6A2"/>
    <w:rsid w:val="40DAD58C"/>
    <w:rsid w:val="41CC903D"/>
    <w:rsid w:val="4332B38D"/>
    <w:rsid w:val="436F0B97"/>
    <w:rsid w:val="445A05C1"/>
    <w:rsid w:val="4682B42C"/>
    <w:rsid w:val="46A211DE"/>
    <w:rsid w:val="46C72085"/>
    <w:rsid w:val="47A0325F"/>
    <w:rsid w:val="47C77B3D"/>
    <w:rsid w:val="47FACC27"/>
    <w:rsid w:val="49173EDC"/>
    <w:rsid w:val="4AE14A17"/>
    <w:rsid w:val="4C2226CE"/>
    <w:rsid w:val="4C3EA1DB"/>
    <w:rsid w:val="4C3F1141"/>
    <w:rsid w:val="4CD2183C"/>
    <w:rsid w:val="4CDD2097"/>
    <w:rsid w:val="4E04D6C6"/>
    <w:rsid w:val="4FDAC3E4"/>
    <w:rsid w:val="5198A6F0"/>
    <w:rsid w:val="52EB27E3"/>
    <w:rsid w:val="53D27804"/>
    <w:rsid w:val="5512BAA6"/>
    <w:rsid w:val="5533D35A"/>
    <w:rsid w:val="55D63FA5"/>
    <w:rsid w:val="55DA6F78"/>
    <w:rsid w:val="560E4F59"/>
    <w:rsid w:val="566DF468"/>
    <w:rsid w:val="57A1039B"/>
    <w:rsid w:val="57AA31D5"/>
    <w:rsid w:val="58049526"/>
    <w:rsid w:val="581EB3FA"/>
    <w:rsid w:val="59BD3B7C"/>
    <w:rsid w:val="59D1C904"/>
    <w:rsid w:val="5B459E7C"/>
    <w:rsid w:val="5DD3E650"/>
    <w:rsid w:val="5EE5BFAD"/>
    <w:rsid w:val="6082220D"/>
    <w:rsid w:val="61870A54"/>
    <w:rsid w:val="61B8B52D"/>
    <w:rsid w:val="6219B2E3"/>
    <w:rsid w:val="63E64931"/>
    <w:rsid w:val="64704B73"/>
    <w:rsid w:val="64ECB6F2"/>
    <w:rsid w:val="673B6DD4"/>
    <w:rsid w:val="677F1E79"/>
    <w:rsid w:val="685FE4D3"/>
    <w:rsid w:val="68B6C25C"/>
    <w:rsid w:val="68C9C82A"/>
    <w:rsid w:val="69488017"/>
    <w:rsid w:val="6A8A0E5F"/>
    <w:rsid w:val="6CBACBE5"/>
    <w:rsid w:val="6DBE486B"/>
    <w:rsid w:val="6F5B62C0"/>
    <w:rsid w:val="70A2E832"/>
    <w:rsid w:val="7109F545"/>
    <w:rsid w:val="723B9A92"/>
    <w:rsid w:val="734F1BF7"/>
    <w:rsid w:val="73FBD4F3"/>
    <w:rsid w:val="7447B8E5"/>
    <w:rsid w:val="769C91A1"/>
    <w:rsid w:val="773CF742"/>
    <w:rsid w:val="78E25736"/>
    <w:rsid w:val="78FD24C0"/>
    <w:rsid w:val="793C557F"/>
    <w:rsid w:val="7AD8B2C8"/>
    <w:rsid w:val="7B9CE600"/>
    <w:rsid w:val="7C16A2E6"/>
    <w:rsid w:val="7CE23793"/>
    <w:rsid w:val="7E71B9CD"/>
    <w:rsid w:val="7EC1F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C647"/>
  <w15:chartTrackingRefBased/>
  <w15:docId w15:val="{951FEE21-1660-41C9-9A1D-D1366151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-1">
    <w:name w:val="indent-1"/>
    <w:basedOn w:val="Normal"/>
    <w:rsid w:val="0022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ph-hierarchy">
    <w:name w:val="paragraph-hierarchy"/>
    <w:basedOn w:val="DefaultParagraphFont"/>
    <w:rsid w:val="002273BA"/>
  </w:style>
  <w:style w:type="character" w:customStyle="1" w:styleId="paren">
    <w:name w:val="paren"/>
    <w:basedOn w:val="DefaultParagraphFont"/>
    <w:rsid w:val="002273BA"/>
  </w:style>
  <w:style w:type="character" w:styleId="Emphasis">
    <w:name w:val="Emphasis"/>
    <w:basedOn w:val="DefaultParagraphFont"/>
    <w:uiPriority w:val="20"/>
    <w:qFormat/>
    <w:rsid w:val="002273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73BA"/>
    <w:rPr>
      <w:color w:val="0000FF"/>
      <w:u w:val="single"/>
    </w:rPr>
  </w:style>
  <w:style w:type="paragraph" w:customStyle="1" w:styleId="indent-2">
    <w:name w:val="indent-2"/>
    <w:basedOn w:val="Normal"/>
    <w:rsid w:val="0022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ndent-3">
    <w:name w:val="indent-3"/>
    <w:basedOn w:val="Normal"/>
    <w:rsid w:val="0022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273BA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22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0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5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34/section-303.42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.gov/idea/regs/c/h/303.700/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doc/directory-of-free-and-low-cost-legaladvocacy-services/download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IDisputeResolutio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4546134034441816F24C41F65E929" ma:contentTypeVersion="14" ma:contentTypeDescription="Create a new document." ma:contentTypeScope="" ma:versionID="268ff1bcd88920ecffa6d8b586701b11">
  <xsd:schema xmlns:xsd="http://www.w3.org/2001/XMLSchema" xmlns:xs="http://www.w3.org/2001/XMLSchema" xmlns:p="http://schemas.microsoft.com/office/2006/metadata/properties" xmlns:ns2="da570fb6-cdc5-4f4f-a4a2-582c99bee432" xmlns:ns3="51da9e03-dd0d-45c8-a65e-25593f5de865" targetNamespace="http://schemas.microsoft.com/office/2006/metadata/properties" ma:root="true" ma:fieldsID="fb575f282f462b88601fd6dc9847cc05" ns2:_="" ns3:_="">
    <xsd:import namespace="da570fb6-cdc5-4f4f-a4a2-582c99bee432"/>
    <xsd:import namespace="51da9e03-dd0d-45c8-a65e-25593f5de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70fb6-cdc5-4f4f-a4a2-582c99bee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9e03-dd0d-45c8-a65e-25593f5de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748636-c3a0-44c4-95f7-1b2e568cf374}" ma:internalName="TaxCatchAll" ma:showField="CatchAllData" ma:web="51da9e03-dd0d-45c8-a65e-25593f5de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70fb6-cdc5-4f4f-a4a2-582c99bee432">
      <Terms xmlns="http://schemas.microsoft.com/office/infopath/2007/PartnerControls"/>
    </lcf76f155ced4ddcb4097134ff3c332f>
    <TaxCatchAll xmlns="51da9e03-dd0d-45c8-a65e-25593f5de865" xsi:nil="true"/>
    <SharedWithUsers xmlns="51da9e03-dd0d-45c8-a65e-25593f5de86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E4347-159F-4329-9B03-02D0E98D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70fb6-cdc5-4f4f-a4a2-582c99bee432"/>
    <ds:schemaRef ds:uri="51da9e03-dd0d-45c8-a65e-25593f5de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81564-B429-4CAC-A58B-986F8EB2132F}">
  <ds:schemaRefs>
    <ds:schemaRef ds:uri="http://schemas.microsoft.com/office/2006/metadata/properties"/>
    <ds:schemaRef ds:uri="http://schemas.microsoft.com/office/infopath/2007/PartnerControls"/>
    <ds:schemaRef ds:uri="da570fb6-cdc5-4f4f-a4a2-582c99bee432"/>
    <ds:schemaRef ds:uri="51da9e03-dd0d-45c8-a65e-25593f5de865"/>
  </ds:schemaRefs>
</ds:datastoreItem>
</file>

<file path=customXml/itemProps3.xml><?xml version="1.0" encoding="utf-8"?>
<ds:datastoreItem xmlns:ds="http://schemas.openxmlformats.org/officeDocument/2006/customXml" ds:itemID="{99D85A2F-9682-4531-9EF1-308C0DA784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Amaral, Kathleen A (DPH)</dc:creator>
  <cp:keywords/>
  <dc:description/>
  <cp:lastModifiedBy>White, Emily A (DPH)</cp:lastModifiedBy>
  <cp:revision>6</cp:revision>
  <cp:lastPrinted>2026-03-18T23:55:00Z</cp:lastPrinted>
  <dcterms:created xsi:type="dcterms:W3CDTF">2026-03-18T23:55:00Z</dcterms:created>
  <dcterms:modified xsi:type="dcterms:W3CDTF">2026-04-24T19:40:00Z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0x0101008004546134034441816F24C41F65E929</vt:lpwstr>
  </property>
  <property fmtid="{D5CDD505-2E9C-101B-9397-08002B2CF9AE}" pid="3" name="MediaServiceImageTags">
    <vt:lpwstr/>
  </property>
  <property fmtid="{D5CDD505-2E9C-101B-9397-08002B2CF9AE}" pid="4" name="Order">
    <vt:r8>685400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