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42" w:rsidRPr="00E91641" w:rsidRDefault="00BC0F42" w:rsidP="00BC0F42">
      <w:pPr>
        <w:jc w:val="center"/>
        <w:rPr>
          <w:rFonts w:ascii="Courier New" w:hAnsi="Courier New" w:cs="Courier New"/>
          <w:b/>
        </w:rPr>
      </w:pPr>
      <w:r w:rsidRPr="00E91641">
        <w:rPr>
          <w:rFonts w:ascii="Courier New" w:hAnsi="Courier New" w:cs="Courier New"/>
          <w:b/>
        </w:rPr>
        <w:t>COMMONWEALTH OF MASSACHUSETTS</w:t>
      </w:r>
    </w:p>
    <w:p w:rsidR="00BC0F42" w:rsidRPr="00E91641" w:rsidRDefault="00BC0F42" w:rsidP="00BC0F42">
      <w:pPr>
        <w:jc w:val="center"/>
        <w:rPr>
          <w:rFonts w:ascii="Courier New" w:hAnsi="Courier New" w:cs="Courier New"/>
          <w:b/>
        </w:rPr>
      </w:pPr>
    </w:p>
    <w:p w:rsidR="00BC0F42" w:rsidRPr="00E91641" w:rsidRDefault="00BC0F42" w:rsidP="00BC0F42">
      <w:pPr>
        <w:jc w:val="center"/>
        <w:rPr>
          <w:rFonts w:ascii="Courier New" w:hAnsi="Courier New" w:cs="Courier New"/>
          <w:b/>
        </w:rPr>
      </w:pPr>
      <w:r w:rsidRPr="00E91641">
        <w:rPr>
          <w:rFonts w:ascii="Courier New" w:hAnsi="Courier New" w:cs="Courier New"/>
          <w:b/>
        </w:rPr>
        <w:t>APPELLATE TAX BOARD</w:t>
      </w:r>
    </w:p>
    <w:p w:rsidR="00BC0F42" w:rsidRPr="00E91641" w:rsidRDefault="00BC0F42" w:rsidP="00BC0F42">
      <w:pPr>
        <w:jc w:val="center"/>
        <w:rPr>
          <w:rFonts w:ascii="Courier New" w:hAnsi="Courier New" w:cs="Courier New"/>
          <w:b/>
        </w:rPr>
      </w:pPr>
    </w:p>
    <w:p w:rsidR="00BC0F42" w:rsidRPr="00E91641" w:rsidRDefault="00BC0F42" w:rsidP="00BC0F42">
      <w:pPr>
        <w:jc w:val="center"/>
        <w:rPr>
          <w:rFonts w:ascii="Courier New" w:hAnsi="Courier New" w:cs="Courier New"/>
          <w:b/>
        </w:rPr>
      </w:pPr>
    </w:p>
    <w:p w:rsidR="00BC0F42" w:rsidRDefault="00BC0F42" w:rsidP="00BC0F42">
      <w:pPr>
        <w:rPr>
          <w:rFonts w:ascii="Courier New" w:hAnsi="Courier New" w:cs="Courier Ne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936"/>
        <w:gridCol w:w="4320"/>
      </w:tblGrid>
      <w:tr w:rsidR="00BC0F42" w:rsidRPr="00961808" w:rsidTr="00BD03CF">
        <w:tc>
          <w:tcPr>
            <w:tcW w:w="4320" w:type="dxa"/>
          </w:tcPr>
          <w:p w:rsidR="00BC0F42" w:rsidRDefault="00CB3116" w:rsidP="00BC0F42">
            <w:pPr>
              <w:rPr>
                <w:rFonts w:ascii="Courier New" w:hAnsi="Courier New" w:cs="Courier New"/>
                <w:b/>
              </w:rPr>
            </w:pPr>
            <w:r w:rsidRPr="00961808">
              <w:rPr>
                <w:rFonts w:ascii="Courier New" w:hAnsi="Courier New" w:cs="Courier New"/>
                <w:b/>
              </w:rPr>
              <w:t>MACY’S RETAIL HOLDING</w:t>
            </w:r>
            <w:r w:rsidR="005E2B08">
              <w:rPr>
                <w:rFonts w:ascii="Courier New" w:hAnsi="Courier New" w:cs="Courier New"/>
                <w:b/>
              </w:rPr>
              <w:t>S</w:t>
            </w:r>
            <w:r w:rsidRPr="00961808">
              <w:rPr>
                <w:rFonts w:ascii="Courier New" w:hAnsi="Courier New" w:cs="Courier New"/>
                <w:b/>
              </w:rPr>
              <w:t>, INC.</w:t>
            </w:r>
          </w:p>
          <w:p w:rsidR="00BC0F42" w:rsidRPr="00961808" w:rsidRDefault="00FF1CEF" w:rsidP="00FF1CEF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(F/K/A FEDERATED RETAIL HOLDINGS, INC. AND MAY CENTERS ASSOCIATES CORP.)</w:t>
            </w:r>
          </w:p>
        </w:tc>
        <w:tc>
          <w:tcPr>
            <w:tcW w:w="936" w:type="dxa"/>
          </w:tcPr>
          <w:p w:rsidR="00D52E70" w:rsidRPr="00961808" w:rsidRDefault="00D52E70" w:rsidP="00BC0F42">
            <w:pPr>
              <w:jc w:val="center"/>
              <w:rPr>
                <w:rFonts w:ascii="Courier New" w:hAnsi="Courier New" w:cs="Courier New"/>
                <w:b/>
              </w:rPr>
            </w:pPr>
          </w:p>
          <w:p w:rsidR="00BC0F42" w:rsidRPr="00961808" w:rsidRDefault="00BC0F42" w:rsidP="00BC0F42">
            <w:pPr>
              <w:jc w:val="center"/>
              <w:rPr>
                <w:rFonts w:ascii="Courier New" w:hAnsi="Courier New" w:cs="Courier New"/>
                <w:b/>
              </w:rPr>
            </w:pPr>
            <w:r w:rsidRPr="00961808">
              <w:rPr>
                <w:rFonts w:ascii="Courier New" w:hAnsi="Courier New" w:cs="Courier New"/>
                <w:b/>
              </w:rPr>
              <w:t>v.</w:t>
            </w:r>
          </w:p>
        </w:tc>
        <w:tc>
          <w:tcPr>
            <w:tcW w:w="4320" w:type="dxa"/>
          </w:tcPr>
          <w:p w:rsidR="00BC0F42" w:rsidRPr="00961808" w:rsidRDefault="00FE47F5" w:rsidP="00CB3116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BOARD OF</w:t>
            </w:r>
            <w:r w:rsidR="00CB3116" w:rsidRPr="00961808">
              <w:rPr>
                <w:rFonts w:ascii="Courier New" w:hAnsi="Courier New" w:cs="Courier New"/>
                <w:b/>
              </w:rPr>
              <w:t xml:space="preserve"> ASSESSORS OF THE TOWN OF BARNSTABLE</w:t>
            </w:r>
          </w:p>
        </w:tc>
      </w:tr>
      <w:tr w:rsidR="00BC0F42" w:rsidTr="00BD03CF">
        <w:tc>
          <w:tcPr>
            <w:tcW w:w="4320" w:type="dxa"/>
          </w:tcPr>
          <w:p w:rsidR="00BC0F42" w:rsidRDefault="00BC0F42" w:rsidP="00BC0F42">
            <w:pPr>
              <w:rPr>
                <w:rFonts w:ascii="Courier New" w:hAnsi="Courier New" w:cs="Courier New"/>
              </w:rPr>
            </w:pPr>
          </w:p>
          <w:p w:rsidR="00BC0F42" w:rsidRDefault="00BC0F42" w:rsidP="00BC0F42">
            <w:pPr>
              <w:rPr>
                <w:rFonts w:ascii="Courier New" w:hAnsi="Courier New" w:cs="Courier New"/>
              </w:rPr>
            </w:pPr>
          </w:p>
          <w:p w:rsidR="00FF1CEF" w:rsidRDefault="00BC0F42" w:rsidP="00BC0F42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Docket No</w:t>
            </w:r>
            <w:r w:rsidR="00CB3116">
              <w:rPr>
                <w:rFonts w:ascii="Courier New" w:hAnsi="Courier New" w:cs="Courier New"/>
              </w:rPr>
              <w:t xml:space="preserve">s. </w:t>
            </w:r>
          </w:p>
          <w:p w:rsidR="00BC0F42" w:rsidRDefault="00CB3116" w:rsidP="00FF1CE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F322619, F322620, F326083, F326084, F33</w:t>
            </w:r>
            <w:r w:rsidR="00FF1CEF">
              <w:rPr>
                <w:rFonts w:ascii="Courier New" w:hAnsi="Courier New" w:cs="Courier New"/>
              </w:rPr>
              <w:t>0</w:t>
            </w:r>
            <w:r>
              <w:rPr>
                <w:rFonts w:ascii="Courier New" w:hAnsi="Courier New" w:cs="Courier New"/>
              </w:rPr>
              <w:t>760, F330761</w:t>
            </w:r>
          </w:p>
        </w:tc>
        <w:tc>
          <w:tcPr>
            <w:tcW w:w="936" w:type="dxa"/>
          </w:tcPr>
          <w:p w:rsidR="00BC0F42" w:rsidRDefault="00BC0F42" w:rsidP="00BC0F4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320" w:type="dxa"/>
          </w:tcPr>
          <w:p w:rsidR="00BC0F42" w:rsidRDefault="00BC0F42" w:rsidP="00CB3116">
            <w:pPr>
              <w:rPr>
                <w:rFonts w:ascii="Courier New" w:hAnsi="Courier New" w:cs="Courier New"/>
              </w:rPr>
            </w:pPr>
          </w:p>
          <w:p w:rsidR="00BC0F42" w:rsidRDefault="00BC0F42" w:rsidP="00CB3116">
            <w:pPr>
              <w:rPr>
                <w:rFonts w:ascii="Courier New" w:hAnsi="Courier New" w:cs="Courier New"/>
              </w:rPr>
            </w:pPr>
          </w:p>
          <w:p w:rsidR="00D52E70" w:rsidRDefault="00BC0F42" w:rsidP="00CB311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Promulgat</w:t>
            </w:r>
            <w:r w:rsidR="00D52E70">
              <w:rPr>
                <w:rFonts w:ascii="Courier New" w:hAnsi="Courier New" w:cs="Courier New"/>
              </w:rPr>
              <w:t>ed</w:t>
            </w:r>
            <w:r>
              <w:rPr>
                <w:rFonts w:ascii="Courier New" w:hAnsi="Courier New" w:cs="Courier New"/>
              </w:rPr>
              <w:t xml:space="preserve">: </w:t>
            </w:r>
          </w:p>
          <w:p w:rsidR="00BC0F42" w:rsidRDefault="009E3CFE" w:rsidP="00CB3116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April 10, 2019</w:t>
            </w:r>
            <w:bookmarkStart w:id="0" w:name="_GoBack"/>
            <w:bookmarkEnd w:id="0"/>
          </w:p>
        </w:tc>
      </w:tr>
    </w:tbl>
    <w:p w:rsidR="00BC0F42" w:rsidRDefault="00BC0F42" w:rsidP="00BC0F42">
      <w:pPr>
        <w:rPr>
          <w:rFonts w:ascii="Courier New" w:hAnsi="Courier New" w:cs="Courier New"/>
        </w:rPr>
      </w:pPr>
    </w:p>
    <w:p w:rsidR="00BC0F42" w:rsidRDefault="00BC0F42" w:rsidP="00BC0F4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</w:t>
      </w:r>
      <w:r>
        <w:rPr>
          <w:rFonts w:ascii="Courier New" w:hAnsi="Courier New" w:cs="Courier New"/>
        </w:rPr>
        <w:tab/>
        <w:t xml:space="preserve"> </w:t>
      </w:r>
    </w:p>
    <w:p w:rsidR="00BC0F42" w:rsidRDefault="00BC0F42" w:rsidP="00D52E70">
      <w:pPr>
        <w:spacing w:line="48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CB3116" w:rsidRPr="00840549">
        <w:rPr>
          <w:rFonts w:ascii="Courier New" w:hAnsi="Courier New" w:cs="Courier New"/>
          <w:color w:val="000000"/>
        </w:rPr>
        <w:t xml:space="preserve">These are appeals filed under the formal procedure pursuant to G.L. c. 58A, § 7 and G.L. c. 59, §§ 64 and 65, from the refusal of the Board of Assessors of the </w:t>
      </w:r>
      <w:r w:rsidR="00CB3116">
        <w:rPr>
          <w:rFonts w:ascii="Courier New" w:hAnsi="Courier New" w:cs="Courier New"/>
          <w:color w:val="000000"/>
        </w:rPr>
        <w:t>T</w:t>
      </w:r>
      <w:r w:rsidR="00CB3116" w:rsidRPr="00840549">
        <w:rPr>
          <w:rFonts w:ascii="Courier New" w:hAnsi="Courier New" w:cs="Courier New"/>
          <w:color w:val="000000"/>
        </w:rPr>
        <w:t>own of</w:t>
      </w:r>
      <w:r w:rsidR="00CB3116">
        <w:rPr>
          <w:rFonts w:ascii="Courier New" w:hAnsi="Courier New" w:cs="Courier New"/>
          <w:color w:val="000000"/>
        </w:rPr>
        <w:t xml:space="preserve"> Barnstable </w:t>
      </w:r>
      <w:r w:rsidR="007C7FF6">
        <w:rPr>
          <w:rFonts w:ascii="Courier New" w:hAnsi="Courier New" w:cs="Courier New"/>
          <w:color w:val="000000"/>
        </w:rPr>
        <w:t xml:space="preserve">(“assessors” or “appellee”) </w:t>
      </w:r>
      <w:r w:rsidR="00CB3116">
        <w:rPr>
          <w:rFonts w:ascii="Courier New" w:hAnsi="Courier New" w:cs="Courier New"/>
          <w:color w:val="000000"/>
        </w:rPr>
        <w:t>to abate tax</w:t>
      </w:r>
      <w:r w:rsidR="005E2A08">
        <w:rPr>
          <w:rFonts w:ascii="Courier New" w:hAnsi="Courier New" w:cs="Courier New"/>
          <w:color w:val="000000"/>
        </w:rPr>
        <w:t>es</w:t>
      </w:r>
      <w:r w:rsidR="00CB3116">
        <w:rPr>
          <w:rFonts w:ascii="Courier New" w:hAnsi="Courier New" w:cs="Courier New"/>
          <w:color w:val="000000"/>
        </w:rPr>
        <w:t xml:space="preserve"> on certain real estate located in the Town of Barnstable, owned by and assessed to Macy’s Retail Holding</w:t>
      </w:r>
      <w:r w:rsidR="007C7FF6">
        <w:rPr>
          <w:rFonts w:ascii="Courier New" w:hAnsi="Courier New" w:cs="Courier New"/>
          <w:color w:val="000000"/>
        </w:rPr>
        <w:t>s, Inc. (“Macy’s” or “appellant”)</w:t>
      </w:r>
      <w:r w:rsidR="00CB3116">
        <w:rPr>
          <w:rFonts w:ascii="Courier New" w:hAnsi="Courier New" w:cs="Courier New"/>
          <w:color w:val="000000"/>
        </w:rPr>
        <w:t xml:space="preserve"> under G.L. c. 59, </w:t>
      </w:r>
      <w:r w:rsidR="007C7FF6">
        <w:rPr>
          <w:rFonts w:ascii="Courier New" w:hAnsi="Courier New" w:cs="Courier New"/>
          <w:color w:val="000000"/>
        </w:rPr>
        <w:t xml:space="preserve">§§ </w:t>
      </w:r>
      <w:r w:rsidR="00CB3116">
        <w:rPr>
          <w:rFonts w:ascii="Courier New" w:hAnsi="Courier New" w:cs="Courier New"/>
          <w:color w:val="000000"/>
        </w:rPr>
        <w:t xml:space="preserve">11 and 38 for the fiscal years </w:t>
      </w:r>
      <w:r w:rsidR="00FE47F5">
        <w:rPr>
          <w:rFonts w:ascii="Courier New" w:hAnsi="Courier New" w:cs="Courier New"/>
          <w:color w:val="000000"/>
        </w:rPr>
        <w:t xml:space="preserve">2014, 2015, </w:t>
      </w:r>
      <w:r w:rsidR="00CB3116">
        <w:rPr>
          <w:rFonts w:ascii="Courier New" w:hAnsi="Courier New" w:cs="Courier New"/>
          <w:color w:val="000000"/>
        </w:rPr>
        <w:t xml:space="preserve">and </w:t>
      </w:r>
      <w:r w:rsidR="00FE47F5">
        <w:rPr>
          <w:rFonts w:ascii="Courier New" w:hAnsi="Courier New" w:cs="Courier New"/>
          <w:color w:val="000000"/>
        </w:rPr>
        <w:t>2016 (“fiscal years at issue”)</w:t>
      </w:r>
      <w:r w:rsidR="00D52E70">
        <w:rPr>
          <w:rFonts w:ascii="Courier New" w:hAnsi="Courier New" w:cs="Courier New"/>
        </w:rPr>
        <w:t xml:space="preserve">. </w:t>
      </w:r>
    </w:p>
    <w:p w:rsidR="003049BA" w:rsidRDefault="00CB3116" w:rsidP="00D52E70">
      <w:pPr>
        <w:spacing w:line="48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Commissioner Good heard these appeals. Chairman Hammond and Commissioners Scharaffa, Rose, and Chmielinski joined her in the decision</w:t>
      </w:r>
      <w:r w:rsidR="007C7FF6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for the appellant.</w:t>
      </w:r>
    </w:p>
    <w:p w:rsidR="00CB3116" w:rsidRDefault="00CB3116" w:rsidP="00CB3116">
      <w:pPr>
        <w:pStyle w:val="Normal1"/>
        <w:spacing w:line="480" w:lineRule="auto"/>
        <w:ind w:firstLine="720"/>
        <w:jc w:val="both"/>
        <w:rPr>
          <w:rFonts w:ascii="Courier New" w:eastAsia="Courier New" w:hAnsi="Courier New" w:cs="Courier New"/>
          <w:color w:val="212121"/>
          <w:sz w:val="24"/>
          <w:szCs w:val="24"/>
        </w:rPr>
      </w:pPr>
      <w:r>
        <w:rPr>
          <w:rFonts w:ascii="Courier New" w:eastAsia="Courier New" w:hAnsi="Courier New" w:cs="Courier New"/>
          <w:color w:val="212121"/>
          <w:sz w:val="24"/>
          <w:szCs w:val="24"/>
        </w:rPr>
        <w:t>These findings of fact and report are made pursuant to a request by the appellee under G.L. c. 58A, § 13 and 831 CMR 1.32.</w:t>
      </w:r>
    </w:p>
    <w:p w:rsidR="00FE47F5" w:rsidRDefault="00FE47F5" w:rsidP="00CB3116">
      <w:pPr>
        <w:pStyle w:val="Normal1"/>
        <w:spacing w:line="480" w:lineRule="auto"/>
        <w:ind w:firstLine="720"/>
        <w:jc w:val="both"/>
        <w:rPr>
          <w:rFonts w:ascii="Courier New" w:eastAsia="Courier New" w:hAnsi="Courier New" w:cs="Courier New"/>
          <w:color w:val="212121"/>
          <w:sz w:val="24"/>
          <w:szCs w:val="24"/>
        </w:rPr>
      </w:pPr>
    </w:p>
    <w:p w:rsidR="00CB3116" w:rsidRDefault="007C7FF6" w:rsidP="00CB3116">
      <w:pPr>
        <w:pStyle w:val="Normal1"/>
        <w:spacing w:line="480" w:lineRule="auto"/>
        <w:ind w:firstLine="720"/>
        <w:jc w:val="both"/>
        <w:rPr>
          <w:rFonts w:ascii="Courier New" w:eastAsia="Courier New" w:hAnsi="Courier New" w:cs="Courier New"/>
          <w:color w:val="212121"/>
          <w:sz w:val="24"/>
          <w:szCs w:val="24"/>
        </w:rPr>
      </w:pPr>
      <w:proofErr w:type="gramStart"/>
      <w:r w:rsidRPr="007C7FF6">
        <w:rPr>
          <w:rFonts w:ascii="Courier New" w:eastAsia="Courier New" w:hAnsi="Courier New" w:cs="Courier New"/>
          <w:i/>
          <w:color w:val="212121"/>
          <w:sz w:val="24"/>
          <w:szCs w:val="24"/>
        </w:rPr>
        <w:lastRenderedPageBreak/>
        <w:t>Laura Bellot</w:t>
      </w:r>
      <w:r w:rsidR="001F3F34">
        <w:rPr>
          <w:rFonts w:ascii="Courier New" w:eastAsia="Courier New" w:hAnsi="Courier New" w:cs="Courier New"/>
          <w:i/>
          <w:color w:val="212121"/>
          <w:sz w:val="24"/>
          <w:szCs w:val="24"/>
        </w:rPr>
        <w:t>t</w:t>
      </w:r>
      <w:r w:rsidRPr="007C7FF6">
        <w:rPr>
          <w:rFonts w:ascii="Courier New" w:eastAsia="Courier New" w:hAnsi="Courier New" w:cs="Courier New"/>
          <w:i/>
          <w:color w:val="212121"/>
          <w:sz w:val="24"/>
          <w:szCs w:val="24"/>
        </w:rPr>
        <w:t xml:space="preserve">i </w:t>
      </w:r>
      <w:proofErr w:type="spellStart"/>
      <w:r w:rsidRPr="007C7FF6">
        <w:rPr>
          <w:rFonts w:ascii="Courier New" w:eastAsia="Courier New" w:hAnsi="Courier New" w:cs="Courier New"/>
          <w:i/>
          <w:color w:val="212121"/>
          <w:sz w:val="24"/>
          <w:szCs w:val="24"/>
        </w:rPr>
        <w:t>Cardillo</w:t>
      </w:r>
      <w:proofErr w:type="spellEnd"/>
      <w:r>
        <w:rPr>
          <w:rFonts w:ascii="Courier New" w:eastAsia="Courier New" w:hAnsi="Courier New" w:cs="Courier New"/>
          <w:color w:val="212121"/>
          <w:sz w:val="24"/>
          <w:szCs w:val="24"/>
        </w:rPr>
        <w:t>, Esq.</w:t>
      </w:r>
      <w:r w:rsidR="00CB3116">
        <w:rPr>
          <w:rFonts w:ascii="Courier New" w:eastAsia="Courier New" w:hAnsi="Courier New" w:cs="Courier New"/>
          <w:color w:val="212121"/>
          <w:sz w:val="24"/>
          <w:szCs w:val="24"/>
        </w:rPr>
        <w:t xml:space="preserve"> for the appellant.</w:t>
      </w:r>
      <w:proofErr w:type="gramEnd"/>
    </w:p>
    <w:p w:rsidR="00CB3116" w:rsidRDefault="00A13017" w:rsidP="00CB3116">
      <w:pPr>
        <w:pStyle w:val="Normal1"/>
        <w:spacing w:line="480" w:lineRule="auto"/>
        <w:ind w:firstLine="720"/>
        <w:jc w:val="both"/>
        <w:rPr>
          <w:rFonts w:ascii="Courier New" w:eastAsia="Courier New" w:hAnsi="Courier New" w:cs="Courier New"/>
          <w:color w:val="212121"/>
          <w:sz w:val="24"/>
          <w:szCs w:val="24"/>
        </w:rPr>
      </w:pPr>
      <w:r>
        <w:rPr>
          <w:rFonts w:ascii="Courier New" w:eastAsia="Courier New" w:hAnsi="Courier New" w:cs="Courier New"/>
          <w:i/>
          <w:color w:val="212121"/>
          <w:sz w:val="24"/>
          <w:szCs w:val="24"/>
        </w:rPr>
        <w:t xml:space="preserve">Jeffrey </w:t>
      </w:r>
      <w:proofErr w:type="spellStart"/>
      <w:r>
        <w:rPr>
          <w:rFonts w:ascii="Courier New" w:eastAsia="Courier New" w:hAnsi="Courier New" w:cs="Courier New"/>
          <w:i/>
          <w:color w:val="212121"/>
          <w:sz w:val="24"/>
          <w:szCs w:val="24"/>
        </w:rPr>
        <w:t>Rudziak</w:t>
      </w:r>
      <w:proofErr w:type="spellEnd"/>
      <w:r w:rsidR="007C7FF6">
        <w:rPr>
          <w:rFonts w:ascii="Courier New" w:eastAsia="Courier New" w:hAnsi="Courier New" w:cs="Courier New"/>
          <w:color w:val="212121"/>
          <w:sz w:val="24"/>
          <w:szCs w:val="24"/>
        </w:rPr>
        <w:t xml:space="preserve">, </w:t>
      </w:r>
      <w:r w:rsidR="005E2A08">
        <w:rPr>
          <w:rFonts w:ascii="Courier New" w:eastAsia="Courier New" w:hAnsi="Courier New" w:cs="Courier New"/>
          <w:color w:val="212121"/>
          <w:sz w:val="24"/>
          <w:szCs w:val="24"/>
        </w:rPr>
        <w:t>a</w:t>
      </w:r>
      <w:r>
        <w:rPr>
          <w:rFonts w:ascii="Courier New" w:eastAsia="Courier New" w:hAnsi="Courier New" w:cs="Courier New"/>
          <w:color w:val="212121"/>
          <w:sz w:val="24"/>
          <w:szCs w:val="24"/>
        </w:rPr>
        <w:t>ssessor</w:t>
      </w:r>
      <w:r w:rsidR="007C7FF6">
        <w:rPr>
          <w:rFonts w:ascii="Courier New" w:eastAsia="Courier New" w:hAnsi="Courier New" w:cs="Courier New"/>
          <w:color w:val="212121"/>
          <w:sz w:val="24"/>
          <w:szCs w:val="24"/>
        </w:rPr>
        <w:t>,</w:t>
      </w:r>
      <w:r w:rsidR="00CB3116">
        <w:rPr>
          <w:rFonts w:ascii="Courier New" w:eastAsia="Courier New" w:hAnsi="Courier New" w:cs="Courier New"/>
          <w:color w:val="212121"/>
          <w:sz w:val="24"/>
          <w:szCs w:val="24"/>
        </w:rPr>
        <w:t xml:space="preserve"> for the appellee.</w:t>
      </w:r>
    </w:p>
    <w:p w:rsidR="00FE47F5" w:rsidRDefault="00FE47F5" w:rsidP="00CB3116">
      <w:pPr>
        <w:pStyle w:val="Normal1"/>
        <w:spacing w:line="480" w:lineRule="auto"/>
        <w:ind w:firstLine="720"/>
        <w:jc w:val="both"/>
        <w:rPr>
          <w:rFonts w:ascii="Courier New" w:eastAsia="Courier New" w:hAnsi="Courier New" w:cs="Courier New"/>
          <w:color w:val="212121"/>
          <w:sz w:val="24"/>
          <w:szCs w:val="24"/>
        </w:rPr>
      </w:pPr>
    </w:p>
    <w:p w:rsidR="007C7FF6" w:rsidRPr="007C7FF6" w:rsidRDefault="007C7FF6" w:rsidP="007C7FF6">
      <w:pPr>
        <w:pStyle w:val="Normal1"/>
        <w:spacing w:line="480" w:lineRule="auto"/>
        <w:jc w:val="center"/>
        <w:rPr>
          <w:rFonts w:ascii="Courier New" w:eastAsia="Courier New" w:hAnsi="Courier New" w:cs="Courier New"/>
          <w:b/>
          <w:caps/>
          <w:color w:val="212121"/>
          <w:sz w:val="24"/>
          <w:szCs w:val="24"/>
        </w:rPr>
      </w:pPr>
      <w:r w:rsidRPr="007C7FF6">
        <w:rPr>
          <w:rFonts w:ascii="Courier New" w:eastAsia="Courier New" w:hAnsi="Courier New" w:cs="Courier New"/>
          <w:b/>
          <w:caps/>
          <w:color w:val="212121"/>
          <w:sz w:val="24"/>
          <w:szCs w:val="24"/>
        </w:rPr>
        <w:t>Findings of Fact and Report</w:t>
      </w:r>
    </w:p>
    <w:p w:rsidR="007C7FF6" w:rsidRDefault="00092FCE" w:rsidP="00CB3116">
      <w:pPr>
        <w:pStyle w:val="Normal1"/>
        <w:spacing w:line="480" w:lineRule="auto"/>
        <w:ind w:firstLine="720"/>
        <w:jc w:val="both"/>
        <w:rPr>
          <w:rFonts w:ascii="Courier New" w:eastAsia="Courier New" w:hAnsi="Courier New" w:cs="Courier New"/>
          <w:color w:val="212121"/>
          <w:sz w:val="24"/>
          <w:szCs w:val="24"/>
        </w:rPr>
      </w:pPr>
      <w:r>
        <w:rPr>
          <w:rFonts w:ascii="Courier New" w:eastAsia="Courier New" w:hAnsi="Courier New" w:cs="Courier New"/>
          <w:color w:val="212121"/>
          <w:sz w:val="24"/>
          <w:szCs w:val="24"/>
        </w:rPr>
        <w:t>On the basis of the testimony and exhibits offered into evidence at the hearing of th</w:t>
      </w:r>
      <w:r w:rsidR="001F3F34">
        <w:rPr>
          <w:rFonts w:ascii="Courier New" w:eastAsia="Courier New" w:hAnsi="Courier New" w:cs="Courier New"/>
          <w:color w:val="212121"/>
          <w:sz w:val="24"/>
          <w:szCs w:val="24"/>
        </w:rPr>
        <w:t>ese</w:t>
      </w:r>
      <w:r>
        <w:rPr>
          <w:rFonts w:ascii="Courier New" w:eastAsia="Courier New" w:hAnsi="Courier New" w:cs="Courier New"/>
          <w:color w:val="212121"/>
          <w:sz w:val="24"/>
          <w:szCs w:val="24"/>
        </w:rPr>
        <w:t xml:space="preserve"> appeal</w:t>
      </w:r>
      <w:r w:rsidR="001F3F34">
        <w:rPr>
          <w:rFonts w:ascii="Courier New" w:eastAsia="Courier New" w:hAnsi="Courier New" w:cs="Courier New"/>
          <w:color w:val="212121"/>
          <w:sz w:val="24"/>
          <w:szCs w:val="24"/>
        </w:rPr>
        <w:t>s</w:t>
      </w:r>
      <w:r>
        <w:rPr>
          <w:rFonts w:ascii="Courier New" w:eastAsia="Courier New" w:hAnsi="Courier New" w:cs="Courier New"/>
          <w:color w:val="212121"/>
          <w:sz w:val="24"/>
          <w:szCs w:val="24"/>
        </w:rPr>
        <w:t>, the Appellate Tax Board (“Board”) made the following findings of fact</w:t>
      </w:r>
      <w:r w:rsidR="007C7FF6">
        <w:rPr>
          <w:rFonts w:ascii="Courier New" w:eastAsia="Courier New" w:hAnsi="Courier New" w:cs="Courier New"/>
          <w:color w:val="212121"/>
          <w:sz w:val="24"/>
          <w:szCs w:val="24"/>
        </w:rPr>
        <w:t>.</w:t>
      </w:r>
    </w:p>
    <w:p w:rsidR="00F72558" w:rsidRPr="00F72558" w:rsidRDefault="00F72558" w:rsidP="00F72558">
      <w:pPr>
        <w:spacing w:line="480" w:lineRule="auto"/>
        <w:jc w:val="both"/>
        <w:rPr>
          <w:rFonts w:ascii="Courier New" w:hAnsi="Courier New" w:cs="Courier New"/>
          <w:b/>
        </w:rPr>
      </w:pPr>
      <w:r w:rsidRPr="00F72558">
        <w:rPr>
          <w:rFonts w:ascii="Courier New" w:hAnsi="Courier New" w:cs="Courier New"/>
          <w:b/>
        </w:rPr>
        <w:t xml:space="preserve">I. </w:t>
      </w:r>
      <w:r w:rsidR="00351929">
        <w:rPr>
          <w:rFonts w:ascii="Courier New" w:hAnsi="Courier New" w:cs="Courier New"/>
          <w:b/>
        </w:rPr>
        <w:tab/>
      </w:r>
      <w:r w:rsidRPr="00F72558">
        <w:rPr>
          <w:rFonts w:ascii="Courier New" w:hAnsi="Courier New" w:cs="Courier New"/>
          <w:b/>
        </w:rPr>
        <w:t>Introduction</w:t>
      </w:r>
    </w:p>
    <w:p w:rsidR="00F72558" w:rsidRDefault="00BC121D" w:rsidP="00F72558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On January 1, 2013, January 1, 2014, and January 1, 2015, the relevant dates of valuation and assessment for the fiscal years at issue, </w:t>
      </w:r>
      <w:r w:rsidR="006B6278">
        <w:rPr>
          <w:rFonts w:ascii="Courier New" w:hAnsi="Courier New" w:cs="Courier New"/>
        </w:rPr>
        <w:t xml:space="preserve">respectively, </w:t>
      </w:r>
      <w:r>
        <w:rPr>
          <w:rFonts w:ascii="Courier New" w:hAnsi="Courier New" w:cs="Courier New"/>
        </w:rPr>
        <w:t xml:space="preserve">the appellant was the assessed owner of two </w:t>
      </w:r>
      <w:r w:rsidR="001755AA">
        <w:rPr>
          <w:rFonts w:ascii="Courier New" w:hAnsi="Courier New" w:cs="Courier New"/>
        </w:rPr>
        <w:t xml:space="preserve">improved </w:t>
      </w:r>
      <w:r>
        <w:rPr>
          <w:rFonts w:ascii="Courier New" w:hAnsi="Courier New" w:cs="Courier New"/>
        </w:rPr>
        <w:t xml:space="preserve">parcels </w:t>
      </w:r>
      <w:r w:rsidR="00C54CCB">
        <w:rPr>
          <w:rFonts w:ascii="Courier New" w:hAnsi="Courier New" w:cs="Courier New"/>
        </w:rPr>
        <w:t>(“subject propert</w:t>
      </w:r>
      <w:r w:rsidR="00B850F4">
        <w:rPr>
          <w:rFonts w:ascii="Courier New" w:hAnsi="Courier New" w:cs="Courier New"/>
        </w:rPr>
        <w:t>ies</w:t>
      </w:r>
      <w:r w:rsidR="00C54CCB">
        <w:rPr>
          <w:rFonts w:ascii="Courier New" w:hAnsi="Courier New" w:cs="Courier New"/>
        </w:rPr>
        <w:t xml:space="preserve">”): a </w:t>
      </w:r>
      <w:r w:rsidR="00065B96">
        <w:rPr>
          <w:rFonts w:ascii="Courier New" w:hAnsi="Courier New" w:cs="Courier New"/>
        </w:rPr>
        <w:t xml:space="preserve">3.5-acre </w:t>
      </w:r>
      <w:r w:rsidR="00C54CCB">
        <w:rPr>
          <w:rFonts w:ascii="Courier New" w:hAnsi="Courier New" w:cs="Courier New"/>
        </w:rPr>
        <w:t xml:space="preserve">parcel </w:t>
      </w:r>
      <w:r>
        <w:rPr>
          <w:rFonts w:ascii="Courier New" w:hAnsi="Courier New" w:cs="Courier New"/>
        </w:rPr>
        <w:t>improved with a</w:t>
      </w:r>
      <w:r w:rsidR="001F3F34"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 xml:space="preserve"> </w:t>
      </w:r>
      <w:r w:rsidR="00065B96">
        <w:rPr>
          <w:rFonts w:ascii="Courier New" w:hAnsi="Courier New" w:cs="Courier New"/>
        </w:rPr>
        <w:t xml:space="preserve">80,620-square-foot </w:t>
      </w:r>
      <w:r>
        <w:rPr>
          <w:rFonts w:ascii="Courier New" w:hAnsi="Courier New" w:cs="Courier New"/>
        </w:rPr>
        <w:t>Macy’s main store</w:t>
      </w:r>
      <w:r w:rsidR="008F2538">
        <w:rPr>
          <w:rFonts w:ascii="Courier New" w:hAnsi="Courier New" w:cs="Courier New"/>
        </w:rPr>
        <w:t xml:space="preserve"> </w:t>
      </w:r>
      <w:r w:rsidR="00C54CCB">
        <w:rPr>
          <w:rFonts w:ascii="Courier New" w:hAnsi="Courier New" w:cs="Courier New"/>
        </w:rPr>
        <w:t>(“main store”)</w:t>
      </w:r>
      <w:r w:rsidR="006B6278">
        <w:rPr>
          <w:rFonts w:ascii="Courier New" w:hAnsi="Courier New" w:cs="Courier New"/>
        </w:rPr>
        <w:t>,</w:t>
      </w:r>
      <w:r w:rsidR="00C54CC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and a </w:t>
      </w:r>
      <w:r w:rsidR="00065B96">
        <w:rPr>
          <w:rFonts w:ascii="Courier New" w:hAnsi="Courier New" w:cs="Courier New"/>
        </w:rPr>
        <w:t>7.42-acre</w:t>
      </w:r>
      <w:r w:rsidR="00C54CCB">
        <w:rPr>
          <w:rFonts w:ascii="Courier New" w:hAnsi="Courier New" w:cs="Courier New"/>
        </w:rPr>
        <w:t xml:space="preserve"> parcel improved with a </w:t>
      </w:r>
      <w:r w:rsidR="00065B96">
        <w:rPr>
          <w:rFonts w:ascii="Courier New" w:hAnsi="Courier New" w:cs="Courier New"/>
        </w:rPr>
        <w:t xml:space="preserve">118,854-square-foot </w:t>
      </w:r>
      <w:r>
        <w:rPr>
          <w:rFonts w:ascii="Courier New" w:hAnsi="Courier New" w:cs="Courier New"/>
        </w:rPr>
        <w:t>Macy’s men’s/home store</w:t>
      </w:r>
      <w:r w:rsidR="00C54CCB">
        <w:rPr>
          <w:rFonts w:ascii="Courier New" w:hAnsi="Courier New" w:cs="Courier New"/>
        </w:rPr>
        <w:t xml:space="preserve"> (“men’s/home store”)</w:t>
      </w:r>
      <w:r>
        <w:rPr>
          <w:rFonts w:ascii="Courier New" w:hAnsi="Courier New" w:cs="Courier New"/>
        </w:rPr>
        <w:t>.</w:t>
      </w:r>
      <w:r w:rsidR="00C54CCB">
        <w:rPr>
          <w:rFonts w:ascii="Courier New" w:hAnsi="Courier New" w:cs="Courier New"/>
        </w:rPr>
        <w:t xml:space="preserve"> </w:t>
      </w:r>
      <w:r w:rsidR="00FD2A51">
        <w:rPr>
          <w:rFonts w:ascii="Courier New" w:hAnsi="Courier New" w:cs="Courier New"/>
        </w:rPr>
        <w:t xml:space="preserve">Both </w:t>
      </w:r>
      <w:r w:rsidR="001755AA">
        <w:rPr>
          <w:rFonts w:ascii="Courier New" w:hAnsi="Courier New" w:cs="Courier New"/>
        </w:rPr>
        <w:t>improvements</w:t>
      </w:r>
      <w:r w:rsidR="00FD2A51">
        <w:rPr>
          <w:rFonts w:ascii="Courier New" w:hAnsi="Courier New" w:cs="Courier New"/>
        </w:rPr>
        <w:t xml:space="preserve"> are two-story structures annexed to the single-story Cape Cod Mall.</w:t>
      </w:r>
    </w:p>
    <w:p w:rsidR="00F72558" w:rsidRPr="00F72558" w:rsidRDefault="00F72558" w:rsidP="00F72558">
      <w:pPr>
        <w:spacing w:line="480" w:lineRule="auto"/>
        <w:jc w:val="both"/>
        <w:rPr>
          <w:rFonts w:ascii="Courier New" w:hAnsi="Courier New" w:cs="Courier New"/>
          <w:b/>
        </w:rPr>
      </w:pPr>
      <w:r w:rsidRPr="00F72558">
        <w:rPr>
          <w:rFonts w:ascii="Courier New" w:hAnsi="Courier New" w:cs="Courier New"/>
          <w:b/>
        </w:rPr>
        <w:t xml:space="preserve">II. </w:t>
      </w:r>
      <w:r w:rsidR="00351929">
        <w:rPr>
          <w:rFonts w:ascii="Courier New" w:hAnsi="Courier New" w:cs="Courier New"/>
          <w:b/>
        </w:rPr>
        <w:tab/>
      </w:r>
      <w:r w:rsidRPr="00F72558">
        <w:rPr>
          <w:rFonts w:ascii="Courier New" w:hAnsi="Courier New" w:cs="Courier New"/>
          <w:b/>
        </w:rPr>
        <w:t>Assessments and Jurisdictional History</w:t>
      </w:r>
    </w:p>
    <w:p w:rsidR="00EE0B90" w:rsidRDefault="00711ECA" w:rsidP="00F72558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Relevant assessment and jurisdictional </w:t>
      </w:r>
      <w:r w:rsidR="00F72558">
        <w:rPr>
          <w:rFonts w:ascii="Courier New" w:hAnsi="Courier New" w:cs="Courier New"/>
        </w:rPr>
        <w:t>facts</w:t>
      </w:r>
      <w:r>
        <w:rPr>
          <w:rFonts w:ascii="Courier New" w:hAnsi="Courier New" w:cs="Courier New"/>
        </w:rPr>
        <w:t xml:space="preserve"> </w:t>
      </w:r>
      <w:r w:rsidR="00F72558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summarized in the following tables</w:t>
      </w:r>
      <w:r w:rsidR="00F72558">
        <w:rPr>
          <w:rFonts w:ascii="Courier New" w:hAnsi="Courier New" w:cs="Courier New"/>
        </w:rPr>
        <w:t>.</w:t>
      </w:r>
      <w:r w:rsidR="00C7574F">
        <w:rPr>
          <w:rStyle w:val="FootnoteReference"/>
          <w:rFonts w:ascii="Courier New" w:hAnsi="Courier New" w:cs="Courier New"/>
        </w:rPr>
        <w:footnoteReference w:id="1"/>
      </w:r>
      <w:r w:rsidR="00F72558">
        <w:rPr>
          <w:rFonts w:ascii="Courier New" w:hAnsi="Courier New" w:cs="Courier New"/>
        </w:rPr>
        <w:t xml:space="preserve"> On the basis of these facts, the Board found and ruled that it had jurisdiction to hear and decide these appeals.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54CCB" w:rsidRPr="003518CB" w:rsidTr="001755AA">
        <w:trPr>
          <w:trHeight w:val="350"/>
          <w:jc w:val="center"/>
        </w:trPr>
        <w:tc>
          <w:tcPr>
            <w:tcW w:w="1250" w:type="pct"/>
          </w:tcPr>
          <w:p w:rsidR="00C54CCB" w:rsidRPr="003518CB" w:rsidRDefault="00C54CCB" w:rsidP="008F2538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b/>
                <w:sz w:val="18"/>
                <w:szCs w:val="18"/>
              </w:rPr>
              <w:lastRenderedPageBreak/>
              <w:t>Main Store</w:t>
            </w:r>
          </w:p>
        </w:tc>
        <w:tc>
          <w:tcPr>
            <w:tcW w:w="1250" w:type="pct"/>
          </w:tcPr>
          <w:p w:rsidR="008F2538" w:rsidRPr="003518CB" w:rsidRDefault="00711ECA" w:rsidP="001755A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b/>
                <w:sz w:val="18"/>
                <w:szCs w:val="18"/>
              </w:rPr>
              <w:t>Docket No.</w:t>
            </w:r>
            <w:r w:rsidR="001755AA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="008F2538" w:rsidRPr="003518CB">
              <w:rPr>
                <w:rFonts w:ascii="Courier New" w:hAnsi="Courier New" w:cs="Courier New"/>
                <w:b/>
                <w:sz w:val="18"/>
                <w:szCs w:val="18"/>
              </w:rPr>
              <w:t>F322619</w:t>
            </w:r>
          </w:p>
        </w:tc>
        <w:tc>
          <w:tcPr>
            <w:tcW w:w="1250" w:type="pct"/>
          </w:tcPr>
          <w:p w:rsidR="008F2538" w:rsidRPr="003518CB" w:rsidRDefault="00711ECA" w:rsidP="001755A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b/>
                <w:sz w:val="18"/>
                <w:szCs w:val="18"/>
              </w:rPr>
              <w:t>Docket No.</w:t>
            </w:r>
            <w:r w:rsidR="001755AA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="008F2538" w:rsidRPr="003518CB">
              <w:rPr>
                <w:rFonts w:ascii="Courier New" w:hAnsi="Courier New" w:cs="Courier New"/>
                <w:b/>
                <w:sz w:val="18"/>
                <w:szCs w:val="18"/>
              </w:rPr>
              <w:t>F326084</w:t>
            </w:r>
          </w:p>
        </w:tc>
        <w:tc>
          <w:tcPr>
            <w:tcW w:w="1250" w:type="pct"/>
          </w:tcPr>
          <w:p w:rsidR="006B6278" w:rsidRPr="003518CB" w:rsidRDefault="00711ECA" w:rsidP="001755A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b/>
                <w:sz w:val="18"/>
                <w:szCs w:val="18"/>
              </w:rPr>
              <w:t>Docket No.</w:t>
            </w:r>
            <w:r w:rsidR="001755AA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="006B6278" w:rsidRPr="003518CB">
              <w:rPr>
                <w:rFonts w:ascii="Courier New" w:hAnsi="Courier New" w:cs="Courier New"/>
                <w:b/>
                <w:sz w:val="18"/>
                <w:szCs w:val="18"/>
              </w:rPr>
              <w:t>F330761</w:t>
            </w:r>
          </w:p>
        </w:tc>
      </w:tr>
      <w:tr w:rsidR="00711ECA" w:rsidRPr="003518CB" w:rsidTr="00711ECA">
        <w:trPr>
          <w:jc w:val="center"/>
        </w:trPr>
        <w:tc>
          <w:tcPr>
            <w:tcW w:w="1250" w:type="pct"/>
          </w:tcPr>
          <w:p w:rsidR="00711ECA" w:rsidRPr="003518CB" w:rsidRDefault="00711ECA" w:rsidP="00711EC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Fiscal Year</w:t>
            </w:r>
          </w:p>
        </w:tc>
        <w:tc>
          <w:tcPr>
            <w:tcW w:w="1250" w:type="pct"/>
          </w:tcPr>
          <w:p w:rsidR="00711ECA" w:rsidRPr="003518CB" w:rsidRDefault="00711ECA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2014</w:t>
            </w:r>
          </w:p>
        </w:tc>
        <w:tc>
          <w:tcPr>
            <w:tcW w:w="1250" w:type="pct"/>
          </w:tcPr>
          <w:p w:rsidR="00711ECA" w:rsidRPr="003518CB" w:rsidRDefault="00711ECA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2015</w:t>
            </w:r>
          </w:p>
        </w:tc>
        <w:tc>
          <w:tcPr>
            <w:tcW w:w="1250" w:type="pct"/>
          </w:tcPr>
          <w:p w:rsidR="00711ECA" w:rsidRPr="003518CB" w:rsidRDefault="00711ECA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2016</w:t>
            </w:r>
          </w:p>
        </w:tc>
      </w:tr>
      <w:tr w:rsidR="008F2538" w:rsidRPr="003518CB" w:rsidTr="00711ECA">
        <w:trPr>
          <w:jc w:val="center"/>
        </w:trPr>
        <w:tc>
          <w:tcPr>
            <w:tcW w:w="1250" w:type="pct"/>
          </w:tcPr>
          <w:p w:rsidR="008F2538" w:rsidRPr="003518CB" w:rsidRDefault="008F2538" w:rsidP="00711EC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Assessed Value</w:t>
            </w:r>
          </w:p>
        </w:tc>
        <w:tc>
          <w:tcPr>
            <w:tcW w:w="1250" w:type="pct"/>
          </w:tcPr>
          <w:p w:rsidR="008F2538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7,110,700</w:t>
            </w:r>
          </w:p>
        </w:tc>
        <w:tc>
          <w:tcPr>
            <w:tcW w:w="1250" w:type="pct"/>
          </w:tcPr>
          <w:p w:rsidR="008F2538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6,418,500</w:t>
            </w:r>
          </w:p>
        </w:tc>
        <w:tc>
          <w:tcPr>
            <w:tcW w:w="1250" w:type="pct"/>
          </w:tcPr>
          <w:p w:rsidR="008F2538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6,592,000</w:t>
            </w:r>
          </w:p>
        </w:tc>
      </w:tr>
      <w:tr w:rsidR="008F2538" w:rsidRPr="003518CB" w:rsidTr="00711ECA">
        <w:trPr>
          <w:jc w:val="center"/>
        </w:trPr>
        <w:tc>
          <w:tcPr>
            <w:tcW w:w="1250" w:type="pct"/>
          </w:tcPr>
          <w:p w:rsidR="008F2538" w:rsidRPr="003518CB" w:rsidRDefault="008F253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Tax Rate</w:t>
            </w:r>
          </w:p>
        </w:tc>
        <w:tc>
          <w:tcPr>
            <w:tcW w:w="1250" w:type="pct"/>
          </w:tcPr>
          <w:p w:rsidR="008F2538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8.22/</w:t>
            </w:r>
            <w:r w:rsidRPr="003518CB"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Pr="003518CB"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000</w:t>
            </w:r>
          </w:p>
        </w:tc>
        <w:tc>
          <w:tcPr>
            <w:tcW w:w="1250" w:type="pct"/>
          </w:tcPr>
          <w:p w:rsidR="008F2538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8.40/</w:t>
            </w:r>
            <w:r w:rsidRPr="003518CB"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Pr="003518CB"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000</w:t>
            </w:r>
          </w:p>
        </w:tc>
        <w:tc>
          <w:tcPr>
            <w:tcW w:w="1250" w:type="pct"/>
          </w:tcPr>
          <w:p w:rsidR="008F2538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8.41/</w:t>
            </w:r>
            <w:r w:rsidRPr="003518CB"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Pr="003518CB"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000</w:t>
            </w:r>
          </w:p>
        </w:tc>
      </w:tr>
      <w:tr w:rsidR="008F2538" w:rsidRPr="003518CB" w:rsidTr="00711ECA">
        <w:trPr>
          <w:jc w:val="center"/>
        </w:trPr>
        <w:tc>
          <w:tcPr>
            <w:tcW w:w="1250" w:type="pct"/>
          </w:tcPr>
          <w:p w:rsidR="008F2538" w:rsidRPr="003518CB" w:rsidRDefault="008F253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 xml:space="preserve">Assessment </w:t>
            </w:r>
          </w:p>
        </w:tc>
        <w:tc>
          <w:tcPr>
            <w:tcW w:w="1250" w:type="pct"/>
          </w:tcPr>
          <w:p w:rsidR="008F2538" w:rsidRPr="003518CB" w:rsidRDefault="006B6278" w:rsidP="00C7574F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85,375.33</w:t>
            </w:r>
          </w:p>
        </w:tc>
        <w:tc>
          <w:tcPr>
            <w:tcW w:w="1250" w:type="pct"/>
          </w:tcPr>
          <w:p w:rsidR="008F2538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$78,639.46</w:t>
            </w:r>
          </w:p>
        </w:tc>
        <w:tc>
          <w:tcPr>
            <w:tcW w:w="1250" w:type="pct"/>
          </w:tcPr>
          <w:p w:rsidR="008F2538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$82,612.92</w:t>
            </w:r>
          </w:p>
        </w:tc>
      </w:tr>
      <w:tr w:rsidR="00711ECA" w:rsidRPr="003518CB" w:rsidTr="00711ECA">
        <w:trPr>
          <w:jc w:val="center"/>
        </w:trPr>
        <w:tc>
          <w:tcPr>
            <w:tcW w:w="1250" w:type="pct"/>
          </w:tcPr>
          <w:p w:rsidR="00711ECA" w:rsidRPr="003518CB" w:rsidRDefault="00711ECA" w:rsidP="00711EC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Tax Timely Paid w/o Interest</w:t>
            </w:r>
          </w:p>
        </w:tc>
        <w:tc>
          <w:tcPr>
            <w:tcW w:w="1250" w:type="pct"/>
          </w:tcPr>
          <w:p w:rsidR="00711ECA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250" w:type="pct"/>
          </w:tcPr>
          <w:p w:rsidR="00711ECA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250" w:type="pct"/>
          </w:tcPr>
          <w:p w:rsidR="00711ECA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Yes</w:t>
            </w:r>
          </w:p>
        </w:tc>
      </w:tr>
      <w:tr w:rsidR="00711ECA" w:rsidRPr="003518CB" w:rsidTr="00711ECA">
        <w:trPr>
          <w:jc w:val="center"/>
        </w:trPr>
        <w:tc>
          <w:tcPr>
            <w:tcW w:w="1250" w:type="pct"/>
          </w:tcPr>
          <w:p w:rsidR="00711ECA" w:rsidRPr="003518CB" w:rsidRDefault="00711ECA" w:rsidP="00711EC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Abatement Application Filed</w:t>
            </w:r>
          </w:p>
        </w:tc>
        <w:tc>
          <w:tcPr>
            <w:tcW w:w="1250" w:type="pct"/>
          </w:tcPr>
          <w:p w:rsidR="00711ECA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2/3/14</w:t>
            </w:r>
            <w:r w:rsidR="00006789" w:rsidRPr="003518CB">
              <w:rPr>
                <w:rStyle w:val="FootnoteReference"/>
                <w:rFonts w:ascii="Courier New" w:hAnsi="Courier New" w:cs="Courier New"/>
                <w:sz w:val="18"/>
                <w:szCs w:val="18"/>
              </w:rPr>
              <w:footnoteReference w:id="2"/>
            </w:r>
          </w:p>
        </w:tc>
        <w:tc>
          <w:tcPr>
            <w:tcW w:w="1250" w:type="pct"/>
          </w:tcPr>
          <w:p w:rsidR="00711ECA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2/5/15</w:t>
            </w:r>
            <w:r w:rsidR="003E6FAD" w:rsidRPr="003518CB">
              <w:rPr>
                <w:rStyle w:val="FootnoteReference"/>
                <w:rFonts w:ascii="Courier New" w:hAnsi="Courier New" w:cs="Courier New"/>
                <w:sz w:val="18"/>
                <w:szCs w:val="18"/>
              </w:rPr>
              <w:footnoteReference w:id="3"/>
            </w:r>
          </w:p>
        </w:tc>
        <w:tc>
          <w:tcPr>
            <w:tcW w:w="1250" w:type="pct"/>
          </w:tcPr>
          <w:p w:rsidR="00711ECA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1/29/16</w:t>
            </w:r>
          </w:p>
        </w:tc>
      </w:tr>
      <w:tr w:rsidR="00711ECA" w:rsidRPr="003518CB" w:rsidTr="00711ECA">
        <w:trPr>
          <w:jc w:val="center"/>
        </w:trPr>
        <w:tc>
          <w:tcPr>
            <w:tcW w:w="1250" w:type="pct"/>
          </w:tcPr>
          <w:p w:rsidR="00711ECA" w:rsidRPr="003518CB" w:rsidRDefault="00711ECA" w:rsidP="00711EC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Abatement Application Denied</w:t>
            </w:r>
          </w:p>
        </w:tc>
        <w:tc>
          <w:tcPr>
            <w:tcW w:w="1250" w:type="pct"/>
          </w:tcPr>
          <w:p w:rsidR="00711ECA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2/11/14</w:t>
            </w:r>
          </w:p>
        </w:tc>
        <w:tc>
          <w:tcPr>
            <w:tcW w:w="1250" w:type="pct"/>
          </w:tcPr>
          <w:p w:rsidR="00711ECA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2/10/15</w:t>
            </w:r>
          </w:p>
        </w:tc>
        <w:tc>
          <w:tcPr>
            <w:tcW w:w="1250" w:type="pct"/>
          </w:tcPr>
          <w:p w:rsidR="00711ECA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4/12/16</w:t>
            </w:r>
          </w:p>
        </w:tc>
      </w:tr>
      <w:tr w:rsidR="00711ECA" w:rsidRPr="003518CB" w:rsidTr="00711ECA">
        <w:trPr>
          <w:jc w:val="center"/>
        </w:trPr>
        <w:tc>
          <w:tcPr>
            <w:tcW w:w="1250" w:type="pct"/>
          </w:tcPr>
          <w:p w:rsidR="00711ECA" w:rsidRPr="003518CB" w:rsidRDefault="00711ECA" w:rsidP="00711EC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Petition Filed</w:t>
            </w:r>
          </w:p>
        </w:tc>
        <w:tc>
          <w:tcPr>
            <w:tcW w:w="1250" w:type="pct"/>
          </w:tcPr>
          <w:p w:rsidR="00711ECA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5/1/14</w:t>
            </w:r>
          </w:p>
        </w:tc>
        <w:tc>
          <w:tcPr>
            <w:tcW w:w="1250" w:type="pct"/>
          </w:tcPr>
          <w:p w:rsidR="00711ECA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5/6/15</w:t>
            </w:r>
          </w:p>
        </w:tc>
        <w:tc>
          <w:tcPr>
            <w:tcW w:w="1250" w:type="pct"/>
          </w:tcPr>
          <w:p w:rsidR="00711ECA" w:rsidRPr="003518CB" w:rsidRDefault="006B6278" w:rsidP="00711ECA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6/22/16</w:t>
            </w:r>
          </w:p>
        </w:tc>
      </w:tr>
      <w:tr w:rsidR="001755AA" w:rsidRPr="001755AA" w:rsidTr="0014357E">
        <w:trPr>
          <w:jc w:val="center"/>
        </w:trPr>
        <w:tc>
          <w:tcPr>
            <w:tcW w:w="1250" w:type="pct"/>
          </w:tcPr>
          <w:p w:rsidR="001755AA" w:rsidRPr="001755AA" w:rsidRDefault="001755AA" w:rsidP="008F2538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</w:p>
        </w:tc>
        <w:tc>
          <w:tcPr>
            <w:tcW w:w="1250" w:type="pct"/>
          </w:tcPr>
          <w:p w:rsidR="001755AA" w:rsidRPr="001755AA" w:rsidRDefault="001755AA" w:rsidP="008F2538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</w:p>
        </w:tc>
        <w:tc>
          <w:tcPr>
            <w:tcW w:w="1250" w:type="pct"/>
          </w:tcPr>
          <w:p w:rsidR="001755AA" w:rsidRPr="001755AA" w:rsidRDefault="001755AA" w:rsidP="008F2538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</w:p>
        </w:tc>
        <w:tc>
          <w:tcPr>
            <w:tcW w:w="1250" w:type="pct"/>
          </w:tcPr>
          <w:p w:rsidR="001755AA" w:rsidRPr="001755AA" w:rsidRDefault="001755AA" w:rsidP="008F2538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</w:p>
        </w:tc>
      </w:tr>
      <w:tr w:rsidR="008F3539" w:rsidRPr="003518CB" w:rsidTr="001755AA">
        <w:trPr>
          <w:trHeight w:val="413"/>
          <w:jc w:val="center"/>
        </w:trPr>
        <w:tc>
          <w:tcPr>
            <w:tcW w:w="1250" w:type="pct"/>
          </w:tcPr>
          <w:p w:rsidR="008F3539" w:rsidRPr="003518CB" w:rsidRDefault="008F3539" w:rsidP="008F2538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b/>
                <w:sz w:val="18"/>
                <w:szCs w:val="18"/>
              </w:rPr>
              <w:t>Men’s/Home Store</w:t>
            </w:r>
          </w:p>
        </w:tc>
        <w:tc>
          <w:tcPr>
            <w:tcW w:w="1250" w:type="pct"/>
          </w:tcPr>
          <w:p w:rsidR="008F3539" w:rsidRPr="003518CB" w:rsidRDefault="008F3539" w:rsidP="001755A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b/>
                <w:sz w:val="18"/>
                <w:szCs w:val="18"/>
              </w:rPr>
              <w:t xml:space="preserve">Docket No. </w:t>
            </w:r>
            <w:r w:rsidR="008F2538" w:rsidRPr="003518CB">
              <w:rPr>
                <w:rFonts w:ascii="Courier New" w:hAnsi="Courier New" w:cs="Courier New"/>
                <w:b/>
                <w:sz w:val="18"/>
                <w:szCs w:val="18"/>
              </w:rPr>
              <w:t>F322620</w:t>
            </w:r>
          </w:p>
        </w:tc>
        <w:tc>
          <w:tcPr>
            <w:tcW w:w="1250" w:type="pct"/>
          </w:tcPr>
          <w:p w:rsidR="008F2538" w:rsidRPr="003518CB" w:rsidRDefault="008F3539" w:rsidP="001755A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b/>
                <w:sz w:val="18"/>
                <w:szCs w:val="18"/>
              </w:rPr>
              <w:t>Docket No.</w:t>
            </w:r>
            <w:r w:rsidR="001755AA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="008F2538" w:rsidRPr="003518CB">
              <w:rPr>
                <w:rFonts w:ascii="Courier New" w:hAnsi="Courier New" w:cs="Courier New"/>
                <w:b/>
                <w:sz w:val="18"/>
                <w:szCs w:val="18"/>
              </w:rPr>
              <w:t>F326083</w:t>
            </w:r>
          </w:p>
        </w:tc>
        <w:tc>
          <w:tcPr>
            <w:tcW w:w="1250" w:type="pct"/>
          </w:tcPr>
          <w:p w:rsidR="008F2538" w:rsidRPr="003518CB" w:rsidRDefault="008F3539" w:rsidP="001755A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b/>
                <w:sz w:val="18"/>
                <w:szCs w:val="18"/>
              </w:rPr>
              <w:t>Docket No.</w:t>
            </w:r>
            <w:r w:rsidR="001755AA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="008F2538" w:rsidRPr="003518CB">
              <w:rPr>
                <w:rFonts w:ascii="Courier New" w:hAnsi="Courier New" w:cs="Courier New"/>
                <w:b/>
                <w:sz w:val="18"/>
                <w:szCs w:val="18"/>
              </w:rPr>
              <w:t>F330760</w:t>
            </w:r>
          </w:p>
        </w:tc>
      </w:tr>
      <w:tr w:rsidR="008F3539" w:rsidRPr="003518CB" w:rsidTr="0014357E">
        <w:trPr>
          <w:jc w:val="center"/>
        </w:trPr>
        <w:tc>
          <w:tcPr>
            <w:tcW w:w="1250" w:type="pct"/>
          </w:tcPr>
          <w:p w:rsidR="008F3539" w:rsidRPr="003518CB" w:rsidRDefault="008F3539" w:rsidP="004E24E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Fiscal Year</w:t>
            </w:r>
          </w:p>
        </w:tc>
        <w:tc>
          <w:tcPr>
            <w:tcW w:w="1250" w:type="pct"/>
          </w:tcPr>
          <w:p w:rsidR="008F3539" w:rsidRPr="003518CB" w:rsidRDefault="008F3539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2014</w:t>
            </w:r>
          </w:p>
        </w:tc>
        <w:tc>
          <w:tcPr>
            <w:tcW w:w="1250" w:type="pct"/>
          </w:tcPr>
          <w:p w:rsidR="008F3539" w:rsidRPr="003518CB" w:rsidRDefault="008F3539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2015</w:t>
            </w:r>
          </w:p>
        </w:tc>
        <w:tc>
          <w:tcPr>
            <w:tcW w:w="1250" w:type="pct"/>
          </w:tcPr>
          <w:p w:rsidR="008F3539" w:rsidRPr="003518CB" w:rsidRDefault="008F3539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2016</w:t>
            </w:r>
          </w:p>
        </w:tc>
      </w:tr>
      <w:tr w:rsidR="008F3539" w:rsidRPr="003518CB" w:rsidTr="0014357E">
        <w:trPr>
          <w:jc w:val="center"/>
        </w:trPr>
        <w:tc>
          <w:tcPr>
            <w:tcW w:w="1250" w:type="pct"/>
          </w:tcPr>
          <w:p w:rsidR="008F3539" w:rsidRPr="003518CB" w:rsidRDefault="008F3539" w:rsidP="004E24E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Assessed Value</w:t>
            </w:r>
          </w:p>
        </w:tc>
        <w:tc>
          <w:tcPr>
            <w:tcW w:w="1250" w:type="pct"/>
          </w:tcPr>
          <w:p w:rsidR="008F3539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9,725,800</w:t>
            </w:r>
          </w:p>
        </w:tc>
        <w:tc>
          <w:tcPr>
            <w:tcW w:w="1250" w:type="pct"/>
          </w:tcPr>
          <w:p w:rsidR="008F3539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9,243,000</w:t>
            </w:r>
          </w:p>
        </w:tc>
        <w:tc>
          <w:tcPr>
            <w:tcW w:w="1250" w:type="pct"/>
          </w:tcPr>
          <w:p w:rsidR="008F3539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8F2538" w:rsidRPr="003518CB">
              <w:rPr>
                <w:rFonts w:ascii="Courier New" w:hAnsi="Courier New" w:cs="Courier New"/>
                <w:sz w:val="18"/>
                <w:szCs w:val="18"/>
              </w:rPr>
              <w:t>9,375,800</w:t>
            </w:r>
          </w:p>
        </w:tc>
      </w:tr>
      <w:tr w:rsidR="006B6278" w:rsidRPr="003518CB" w:rsidTr="0014357E">
        <w:trPr>
          <w:jc w:val="center"/>
        </w:trPr>
        <w:tc>
          <w:tcPr>
            <w:tcW w:w="1250" w:type="pct"/>
          </w:tcPr>
          <w:p w:rsidR="006B6278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Tax Rate</w:t>
            </w:r>
          </w:p>
        </w:tc>
        <w:tc>
          <w:tcPr>
            <w:tcW w:w="1250" w:type="pct"/>
          </w:tcPr>
          <w:p w:rsidR="006B6278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$8.22/$1,000</w:t>
            </w:r>
          </w:p>
        </w:tc>
        <w:tc>
          <w:tcPr>
            <w:tcW w:w="1250" w:type="pct"/>
          </w:tcPr>
          <w:p w:rsidR="006B6278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$8.40/$1,000</w:t>
            </w:r>
          </w:p>
        </w:tc>
        <w:tc>
          <w:tcPr>
            <w:tcW w:w="1250" w:type="pct"/>
          </w:tcPr>
          <w:p w:rsidR="006B6278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$8.41/$1,000</w:t>
            </w:r>
          </w:p>
        </w:tc>
      </w:tr>
      <w:tr w:rsidR="001C75A8" w:rsidRPr="003518CB" w:rsidTr="0014357E">
        <w:trPr>
          <w:jc w:val="center"/>
        </w:trPr>
        <w:tc>
          <w:tcPr>
            <w:tcW w:w="1250" w:type="pct"/>
          </w:tcPr>
          <w:p w:rsidR="001C75A8" w:rsidRPr="003518CB" w:rsidRDefault="001C75A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 xml:space="preserve">Assessment </w:t>
            </w:r>
          </w:p>
        </w:tc>
        <w:tc>
          <w:tcPr>
            <w:tcW w:w="1250" w:type="pct"/>
          </w:tcPr>
          <w:p w:rsidR="001C75A8" w:rsidRPr="003518CB" w:rsidRDefault="001C75A8" w:rsidP="00D14E52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D14E52">
              <w:rPr>
                <w:rFonts w:ascii="Courier New" w:hAnsi="Courier New" w:cs="Courier New"/>
                <w:sz w:val="18"/>
                <w:szCs w:val="18"/>
              </w:rPr>
              <w:t>116,773.78</w:t>
            </w:r>
            <w:r w:rsidRPr="003518CB">
              <w:rPr>
                <w:rStyle w:val="FootnoteReference"/>
                <w:rFonts w:ascii="Courier New" w:hAnsi="Courier New" w:cs="Courier New"/>
                <w:sz w:val="18"/>
                <w:szCs w:val="18"/>
              </w:rPr>
              <w:footnoteReference w:id="4"/>
            </w:r>
          </w:p>
        </w:tc>
        <w:tc>
          <w:tcPr>
            <w:tcW w:w="1250" w:type="pct"/>
          </w:tcPr>
          <w:p w:rsidR="001C75A8" w:rsidRPr="003518CB" w:rsidRDefault="001C75A8" w:rsidP="00D14E52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</w:t>
            </w:r>
            <w:r w:rsidR="00D14E52">
              <w:rPr>
                <w:rFonts w:ascii="Courier New" w:hAnsi="Courier New" w:cs="Courier New"/>
                <w:sz w:val="18"/>
                <w:szCs w:val="18"/>
              </w:rPr>
              <w:t>113,245.24</w:t>
            </w:r>
            <w:r w:rsidRPr="003518CB">
              <w:rPr>
                <w:rStyle w:val="FootnoteReference"/>
                <w:rFonts w:ascii="Courier New" w:hAnsi="Courier New" w:cs="Courier New"/>
                <w:sz w:val="18"/>
                <w:szCs w:val="18"/>
              </w:rPr>
              <w:footnoteReference w:id="5"/>
            </w:r>
          </w:p>
        </w:tc>
        <w:tc>
          <w:tcPr>
            <w:tcW w:w="1250" w:type="pct"/>
          </w:tcPr>
          <w:p w:rsidR="001C75A8" w:rsidRPr="003518CB" w:rsidRDefault="001C75A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$117,500.34</w:t>
            </w:r>
          </w:p>
        </w:tc>
      </w:tr>
      <w:tr w:rsidR="008F3539" w:rsidRPr="003518CB" w:rsidTr="0014357E">
        <w:trPr>
          <w:jc w:val="center"/>
        </w:trPr>
        <w:tc>
          <w:tcPr>
            <w:tcW w:w="1250" w:type="pct"/>
          </w:tcPr>
          <w:p w:rsidR="008F3539" w:rsidRPr="003518CB" w:rsidRDefault="008F3539" w:rsidP="004E24E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Tax Timely Paid w/o Interest</w:t>
            </w:r>
          </w:p>
        </w:tc>
        <w:tc>
          <w:tcPr>
            <w:tcW w:w="1250" w:type="pct"/>
          </w:tcPr>
          <w:p w:rsidR="008F3539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250" w:type="pct"/>
          </w:tcPr>
          <w:p w:rsidR="008F3539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Yes</w:t>
            </w:r>
          </w:p>
        </w:tc>
        <w:tc>
          <w:tcPr>
            <w:tcW w:w="1250" w:type="pct"/>
          </w:tcPr>
          <w:p w:rsidR="008F3539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Yes</w:t>
            </w:r>
          </w:p>
        </w:tc>
      </w:tr>
      <w:tr w:rsidR="006B6278" w:rsidRPr="003518CB" w:rsidTr="0014357E">
        <w:trPr>
          <w:jc w:val="center"/>
        </w:trPr>
        <w:tc>
          <w:tcPr>
            <w:tcW w:w="1250" w:type="pct"/>
          </w:tcPr>
          <w:p w:rsidR="006B6278" w:rsidRPr="003518CB" w:rsidRDefault="006B6278" w:rsidP="004E24E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Abatement Application Filed</w:t>
            </w:r>
          </w:p>
        </w:tc>
        <w:tc>
          <w:tcPr>
            <w:tcW w:w="1250" w:type="pct"/>
          </w:tcPr>
          <w:p w:rsidR="006B6278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2/3/14</w:t>
            </w:r>
            <w:r w:rsidR="003E6FAD" w:rsidRPr="003518CB">
              <w:rPr>
                <w:rStyle w:val="FootnoteReference"/>
                <w:rFonts w:ascii="Courier New" w:hAnsi="Courier New" w:cs="Courier New"/>
                <w:sz w:val="18"/>
                <w:szCs w:val="18"/>
              </w:rPr>
              <w:footnoteReference w:id="6"/>
            </w:r>
          </w:p>
        </w:tc>
        <w:tc>
          <w:tcPr>
            <w:tcW w:w="1250" w:type="pct"/>
          </w:tcPr>
          <w:p w:rsidR="006B6278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2/5/15</w:t>
            </w:r>
            <w:r w:rsidR="003E6FAD" w:rsidRPr="003518CB">
              <w:rPr>
                <w:rStyle w:val="FootnoteReference"/>
                <w:rFonts w:ascii="Courier New" w:hAnsi="Courier New" w:cs="Courier New"/>
                <w:sz w:val="18"/>
                <w:szCs w:val="18"/>
              </w:rPr>
              <w:footnoteReference w:id="7"/>
            </w:r>
          </w:p>
        </w:tc>
        <w:tc>
          <w:tcPr>
            <w:tcW w:w="1250" w:type="pct"/>
          </w:tcPr>
          <w:p w:rsidR="006B6278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1/29/16</w:t>
            </w:r>
          </w:p>
        </w:tc>
      </w:tr>
      <w:tr w:rsidR="006B6278" w:rsidRPr="003518CB" w:rsidTr="0014357E">
        <w:trPr>
          <w:jc w:val="center"/>
        </w:trPr>
        <w:tc>
          <w:tcPr>
            <w:tcW w:w="1250" w:type="pct"/>
          </w:tcPr>
          <w:p w:rsidR="006B6278" w:rsidRPr="003518CB" w:rsidRDefault="006B6278" w:rsidP="004E24E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Abatement Application Denied</w:t>
            </w:r>
          </w:p>
        </w:tc>
        <w:tc>
          <w:tcPr>
            <w:tcW w:w="1250" w:type="pct"/>
          </w:tcPr>
          <w:p w:rsidR="006B6278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2/11/14</w:t>
            </w:r>
          </w:p>
        </w:tc>
        <w:tc>
          <w:tcPr>
            <w:tcW w:w="1250" w:type="pct"/>
          </w:tcPr>
          <w:p w:rsidR="006B6278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2/10/15</w:t>
            </w:r>
          </w:p>
        </w:tc>
        <w:tc>
          <w:tcPr>
            <w:tcW w:w="1250" w:type="pct"/>
          </w:tcPr>
          <w:p w:rsidR="006B6278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4/12/16</w:t>
            </w:r>
          </w:p>
        </w:tc>
      </w:tr>
      <w:tr w:rsidR="006B6278" w:rsidRPr="003518CB" w:rsidTr="0014357E">
        <w:trPr>
          <w:jc w:val="center"/>
        </w:trPr>
        <w:tc>
          <w:tcPr>
            <w:tcW w:w="1250" w:type="pct"/>
          </w:tcPr>
          <w:p w:rsidR="006B6278" w:rsidRPr="003518CB" w:rsidRDefault="006B6278" w:rsidP="004E24E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Petition Filed</w:t>
            </w:r>
          </w:p>
        </w:tc>
        <w:tc>
          <w:tcPr>
            <w:tcW w:w="1250" w:type="pct"/>
          </w:tcPr>
          <w:p w:rsidR="006B6278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5/1/14</w:t>
            </w:r>
          </w:p>
        </w:tc>
        <w:tc>
          <w:tcPr>
            <w:tcW w:w="1250" w:type="pct"/>
          </w:tcPr>
          <w:p w:rsidR="006B6278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5/6/15</w:t>
            </w:r>
          </w:p>
        </w:tc>
        <w:tc>
          <w:tcPr>
            <w:tcW w:w="1250" w:type="pct"/>
          </w:tcPr>
          <w:p w:rsidR="006B6278" w:rsidRPr="003518CB" w:rsidRDefault="006B6278" w:rsidP="004E24E7">
            <w:pPr>
              <w:spacing w:line="48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3518CB">
              <w:rPr>
                <w:rFonts w:ascii="Courier New" w:hAnsi="Courier New" w:cs="Courier New"/>
                <w:sz w:val="18"/>
                <w:szCs w:val="18"/>
              </w:rPr>
              <w:t>6/22/16</w:t>
            </w:r>
          </w:p>
        </w:tc>
      </w:tr>
    </w:tbl>
    <w:p w:rsidR="00351929" w:rsidRDefault="00351929" w:rsidP="00F72558">
      <w:pPr>
        <w:spacing w:line="480" w:lineRule="auto"/>
        <w:jc w:val="both"/>
        <w:rPr>
          <w:rFonts w:ascii="Courier New" w:hAnsi="Courier New" w:cs="Courier New"/>
          <w:b/>
        </w:rPr>
      </w:pPr>
    </w:p>
    <w:p w:rsidR="00351929" w:rsidRDefault="00351929" w:rsidP="00F72558">
      <w:pPr>
        <w:spacing w:line="480" w:lineRule="auto"/>
        <w:jc w:val="both"/>
        <w:rPr>
          <w:rFonts w:ascii="Courier New" w:hAnsi="Courier New" w:cs="Courier New"/>
          <w:b/>
        </w:rPr>
      </w:pPr>
    </w:p>
    <w:p w:rsidR="00F72558" w:rsidRPr="00F72558" w:rsidRDefault="00F72558" w:rsidP="00F72558">
      <w:pPr>
        <w:spacing w:line="480" w:lineRule="auto"/>
        <w:jc w:val="both"/>
        <w:rPr>
          <w:rFonts w:ascii="Courier New" w:hAnsi="Courier New" w:cs="Courier New"/>
          <w:b/>
        </w:rPr>
      </w:pPr>
      <w:r w:rsidRPr="00F72558">
        <w:rPr>
          <w:rFonts w:ascii="Courier New" w:hAnsi="Courier New" w:cs="Courier New"/>
          <w:b/>
        </w:rPr>
        <w:lastRenderedPageBreak/>
        <w:t>II</w:t>
      </w:r>
      <w:r>
        <w:rPr>
          <w:rFonts w:ascii="Courier New" w:hAnsi="Courier New" w:cs="Courier New"/>
          <w:b/>
        </w:rPr>
        <w:t>I</w:t>
      </w:r>
      <w:r w:rsidRPr="00F72558">
        <w:rPr>
          <w:rFonts w:ascii="Courier New" w:hAnsi="Courier New" w:cs="Courier New"/>
          <w:b/>
        </w:rPr>
        <w:t xml:space="preserve">. </w:t>
      </w:r>
      <w:r>
        <w:rPr>
          <w:rFonts w:ascii="Courier New" w:hAnsi="Courier New" w:cs="Courier New"/>
          <w:b/>
        </w:rPr>
        <w:t>Expert Testimony</w:t>
      </w:r>
    </w:p>
    <w:p w:rsidR="00802A51" w:rsidRDefault="00F72558" w:rsidP="00F72558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appellant and the a</w:t>
      </w:r>
      <w:r w:rsidR="006002BD">
        <w:rPr>
          <w:rFonts w:ascii="Courier New" w:hAnsi="Courier New" w:cs="Courier New"/>
        </w:rPr>
        <w:t>ppellee</w:t>
      </w:r>
      <w:r>
        <w:rPr>
          <w:rFonts w:ascii="Courier New" w:hAnsi="Courier New" w:cs="Courier New"/>
        </w:rPr>
        <w:t xml:space="preserve"> each </w:t>
      </w:r>
      <w:r w:rsidR="00FA6E41">
        <w:rPr>
          <w:rFonts w:ascii="Courier New" w:hAnsi="Courier New" w:cs="Courier New"/>
        </w:rPr>
        <w:t>presented</w:t>
      </w:r>
      <w:r>
        <w:rPr>
          <w:rFonts w:ascii="Courier New" w:hAnsi="Courier New" w:cs="Courier New"/>
        </w:rPr>
        <w:t xml:space="preserve"> the testimony of </w:t>
      </w:r>
      <w:r w:rsidR="00DC66DB">
        <w:rPr>
          <w:rFonts w:ascii="Courier New" w:hAnsi="Courier New" w:cs="Courier New"/>
        </w:rPr>
        <w:t>real estate apprais</w:t>
      </w:r>
      <w:r w:rsidR="005038CE">
        <w:rPr>
          <w:rFonts w:ascii="Courier New" w:hAnsi="Courier New" w:cs="Courier New"/>
        </w:rPr>
        <w:t>ers</w:t>
      </w:r>
      <w:r w:rsidR="000500C2">
        <w:rPr>
          <w:rFonts w:ascii="Courier New" w:hAnsi="Courier New" w:cs="Courier New"/>
        </w:rPr>
        <w:t xml:space="preserve"> </w:t>
      </w:r>
      <w:r w:rsidR="001F3F34">
        <w:rPr>
          <w:rFonts w:ascii="Courier New" w:hAnsi="Courier New" w:cs="Courier New"/>
        </w:rPr>
        <w:t>whom</w:t>
      </w:r>
      <w:r w:rsidR="005038CE">
        <w:rPr>
          <w:rFonts w:ascii="Courier New" w:hAnsi="Courier New" w:cs="Courier New"/>
        </w:rPr>
        <w:t xml:space="preserve"> the Board qualified as experts in real estate valuation</w:t>
      </w:r>
      <w:r w:rsidR="009F5E0B">
        <w:rPr>
          <w:rFonts w:ascii="Courier New" w:hAnsi="Courier New" w:cs="Courier New"/>
        </w:rPr>
        <w:t>.</w:t>
      </w:r>
      <w:r w:rsidR="006002BD">
        <w:rPr>
          <w:rFonts w:ascii="Courier New" w:hAnsi="Courier New" w:cs="Courier New"/>
        </w:rPr>
        <w:t xml:space="preserve"> </w:t>
      </w:r>
      <w:r w:rsidR="00802A51">
        <w:rPr>
          <w:rFonts w:ascii="Courier New" w:hAnsi="Courier New" w:cs="Courier New"/>
        </w:rPr>
        <w:t>The appellant present</w:t>
      </w:r>
      <w:r w:rsidR="00FA6E41">
        <w:rPr>
          <w:rFonts w:ascii="Courier New" w:hAnsi="Courier New" w:cs="Courier New"/>
        </w:rPr>
        <w:t>ed</w:t>
      </w:r>
      <w:r w:rsidR="00802A51">
        <w:rPr>
          <w:rFonts w:ascii="Courier New" w:hAnsi="Courier New" w:cs="Courier New"/>
        </w:rPr>
        <w:t xml:space="preserve"> the testimony of Donald P. Bouchard, </w:t>
      </w:r>
      <w:r w:rsidR="000F65CA">
        <w:rPr>
          <w:rFonts w:ascii="Courier New" w:hAnsi="Courier New" w:cs="Courier New"/>
        </w:rPr>
        <w:t xml:space="preserve">CRE, MAI, </w:t>
      </w:r>
      <w:r w:rsidR="00802A51">
        <w:rPr>
          <w:rFonts w:ascii="Courier New" w:hAnsi="Courier New" w:cs="Courier New"/>
        </w:rPr>
        <w:t>a senior vice president at Lin</w:t>
      </w:r>
      <w:r w:rsidR="00FA6E41">
        <w:rPr>
          <w:rFonts w:ascii="Courier New" w:hAnsi="Courier New" w:cs="Courier New"/>
        </w:rPr>
        <w:t>coln Property Company in Boston</w:t>
      </w:r>
      <w:r w:rsidR="009F5E0B">
        <w:rPr>
          <w:rFonts w:ascii="Courier New" w:hAnsi="Courier New" w:cs="Courier New"/>
        </w:rPr>
        <w:t xml:space="preserve"> (“appellant’s appraiser”)</w:t>
      </w:r>
      <w:r w:rsidR="00FA6E41">
        <w:rPr>
          <w:rFonts w:ascii="Courier New" w:hAnsi="Courier New" w:cs="Courier New"/>
        </w:rPr>
        <w:t xml:space="preserve">, as well as two appraisal reports prepared by </w:t>
      </w:r>
      <w:r w:rsidR="009F5E0B">
        <w:rPr>
          <w:rFonts w:ascii="Courier New" w:hAnsi="Courier New" w:cs="Courier New"/>
        </w:rPr>
        <w:t>him</w:t>
      </w:r>
      <w:r w:rsidR="00FA6E41">
        <w:rPr>
          <w:rFonts w:ascii="Courier New" w:hAnsi="Courier New" w:cs="Courier New"/>
        </w:rPr>
        <w:t xml:space="preserve"> concerning the subject propert</w:t>
      </w:r>
      <w:r w:rsidR="00B850F4">
        <w:rPr>
          <w:rFonts w:ascii="Courier New" w:hAnsi="Courier New" w:cs="Courier New"/>
        </w:rPr>
        <w:t>ies</w:t>
      </w:r>
      <w:r w:rsidR="00FA6E41">
        <w:rPr>
          <w:rFonts w:ascii="Courier New" w:hAnsi="Courier New" w:cs="Courier New"/>
        </w:rPr>
        <w:t xml:space="preserve">, one for the main store and one for the men’s/home store. The assessors presented the testimony of </w:t>
      </w:r>
      <w:r w:rsidR="00AE0D2D">
        <w:rPr>
          <w:rFonts w:ascii="Courier New" w:hAnsi="Courier New" w:cs="Courier New"/>
        </w:rPr>
        <w:t xml:space="preserve">Christopher </w:t>
      </w:r>
      <w:r w:rsidR="000F65CA">
        <w:rPr>
          <w:rFonts w:ascii="Courier New" w:hAnsi="Courier New" w:cs="Courier New"/>
        </w:rPr>
        <w:t xml:space="preserve">H. </w:t>
      </w:r>
      <w:r w:rsidR="00AE0D2D">
        <w:rPr>
          <w:rFonts w:ascii="Courier New" w:hAnsi="Courier New" w:cs="Courier New"/>
        </w:rPr>
        <w:t>Bowler</w:t>
      </w:r>
      <w:r w:rsidR="00FA6E41">
        <w:rPr>
          <w:rFonts w:ascii="Courier New" w:hAnsi="Courier New" w:cs="Courier New"/>
        </w:rPr>
        <w:t>,</w:t>
      </w:r>
      <w:r w:rsidR="000F65CA">
        <w:rPr>
          <w:rFonts w:ascii="Courier New" w:hAnsi="Courier New" w:cs="Courier New"/>
        </w:rPr>
        <w:t xml:space="preserve"> MAI, CRE, </w:t>
      </w:r>
      <w:r w:rsidR="00FC4AFF">
        <w:rPr>
          <w:rFonts w:ascii="Courier New" w:hAnsi="Courier New" w:cs="Courier New"/>
        </w:rPr>
        <w:t>of Avery Associates in Acton</w:t>
      </w:r>
      <w:r w:rsidR="009F5E0B">
        <w:rPr>
          <w:rFonts w:ascii="Courier New" w:hAnsi="Courier New" w:cs="Courier New"/>
        </w:rPr>
        <w:t xml:space="preserve"> (“assessors’ appraiser”)</w:t>
      </w:r>
      <w:r w:rsidR="00FC4AFF">
        <w:rPr>
          <w:rFonts w:ascii="Courier New" w:hAnsi="Courier New" w:cs="Courier New"/>
        </w:rPr>
        <w:t xml:space="preserve">, </w:t>
      </w:r>
      <w:r w:rsidR="00FA6E41">
        <w:rPr>
          <w:rFonts w:ascii="Courier New" w:hAnsi="Courier New" w:cs="Courier New"/>
        </w:rPr>
        <w:t xml:space="preserve">as well as an appraisal report prepared by </w:t>
      </w:r>
      <w:r w:rsidR="009F5E0B">
        <w:rPr>
          <w:rFonts w:ascii="Courier New" w:hAnsi="Courier New" w:cs="Courier New"/>
        </w:rPr>
        <w:t>him</w:t>
      </w:r>
      <w:r w:rsidR="00FA6E41">
        <w:rPr>
          <w:rFonts w:ascii="Courier New" w:hAnsi="Courier New" w:cs="Courier New"/>
        </w:rPr>
        <w:t xml:space="preserve"> </w:t>
      </w:r>
      <w:r w:rsidR="00FC4AFF">
        <w:rPr>
          <w:rFonts w:ascii="Courier New" w:hAnsi="Courier New" w:cs="Courier New"/>
        </w:rPr>
        <w:t>and Jonathan H. Avery, MAI, CRE, concerning</w:t>
      </w:r>
      <w:r w:rsidR="00FA6E41">
        <w:rPr>
          <w:rFonts w:ascii="Courier New" w:hAnsi="Courier New" w:cs="Courier New"/>
        </w:rPr>
        <w:t xml:space="preserve"> the subject propert</w:t>
      </w:r>
      <w:r w:rsidR="00B850F4">
        <w:rPr>
          <w:rFonts w:ascii="Courier New" w:hAnsi="Courier New" w:cs="Courier New"/>
        </w:rPr>
        <w:t>ies</w:t>
      </w:r>
      <w:r w:rsidR="00FA6E41">
        <w:rPr>
          <w:rFonts w:ascii="Courier New" w:hAnsi="Courier New" w:cs="Courier New"/>
        </w:rPr>
        <w:t>.</w:t>
      </w:r>
    </w:p>
    <w:p w:rsidR="00980D12" w:rsidRDefault="000D5675" w:rsidP="00F72558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Both </w:t>
      </w:r>
      <w:r w:rsidR="009F5E0B">
        <w:rPr>
          <w:rFonts w:ascii="Courier New" w:hAnsi="Courier New" w:cs="Courier New"/>
        </w:rPr>
        <w:t>appraisers</w:t>
      </w:r>
      <w:r>
        <w:rPr>
          <w:rFonts w:ascii="Courier New" w:hAnsi="Courier New" w:cs="Courier New"/>
        </w:rPr>
        <w:t xml:space="preserve"> determined that the highest and best use of the subject propert</w:t>
      </w:r>
      <w:r w:rsidR="00B850F4">
        <w:rPr>
          <w:rFonts w:ascii="Courier New" w:hAnsi="Courier New" w:cs="Courier New"/>
        </w:rPr>
        <w:t>ies</w:t>
      </w:r>
      <w:r>
        <w:rPr>
          <w:rFonts w:ascii="Courier New" w:hAnsi="Courier New" w:cs="Courier New"/>
        </w:rPr>
        <w:t xml:space="preserve"> was </w:t>
      </w:r>
      <w:r w:rsidR="00B850F4">
        <w:rPr>
          <w:rFonts w:ascii="Courier New" w:hAnsi="Courier New" w:cs="Courier New"/>
        </w:rPr>
        <w:t>their</w:t>
      </w:r>
      <w:r>
        <w:rPr>
          <w:rFonts w:ascii="Courier New" w:hAnsi="Courier New" w:cs="Courier New"/>
        </w:rPr>
        <w:t xml:space="preserve"> </w:t>
      </w:r>
      <w:r w:rsidR="00ED2315">
        <w:rPr>
          <w:rFonts w:ascii="Courier New" w:hAnsi="Courier New" w:cs="Courier New"/>
        </w:rPr>
        <w:t xml:space="preserve">existing retail </w:t>
      </w:r>
      <w:r>
        <w:rPr>
          <w:rFonts w:ascii="Courier New" w:hAnsi="Courier New" w:cs="Courier New"/>
        </w:rPr>
        <w:t>use</w:t>
      </w:r>
      <w:r w:rsidR="00980D12">
        <w:rPr>
          <w:rFonts w:ascii="Courier New" w:hAnsi="Courier New" w:cs="Courier New"/>
        </w:rPr>
        <w:t xml:space="preserve">, and both relied upon an income approach to valuation. </w:t>
      </w:r>
      <w:r w:rsidR="009F5E0B">
        <w:rPr>
          <w:rFonts w:ascii="Courier New" w:hAnsi="Courier New" w:cs="Courier New"/>
        </w:rPr>
        <w:t>The assessors’ appraiser</w:t>
      </w:r>
      <w:r w:rsidR="00980D12">
        <w:rPr>
          <w:rFonts w:ascii="Courier New" w:hAnsi="Courier New" w:cs="Courier New"/>
        </w:rPr>
        <w:t xml:space="preserve"> also testified to a sales</w:t>
      </w:r>
      <w:r w:rsidR="00254ADF">
        <w:rPr>
          <w:rFonts w:ascii="Courier New" w:hAnsi="Courier New" w:cs="Courier New"/>
        </w:rPr>
        <w:t>-</w:t>
      </w:r>
      <w:r w:rsidR="00980D12">
        <w:rPr>
          <w:rFonts w:ascii="Courier New" w:hAnsi="Courier New" w:cs="Courier New"/>
        </w:rPr>
        <w:t>comparison approach, but admittedly only used th</w:t>
      </w:r>
      <w:r w:rsidR="00656F83">
        <w:rPr>
          <w:rFonts w:ascii="Courier New" w:hAnsi="Courier New" w:cs="Courier New"/>
        </w:rPr>
        <w:t>is</w:t>
      </w:r>
      <w:r w:rsidR="00980D12">
        <w:rPr>
          <w:rFonts w:ascii="Courier New" w:hAnsi="Courier New" w:cs="Courier New"/>
        </w:rPr>
        <w:t xml:space="preserve"> approach as a check </w:t>
      </w:r>
      <w:r w:rsidR="001755AA">
        <w:rPr>
          <w:rFonts w:ascii="Courier New" w:hAnsi="Courier New" w:cs="Courier New"/>
        </w:rPr>
        <w:t xml:space="preserve">on the reasonableness </w:t>
      </w:r>
      <w:r w:rsidR="00980D12">
        <w:rPr>
          <w:rFonts w:ascii="Courier New" w:hAnsi="Courier New" w:cs="Courier New"/>
        </w:rPr>
        <w:t xml:space="preserve">of </w:t>
      </w:r>
      <w:r w:rsidR="001755AA">
        <w:rPr>
          <w:rFonts w:ascii="Courier New" w:hAnsi="Courier New" w:cs="Courier New"/>
        </w:rPr>
        <w:t>his</w:t>
      </w:r>
      <w:r w:rsidR="00980D12">
        <w:rPr>
          <w:rFonts w:ascii="Courier New" w:hAnsi="Courier New" w:cs="Courier New"/>
        </w:rPr>
        <w:t xml:space="preserve"> income approach. </w:t>
      </w:r>
    </w:p>
    <w:p w:rsidR="00162ED2" w:rsidRDefault="00285D6E" w:rsidP="00F72558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 his testimony and appraisal report, </w:t>
      </w:r>
      <w:r w:rsidR="009F5E0B">
        <w:rPr>
          <w:rFonts w:ascii="Courier New" w:hAnsi="Courier New" w:cs="Courier New"/>
        </w:rPr>
        <w:t>the appellant’s appraiser</w:t>
      </w:r>
      <w:r w:rsidR="00B851DF">
        <w:rPr>
          <w:rFonts w:ascii="Courier New" w:hAnsi="Courier New" w:cs="Courier New"/>
        </w:rPr>
        <w:t xml:space="preserve"> </w:t>
      </w:r>
      <w:r w:rsidR="00534A18">
        <w:rPr>
          <w:rFonts w:ascii="Courier New" w:hAnsi="Courier New" w:cs="Courier New"/>
        </w:rPr>
        <w:t xml:space="preserve">stressed the </w:t>
      </w:r>
      <w:r>
        <w:rPr>
          <w:rFonts w:ascii="Courier New" w:hAnsi="Courier New" w:cs="Courier New"/>
        </w:rPr>
        <w:t>seasonal nature of Cape Cod and that average wages on Cape Cod were among the lowest in Massachusetts</w:t>
      </w:r>
      <w:r w:rsidR="00BE0753">
        <w:rPr>
          <w:rFonts w:ascii="Courier New" w:hAnsi="Courier New" w:cs="Courier New"/>
        </w:rPr>
        <w:t>. He testified to</w:t>
      </w:r>
      <w:r>
        <w:rPr>
          <w:rFonts w:ascii="Courier New" w:hAnsi="Courier New" w:cs="Courier New"/>
        </w:rPr>
        <w:t xml:space="preserve"> a demographic transition of older and retired individuals moving into the area who are looking to spend less. </w:t>
      </w:r>
      <w:r w:rsidR="009F5E0B">
        <w:rPr>
          <w:rFonts w:ascii="Courier New" w:hAnsi="Courier New" w:cs="Courier New"/>
        </w:rPr>
        <w:t>He</w:t>
      </w:r>
      <w:r>
        <w:rPr>
          <w:rFonts w:ascii="Courier New" w:hAnsi="Courier New" w:cs="Courier New"/>
        </w:rPr>
        <w:t xml:space="preserve"> also discussed his opinion of obsolescence, that </w:t>
      </w:r>
      <w:r w:rsidR="00806ACE">
        <w:rPr>
          <w:rFonts w:ascii="Courier New" w:hAnsi="Courier New" w:cs="Courier New"/>
        </w:rPr>
        <w:lastRenderedPageBreak/>
        <w:t xml:space="preserve">generally </w:t>
      </w:r>
      <w:r>
        <w:rPr>
          <w:rFonts w:ascii="Courier New" w:hAnsi="Courier New" w:cs="Courier New"/>
        </w:rPr>
        <w:t>there is a reduction in demand for big department stores</w:t>
      </w:r>
      <w:r w:rsidR="008C0709">
        <w:rPr>
          <w:rFonts w:ascii="Courier New" w:hAnsi="Courier New" w:cs="Courier New"/>
        </w:rPr>
        <w:t>. He included numerous articles in his</w:t>
      </w:r>
      <w:r w:rsidR="00BE0753">
        <w:rPr>
          <w:rFonts w:ascii="Courier New" w:hAnsi="Courier New" w:cs="Courier New"/>
        </w:rPr>
        <w:t xml:space="preserve"> appraisal report to highlight a theme of shifting dynamics in the retail industry, with the millennial generation spending less on goods and clothing and more on restaurants</w:t>
      </w:r>
      <w:r w:rsidR="001755AA">
        <w:rPr>
          <w:rFonts w:ascii="Courier New" w:hAnsi="Courier New" w:cs="Courier New"/>
        </w:rPr>
        <w:t>,</w:t>
      </w:r>
      <w:r w:rsidR="00BE0753">
        <w:rPr>
          <w:rFonts w:ascii="Courier New" w:hAnsi="Courier New" w:cs="Courier New"/>
        </w:rPr>
        <w:t xml:space="preserve"> travel, </w:t>
      </w:r>
      <w:r w:rsidR="001755AA">
        <w:rPr>
          <w:rFonts w:ascii="Courier New" w:hAnsi="Courier New" w:cs="Courier New"/>
        </w:rPr>
        <w:t xml:space="preserve">and </w:t>
      </w:r>
      <w:r w:rsidR="00BE0753">
        <w:rPr>
          <w:rFonts w:ascii="Courier New" w:hAnsi="Courier New" w:cs="Courier New"/>
        </w:rPr>
        <w:t>online shopping</w:t>
      </w:r>
      <w:r w:rsidR="001755AA">
        <w:rPr>
          <w:rFonts w:ascii="Courier New" w:hAnsi="Courier New" w:cs="Courier New"/>
        </w:rPr>
        <w:t>, resulting in the</w:t>
      </w:r>
      <w:r w:rsidR="00BE0753">
        <w:rPr>
          <w:rFonts w:ascii="Courier New" w:hAnsi="Courier New" w:cs="Courier New"/>
        </w:rPr>
        <w:t xml:space="preserve"> restructuring </w:t>
      </w:r>
      <w:r w:rsidR="001755AA">
        <w:rPr>
          <w:rFonts w:ascii="Courier New" w:hAnsi="Courier New" w:cs="Courier New"/>
        </w:rPr>
        <w:t xml:space="preserve">of </w:t>
      </w:r>
      <w:r w:rsidR="00BE0753">
        <w:rPr>
          <w:rFonts w:ascii="Courier New" w:hAnsi="Courier New" w:cs="Courier New"/>
        </w:rPr>
        <w:t xml:space="preserve">the </w:t>
      </w:r>
      <w:r w:rsidR="001755AA">
        <w:rPr>
          <w:rFonts w:ascii="Courier New" w:hAnsi="Courier New" w:cs="Courier New"/>
        </w:rPr>
        <w:t xml:space="preserve">retail </w:t>
      </w:r>
      <w:r w:rsidR="00BE0753">
        <w:rPr>
          <w:rFonts w:ascii="Courier New" w:hAnsi="Courier New" w:cs="Courier New"/>
        </w:rPr>
        <w:t xml:space="preserve">industry and </w:t>
      </w:r>
      <w:r w:rsidR="001755AA">
        <w:rPr>
          <w:rFonts w:ascii="Courier New" w:hAnsi="Courier New" w:cs="Courier New"/>
        </w:rPr>
        <w:t xml:space="preserve">a reduction in demand </w:t>
      </w:r>
      <w:r w:rsidR="00BE0753">
        <w:rPr>
          <w:rFonts w:ascii="Courier New" w:hAnsi="Courier New" w:cs="Courier New"/>
        </w:rPr>
        <w:t>for retail space.</w:t>
      </w:r>
      <w:r>
        <w:rPr>
          <w:rFonts w:ascii="Courier New" w:hAnsi="Courier New" w:cs="Courier New"/>
        </w:rPr>
        <w:t xml:space="preserve"> </w:t>
      </w:r>
      <w:r w:rsidR="009F5E0B">
        <w:rPr>
          <w:rFonts w:ascii="Courier New" w:hAnsi="Courier New" w:cs="Courier New"/>
        </w:rPr>
        <w:t>The appellant’s appraiser</w:t>
      </w:r>
      <w:r w:rsidR="00162ED2">
        <w:rPr>
          <w:rFonts w:ascii="Courier New" w:hAnsi="Courier New" w:cs="Courier New"/>
        </w:rPr>
        <w:t xml:space="preserve"> also noted that the Cape Cod Mall is a single-story structure</w:t>
      </w:r>
      <w:r w:rsidR="001755AA">
        <w:rPr>
          <w:rFonts w:ascii="Courier New" w:hAnsi="Courier New" w:cs="Courier New"/>
        </w:rPr>
        <w:t>,</w:t>
      </w:r>
      <w:r w:rsidR="00162ED2">
        <w:rPr>
          <w:rFonts w:ascii="Courier New" w:hAnsi="Courier New" w:cs="Courier New"/>
        </w:rPr>
        <w:t xml:space="preserve"> whereas the subject properties are both two</w:t>
      </w:r>
      <w:r w:rsidR="00934392">
        <w:rPr>
          <w:rFonts w:ascii="Courier New" w:hAnsi="Courier New" w:cs="Courier New"/>
        </w:rPr>
        <w:t>-s</w:t>
      </w:r>
      <w:r w:rsidR="00162ED2">
        <w:rPr>
          <w:rFonts w:ascii="Courier New" w:hAnsi="Courier New" w:cs="Courier New"/>
        </w:rPr>
        <w:t>tor</w:t>
      </w:r>
      <w:r w:rsidR="00934392">
        <w:rPr>
          <w:rFonts w:ascii="Courier New" w:hAnsi="Courier New" w:cs="Courier New"/>
        </w:rPr>
        <w:t>y structures</w:t>
      </w:r>
      <w:r w:rsidR="00162ED2">
        <w:rPr>
          <w:rFonts w:ascii="Courier New" w:hAnsi="Courier New" w:cs="Courier New"/>
        </w:rPr>
        <w:t>.</w:t>
      </w:r>
    </w:p>
    <w:p w:rsidR="00B851DF" w:rsidRDefault="00552B3E" w:rsidP="00F72558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While acknowledging the changing nature of the retail industry, </w:t>
      </w:r>
      <w:r w:rsidR="009F5E0B">
        <w:rPr>
          <w:rFonts w:ascii="Courier New" w:hAnsi="Courier New" w:cs="Courier New"/>
        </w:rPr>
        <w:t>the assessors’ appraiser</w:t>
      </w:r>
      <w:r w:rsidR="00BE075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discussed </w:t>
      </w:r>
      <w:r w:rsidR="0092707A">
        <w:rPr>
          <w:rFonts w:ascii="Courier New" w:hAnsi="Courier New" w:cs="Courier New"/>
        </w:rPr>
        <w:t xml:space="preserve">ways that spaces occupied by traditional retailers are transitioning to </w:t>
      </w:r>
      <w:r w:rsidR="001F3F34">
        <w:rPr>
          <w:rFonts w:ascii="Courier New" w:hAnsi="Courier New" w:cs="Courier New"/>
        </w:rPr>
        <w:t xml:space="preserve">accommodate </w:t>
      </w:r>
      <w:r w:rsidR="0092707A">
        <w:rPr>
          <w:rFonts w:ascii="Courier New" w:hAnsi="Courier New" w:cs="Courier New"/>
        </w:rPr>
        <w:t xml:space="preserve">new occupants, such as upscale grocery stores, children’s entertainment venues, fitness facilities, and discount retailers. He also noted that </w:t>
      </w:r>
      <w:r w:rsidR="009D1426">
        <w:rPr>
          <w:rFonts w:ascii="Courier New" w:hAnsi="Courier New" w:cs="Courier New"/>
        </w:rPr>
        <w:t xml:space="preserve">some </w:t>
      </w:r>
      <w:r w:rsidR="0092707A">
        <w:rPr>
          <w:rFonts w:ascii="Courier New" w:hAnsi="Courier New" w:cs="Courier New"/>
        </w:rPr>
        <w:t xml:space="preserve">traditional retailers are converting space for purposes of online fulfillment centers, given the surge in online shopping. </w:t>
      </w:r>
    </w:p>
    <w:p w:rsidR="001C7499" w:rsidRDefault="00B851DF" w:rsidP="00F72558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In conducting their respective income analyses, </w:t>
      </w:r>
      <w:r w:rsidR="00E64093">
        <w:rPr>
          <w:rFonts w:ascii="Courier New" w:hAnsi="Courier New" w:cs="Courier New"/>
        </w:rPr>
        <w:t xml:space="preserve">the </w:t>
      </w:r>
      <w:r w:rsidR="009F5E0B">
        <w:rPr>
          <w:rFonts w:ascii="Courier New" w:hAnsi="Courier New" w:cs="Courier New"/>
        </w:rPr>
        <w:t>appraisers</w:t>
      </w:r>
      <w:r>
        <w:rPr>
          <w:rFonts w:ascii="Courier New" w:hAnsi="Courier New" w:cs="Courier New"/>
        </w:rPr>
        <w:t xml:space="preserve"> </w:t>
      </w:r>
      <w:r w:rsidR="00E64093">
        <w:rPr>
          <w:rFonts w:ascii="Courier New" w:hAnsi="Courier New" w:cs="Courier New"/>
        </w:rPr>
        <w:t xml:space="preserve">agreed on the appropriate </w:t>
      </w:r>
      <w:r w:rsidR="00F71550">
        <w:rPr>
          <w:rFonts w:ascii="Courier New" w:hAnsi="Courier New" w:cs="Courier New"/>
        </w:rPr>
        <w:t>vacancy and collection loss</w:t>
      </w:r>
      <w:r w:rsidR="00E64093">
        <w:rPr>
          <w:rFonts w:ascii="Courier New" w:hAnsi="Courier New" w:cs="Courier New"/>
        </w:rPr>
        <w:t xml:space="preserve"> factor but differed on their</w:t>
      </w:r>
      <w:r w:rsidR="00F71550">
        <w:rPr>
          <w:rFonts w:ascii="Courier New" w:hAnsi="Courier New" w:cs="Courier New"/>
        </w:rPr>
        <w:t xml:space="preserve"> management fees, reserves for replacement, and capitalization rates</w:t>
      </w:r>
      <w:r w:rsidR="009F5E0B">
        <w:rPr>
          <w:rFonts w:ascii="Courier New" w:hAnsi="Courier New" w:cs="Courier New"/>
        </w:rPr>
        <w:t xml:space="preserve"> as displayed in the following </w:t>
      </w:r>
      <w:r w:rsidR="00543F78">
        <w:rPr>
          <w:rFonts w:ascii="Courier New" w:hAnsi="Courier New" w:cs="Courier New"/>
        </w:rPr>
        <w:t>table</w:t>
      </w:r>
      <w:r w:rsidR="009F5E0B">
        <w:rPr>
          <w:rFonts w:ascii="Courier New" w:hAnsi="Courier New" w:cs="Courier New"/>
        </w:rPr>
        <w:t>:</w:t>
      </w:r>
    </w:p>
    <w:p w:rsidR="00E64093" w:rsidRDefault="00E64093" w:rsidP="00F72558">
      <w:pPr>
        <w:spacing w:line="480" w:lineRule="auto"/>
        <w:ind w:firstLine="720"/>
        <w:jc w:val="both"/>
        <w:rPr>
          <w:rFonts w:ascii="Courier New" w:hAnsi="Courier New" w:cs="Courier New"/>
        </w:rPr>
      </w:pPr>
    </w:p>
    <w:p w:rsidR="00E64093" w:rsidRDefault="00E64093" w:rsidP="00F72558">
      <w:pPr>
        <w:spacing w:line="480" w:lineRule="auto"/>
        <w:ind w:firstLine="720"/>
        <w:jc w:val="both"/>
        <w:rPr>
          <w:rFonts w:ascii="Courier New" w:hAnsi="Courier New" w:cs="Courier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25"/>
        <w:gridCol w:w="2826"/>
        <w:gridCol w:w="2825"/>
      </w:tblGrid>
      <w:tr w:rsidR="009F5E0B" w:rsidRPr="00A3398C" w:rsidTr="00A3398C">
        <w:tc>
          <w:tcPr>
            <w:tcW w:w="1667" w:type="pct"/>
          </w:tcPr>
          <w:p w:rsidR="009F5E0B" w:rsidRPr="00A3398C" w:rsidRDefault="009F5E0B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pct"/>
          </w:tcPr>
          <w:p w:rsidR="009F5E0B" w:rsidRPr="00A3398C" w:rsidRDefault="009F5E0B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>Appellant’s</w:t>
            </w:r>
            <w:r w:rsidR="00A3398C" w:rsidRPr="00A3398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3398C">
              <w:rPr>
                <w:rFonts w:ascii="Courier New" w:hAnsi="Courier New" w:cs="Courier New"/>
                <w:sz w:val="20"/>
                <w:szCs w:val="20"/>
              </w:rPr>
              <w:t>Appraiser</w:t>
            </w:r>
          </w:p>
        </w:tc>
        <w:tc>
          <w:tcPr>
            <w:tcW w:w="1200" w:type="pct"/>
          </w:tcPr>
          <w:p w:rsidR="009F5E0B" w:rsidRPr="00A3398C" w:rsidRDefault="009F5E0B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>Assessors’ Appraiser</w:t>
            </w:r>
          </w:p>
        </w:tc>
      </w:tr>
      <w:tr w:rsidR="009F5E0B" w:rsidRPr="00A3398C" w:rsidTr="00A3398C">
        <w:tc>
          <w:tcPr>
            <w:tcW w:w="1667" w:type="pct"/>
          </w:tcPr>
          <w:p w:rsidR="009F5E0B" w:rsidRPr="00A3398C" w:rsidRDefault="009F5E0B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 xml:space="preserve">Vacancy/Collection Loss </w:t>
            </w:r>
          </w:p>
        </w:tc>
        <w:tc>
          <w:tcPr>
            <w:tcW w:w="1200" w:type="pct"/>
          </w:tcPr>
          <w:p w:rsidR="009F5E0B" w:rsidRPr="00A3398C" w:rsidRDefault="00A3398C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>5%</w:t>
            </w:r>
          </w:p>
        </w:tc>
        <w:tc>
          <w:tcPr>
            <w:tcW w:w="1200" w:type="pct"/>
          </w:tcPr>
          <w:p w:rsidR="009F5E0B" w:rsidRPr="00A3398C" w:rsidRDefault="00A3398C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>5%</w:t>
            </w:r>
          </w:p>
        </w:tc>
      </w:tr>
      <w:tr w:rsidR="009F5E0B" w:rsidRPr="00A3398C" w:rsidTr="00A3398C">
        <w:tc>
          <w:tcPr>
            <w:tcW w:w="1667" w:type="pct"/>
          </w:tcPr>
          <w:p w:rsidR="001C7499" w:rsidRPr="00A3398C" w:rsidRDefault="009F5E0B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>Management Fee</w:t>
            </w:r>
          </w:p>
        </w:tc>
        <w:tc>
          <w:tcPr>
            <w:tcW w:w="1200" w:type="pct"/>
          </w:tcPr>
          <w:p w:rsidR="009F5E0B" w:rsidRPr="00A3398C" w:rsidRDefault="00A3398C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>2%</w:t>
            </w:r>
          </w:p>
        </w:tc>
        <w:tc>
          <w:tcPr>
            <w:tcW w:w="1200" w:type="pct"/>
          </w:tcPr>
          <w:p w:rsidR="009F5E0B" w:rsidRPr="00A3398C" w:rsidRDefault="00A3398C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>4%</w:t>
            </w:r>
          </w:p>
        </w:tc>
      </w:tr>
      <w:tr w:rsidR="009F5E0B" w:rsidRPr="00A3398C" w:rsidTr="00A3398C">
        <w:tc>
          <w:tcPr>
            <w:tcW w:w="1667" w:type="pct"/>
          </w:tcPr>
          <w:p w:rsidR="009F5E0B" w:rsidRPr="00A3398C" w:rsidRDefault="009F5E0B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>Replacement Reserves</w:t>
            </w:r>
          </w:p>
        </w:tc>
        <w:tc>
          <w:tcPr>
            <w:tcW w:w="1200" w:type="pct"/>
          </w:tcPr>
          <w:p w:rsidR="009F5E0B" w:rsidRPr="00A3398C" w:rsidRDefault="00A3398C" w:rsidP="0091203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 xml:space="preserve">$0.30 </w:t>
            </w:r>
            <w:r w:rsidR="00912039">
              <w:rPr>
                <w:rFonts w:ascii="Courier New" w:hAnsi="Courier New" w:cs="Courier New"/>
                <w:sz w:val="20"/>
                <w:szCs w:val="20"/>
              </w:rPr>
              <w:t>PSF</w:t>
            </w:r>
          </w:p>
        </w:tc>
        <w:tc>
          <w:tcPr>
            <w:tcW w:w="1200" w:type="pct"/>
          </w:tcPr>
          <w:p w:rsidR="009F5E0B" w:rsidRPr="00A3398C" w:rsidRDefault="00A3398C" w:rsidP="00912039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 xml:space="preserve">$0.40 </w:t>
            </w:r>
            <w:r w:rsidR="00912039">
              <w:rPr>
                <w:rFonts w:ascii="Courier New" w:hAnsi="Courier New" w:cs="Courier New"/>
                <w:sz w:val="20"/>
                <w:szCs w:val="20"/>
              </w:rPr>
              <w:t>PSF</w:t>
            </w:r>
          </w:p>
        </w:tc>
      </w:tr>
      <w:tr w:rsidR="009F5E0B" w:rsidRPr="00A3398C" w:rsidTr="00A3398C">
        <w:tc>
          <w:tcPr>
            <w:tcW w:w="1667" w:type="pct"/>
          </w:tcPr>
          <w:p w:rsidR="009F5E0B" w:rsidRPr="00A3398C" w:rsidRDefault="00A3398C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Capitalization </w:t>
            </w:r>
            <w:r w:rsidR="009F5E0B" w:rsidRPr="00A3398C">
              <w:rPr>
                <w:rFonts w:ascii="Courier New" w:hAnsi="Courier New" w:cs="Courier New"/>
                <w:sz w:val="20"/>
                <w:szCs w:val="20"/>
              </w:rPr>
              <w:t>Rate</w:t>
            </w:r>
            <w:r w:rsidRPr="00A3398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9F5E0B" w:rsidRPr="00A3398C">
              <w:rPr>
                <w:rFonts w:ascii="Courier New" w:hAnsi="Courier New" w:cs="Courier New"/>
                <w:sz w:val="20"/>
                <w:szCs w:val="20"/>
              </w:rPr>
              <w:t>FY14</w:t>
            </w:r>
            <w:r w:rsidRPr="00A3398C">
              <w:rPr>
                <w:rFonts w:ascii="Courier New" w:hAnsi="Courier New" w:cs="Courier New"/>
                <w:sz w:val="20"/>
                <w:szCs w:val="20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9F5E0B" w:rsidRPr="00A3398C">
              <w:rPr>
                <w:rFonts w:ascii="Courier New" w:hAnsi="Courier New" w:cs="Courier New"/>
                <w:sz w:val="20"/>
                <w:szCs w:val="20"/>
              </w:rPr>
              <w:t>5)</w:t>
            </w:r>
          </w:p>
        </w:tc>
        <w:tc>
          <w:tcPr>
            <w:tcW w:w="1200" w:type="pct"/>
          </w:tcPr>
          <w:p w:rsidR="009F5E0B" w:rsidRPr="00A3398C" w:rsidRDefault="00A3398C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>8.25%</w:t>
            </w:r>
          </w:p>
        </w:tc>
        <w:tc>
          <w:tcPr>
            <w:tcW w:w="1200" w:type="pct"/>
          </w:tcPr>
          <w:p w:rsidR="009F5E0B" w:rsidRPr="00A3398C" w:rsidRDefault="00A3398C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>7.9%</w:t>
            </w:r>
          </w:p>
        </w:tc>
      </w:tr>
      <w:tr w:rsidR="009F5E0B" w:rsidRPr="00A3398C" w:rsidTr="00A3398C">
        <w:tc>
          <w:tcPr>
            <w:tcW w:w="1667" w:type="pct"/>
          </w:tcPr>
          <w:p w:rsidR="009F5E0B" w:rsidRPr="00A3398C" w:rsidRDefault="009F5E0B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>Capitalization Rate</w:t>
            </w:r>
            <w:r w:rsidR="00A3398C" w:rsidRPr="00A3398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A3398C">
              <w:rPr>
                <w:rFonts w:ascii="Courier New" w:hAnsi="Courier New" w:cs="Courier New"/>
                <w:sz w:val="20"/>
                <w:szCs w:val="20"/>
              </w:rPr>
              <w:t xml:space="preserve">(FY16) </w:t>
            </w:r>
          </w:p>
        </w:tc>
        <w:tc>
          <w:tcPr>
            <w:tcW w:w="1200" w:type="pct"/>
          </w:tcPr>
          <w:p w:rsidR="009F5E0B" w:rsidRPr="00A3398C" w:rsidRDefault="00A3398C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>8%</w:t>
            </w:r>
          </w:p>
        </w:tc>
        <w:tc>
          <w:tcPr>
            <w:tcW w:w="1200" w:type="pct"/>
          </w:tcPr>
          <w:p w:rsidR="009F5E0B" w:rsidRPr="00A3398C" w:rsidRDefault="00A3398C" w:rsidP="00A3398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A3398C">
              <w:rPr>
                <w:rFonts w:ascii="Courier New" w:hAnsi="Courier New" w:cs="Courier New"/>
                <w:sz w:val="20"/>
                <w:szCs w:val="20"/>
              </w:rPr>
              <w:t>7.5%</w:t>
            </w:r>
          </w:p>
        </w:tc>
      </w:tr>
    </w:tbl>
    <w:p w:rsidR="00E64093" w:rsidRDefault="00E64093" w:rsidP="00C90D96">
      <w:pPr>
        <w:spacing w:line="480" w:lineRule="auto"/>
        <w:ind w:firstLine="720"/>
        <w:jc w:val="both"/>
        <w:rPr>
          <w:rFonts w:ascii="Courier New" w:hAnsi="Courier New" w:cs="Courier New"/>
        </w:rPr>
      </w:pPr>
    </w:p>
    <w:p w:rsidR="00A3398C" w:rsidRDefault="00E64093" w:rsidP="00C90D96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A3398C">
        <w:rPr>
          <w:rFonts w:ascii="Courier New" w:hAnsi="Courier New" w:cs="Courier New"/>
        </w:rPr>
        <w:t xml:space="preserve">he appraisers </w:t>
      </w:r>
      <w:r w:rsidR="00B851DF">
        <w:rPr>
          <w:rFonts w:ascii="Courier New" w:hAnsi="Courier New" w:cs="Courier New"/>
        </w:rPr>
        <w:t>d</w:t>
      </w:r>
      <w:r w:rsidR="00FD2A51">
        <w:rPr>
          <w:rFonts w:ascii="Courier New" w:hAnsi="Courier New" w:cs="Courier New"/>
        </w:rPr>
        <w:t>iverge</w:t>
      </w:r>
      <w:r w:rsidR="00B851DF">
        <w:rPr>
          <w:rFonts w:ascii="Courier New" w:hAnsi="Courier New" w:cs="Courier New"/>
        </w:rPr>
        <w:t xml:space="preserve">d </w:t>
      </w:r>
      <w:r w:rsidR="00C73CDC">
        <w:rPr>
          <w:rFonts w:ascii="Courier New" w:hAnsi="Courier New" w:cs="Courier New"/>
        </w:rPr>
        <w:t>significantly</w:t>
      </w:r>
      <w:r w:rsidR="00B851DF">
        <w:rPr>
          <w:rFonts w:ascii="Courier New" w:hAnsi="Courier New" w:cs="Courier New"/>
        </w:rPr>
        <w:t xml:space="preserve"> on </w:t>
      </w:r>
      <w:r>
        <w:rPr>
          <w:rFonts w:ascii="Courier New" w:hAnsi="Courier New" w:cs="Courier New"/>
        </w:rPr>
        <w:t xml:space="preserve">their </w:t>
      </w:r>
      <w:r w:rsidR="00B851DF">
        <w:rPr>
          <w:rFonts w:ascii="Courier New" w:hAnsi="Courier New" w:cs="Courier New"/>
        </w:rPr>
        <w:t xml:space="preserve">market rents. </w:t>
      </w:r>
      <w:r w:rsidR="00A3398C">
        <w:rPr>
          <w:rFonts w:ascii="Courier New" w:hAnsi="Courier New" w:cs="Courier New"/>
        </w:rPr>
        <w:t>The appellant’s appraiser</w:t>
      </w:r>
      <w:r w:rsidR="00980D12">
        <w:rPr>
          <w:rFonts w:ascii="Courier New" w:hAnsi="Courier New" w:cs="Courier New"/>
        </w:rPr>
        <w:t xml:space="preserve"> selected fifteen anchor leases</w:t>
      </w:r>
      <w:r w:rsidR="00DE0946">
        <w:rPr>
          <w:rFonts w:ascii="Courier New" w:hAnsi="Courier New" w:cs="Courier New"/>
        </w:rPr>
        <w:t xml:space="preserve"> that </w:t>
      </w:r>
      <w:r w:rsidR="00980D12">
        <w:rPr>
          <w:rFonts w:ascii="Courier New" w:hAnsi="Courier New" w:cs="Courier New"/>
        </w:rPr>
        <w:t>rang</w:t>
      </w:r>
      <w:r w:rsidR="00DE0946">
        <w:rPr>
          <w:rFonts w:ascii="Courier New" w:hAnsi="Courier New" w:cs="Courier New"/>
        </w:rPr>
        <w:t>ed</w:t>
      </w:r>
      <w:r w:rsidR="00980D12">
        <w:rPr>
          <w:rFonts w:ascii="Courier New" w:hAnsi="Courier New" w:cs="Courier New"/>
        </w:rPr>
        <w:t xml:space="preserve"> </w:t>
      </w:r>
      <w:r w:rsidR="00DE0946">
        <w:rPr>
          <w:rFonts w:ascii="Courier New" w:hAnsi="Courier New" w:cs="Courier New"/>
        </w:rPr>
        <w:t xml:space="preserve">in time period </w:t>
      </w:r>
      <w:r w:rsidR="00980D12">
        <w:rPr>
          <w:rFonts w:ascii="Courier New" w:hAnsi="Courier New" w:cs="Courier New"/>
        </w:rPr>
        <w:t>from 2005 to 2012</w:t>
      </w:r>
      <w:r w:rsidR="00DE0946">
        <w:rPr>
          <w:rFonts w:ascii="Courier New" w:hAnsi="Courier New" w:cs="Courier New"/>
        </w:rPr>
        <w:t xml:space="preserve"> </w:t>
      </w:r>
      <w:r w:rsidR="00826EDB">
        <w:rPr>
          <w:rFonts w:ascii="Courier New" w:hAnsi="Courier New" w:cs="Courier New"/>
        </w:rPr>
        <w:t>and</w:t>
      </w:r>
      <w:r w:rsidR="00DE0946">
        <w:rPr>
          <w:rFonts w:ascii="Courier New" w:hAnsi="Courier New" w:cs="Courier New"/>
        </w:rPr>
        <w:t xml:space="preserve"> that geographically </w:t>
      </w:r>
      <w:r w:rsidR="00826EDB">
        <w:rPr>
          <w:rFonts w:ascii="Courier New" w:hAnsi="Courier New" w:cs="Courier New"/>
        </w:rPr>
        <w:t>represented</w:t>
      </w:r>
      <w:r w:rsidR="00DE0946">
        <w:rPr>
          <w:rFonts w:ascii="Courier New" w:hAnsi="Courier New" w:cs="Courier New"/>
        </w:rPr>
        <w:t xml:space="preserve"> a diverse swath of the country. He narrowed his </w:t>
      </w:r>
      <w:r w:rsidR="00656F83">
        <w:rPr>
          <w:rFonts w:ascii="Courier New" w:hAnsi="Courier New" w:cs="Courier New"/>
        </w:rPr>
        <w:t>rent analysis</w:t>
      </w:r>
      <w:r w:rsidR="00DE0946">
        <w:rPr>
          <w:rFonts w:ascii="Courier New" w:hAnsi="Courier New" w:cs="Courier New"/>
        </w:rPr>
        <w:t xml:space="preserve"> </w:t>
      </w:r>
      <w:r w:rsidR="00656F83">
        <w:rPr>
          <w:rFonts w:ascii="Courier New" w:hAnsi="Courier New" w:cs="Courier New"/>
        </w:rPr>
        <w:t xml:space="preserve">predominantly </w:t>
      </w:r>
      <w:r w:rsidR="00DE0946">
        <w:rPr>
          <w:rFonts w:ascii="Courier New" w:hAnsi="Courier New" w:cs="Courier New"/>
        </w:rPr>
        <w:t xml:space="preserve">to five leases that ranged in </w:t>
      </w:r>
      <w:r w:rsidR="004676B1">
        <w:rPr>
          <w:rFonts w:ascii="Courier New" w:hAnsi="Courier New" w:cs="Courier New"/>
        </w:rPr>
        <w:t>time period</w:t>
      </w:r>
      <w:r w:rsidR="00DE0946">
        <w:rPr>
          <w:rFonts w:ascii="Courier New" w:hAnsi="Courier New" w:cs="Courier New"/>
        </w:rPr>
        <w:t xml:space="preserve"> from 2005</w:t>
      </w:r>
      <w:r w:rsidR="00E737E3">
        <w:rPr>
          <w:rFonts w:ascii="Courier New" w:hAnsi="Courier New" w:cs="Courier New"/>
        </w:rPr>
        <w:t xml:space="preserve"> to 2012, with rents ranging from $3.21 to $6.20 per square foot. With adjustments, he concluded a market rent of $5 per square foot for the main store and $4.50 per square foot for the men’s/home store for each of the fiscal years at issue. </w:t>
      </w:r>
    </w:p>
    <w:p w:rsidR="001F3F34" w:rsidRDefault="00A3398C" w:rsidP="00C90D96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assessors’ appraiser</w:t>
      </w:r>
      <w:r w:rsidR="008930CC">
        <w:rPr>
          <w:rFonts w:ascii="Courier New" w:hAnsi="Courier New" w:cs="Courier New"/>
        </w:rPr>
        <w:t xml:space="preserve"> selected five leases, all from properties located in New England</w:t>
      </w:r>
      <w:r w:rsidR="00C90D96">
        <w:rPr>
          <w:rFonts w:ascii="Courier New" w:hAnsi="Courier New" w:cs="Courier New"/>
        </w:rPr>
        <w:t xml:space="preserve">. </w:t>
      </w:r>
      <w:r w:rsidR="008930CC">
        <w:rPr>
          <w:rFonts w:ascii="Courier New" w:hAnsi="Courier New" w:cs="Courier New"/>
        </w:rPr>
        <w:t xml:space="preserve">The leases ranged in time period from 2011 to 2013, with rents ranging from $4.50 to $10.95 per square foot. With adjustments, </w:t>
      </w:r>
      <w:r>
        <w:rPr>
          <w:rFonts w:ascii="Courier New" w:hAnsi="Courier New" w:cs="Courier New"/>
        </w:rPr>
        <w:t>he</w:t>
      </w:r>
      <w:r w:rsidR="008930CC">
        <w:rPr>
          <w:rFonts w:ascii="Courier New" w:hAnsi="Courier New" w:cs="Courier New"/>
        </w:rPr>
        <w:t xml:space="preserve"> </w:t>
      </w:r>
      <w:r w:rsidR="001755AA">
        <w:rPr>
          <w:rFonts w:ascii="Courier New" w:hAnsi="Courier New" w:cs="Courier New"/>
        </w:rPr>
        <w:t>derived</w:t>
      </w:r>
      <w:r w:rsidR="008930CC">
        <w:rPr>
          <w:rFonts w:ascii="Courier New" w:hAnsi="Courier New" w:cs="Courier New"/>
        </w:rPr>
        <w:t xml:space="preserve"> </w:t>
      </w:r>
      <w:r w:rsidR="0099076C">
        <w:rPr>
          <w:rFonts w:ascii="Courier New" w:hAnsi="Courier New" w:cs="Courier New"/>
        </w:rPr>
        <w:t>m</w:t>
      </w:r>
      <w:r w:rsidR="008930CC">
        <w:rPr>
          <w:rFonts w:ascii="Courier New" w:hAnsi="Courier New" w:cs="Courier New"/>
        </w:rPr>
        <w:t>arket rent</w:t>
      </w:r>
      <w:r w:rsidR="0099076C">
        <w:rPr>
          <w:rFonts w:ascii="Courier New" w:hAnsi="Courier New" w:cs="Courier New"/>
        </w:rPr>
        <w:t>s</w:t>
      </w:r>
      <w:r w:rsidR="008930CC">
        <w:rPr>
          <w:rFonts w:ascii="Courier New" w:hAnsi="Courier New" w:cs="Courier New"/>
        </w:rPr>
        <w:t xml:space="preserve"> of $7.20, $7.35, and $7.50 </w:t>
      </w:r>
      <w:r w:rsidR="0099076C">
        <w:rPr>
          <w:rFonts w:ascii="Courier New" w:hAnsi="Courier New" w:cs="Courier New"/>
        </w:rPr>
        <w:t xml:space="preserve">per square foot </w:t>
      </w:r>
      <w:r w:rsidR="008930CC">
        <w:rPr>
          <w:rFonts w:ascii="Courier New" w:hAnsi="Courier New" w:cs="Courier New"/>
        </w:rPr>
        <w:t xml:space="preserve">for the men’s/home store </w:t>
      </w:r>
      <w:r w:rsidR="001755AA">
        <w:rPr>
          <w:rFonts w:ascii="Courier New" w:hAnsi="Courier New" w:cs="Courier New"/>
        </w:rPr>
        <w:t>and</w:t>
      </w:r>
      <w:r w:rsidR="008930CC">
        <w:rPr>
          <w:rFonts w:ascii="Courier New" w:hAnsi="Courier New" w:cs="Courier New"/>
        </w:rPr>
        <w:t xml:space="preserve"> $7.70, $7.85, and $8</w:t>
      </w:r>
      <w:r w:rsidR="0099076C">
        <w:rPr>
          <w:rFonts w:ascii="Courier New" w:hAnsi="Courier New" w:cs="Courier New"/>
        </w:rPr>
        <w:t xml:space="preserve"> per square foot</w:t>
      </w:r>
      <w:r w:rsidR="008930CC">
        <w:rPr>
          <w:rFonts w:ascii="Courier New" w:hAnsi="Courier New" w:cs="Courier New"/>
        </w:rPr>
        <w:t xml:space="preserve"> for the main store for fiscal years 2014, 2015, and 2016, respectively.</w:t>
      </w:r>
      <w:r w:rsidR="00C90D96">
        <w:rPr>
          <w:rFonts w:ascii="Courier New" w:hAnsi="Courier New" w:cs="Courier New"/>
        </w:rPr>
        <w:t xml:space="preserve"> </w:t>
      </w:r>
    </w:p>
    <w:p w:rsidR="00035FAD" w:rsidRDefault="00A3398C" w:rsidP="00C90D96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Both</w:t>
      </w:r>
      <w:r w:rsidR="001F3F34">
        <w:rPr>
          <w:rFonts w:ascii="Courier New" w:hAnsi="Courier New" w:cs="Courier New"/>
        </w:rPr>
        <w:t xml:space="preserve"> appraisers </w:t>
      </w:r>
      <w:r>
        <w:rPr>
          <w:rFonts w:ascii="Courier New" w:hAnsi="Courier New" w:cs="Courier New"/>
        </w:rPr>
        <w:t xml:space="preserve">relied on </w:t>
      </w:r>
      <w:r w:rsidR="001F3F34">
        <w:rPr>
          <w:rFonts w:ascii="Courier New" w:hAnsi="Courier New" w:cs="Courier New"/>
        </w:rPr>
        <w:t xml:space="preserve">two of the same </w:t>
      </w:r>
      <w:r w:rsidR="00C73CDC">
        <w:rPr>
          <w:rFonts w:ascii="Courier New" w:hAnsi="Courier New" w:cs="Courier New"/>
        </w:rPr>
        <w:t>properties in their income analyses</w:t>
      </w:r>
      <w:r w:rsidR="008D2F31">
        <w:rPr>
          <w:rFonts w:ascii="Courier New" w:hAnsi="Courier New" w:cs="Courier New"/>
        </w:rPr>
        <w:t xml:space="preserve"> </w:t>
      </w:r>
      <w:r w:rsidR="00C73CDC">
        <w:rPr>
          <w:rFonts w:ascii="Courier New" w:hAnsi="Courier New" w:cs="Courier New"/>
        </w:rPr>
        <w:t xml:space="preserve">– </w:t>
      </w:r>
      <w:r w:rsidR="008139A9">
        <w:rPr>
          <w:rFonts w:ascii="Courier New" w:hAnsi="Courier New" w:cs="Courier New"/>
        </w:rPr>
        <w:t xml:space="preserve">the </w:t>
      </w:r>
      <w:proofErr w:type="gramStart"/>
      <w:r w:rsidR="008139A9">
        <w:rPr>
          <w:rFonts w:ascii="Courier New" w:hAnsi="Courier New" w:cs="Courier New"/>
        </w:rPr>
        <w:t>Lord &amp;</w:t>
      </w:r>
      <w:proofErr w:type="gramEnd"/>
      <w:r w:rsidR="008139A9">
        <w:rPr>
          <w:rFonts w:ascii="Courier New" w:hAnsi="Courier New" w:cs="Courier New"/>
        </w:rPr>
        <w:t xml:space="preserve"> Taylor at the Rockingham Mall </w:t>
      </w:r>
      <w:r w:rsidR="008139A9">
        <w:rPr>
          <w:rFonts w:ascii="Courier New" w:hAnsi="Courier New" w:cs="Courier New"/>
        </w:rPr>
        <w:lastRenderedPageBreak/>
        <w:t xml:space="preserve">in Salem, New Hampshire </w:t>
      </w:r>
      <w:r w:rsidR="00C73CDC">
        <w:rPr>
          <w:rFonts w:ascii="Courier New" w:hAnsi="Courier New" w:cs="Courier New"/>
        </w:rPr>
        <w:t xml:space="preserve">and </w:t>
      </w:r>
      <w:r w:rsidR="00864C81">
        <w:rPr>
          <w:rFonts w:ascii="Courier New" w:hAnsi="Courier New" w:cs="Courier New"/>
        </w:rPr>
        <w:t xml:space="preserve">the </w:t>
      </w:r>
      <w:r w:rsidR="008139A9">
        <w:rPr>
          <w:rFonts w:ascii="Courier New" w:hAnsi="Courier New" w:cs="Courier New"/>
        </w:rPr>
        <w:t>Bon-Ton at the Maine Mall in South Portland, Maine</w:t>
      </w:r>
      <w:r w:rsidR="001F3F34">
        <w:rPr>
          <w:rFonts w:ascii="Courier New" w:hAnsi="Courier New" w:cs="Courier New"/>
        </w:rPr>
        <w:t>.</w:t>
      </w:r>
      <w:r w:rsidR="00C73CDC">
        <w:rPr>
          <w:rFonts w:ascii="Courier New" w:hAnsi="Courier New" w:cs="Courier New"/>
        </w:rPr>
        <w:t xml:space="preserve"> </w:t>
      </w:r>
      <w:r w:rsidR="001F3F34">
        <w:rPr>
          <w:rFonts w:ascii="Courier New" w:hAnsi="Courier New" w:cs="Courier New"/>
        </w:rPr>
        <w:t>However, they</w:t>
      </w:r>
      <w:r w:rsidR="00C73CDC">
        <w:rPr>
          <w:rFonts w:ascii="Courier New" w:hAnsi="Courier New" w:cs="Courier New"/>
        </w:rPr>
        <w:t xml:space="preserve"> strongly disagreed on inclusion of </w:t>
      </w:r>
      <w:r w:rsidR="001F3F34">
        <w:rPr>
          <w:rFonts w:ascii="Courier New" w:hAnsi="Courier New" w:cs="Courier New"/>
        </w:rPr>
        <w:t xml:space="preserve">a third property - </w:t>
      </w:r>
      <w:r w:rsidR="00C73CDC">
        <w:rPr>
          <w:rFonts w:ascii="Courier New" w:hAnsi="Courier New" w:cs="Courier New"/>
        </w:rPr>
        <w:t xml:space="preserve">the Kohl’s department store located across from the subject properties. </w:t>
      </w:r>
      <w:r w:rsidR="00D762FE">
        <w:rPr>
          <w:rFonts w:ascii="Courier New" w:hAnsi="Courier New" w:cs="Courier New"/>
        </w:rPr>
        <w:t>The assessors’ appraiser</w:t>
      </w:r>
      <w:r w:rsidR="00C73CDC">
        <w:rPr>
          <w:rFonts w:ascii="Courier New" w:hAnsi="Courier New" w:cs="Courier New"/>
        </w:rPr>
        <w:t xml:space="preserve"> included the Kohl’s </w:t>
      </w:r>
      <w:r w:rsidR="001F3F34">
        <w:rPr>
          <w:rFonts w:ascii="Courier New" w:hAnsi="Courier New" w:cs="Courier New"/>
        </w:rPr>
        <w:t xml:space="preserve">lease </w:t>
      </w:r>
      <w:r w:rsidR="00C73CDC">
        <w:rPr>
          <w:rFonts w:ascii="Courier New" w:hAnsi="Courier New" w:cs="Courier New"/>
        </w:rPr>
        <w:t xml:space="preserve">as one of his five leases, </w:t>
      </w:r>
      <w:r w:rsidR="00DD14B8">
        <w:rPr>
          <w:rFonts w:ascii="Courier New" w:hAnsi="Courier New" w:cs="Courier New"/>
        </w:rPr>
        <w:t>testifying that “this is what I think is the best comparable rental that there is. It i</w:t>
      </w:r>
      <w:r w:rsidR="00934392">
        <w:rPr>
          <w:rFonts w:ascii="Courier New" w:hAnsi="Courier New" w:cs="Courier New"/>
        </w:rPr>
        <w:t>s</w:t>
      </w:r>
      <w:r w:rsidR="00DD14B8">
        <w:rPr>
          <w:rFonts w:ascii="Courier New" w:hAnsi="Courier New" w:cs="Courier New"/>
        </w:rPr>
        <w:t xml:space="preserve"> fifteen-hundred feet across the street from the subject properties. It </w:t>
      </w:r>
      <w:r w:rsidR="00934392">
        <w:rPr>
          <w:rFonts w:ascii="Courier New" w:hAnsi="Courier New" w:cs="Courier New"/>
        </w:rPr>
        <w:t xml:space="preserve">[] </w:t>
      </w:r>
      <w:r w:rsidR="00DD14B8">
        <w:rPr>
          <w:rFonts w:ascii="Courier New" w:hAnsi="Courier New" w:cs="Courier New"/>
        </w:rPr>
        <w:t>share</w:t>
      </w:r>
      <w:r w:rsidR="00934392">
        <w:rPr>
          <w:rFonts w:ascii="Courier New" w:hAnsi="Courier New" w:cs="Courier New"/>
        </w:rPr>
        <w:t>[s]</w:t>
      </w:r>
      <w:r w:rsidR="00DD14B8">
        <w:rPr>
          <w:rFonts w:ascii="Courier New" w:hAnsi="Courier New" w:cs="Courier New"/>
        </w:rPr>
        <w:t xml:space="preserve"> same demographics, sam</w:t>
      </w:r>
      <w:r w:rsidR="00934392">
        <w:rPr>
          <w:rFonts w:ascii="Courier New" w:hAnsi="Courier New" w:cs="Courier New"/>
        </w:rPr>
        <w:t>e</w:t>
      </w:r>
      <w:r w:rsidR="00DD14B8">
        <w:rPr>
          <w:rFonts w:ascii="Courier New" w:hAnsi="Courier New" w:cs="Courier New"/>
        </w:rPr>
        <w:t xml:space="preserve"> location</w:t>
      </w:r>
      <w:r w:rsidR="00934392">
        <w:rPr>
          <w:rFonts w:ascii="Courier New" w:hAnsi="Courier New" w:cs="Courier New"/>
        </w:rPr>
        <w:t xml:space="preserve">, same traffic count, similar visibility.” Conversely, </w:t>
      </w:r>
      <w:r w:rsidR="00D762FE">
        <w:rPr>
          <w:rFonts w:ascii="Courier New" w:hAnsi="Courier New" w:cs="Courier New"/>
        </w:rPr>
        <w:t>the appellant’s appraiser</w:t>
      </w:r>
      <w:r w:rsidR="00C73CDC">
        <w:rPr>
          <w:rFonts w:ascii="Courier New" w:hAnsi="Courier New" w:cs="Courier New"/>
        </w:rPr>
        <w:t xml:space="preserve"> testified that </w:t>
      </w:r>
      <w:r w:rsidR="00980EAA">
        <w:rPr>
          <w:rFonts w:ascii="Courier New" w:hAnsi="Courier New" w:cs="Courier New"/>
        </w:rPr>
        <w:t>“[</w:t>
      </w:r>
      <w:proofErr w:type="spellStart"/>
      <w:r w:rsidR="00980EAA">
        <w:rPr>
          <w:rFonts w:ascii="Courier New" w:hAnsi="Courier New" w:cs="Courier New"/>
        </w:rPr>
        <w:t>i</w:t>
      </w:r>
      <w:proofErr w:type="spellEnd"/>
      <w:r w:rsidR="00980EAA">
        <w:rPr>
          <w:rFonts w:ascii="Courier New" w:hAnsi="Courier New" w:cs="Courier New"/>
        </w:rPr>
        <w:t xml:space="preserve">]t’s a different animal. It’s an open air center. It has different market issues, different market penetration. [They] are a different player. It’s not part of a mall.” </w:t>
      </w:r>
      <w:r w:rsidR="00C90D96">
        <w:rPr>
          <w:rFonts w:ascii="Courier New" w:hAnsi="Courier New" w:cs="Courier New"/>
        </w:rPr>
        <w:t xml:space="preserve"> </w:t>
      </w:r>
      <w:r w:rsidR="008930CC">
        <w:rPr>
          <w:rFonts w:ascii="Courier New" w:hAnsi="Courier New" w:cs="Courier New"/>
        </w:rPr>
        <w:t xml:space="preserve">  </w:t>
      </w:r>
      <w:r w:rsidR="00980D12">
        <w:rPr>
          <w:rFonts w:ascii="Courier New" w:hAnsi="Courier New" w:cs="Courier New"/>
        </w:rPr>
        <w:t xml:space="preserve">  </w:t>
      </w:r>
    </w:p>
    <w:p w:rsidR="00D762FE" w:rsidRDefault="00763C38" w:rsidP="00F72558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Applying their respective </w:t>
      </w:r>
      <w:r w:rsidR="00093196">
        <w:rPr>
          <w:rFonts w:ascii="Courier New" w:hAnsi="Courier New" w:cs="Courier New"/>
        </w:rPr>
        <w:t>factors</w:t>
      </w:r>
      <w:r>
        <w:rPr>
          <w:rFonts w:ascii="Courier New" w:hAnsi="Courier New" w:cs="Courier New"/>
        </w:rPr>
        <w:t xml:space="preserve">, </w:t>
      </w:r>
      <w:r w:rsidR="00D762FE">
        <w:rPr>
          <w:rFonts w:ascii="Courier New" w:hAnsi="Courier New" w:cs="Courier New"/>
        </w:rPr>
        <w:t>the appellant’s appraiser</w:t>
      </w:r>
      <w:r w:rsidR="00035FAD">
        <w:rPr>
          <w:rFonts w:ascii="Courier New" w:hAnsi="Courier New" w:cs="Courier New"/>
        </w:rPr>
        <w:t xml:space="preserve"> </w:t>
      </w:r>
      <w:r w:rsidR="001755AA">
        <w:rPr>
          <w:rFonts w:ascii="Courier New" w:hAnsi="Courier New" w:cs="Courier New"/>
        </w:rPr>
        <w:t>arrived at</w:t>
      </w:r>
      <w:r w:rsidR="00035FAD">
        <w:rPr>
          <w:rFonts w:ascii="Courier New" w:hAnsi="Courier New" w:cs="Courier New"/>
        </w:rPr>
        <w:t xml:space="preserve"> </w:t>
      </w:r>
      <w:r w:rsidR="001755AA">
        <w:rPr>
          <w:rFonts w:ascii="Courier New" w:hAnsi="Courier New" w:cs="Courier New"/>
        </w:rPr>
        <w:t xml:space="preserve">a </w:t>
      </w:r>
      <w:r w:rsidR="00035FAD">
        <w:rPr>
          <w:rFonts w:ascii="Courier New" w:hAnsi="Courier New" w:cs="Courier New"/>
        </w:rPr>
        <w:t xml:space="preserve">value of </w:t>
      </w:r>
      <w:r w:rsidR="00B65D21">
        <w:rPr>
          <w:rFonts w:ascii="Courier New" w:hAnsi="Courier New" w:cs="Courier New"/>
        </w:rPr>
        <w:t xml:space="preserve">$4.3 million </w:t>
      </w:r>
      <w:r w:rsidR="00035FAD">
        <w:rPr>
          <w:rFonts w:ascii="Courier New" w:hAnsi="Courier New" w:cs="Courier New"/>
        </w:rPr>
        <w:t xml:space="preserve">for </w:t>
      </w:r>
      <w:r w:rsidR="00D762FE">
        <w:rPr>
          <w:rFonts w:ascii="Courier New" w:hAnsi="Courier New" w:cs="Courier New"/>
        </w:rPr>
        <w:t xml:space="preserve">all three </w:t>
      </w:r>
      <w:r w:rsidR="00035FAD">
        <w:rPr>
          <w:rFonts w:ascii="Courier New" w:hAnsi="Courier New" w:cs="Courier New"/>
        </w:rPr>
        <w:t>fiscal year</w:t>
      </w:r>
      <w:r w:rsidR="00D762FE">
        <w:rPr>
          <w:rFonts w:ascii="Courier New" w:hAnsi="Courier New" w:cs="Courier New"/>
        </w:rPr>
        <w:t>s at issue</w:t>
      </w:r>
      <w:r w:rsidR="00035FA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for the main store, and </w:t>
      </w:r>
      <w:r w:rsidR="00D762FE">
        <w:rPr>
          <w:rFonts w:ascii="Courier New" w:hAnsi="Courier New" w:cs="Courier New"/>
        </w:rPr>
        <w:t xml:space="preserve">the assessors’ appraiser </w:t>
      </w:r>
      <w:r>
        <w:rPr>
          <w:rFonts w:ascii="Courier New" w:hAnsi="Courier New" w:cs="Courier New"/>
        </w:rPr>
        <w:t>calculated</w:t>
      </w:r>
      <w:r w:rsidR="00035FAD">
        <w:rPr>
          <w:rFonts w:ascii="Courier New" w:hAnsi="Courier New" w:cs="Courier New"/>
        </w:rPr>
        <w:t xml:space="preserve"> value</w:t>
      </w:r>
      <w:r w:rsidR="004676B1">
        <w:rPr>
          <w:rFonts w:ascii="Courier New" w:hAnsi="Courier New" w:cs="Courier New"/>
        </w:rPr>
        <w:t>s</w:t>
      </w:r>
      <w:r w:rsidR="00035FAD">
        <w:rPr>
          <w:rFonts w:ascii="Courier New" w:hAnsi="Courier New" w:cs="Courier New"/>
        </w:rPr>
        <w:t xml:space="preserve"> of </w:t>
      </w:r>
      <w:r w:rsidR="001A2C39">
        <w:rPr>
          <w:rFonts w:ascii="Courier New" w:hAnsi="Courier New" w:cs="Courier New"/>
        </w:rPr>
        <w:t>$6.7 million</w:t>
      </w:r>
      <w:r w:rsidR="00035FAD">
        <w:rPr>
          <w:rFonts w:ascii="Courier New" w:hAnsi="Courier New" w:cs="Courier New"/>
        </w:rPr>
        <w:t xml:space="preserve"> for fiscal year 2014, </w:t>
      </w:r>
      <w:r w:rsidR="001A2C39">
        <w:rPr>
          <w:rFonts w:ascii="Courier New" w:hAnsi="Courier New" w:cs="Courier New"/>
        </w:rPr>
        <w:t>$7 million</w:t>
      </w:r>
      <w:r w:rsidR="00035FAD">
        <w:rPr>
          <w:rFonts w:ascii="Courier New" w:hAnsi="Courier New" w:cs="Courier New"/>
        </w:rPr>
        <w:t xml:space="preserve"> for fiscal year 2015, and </w:t>
      </w:r>
      <w:r w:rsidR="001A2C39">
        <w:rPr>
          <w:rFonts w:ascii="Courier New" w:hAnsi="Courier New" w:cs="Courier New"/>
        </w:rPr>
        <w:t>$7.4 million</w:t>
      </w:r>
      <w:r w:rsidR="00035FAD">
        <w:rPr>
          <w:rFonts w:ascii="Courier New" w:hAnsi="Courier New" w:cs="Courier New"/>
        </w:rPr>
        <w:t xml:space="preserve"> for fiscal year 2016. </w:t>
      </w:r>
    </w:p>
    <w:p w:rsidR="00D762FE" w:rsidRDefault="00035FAD" w:rsidP="00F72558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For the men’s/home store, </w:t>
      </w:r>
      <w:r w:rsidR="00D762FE">
        <w:rPr>
          <w:rFonts w:ascii="Courier New" w:hAnsi="Courier New" w:cs="Courier New"/>
        </w:rPr>
        <w:t xml:space="preserve">the appellant’s appraiser </w:t>
      </w:r>
      <w:r w:rsidR="00763C38">
        <w:rPr>
          <w:rFonts w:ascii="Courier New" w:hAnsi="Courier New" w:cs="Courier New"/>
        </w:rPr>
        <w:t>calculated</w:t>
      </w:r>
      <w:r>
        <w:rPr>
          <w:rFonts w:ascii="Courier New" w:hAnsi="Courier New" w:cs="Courier New"/>
        </w:rPr>
        <w:t xml:space="preserve"> value</w:t>
      </w:r>
      <w:r w:rsidR="004676B1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of </w:t>
      </w:r>
      <w:r w:rsidR="001A2C39">
        <w:rPr>
          <w:rFonts w:ascii="Courier New" w:hAnsi="Courier New" w:cs="Courier New"/>
        </w:rPr>
        <w:t>$5.6 million</w:t>
      </w:r>
      <w:r>
        <w:rPr>
          <w:rFonts w:ascii="Courier New" w:hAnsi="Courier New" w:cs="Courier New"/>
        </w:rPr>
        <w:t xml:space="preserve"> for fiscal year</w:t>
      </w:r>
      <w:r w:rsidR="00D762FE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2014</w:t>
      </w:r>
      <w:r w:rsidR="00D762FE">
        <w:rPr>
          <w:rFonts w:ascii="Courier New" w:hAnsi="Courier New" w:cs="Courier New"/>
        </w:rPr>
        <w:t xml:space="preserve"> and </w:t>
      </w:r>
      <w:r>
        <w:rPr>
          <w:rFonts w:ascii="Courier New" w:hAnsi="Courier New" w:cs="Courier New"/>
        </w:rPr>
        <w:t xml:space="preserve">2015, and </w:t>
      </w:r>
      <w:r w:rsidR="001A2C39">
        <w:rPr>
          <w:rFonts w:ascii="Courier New" w:hAnsi="Courier New" w:cs="Courier New"/>
        </w:rPr>
        <w:t>$5.65 million</w:t>
      </w:r>
      <w:r>
        <w:rPr>
          <w:rFonts w:ascii="Courier New" w:hAnsi="Courier New" w:cs="Courier New"/>
        </w:rPr>
        <w:t xml:space="preserve"> for fiscal year 2016</w:t>
      </w:r>
      <w:r w:rsidR="00B65D21">
        <w:rPr>
          <w:rFonts w:ascii="Courier New" w:hAnsi="Courier New" w:cs="Courier New"/>
        </w:rPr>
        <w:t xml:space="preserve">, </w:t>
      </w:r>
      <w:r w:rsidR="001755AA">
        <w:rPr>
          <w:rFonts w:ascii="Courier New" w:hAnsi="Courier New" w:cs="Courier New"/>
        </w:rPr>
        <w:t>while</w:t>
      </w:r>
      <w:r w:rsidR="00B65D21">
        <w:rPr>
          <w:rFonts w:ascii="Courier New" w:hAnsi="Courier New" w:cs="Courier New"/>
        </w:rPr>
        <w:t xml:space="preserve"> </w:t>
      </w:r>
      <w:r w:rsidR="00D762FE">
        <w:rPr>
          <w:rFonts w:ascii="Courier New" w:hAnsi="Courier New" w:cs="Courier New"/>
        </w:rPr>
        <w:t xml:space="preserve">the assessors’ appraiser </w:t>
      </w:r>
      <w:r w:rsidR="001755AA">
        <w:rPr>
          <w:rFonts w:ascii="Courier New" w:hAnsi="Courier New" w:cs="Courier New"/>
        </w:rPr>
        <w:t>arrived at</w:t>
      </w:r>
      <w:r w:rsidR="00B65D21">
        <w:rPr>
          <w:rFonts w:ascii="Courier New" w:hAnsi="Courier New" w:cs="Courier New"/>
        </w:rPr>
        <w:t xml:space="preserve"> value</w:t>
      </w:r>
      <w:r w:rsidR="004676B1">
        <w:rPr>
          <w:rFonts w:ascii="Courier New" w:hAnsi="Courier New" w:cs="Courier New"/>
        </w:rPr>
        <w:t>s</w:t>
      </w:r>
      <w:r w:rsidR="00B65D21">
        <w:rPr>
          <w:rFonts w:ascii="Courier New" w:hAnsi="Courier New" w:cs="Courier New"/>
        </w:rPr>
        <w:t xml:space="preserve"> of </w:t>
      </w:r>
      <w:r w:rsidR="001A2C39">
        <w:rPr>
          <w:rFonts w:ascii="Courier New" w:hAnsi="Courier New" w:cs="Courier New"/>
        </w:rPr>
        <w:t>$9.3 million</w:t>
      </w:r>
      <w:r w:rsidR="00B65D21">
        <w:rPr>
          <w:rFonts w:ascii="Courier New" w:hAnsi="Courier New" w:cs="Courier New"/>
        </w:rPr>
        <w:t xml:space="preserve"> for fiscal year 2014, </w:t>
      </w:r>
      <w:r w:rsidR="001A2C39">
        <w:rPr>
          <w:rFonts w:ascii="Courier New" w:hAnsi="Courier New" w:cs="Courier New"/>
        </w:rPr>
        <w:t>$9.6 million</w:t>
      </w:r>
      <w:r w:rsidR="00B65D21">
        <w:rPr>
          <w:rFonts w:ascii="Courier New" w:hAnsi="Courier New" w:cs="Courier New"/>
        </w:rPr>
        <w:t xml:space="preserve"> for fiscal year 2015, and </w:t>
      </w:r>
      <w:r w:rsidR="001A2C39">
        <w:rPr>
          <w:rFonts w:ascii="Courier New" w:hAnsi="Courier New" w:cs="Courier New"/>
        </w:rPr>
        <w:t xml:space="preserve">$10.2 </w:t>
      </w:r>
      <w:r w:rsidR="001A2C39">
        <w:rPr>
          <w:rFonts w:ascii="Courier New" w:hAnsi="Courier New" w:cs="Courier New"/>
        </w:rPr>
        <w:lastRenderedPageBreak/>
        <w:t>million</w:t>
      </w:r>
      <w:r w:rsidR="00B65D21">
        <w:rPr>
          <w:rFonts w:ascii="Courier New" w:hAnsi="Courier New" w:cs="Courier New"/>
        </w:rPr>
        <w:t xml:space="preserve"> for fiscal year 2016.</w:t>
      </w:r>
      <w:r>
        <w:rPr>
          <w:rFonts w:ascii="Courier New" w:hAnsi="Courier New" w:cs="Courier New"/>
        </w:rPr>
        <w:t xml:space="preserve"> </w:t>
      </w:r>
      <w:r w:rsidR="00DD7B23">
        <w:rPr>
          <w:rFonts w:ascii="Courier New" w:hAnsi="Courier New" w:cs="Courier New"/>
        </w:rPr>
        <w:t xml:space="preserve">Notably, </w:t>
      </w:r>
      <w:r w:rsidR="00D762FE">
        <w:rPr>
          <w:rFonts w:ascii="Courier New" w:hAnsi="Courier New" w:cs="Courier New"/>
        </w:rPr>
        <w:t xml:space="preserve">the </w:t>
      </w:r>
      <w:r w:rsidR="00DD7B23">
        <w:rPr>
          <w:rFonts w:ascii="Courier New" w:hAnsi="Courier New" w:cs="Courier New"/>
        </w:rPr>
        <w:t xml:space="preserve">values </w:t>
      </w:r>
      <w:r w:rsidR="001755AA">
        <w:rPr>
          <w:rFonts w:ascii="Courier New" w:hAnsi="Courier New" w:cs="Courier New"/>
        </w:rPr>
        <w:t>determined</w:t>
      </w:r>
      <w:r w:rsidR="00D762FE">
        <w:rPr>
          <w:rFonts w:ascii="Courier New" w:hAnsi="Courier New" w:cs="Courier New"/>
        </w:rPr>
        <w:t xml:space="preserve"> by the assessors’ appraiser </w:t>
      </w:r>
      <w:r w:rsidR="00DD7B23">
        <w:rPr>
          <w:rFonts w:ascii="Courier New" w:hAnsi="Courier New" w:cs="Courier New"/>
        </w:rPr>
        <w:t>for fiscal year 2014 were lower than the assessed values.</w:t>
      </w:r>
    </w:p>
    <w:p w:rsidR="006002BD" w:rsidRPr="00F72558" w:rsidRDefault="006002BD" w:rsidP="0099076C">
      <w:pPr>
        <w:spacing w:line="480" w:lineRule="auto"/>
        <w:jc w:val="both"/>
        <w:rPr>
          <w:rFonts w:ascii="Courier New" w:hAnsi="Courier New" w:cs="Courier New"/>
          <w:b/>
        </w:rPr>
      </w:pPr>
      <w:r w:rsidRPr="00F72558">
        <w:rPr>
          <w:rFonts w:ascii="Courier New" w:hAnsi="Courier New" w:cs="Courier New"/>
          <w:b/>
        </w:rPr>
        <w:t>I</w:t>
      </w:r>
      <w:r>
        <w:rPr>
          <w:rFonts w:ascii="Courier New" w:hAnsi="Courier New" w:cs="Courier New"/>
          <w:b/>
        </w:rPr>
        <w:t>V</w:t>
      </w:r>
      <w:r w:rsidRPr="00F72558">
        <w:rPr>
          <w:rFonts w:ascii="Courier New" w:hAnsi="Courier New" w:cs="Courier New"/>
          <w:b/>
        </w:rPr>
        <w:t xml:space="preserve">. </w:t>
      </w:r>
      <w:r w:rsidR="00351929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>The Board’s Conclusions</w:t>
      </w:r>
    </w:p>
    <w:p w:rsidR="004E29CE" w:rsidRDefault="001C2AD4" w:rsidP="006002BD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Based </w:t>
      </w:r>
      <w:r w:rsidR="006002BD">
        <w:rPr>
          <w:rFonts w:ascii="Courier New" w:hAnsi="Courier New" w:cs="Courier New"/>
        </w:rPr>
        <w:t xml:space="preserve">on the evidence of record, the Board found </w:t>
      </w:r>
      <w:r w:rsidR="001A22C1">
        <w:rPr>
          <w:rFonts w:ascii="Courier New" w:hAnsi="Courier New" w:cs="Courier New"/>
        </w:rPr>
        <w:t xml:space="preserve">and ruled </w:t>
      </w:r>
      <w:r w:rsidR="006002BD">
        <w:rPr>
          <w:rFonts w:ascii="Courier New" w:hAnsi="Courier New" w:cs="Courier New"/>
        </w:rPr>
        <w:t xml:space="preserve">that </w:t>
      </w:r>
      <w:r w:rsidR="005038CE">
        <w:rPr>
          <w:rFonts w:ascii="Courier New" w:hAnsi="Courier New" w:cs="Courier New"/>
        </w:rPr>
        <w:t>the appellant met its burden of proving that the assessed values</w:t>
      </w:r>
      <w:r w:rsidR="007D145B">
        <w:rPr>
          <w:rFonts w:ascii="Courier New" w:hAnsi="Courier New" w:cs="Courier New"/>
        </w:rPr>
        <w:t xml:space="preserve"> of the subject propert</w:t>
      </w:r>
      <w:r w:rsidR="00B850F4">
        <w:rPr>
          <w:rFonts w:ascii="Courier New" w:hAnsi="Courier New" w:cs="Courier New"/>
        </w:rPr>
        <w:t>ies</w:t>
      </w:r>
      <w:r w:rsidR="005038CE">
        <w:rPr>
          <w:rFonts w:ascii="Courier New" w:hAnsi="Courier New" w:cs="Courier New"/>
        </w:rPr>
        <w:t xml:space="preserve"> exceed</w:t>
      </w:r>
      <w:r w:rsidR="005839DA">
        <w:rPr>
          <w:rFonts w:ascii="Courier New" w:hAnsi="Courier New" w:cs="Courier New"/>
        </w:rPr>
        <w:t>ed</w:t>
      </w:r>
      <w:r w:rsidR="005038CE">
        <w:rPr>
          <w:rFonts w:ascii="Courier New" w:hAnsi="Courier New" w:cs="Courier New"/>
        </w:rPr>
        <w:t xml:space="preserve"> their fair market values</w:t>
      </w:r>
      <w:r w:rsidR="00EE0B90">
        <w:rPr>
          <w:rFonts w:ascii="Courier New" w:hAnsi="Courier New" w:cs="Courier New"/>
        </w:rPr>
        <w:t xml:space="preserve"> for the fiscal years at issue</w:t>
      </w:r>
      <w:r w:rsidR="005038CE">
        <w:rPr>
          <w:rFonts w:ascii="Courier New" w:hAnsi="Courier New" w:cs="Courier New"/>
        </w:rPr>
        <w:t xml:space="preserve">. The Board agreed with both </w:t>
      </w:r>
      <w:r w:rsidR="00D762FE">
        <w:rPr>
          <w:rFonts w:ascii="Courier New" w:hAnsi="Courier New" w:cs="Courier New"/>
        </w:rPr>
        <w:t>appraisers</w:t>
      </w:r>
      <w:r w:rsidR="005038CE">
        <w:rPr>
          <w:rFonts w:ascii="Courier New" w:hAnsi="Courier New" w:cs="Courier New"/>
        </w:rPr>
        <w:t xml:space="preserve"> that the highest and best use of the subject propert</w:t>
      </w:r>
      <w:r w:rsidR="00B850F4">
        <w:rPr>
          <w:rFonts w:ascii="Courier New" w:hAnsi="Courier New" w:cs="Courier New"/>
        </w:rPr>
        <w:t>ies</w:t>
      </w:r>
      <w:r w:rsidR="005038CE">
        <w:rPr>
          <w:rFonts w:ascii="Courier New" w:hAnsi="Courier New" w:cs="Courier New"/>
        </w:rPr>
        <w:t xml:space="preserve"> was </w:t>
      </w:r>
      <w:r w:rsidR="00B850F4">
        <w:rPr>
          <w:rFonts w:ascii="Courier New" w:hAnsi="Courier New" w:cs="Courier New"/>
        </w:rPr>
        <w:t>their</w:t>
      </w:r>
      <w:r w:rsidR="005038CE">
        <w:rPr>
          <w:rFonts w:ascii="Courier New" w:hAnsi="Courier New" w:cs="Courier New"/>
        </w:rPr>
        <w:t xml:space="preserve"> </w:t>
      </w:r>
      <w:r w:rsidR="007D145B">
        <w:rPr>
          <w:rFonts w:ascii="Courier New" w:hAnsi="Courier New" w:cs="Courier New"/>
        </w:rPr>
        <w:t xml:space="preserve">existing retail </w:t>
      </w:r>
      <w:r w:rsidR="005038CE">
        <w:rPr>
          <w:rFonts w:ascii="Courier New" w:hAnsi="Courier New" w:cs="Courier New"/>
        </w:rPr>
        <w:t>use. The Board</w:t>
      </w:r>
      <w:r w:rsidR="004F27D1">
        <w:rPr>
          <w:rFonts w:ascii="Courier New" w:hAnsi="Courier New" w:cs="Courier New"/>
        </w:rPr>
        <w:t xml:space="preserve"> </w:t>
      </w:r>
      <w:r w:rsidRPr="00656F83">
        <w:rPr>
          <w:rFonts w:ascii="Courier New" w:hAnsi="Courier New" w:cs="Courier New"/>
        </w:rPr>
        <w:t xml:space="preserve">also agreed with both </w:t>
      </w:r>
      <w:r w:rsidR="00C90B7B">
        <w:rPr>
          <w:rFonts w:ascii="Courier New" w:hAnsi="Courier New" w:cs="Courier New"/>
        </w:rPr>
        <w:t>appraisers</w:t>
      </w:r>
      <w:r w:rsidRPr="00656F83">
        <w:rPr>
          <w:rFonts w:ascii="Courier New" w:hAnsi="Courier New" w:cs="Courier New"/>
        </w:rPr>
        <w:t xml:space="preserve">’ vacancy and collection loss of 5 percent. </w:t>
      </w:r>
      <w:r w:rsidR="00402200">
        <w:rPr>
          <w:rFonts w:ascii="Courier New" w:hAnsi="Courier New" w:cs="Courier New"/>
        </w:rPr>
        <w:t xml:space="preserve">The Board adopted </w:t>
      </w:r>
      <w:r w:rsidR="00C90B7B">
        <w:rPr>
          <w:rFonts w:ascii="Courier New" w:hAnsi="Courier New" w:cs="Courier New"/>
        </w:rPr>
        <w:t xml:space="preserve">the </w:t>
      </w:r>
      <w:r w:rsidR="00402200">
        <w:rPr>
          <w:rFonts w:ascii="Courier New" w:hAnsi="Courier New" w:cs="Courier New"/>
        </w:rPr>
        <w:t>2 percent management fee</w:t>
      </w:r>
      <w:r w:rsidR="004E29CE">
        <w:rPr>
          <w:rFonts w:ascii="Courier New" w:hAnsi="Courier New" w:cs="Courier New"/>
        </w:rPr>
        <w:t xml:space="preserve"> used by the appellant’s appraiser</w:t>
      </w:r>
      <w:r w:rsidR="00402200">
        <w:rPr>
          <w:rFonts w:ascii="Courier New" w:hAnsi="Courier New" w:cs="Courier New"/>
        </w:rPr>
        <w:t>. The subject properties are occupied by the owner and though subdivision is possible, it is unlikely given the two-story structure of the subject properties annexed to a one-story mall</w:t>
      </w:r>
      <w:r w:rsidR="004E29CE">
        <w:rPr>
          <w:rFonts w:ascii="Courier New" w:hAnsi="Courier New" w:cs="Courier New"/>
        </w:rPr>
        <w:t>, thereby justifying a lower management fee</w:t>
      </w:r>
      <w:r w:rsidR="00402200">
        <w:rPr>
          <w:rFonts w:ascii="Courier New" w:hAnsi="Courier New" w:cs="Courier New"/>
        </w:rPr>
        <w:t>.</w:t>
      </w:r>
      <w:r w:rsidR="00B40BC2">
        <w:rPr>
          <w:rFonts w:ascii="Courier New" w:hAnsi="Courier New" w:cs="Courier New"/>
        </w:rPr>
        <w:t xml:space="preserve"> </w:t>
      </w:r>
      <w:r w:rsidR="00254ADF">
        <w:rPr>
          <w:rFonts w:ascii="Courier New" w:hAnsi="Courier New" w:cs="Courier New"/>
        </w:rPr>
        <w:t>T</w:t>
      </w:r>
      <w:r w:rsidR="00B40BC2">
        <w:rPr>
          <w:rFonts w:ascii="Courier New" w:hAnsi="Courier New" w:cs="Courier New"/>
        </w:rPr>
        <w:t xml:space="preserve">he Board adopted </w:t>
      </w:r>
      <w:r w:rsidR="004E29CE">
        <w:rPr>
          <w:rFonts w:ascii="Courier New" w:hAnsi="Courier New" w:cs="Courier New"/>
        </w:rPr>
        <w:t xml:space="preserve">the replacement reserves of </w:t>
      </w:r>
      <w:r w:rsidR="00B40BC2">
        <w:rPr>
          <w:rFonts w:ascii="Courier New" w:hAnsi="Courier New" w:cs="Courier New"/>
        </w:rPr>
        <w:t>$</w:t>
      </w:r>
      <w:r w:rsidR="004E29CE">
        <w:rPr>
          <w:rFonts w:ascii="Courier New" w:hAnsi="Courier New" w:cs="Courier New"/>
        </w:rPr>
        <w:t>0</w:t>
      </w:r>
      <w:r w:rsidR="00B40BC2">
        <w:rPr>
          <w:rFonts w:ascii="Courier New" w:hAnsi="Courier New" w:cs="Courier New"/>
        </w:rPr>
        <w:t xml:space="preserve">.40 per square foot </w:t>
      </w:r>
      <w:r w:rsidR="004E29CE">
        <w:rPr>
          <w:rFonts w:ascii="Courier New" w:hAnsi="Courier New" w:cs="Courier New"/>
        </w:rPr>
        <w:t>used by the assessors’ appraiser</w:t>
      </w:r>
      <w:r w:rsidR="00B40BC2">
        <w:rPr>
          <w:rFonts w:ascii="Courier New" w:hAnsi="Courier New" w:cs="Courier New"/>
        </w:rPr>
        <w:t xml:space="preserve">, given that both </w:t>
      </w:r>
      <w:r w:rsidR="004E29CE">
        <w:rPr>
          <w:rFonts w:ascii="Courier New" w:hAnsi="Courier New" w:cs="Courier New"/>
        </w:rPr>
        <w:t>appraisers</w:t>
      </w:r>
      <w:r w:rsidR="00B40BC2">
        <w:rPr>
          <w:rFonts w:ascii="Courier New" w:hAnsi="Courier New" w:cs="Courier New"/>
        </w:rPr>
        <w:t xml:space="preserve"> noted signs of physical wear, including the need for a new ceiling in the men’s/home store. </w:t>
      </w:r>
    </w:p>
    <w:p w:rsidR="00C90D96" w:rsidRDefault="00B40BC2" w:rsidP="006002BD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For capitalization rates, the Board found that </w:t>
      </w:r>
      <w:r w:rsidR="00E64093">
        <w:rPr>
          <w:rFonts w:ascii="Courier New" w:hAnsi="Courier New" w:cs="Courier New"/>
        </w:rPr>
        <w:t xml:space="preserve">the rates selected by the assessors’ appraiser better reflected market conditions </w:t>
      </w:r>
      <w:r>
        <w:rPr>
          <w:rFonts w:ascii="Courier New" w:hAnsi="Courier New" w:cs="Courier New"/>
        </w:rPr>
        <w:t xml:space="preserve">and determined a capitalization rate of 8 percent for fiscal years 2014 and 2015 and 7.5 percent for fiscal year 2016. </w:t>
      </w:r>
      <w:r w:rsidR="00402200">
        <w:rPr>
          <w:rFonts w:ascii="Courier New" w:hAnsi="Courier New" w:cs="Courier New"/>
        </w:rPr>
        <w:t xml:space="preserve"> </w:t>
      </w:r>
      <w:r w:rsidR="001C2AD4" w:rsidRPr="00656F83">
        <w:rPr>
          <w:rFonts w:ascii="Courier New" w:hAnsi="Courier New" w:cs="Courier New"/>
        </w:rPr>
        <w:t xml:space="preserve"> </w:t>
      </w:r>
    </w:p>
    <w:p w:rsidR="00C90D96" w:rsidRDefault="00B40BC2" w:rsidP="006002BD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For rent</w:t>
      </w:r>
      <w:r w:rsidR="00E64093">
        <w:rPr>
          <w:rFonts w:ascii="Courier New" w:hAnsi="Courier New" w:cs="Courier New"/>
        </w:rPr>
        <w:t>al</w:t>
      </w:r>
      <w:r>
        <w:rPr>
          <w:rFonts w:ascii="Courier New" w:hAnsi="Courier New" w:cs="Courier New"/>
        </w:rPr>
        <w:t xml:space="preserve"> values, the Board </w:t>
      </w:r>
      <w:r w:rsidR="005E2A08">
        <w:rPr>
          <w:rFonts w:ascii="Courier New" w:hAnsi="Courier New" w:cs="Courier New"/>
        </w:rPr>
        <w:t>weighed</w:t>
      </w:r>
      <w:r w:rsidR="00EC3A5E">
        <w:rPr>
          <w:rFonts w:ascii="Courier New" w:hAnsi="Courier New" w:cs="Courier New"/>
        </w:rPr>
        <w:t xml:space="preserve"> the challenges facing traditional retailers against the evolving </w:t>
      </w:r>
      <w:r w:rsidR="001F3F34">
        <w:rPr>
          <w:rFonts w:ascii="Courier New" w:hAnsi="Courier New" w:cs="Courier New"/>
        </w:rPr>
        <w:t>uses</w:t>
      </w:r>
      <w:r w:rsidR="00EC3A5E">
        <w:rPr>
          <w:rFonts w:ascii="Courier New" w:hAnsi="Courier New" w:cs="Courier New"/>
        </w:rPr>
        <w:t xml:space="preserve"> of spaces </w:t>
      </w:r>
      <w:r w:rsidR="00C11717">
        <w:rPr>
          <w:rFonts w:ascii="Courier New" w:hAnsi="Courier New" w:cs="Courier New"/>
        </w:rPr>
        <w:t xml:space="preserve">once </w:t>
      </w:r>
      <w:r w:rsidR="00EC3A5E">
        <w:rPr>
          <w:rFonts w:ascii="Courier New" w:hAnsi="Courier New" w:cs="Courier New"/>
        </w:rPr>
        <w:t>occupied by such retailers</w:t>
      </w:r>
      <w:r>
        <w:rPr>
          <w:rFonts w:ascii="Courier New" w:hAnsi="Courier New" w:cs="Courier New"/>
        </w:rPr>
        <w:t>.</w:t>
      </w:r>
      <w:r w:rsidR="00DD14B8">
        <w:rPr>
          <w:rFonts w:ascii="Courier New" w:hAnsi="Courier New" w:cs="Courier New"/>
        </w:rPr>
        <w:t xml:space="preserve"> </w:t>
      </w:r>
      <w:r w:rsidR="00EC3A5E">
        <w:rPr>
          <w:rFonts w:ascii="Courier New" w:hAnsi="Courier New" w:cs="Courier New"/>
        </w:rPr>
        <w:t xml:space="preserve">The Board also considered the unique demographics of Cape Cod, as stressed by </w:t>
      </w:r>
      <w:r w:rsidR="00010ECA">
        <w:rPr>
          <w:rFonts w:ascii="Courier New" w:hAnsi="Courier New" w:cs="Courier New"/>
        </w:rPr>
        <w:t>the appellant’s appraiser</w:t>
      </w:r>
      <w:r w:rsidR="00EC3A5E">
        <w:rPr>
          <w:rFonts w:ascii="Courier New" w:hAnsi="Courier New" w:cs="Courier New"/>
        </w:rPr>
        <w:t xml:space="preserve">, which is why the Board could not ignore </w:t>
      </w:r>
      <w:r w:rsidR="00010ECA">
        <w:rPr>
          <w:rFonts w:ascii="Courier New" w:hAnsi="Courier New" w:cs="Courier New"/>
        </w:rPr>
        <w:t xml:space="preserve">the </w:t>
      </w:r>
      <w:r w:rsidR="00EC3A5E">
        <w:rPr>
          <w:rFonts w:ascii="Courier New" w:hAnsi="Courier New" w:cs="Courier New"/>
        </w:rPr>
        <w:t>selection of the Kohl’s department store as a comparable</w:t>
      </w:r>
      <w:r w:rsidR="00010ECA">
        <w:rPr>
          <w:rFonts w:ascii="Courier New" w:hAnsi="Courier New" w:cs="Courier New"/>
        </w:rPr>
        <w:t xml:space="preserve"> by the assessors’ appraiser</w:t>
      </w:r>
      <w:r w:rsidR="00EC3A5E">
        <w:rPr>
          <w:rFonts w:ascii="Courier New" w:hAnsi="Courier New" w:cs="Courier New"/>
        </w:rPr>
        <w:t xml:space="preserve">, given its location across from the subject properties. </w:t>
      </w:r>
      <w:r w:rsidR="00385C62">
        <w:rPr>
          <w:rFonts w:ascii="Courier New" w:hAnsi="Courier New" w:cs="Courier New"/>
        </w:rPr>
        <w:t>On balance, the Board found that rent</w:t>
      </w:r>
      <w:r w:rsidR="004676B1">
        <w:rPr>
          <w:rFonts w:ascii="Courier New" w:hAnsi="Courier New" w:cs="Courier New"/>
        </w:rPr>
        <w:t>s</w:t>
      </w:r>
      <w:r w:rsidR="00385C62">
        <w:rPr>
          <w:rFonts w:ascii="Courier New" w:hAnsi="Courier New" w:cs="Courier New"/>
        </w:rPr>
        <w:t xml:space="preserve"> of $7 for the main store and $6.50 for the </w:t>
      </w:r>
      <w:r w:rsidR="00D14E52" w:rsidRPr="00656F83">
        <w:rPr>
          <w:rFonts w:ascii="Courier New" w:hAnsi="Courier New" w:cs="Courier New"/>
        </w:rPr>
        <w:t>men’s/home</w:t>
      </w:r>
      <w:r w:rsidR="00385C62">
        <w:rPr>
          <w:rFonts w:ascii="Courier New" w:hAnsi="Courier New" w:cs="Courier New"/>
        </w:rPr>
        <w:t xml:space="preserve"> store </w:t>
      </w:r>
      <w:r w:rsidR="00E66C44">
        <w:rPr>
          <w:rFonts w:ascii="Courier New" w:hAnsi="Courier New" w:cs="Courier New"/>
        </w:rPr>
        <w:t xml:space="preserve">represented fair market rents </w:t>
      </w:r>
      <w:r w:rsidR="00385C62">
        <w:rPr>
          <w:rFonts w:ascii="Courier New" w:hAnsi="Courier New" w:cs="Courier New"/>
        </w:rPr>
        <w:t>for each of the fiscal years at issue</w:t>
      </w:r>
      <w:r w:rsidR="00E66C44">
        <w:rPr>
          <w:rFonts w:ascii="Courier New" w:hAnsi="Courier New" w:cs="Courier New"/>
        </w:rPr>
        <w:t>.</w:t>
      </w:r>
      <w:r w:rsidR="00385C62">
        <w:rPr>
          <w:rFonts w:ascii="Courier New" w:hAnsi="Courier New" w:cs="Courier New"/>
        </w:rPr>
        <w:t xml:space="preserve"> </w:t>
      </w:r>
    </w:p>
    <w:p w:rsidR="004E24E7" w:rsidRDefault="00B40BC2" w:rsidP="006002BD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Applying the above</w:t>
      </w:r>
      <w:r w:rsidR="001C2AD4" w:rsidRPr="00656F83">
        <w:rPr>
          <w:rFonts w:ascii="Courier New" w:hAnsi="Courier New" w:cs="Courier New"/>
        </w:rPr>
        <w:t xml:space="preserve"> </w:t>
      </w:r>
      <w:r w:rsidR="00E64093">
        <w:rPr>
          <w:rFonts w:ascii="Courier New" w:hAnsi="Courier New" w:cs="Courier New"/>
        </w:rPr>
        <w:t>elements</w:t>
      </w:r>
      <w:r w:rsidR="001C2AD4" w:rsidRPr="00656F83">
        <w:rPr>
          <w:rFonts w:ascii="Courier New" w:hAnsi="Courier New" w:cs="Courier New"/>
        </w:rPr>
        <w:t xml:space="preserve">, the Board found fair cash values of $6,150,000, $6,150,000, and $6,575,000, </w:t>
      </w:r>
      <w:r w:rsidR="00E64093" w:rsidRPr="00656F83">
        <w:rPr>
          <w:rFonts w:ascii="Courier New" w:hAnsi="Courier New" w:cs="Courier New"/>
        </w:rPr>
        <w:t xml:space="preserve">for the main store </w:t>
      </w:r>
      <w:r w:rsidR="001C2AD4" w:rsidRPr="00656F83">
        <w:rPr>
          <w:rFonts w:ascii="Courier New" w:hAnsi="Courier New" w:cs="Courier New"/>
        </w:rPr>
        <w:t xml:space="preserve">and </w:t>
      </w:r>
      <w:r w:rsidR="00E64093" w:rsidRPr="00656F83">
        <w:rPr>
          <w:rFonts w:ascii="Courier New" w:hAnsi="Courier New" w:cs="Courier New"/>
        </w:rPr>
        <w:t xml:space="preserve">$8,400,000, $8,400,000, and $8,950,000, </w:t>
      </w:r>
      <w:r w:rsidR="001C2AD4" w:rsidRPr="00656F83">
        <w:rPr>
          <w:rFonts w:ascii="Courier New" w:hAnsi="Courier New" w:cs="Courier New"/>
        </w:rPr>
        <w:t xml:space="preserve">for the men’s/home store </w:t>
      </w:r>
      <w:r w:rsidR="00656F83" w:rsidRPr="00656F83">
        <w:rPr>
          <w:rFonts w:ascii="Courier New" w:hAnsi="Courier New" w:cs="Courier New"/>
        </w:rPr>
        <w:t>for each of the fiscal years at issue</w:t>
      </w:r>
      <w:r w:rsidR="004E24E7">
        <w:rPr>
          <w:rFonts w:ascii="Courier New" w:hAnsi="Courier New" w:cs="Courier New"/>
        </w:rPr>
        <w:t>, as shown in the following table</w:t>
      </w:r>
      <w:r w:rsidR="00B649CF">
        <w:rPr>
          <w:rFonts w:ascii="Courier New" w:hAnsi="Courier New" w:cs="Courier New"/>
        </w:rPr>
        <w:t>s</w:t>
      </w:r>
      <w:r w:rsidR="004E24E7">
        <w:rPr>
          <w:rFonts w:ascii="Courier New" w:hAnsi="Courier New" w:cs="Courier New"/>
        </w:rPr>
        <w:t>:</w:t>
      </w:r>
    </w:p>
    <w:p w:rsidR="00E64093" w:rsidRDefault="00E6409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E64093" w:rsidRDefault="00E64093" w:rsidP="006002BD">
      <w:pPr>
        <w:spacing w:line="480" w:lineRule="auto"/>
        <w:ind w:firstLine="720"/>
        <w:jc w:val="both"/>
        <w:rPr>
          <w:rFonts w:ascii="Courier New" w:hAnsi="Courier New" w:cs="Courier New"/>
        </w:rPr>
      </w:pPr>
    </w:p>
    <w:tbl>
      <w:tblPr>
        <w:tblStyle w:val="TableGrid"/>
        <w:tblpPr w:leftFromText="187" w:rightFromText="187" w:bottomFromText="288" w:vertAnchor="text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2715"/>
        <w:gridCol w:w="2287"/>
        <w:gridCol w:w="2287"/>
        <w:gridCol w:w="2287"/>
      </w:tblGrid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5F34DD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Main Store</w:t>
            </w:r>
          </w:p>
        </w:tc>
        <w:tc>
          <w:tcPr>
            <w:tcW w:w="2287" w:type="dxa"/>
            <w:noWrap/>
            <w:hideMark/>
          </w:tcPr>
          <w:p w:rsidR="004E24E7" w:rsidRPr="001F3F34" w:rsidRDefault="004E24E7" w:rsidP="00BE0FE3">
            <w:pPr>
              <w:jc w:val="both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1F3F3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FY14</w:t>
            </w:r>
          </w:p>
        </w:tc>
        <w:tc>
          <w:tcPr>
            <w:tcW w:w="2287" w:type="dxa"/>
            <w:noWrap/>
            <w:hideMark/>
          </w:tcPr>
          <w:p w:rsidR="004E24E7" w:rsidRPr="001F3F34" w:rsidRDefault="004E24E7" w:rsidP="00BE0FE3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1F3F3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FY15</w:t>
            </w:r>
          </w:p>
        </w:tc>
        <w:tc>
          <w:tcPr>
            <w:tcW w:w="2287" w:type="dxa"/>
            <w:noWrap/>
            <w:hideMark/>
          </w:tcPr>
          <w:p w:rsidR="004E24E7" w:rsidRPr="001F3F34" w:rsidRDefault="004E24E7" w:rsidP="00BE0FE3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1F3F3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FY16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80,620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80,620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80,620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Rent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$7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$7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$7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Potential Gross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$564,340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$564,340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$564,340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Vacancy/Collection Loss @ 5%</w:t>
            </w:r>
            <w:r w:rsidR="00BE0F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PG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$28,217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$28,217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$28,217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Effective Gross Income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$536,123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$536,123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$536,123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912039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Management Fee </w:t>
            </w:r>
          </w:p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 2% EGI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330946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$10,722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330946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$10,722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BE0FE3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$10,722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912039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Replacement </w:t>
            </w:r>
            <w:r w:rsidR="009120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</w:t>
            </w: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eserves @ $0.40</w:t>
            </w:r>
            <w:r w:rsidR="00BE0F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PSF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$32,248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$32,248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$32,248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Net Operating Income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330946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$493,153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330946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$493,153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BE0FE3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$493,153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Capitalization Rate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8%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8%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7.5%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Indicated Value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330946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$6,164,412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330946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$6,164,412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BE0FE3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$6,575,373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Fair Cash Value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$6,150,000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$6,150,000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$6,575,000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Assessed Value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$7,110,700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$6,418,500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$6,592,000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Overvaluation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$960,700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$268,500 </w:t>
            </w:r>
          </w:p>
        </w:tc>
        <w:tc>
          <w:tcPr>
            <w:tcW w:w="2287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$17,000 </w:t>
            </w:r>
          </w:p>
        </w:tc>
      </w:tr>
    </w:tbl>
    <w:p w:rsidR="00912039" w:rsidRDefault="00912039"/>
    <w:tbl>
      <w:tblPr>
        <w:tblStyle w:val="TableGrid"/>
        <w:tblpPr w:leftFromText="187" w:rightFromText="187" w:bottomFromText="288" w:vertAnchor="text" w:tblpY="1"/>
        <w:tblOverlap w:val="never"/>
        <w:tblW w:w="9576" w:type="dxa"/>
        <w:tblLayout w:type="fixed"/>
        <w:tblLook w:val="04A0" w:firstRow="1" w:lastRow="0" w:firstColumn="1" w:lastColumn="0" w:noHBand="0" w:noVBand="1"/>
      </w:tblPr>
      <w:tblGrid>
        <w:gridCol w:w="2712"/>
        <w:gridCol w:w="2288"/>
        <w:gridCol w:w="2288"/>
        <w:gridCol w:w="2288"/>
      </w:tblGrid>
      <w:tr w:rsidR="005F34DD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5F34DD" w:rsidRPr="0093315F" w:rsidRDefault="005F34DD" w:rsidP="00BE0FE3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Men's/Home Store</w:t>
            </w:r>
          </w:p>
        </w:tc>
        <w:tc>
          <w:tcPr>
            <w:tcW w:w="2290" w:type="dxa"/>
            <w:noWrap/>
            <w:hideMark/>
          </w:tcPr>
          <w:p w:rsidR="005F34DD" w:rsidRPr="001F3F34" w:rsidRDefault="005F34DD" w:rsidP="00BE0FE3">
            <w:pPr>
              <w:jc w:val="both"/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1F3F3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FY14</w:t>
            </w:r>
          </w:p>
        </w:tc>
        <w:tc>
          <w:tcPr>
            <w:tcW w:w="2290" w:type="dxa"/>
            <w:noWrap/>
            <w:hideMark/>
          </w:tcPr>
          <w:p w:rsidR="005F34DD" w:rsidRPr="001F3F34" w:rsidRDefault="005F34DD" w:rsidP="00BE0FE3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1F3F3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FY15</w:t>
            </w:r>
          </w:p>
        </w:tc>
        <w:tc>
          <w:tcPr>
            <w:tcW w:w="2290" w:type="dxa"/>
            <w:noWrap/>
            <w:hideMark/>
          </w:tcPr>
          <w:p w:rsidR="005F34DD" w:rsidRPr="001F3F34" w:rsidRDefault="005F34DD" w:rsidP="00BE0FE3">
            <w:pPr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</w:pPr>
            <w:r w:rsidRPr="001F3F34">
              <w:rPr>
                <w:rFonts w:ascii="Courier New" w:eastAsia="Times New Roman" w:hAnsi="Courier New" w:cs="Courier New"/>
                <w:b/>
                <w:color w:val="000000"/>
                <w:sz w:val="20"/>
                <w:szCs w:val="20"/>
              </w:rPr>
              <w:t>FY16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118,854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118,854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118,854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Rent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$6.50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$6.50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$6.50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Potential Gross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$772,551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$772,551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$772,551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Vacancy/Collection Loss @ 5%</w:t>
            </w:r>
            <w:r w:rsidR="009120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PG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7E4834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$38,628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7E4834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$38,628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7E4834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$38,628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Effective Gross Income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330946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$733,923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330946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$733,923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330946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$733,923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912039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Management Fee </w:t>
            </w:r>
          </w:p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@ 2% EGI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330946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$14,678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330946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$14,678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330946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$14,678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Replacement Reserves @ $0.40</w:t>
            </w:r>
            <w:r w:rsidR="00912039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PSF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50015A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$47,542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50015A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$47,542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50015A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$47,542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Net Operating Income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330946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$671,703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330946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$671,703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330946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$671,703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Capitalization Rate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8%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8%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7.5%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Indicated Value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50015A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$8,396,28</w:t>
            </w:r>
            <w:r w:rsidR="0033094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8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50015A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$8,396,28</w:t>
            </w:r>
            <w:r w:rsidR="00330946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8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330946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$8,956,0</w:t>
            </w:r>
            <w:r w:rsidR="0050015A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40</w:t>
            </w:r>
            <w:r w:rsidR="004E24E7"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Fair Cash Value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$8,400,000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$8,400,000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 xml:space="preserve">$8,950,000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Assessed Value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$9,725,800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$9,243,000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$9,375,800 </w:t>
            </w:r>
          </w:p>
        </w:tc>
      </w:tr>
      <w:tr w:rsidR="004E24E7" w:rsidRPr="0093315F" w:rsidTr="00912039">
        <w:trPr>
          <w:trHeight w:val="300"/>
        </w:trPr>
        <w:tc>
          <w:tcPr>
            <w:tcW w:w="2715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</w:rPr>
              <w:t>Overvaluation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$1,325,800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$843,000 </w:t>
            </w:r>
          </w:p>
        </w:tc>
        <w:tc>
          <w:tcPr>
            <w:tcW w:w="2290" w:type="dxa"/>
            <w:noWrap/>
            <w:hideMark/>
          </w:tcPr>
          <w:p w:rsidR="004E24E7" w:rsidRPr="0093315F" w:rsidRDefault="004E24E7" w:rsidP="00BE0FE3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</w:pPr>
            <w:r w:rsidRPr="0093315F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 xml:space="preserve">$425,800 </w:t>
            </w:r>
          </w:p>
        </w:tc>
      </w:tr>
    </w:tbl>
    <w:p w:rsidR="00E64093" w:rsidRDefault="00E64093" w:rsidP="00B649CF">
      <w:pPr>
        <w:spacing w:line="480" w:lineRule="auto"/>
        <w:ind w:firstLine="720"/>
        <w:jc w:val="both"/>
        <w:rPr>
          <w:rFonts w:ascii="Courier New" w:hAnsi="Courier New" w:cs="Courier New"/>
        </w:rPr>
      </w:pPr>
    </w:p>
    <w:p w:rsidR="00E64093" w:rsidRDefault="00E64093" w:rsidP="00B649CF">
      <w:pPr>
        <w:spacing w:line="480" w:lineRule="auto"/>
        <w:ind w:firstLine="720"/>
        <w:jc w:val="both"/>
        <w:rPr>
          <w:rFonts w:ascii="Courier New" w:hAnsi="Courier New" w:cs="Courier New"/>
        </w:rPr>
      </w:pPr>
    </w:p>
    <w:p w:rsidR="00FA6E41" w:rsidRDefault="001C2AD4" w:rsidP="00B649CF">
      <w:pPr>
        <w:spacing w:line="480" w:lineRule="auto"/>
        <w:ind w:firstLine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Consequently, the Board </w:t>
      </w:r>
      <w:r w:rsidR="00B649CF">
        <w:rPr>
          <w:rFonts w:ascii="Courier New" w:hAnsi="Courier New" w:cs="Courier New"/>
        </w:rPr>
        <w:t>issued decisions for the appellant</w:t>
      </w:r>
      <w:r w:rsidR="001A22C1">
        <w:rPr>
          <w:rFonts w:ascii="Courier New" w:hAnsi="Courier New" w:cs="Courier New"/>
        </w:rPr>
        <w:t>,</w:t>
      </w:r>
      <w:r w:rsidR="00B649CF">
        <w:rPr>
          <w:rFonts w:ascii="Courier New" w:hAnsi="Courier New" w:cs="Courier New"/>
        </w:rPr>
        <w:t xml:space="preserve"> granting </w:t>
      </w:r>
      <w:r>
        <w:rPr>
          <w:rFonts w:ascii="Courier New" w:hAnsi="Courier New" w:cs="Courier New"/>
        </w:rPr>
        <w:t>abatements of $11,534.74, $3,289.66, and $213.05 for each of the fiscal years at issue, respectively, for the main store, and abatements of $15,918.35, $10,328.44, and $5,336.26 for each of the fiscal years at issue, respectively, for the men’s/home store.</w:t>
      </w:r>
      <w:r>
        <w:rPr>
          <w:rStyle w:val="FootnoteReference"/>
          <w:rFonts w:ascii="Courier New" w:hAnsi="Courier New" w:cs="Courier New"/>
        </w:rPr>
        <w:footnoteReference w:id="8"/>
      </w:r>
      <w:r>
        <w:rPr>
          <w:rFonts w:ascii="Courier New" w:hAnsi="Courier New" w:cs="Courier New"/>
        </w:rPr>
        <w:t xml:space="preserve">   </w:t>
      </w:r>
    </w:p>
    <w:p w:rsidR="00B649CF" w:rsidRDefault="00B649CF" w:rsidP="00B649CF">
      <w:pPr>
        <w:spacing w:line="480" w:lineRule="auto"/>
        <w:ind w:firstLine="720"/>
        <w:jc w:val="both"/>
        <w:rPr>
          <w:rFonts w:ascii="Courier New" w:hAnsi="Courier New" w:cs="Courier New"/>
        </w:rPr>
      </w:pPr>
    </w:p>
    <w:p w:rsidR="00E729D7" w:rsidRPr="00E729D7" w:rsidRDefault="00E729D7" w:rsidP="00E729D7">
      <w:pPr>
        <w:spacing w:line="480" w:lineRule="auto"/>
        <w:jc w:val="center"/>
        <w:rPr>
          <w:rFonts w:ascii="Courier New" w:hAnsi="Courier New" w:cs="Courier New"/>
          <w:b/>
        </w:rPr>
      </w:pPr>
      <w:r w:rsidRPr="00E729D7">
        <w:rPr>
          <w:rFonts w:ascii="Courier New" w:hAnsi="Courier New" w:cs="Courier New"/>
          <w:b/>
        </w:rPr>
        <w:t>OPINION</w:t>
      </w:r>
    </w:p>
    <w:p w:rsidR="00E729D7" w:rsidRPr="00270957" w:rsidRDefault="00E729D7" w:rsidP="00E729D7">
      <w:pPr>
        <w:spacing w:line="480" w:lineRule="auto"/>
        <w:ind w:firstLine="720"/>
        <w:contextualSpacing/>
        <w:jc w:val="both"/>
        <w:rPr>
          <w:rFonts w:ascii="Courier New" w:eastAsia="Times New Roman" w:hAnsi="Courier New" w:cs="Courier New"/>
        </w:rPr>
      </w:pPr>
      <w:r w:rsidRPr="00270957">
        <w:rPr>
          <w:rFonts w:ascii="Courier New" w:eastAsia="Times New Roman" w:hAnsi="Courier New" w:cs="Courier New"/>
        </w:rPr>
        <w:t xml:space="preserve">The assessors are required to assess real estate at its fair cash value. </w:t>
      </w:r>
      <w:proofErr w:type="gramStart"/>
      <w:r w:rsidRPr="00270957">
        <w:rPr>
          <w:rFonts w:ascii="Courier New" w:eastAsia="Times New Roman" w:hAnsi="Courier New" w:cs="Courier New"/>
        </w:rPr>
        <w:t>G.L. c. 59, § 38.</w:t>
      </w:r>
      <w:proofErr w:type="gramEnd"/>
      <w:r w:rsidRPr="00270957">
        <w:rPr>
          <w:rFonts w:ascii="Courier New" w:eastAsia="Times New Roman" w:hAnsi="Courier New" w:cs="Courier New"/>
        </w:rPr>
        <w:t xml:space="preserve"> Fair cash value is defined as the price on which a willing seller and a willing buyer will agree if both of them are fully informed and under no compulsion. </w:t>
      </w:r>
      <w:proofErr w:type="gramStart"/>
      <w:r w:rsidRPr="00270957">
        <w:rPr>
          <w:rFonts w:ascii="Courier New" w:eastAsia="Times New Roman" w:hAnsi="Courier New" w:cs="Courier New"/>
          <w:b/>
          <w:bCs/>
          <w:i/>
          <w:iCs/>
        </w:rPr>
        <w:t>Boston Gas Co. v. Assessors of Boston,</w:t>
      </w:r>
      <w:r w:rsidRPr="00270957">
        <w:rPr>
          <w:rFonts w:ascii="Courier New" w:eastAsia="Times New Roman" w:hAnsi="Courier New" w:cs="Courier New"/>
        </w:rPr>
        <w:t xml:space="preserve"> 334 Mass. 549, 566 (1956).</w:t>
      </w:r>
      <w:proofErr w:type="gramEnd"/>
    </w:p>
    <w:p w:rsidR="00E729D7" w:rsidRPr="00270957" w:rsidRDefault="00E729D7" w:rsidP="00E729D7">
      <w:pPr>
        <w:spacing w:line="480" w:lineRule="auto"/>
        <w:ind w:firstLine="720"/>
        <w:contextualSpacing/>
        <w:jc w:val="both"/>
        <w:rPr>
          <w:rFonts w:ascii="Courier New" w:eastAsia="Times New Roman" w:hAnsi="Courier New" w:cs="Courier New"/>
          <w:color w:val="333333"/>
        </w:rPr>
      </w:pPr>
      <w:r w:rsidRPr="00270957">
        <w:rPr>
          <w:rFonts w:ascii="Courier New" w:eastAsia="Times New Roman" w:hAnsi="Courier New" w:cs="Courier New"/>
        </w:rPr>
        <w:t xml:space="preserve">“‘The burden of proof is upon the [appellant] to make out its right as a matter of law to abatement of the tax.’”  </w:t>
      </w:r>
      <w:proofErr w:type="spellStart"/>
      <w:r>
        <w:rPr>
          <w:rFonts w:ascii="Courier New" w:eastAsia="Times New Roman" w:hAnsi="Courier New" w:cs="Courier New"/>
          <w:b/>
          <w:i/>
          <w:iCs/>
        </w:rPr>
        <w:t>Schlaiker</w:t>
      </w:r>
      <w:proofErr w:type="spellEnd"/>
      <w:r>
        <w:rPr>
          <w:rFonts w:ascii="Courier New" w:eastAsia="Times New Roman" w:hAnsi="Courier New" w:cs="Courier New"/>
          <w:b/>
          <w:i/>
          <w:iCs/>
        </w:rPr>
        <w:t xml:space="preserve"> v. </w:t>
      </w:r>
      <w:r w:rsidRPr="00270957">
        <w:rPr>
          <w:rFonts w:ascii="Courier New" w:eastAsia="Times New Roman" w:hAnsi="Courier New" w:cs="Courier New"/>
          <w:b/>
          <w:i/>
          <w:iCs/>
        </w:rPr>
        <w:t>Assessors of Great Barrington,</w:t>
      </w:r>
      <w:r w:rsidRPr="00270957">
        <w:rPr>
          <w:rFonts w:ascii="Courier New" w:eastAsia="Times New Roman" w:hAnsi="Courier New" w:cs="Courier New"/>
        </w:rPr>
        <w:t xml:space="preserve"> 365</w:t>
      </w:r>
      <w:r>
        <w:rPr>
          <w:rFonts w:ascii="Courier New" w:eastAsia="Times New Roman" w:hAnsi="Courier New" w:cs="Courier New"/>
        </w:rPr>
        <w:t xml:space="preserve"> </w:t>
      </w:r>
      <w:r w:rsidRPr="00270957">
        <w:rPr>
          <w:rFonts w:ascii="Courier New" w:eastAsia="Times New Roman" w:hAnsi="Courier New" w:cs="Courier New"/>
        </w:rPr>
        <w:t>Mass. 243, 245 (1974) (quoting</w:t>
      </w:r>
      <w:r w:rsidRPr="00270957">
        <w:rPr>
          <w:rFonts w:ascii="Courier New" w:eastAsia="Times New Roman" w:hAnsi="Courier New" w:cs="Courier New"/>
          <w:i/>
          <w:iCs/>
        </w:rPr>
        <w:t xml:space="preserve"> </w:t>
      </w:r>
      <w:r w:rsidRPr="00270957">
        <w:rPr>
          <w:rFonts w:ascii="Courier New" w:eastAsia="Times New Roman" w:hAnsi="Courier New" w:cs="Courier New"/>
          <w:b/>
          <w:i/>
          <w:iCs/>
        </w:rPr>
        <w:t>Judson Freight Forwarding Co. v. Commonwealth</w:t>
      </w:r>
      <w:r w:rsidRPr="00270957">
        <w:rPr>
          <w:rFonts w:ascii="Courier New" w:eastAsia="Times New Roman" w:hAnsi="Courier New" w:cs="Courier New"/>
        </w:rPr>
        <w:t xml:space="preserve">, 242 Mass. 47, 55 (1922)). </w:t>
      </w:r>
      <w:r>
        <w:rPr>
          <w:rFonts w:ascii="Courier New" w:eastAsia="Times New Roman" w:hAnsi="Courier New" w:cs="Courier New"/>
          <w:color w:val="333333"/>
        </w:rPr>
        <w:t>“</w:t>
      </w:r>
      <w:r w:rsidRPr="00270957">
        <w:rPr>
          <w:rFonts w:ascii="Courier New" w:eastAsia="Times New Roman" w:hAnsi="Courier New" w:cs="Courier New"/>
          <w:color w:val="333333"/>
        </w:rPr>
        <w:t xml:space="preserve">[T]he board is entitled to </w:t>
      </w:r>
      <w:r>
        <w:rPr>
          <w:rFonts w:ascii="Courier New" w:eastAsia="Times New Roman" w:hAnsi="Courier New" w:cs="Courier New"/>
          <w:color w:val="333333"/>
        </w:rPr>
        <w:t>‘</w:t>
      </w:r>
      <w:r w:rsidRPr="00270957">
        <w:rPr>
          <w:rFonts w:ascii="Courier New" w:eastAsia="Times New Roman" w:hAnsi="Courier New" w:cs="Courier New"/>
          <w:color w:val="333333"/>
        </w:rPr>
        <w:t xml:space="preserve">presume that the valuation made by the assessors [is] valid unless the </w:t>
      </w:r>
      <w:proofErr w:type="gramStart"/>
      <w:r w:rsidRPr="00270957">
        <w:rPr>
          <w:rFonts w:ascii="Courier New" w:eastAsia="Times New Roman" w:hAnsi="Courier New" w:cs="Courier New"/>
          <w:color w:val="333333"/>
        </w:rPr>
        <w:t>taxpayer[</w:t>
      </w:r>
      <w:proofErr w:type="gramEnd"/>
      <w:r w:rsidRPr="00270957">
        <w:rPr>
          <w:rFonts w:ascii="Courier New" w:eastAsia="Times New Roman" w:hAnsi="Courier New" w:cs="Courier New"/>
          <w:color w:val="333333"/>
        </w:rPr>
        <w:t>] . . . prove[s] the contrary.</w:t>
      </w:r>
      <w:r>
        <w:rPr>
          <w:rFonts w:ascii="Courier New" w:eastAsia="Times New Roman" w:hAnsi="Courier New" w:cs="Courier New"/>
          <w:color w:val="333333"/>
        </w:rPr>
        <w:t>’”</w:t>
      </w:r>
      <w:r w:rsidRPr="00270957">
        <w:rPr>
          <w:rFonts w:ascii="Courier New" w:eastAsia="Times New Roman" w:hAnsi="Courier New" w:cs="Courier New"/>
          <w:color w:val="333333"/>
        </w:rPr>
        <w:t xml:space="preserve"> </w:t>
      </w:r>
      <w:r w:rsidRPr="00270957">
        <w:rPr>
          <w:rFonts w:ascii="Courier New" w:eastAsia="Times New Roman" w:hAnsi="Courier New" w:cs="Courier New"/>
          <w:b/>
          <w:i/>
          <w:color w:val="333333"/>
        </w:rPr>
        <w:t xml:space="preserve">General Electric Co. </w:t>
      </w:r>
      <w:r w:rsidRPr="00270957">
        <w:rPr>
          <w:rFonts w:ascii="Courier New" w:eastAsia="Times New Roman" w:hAnsi="Courier New" w:cs="Courier New"/>
          <w:b/>
          <w:i/>
          <w:color w:val="333333"/>
        </w:rPr>
        <w:lastRenderedPageBreak/>
        <w:t>v. Assessors of Lynn</w:t>
      </w:r>
      <w:r w:rsidRPr="00270957">
        <w:rPr>
          <w:rFonts w:ascii="Courier New" w:eastAsia="Times New Roman" w:hAnsi="Courier New" w:cs="Courier New"/>
          <w:color w:val="333333"/>
        </w:rPr>
        <w:t xml:space="preserve">, 393 Mass. 591, 598 (1984) (quoting </w:t>
      </w:r>
      <w:proofErr w:type="spellStart"/>
      <w:r w:rsidRPr="00270957">
        <w:rPr>
          <w:rFonts w:ascii="Courier New" w:eastAsia="Times New Roman" w:hAnsi="Courier New" w:cs="Courier New"/>
          <w:b/>
          <w:i/>
          <w:color w:val="333333"/>
        </w:rPr>
        <w:t>Schlaiker</w:t>
      </w:r>
      <w:proofErr w:type="spellEnd"/>
      <w:r w:rsidRPr="00270957">
        <w:rPr>
          <w:rFonts w:ascii="Courier New" w:eastAsia="Times New Roman" w:hAnsi="Courier New" w:cs="Courier New"/>
          <w:color w:val="333333"/>
        </w:rPr>
        <w:t xml:space="preserve">, 365 Mass. at 245). </w:t>
      </w:r>
    </w:p>
    <w:p w:rsidR="00E729D7" w:rsidRDefault="00E729D7" w:rsidP="00E729D7">
      <w:pPr>
        <w:spacing w:line="480" w:lineRule="auto"/>
        <w:contextualSpacing/>
        <w:jc w:val="both"/>
        <w:rPr>
          <w:rFonts w:ascii="Courier New" w:hAnsi="Courier New" w:cs="Courier New"/>
          <w:color w:val="333333"/>
        </w:rPr>
      </w:pPr>
      <w:r w:rsidRPr="00CD5C31">
        <w:rPr>
          <w:rFonts w:ascii="Courier New" w:hAnsi="Courier New" w:cs="Courier New"/>
          <w:b/>
        </w:rPr>
        <w:tab/>
      </w:r>
      <w:r w:rsidRPr="00CD5C31">
        <w:rPr>
          <w:rFonts w:ascii="Courier New" w:hAnsi="Courier New" w:cs="Courier New"/>
          <w:color w:val="333333"/>
        </w:rPr>
        <w:t>In appeals before th</w:t>
      </w:r>
      <w:r w:rsidR="001A22C1">
        <w:rPr>
          <w:rFonts w:ascii="Courier New" w:hAnsi="Courier New" w:cs="Courier New"/>
          <w:color w:val="333333"/>
        </w:rPr>
        <w:t>e</w:t>
      </w:r>
      <w:r w:rsidRPr="00CD5C31">
        <w:rPr>
          <w:rFonts w:ascii="Courier New" w:hAnsi="Courier New" w:cs="Courier New"/>
          <w:color w:val="333333"/>
        </w:rPr>
        <w:t xml:space="preserve"> Board, a taxpayer </w:t>
      </w:r>
      <w:r>
        <w:rPr>
          <w:rFonts w:ascii="Courier New" w:hAnsi="Courier New" w:cs="Courier New"/>
          <w:color w:val="333333"/>
        </w:rPr>
        <w:t>“‘</w:t>
      </w:r>
      <w:r w:rsidRPr="00CD5C31">
        <w:rPr>
          <w:rFonts w:ascii="Courier New" w:hAnsi="Courier New" w:cs="Courier New"/>
          <w:color w:val="333333"/>
        </w:rPr>
        <w:t>may present persuasive evidence of overvaluation either by exposing flaws or errors in the assessors</w:t>
      </w:r>
      <w:r w:rsidR="004676B1">
        <w:rPr>
          <w:rFonts w:ascii="Courier New" w:hAnsi="Courier New" w:cs="Courier New"/>
          <w:color w:val="333333"/>
        </w:rPr>
        <w:t>’</w:t>
      </w:r>
      <w:r w:rsidRPr="00CD5C31">
        <w:rPr>
          <w:rFonts w:ascii="Courier New" w:hAnsi="Courier New" w:cs="Courier New"/>
          <w:color w:val="333333"/>
        </w:rPr>
        <w:t xml:space="preserve"> method of valuation, or by introducing affirmative evidence of value which undermines the assessors</w:t>
      </w:r>
      <w:r>
        <w:rPr>
          <w:rFonts w:ascii="Courier New" w:hAnsi="Courier New" w:cs="Courier New"/>
          <w:color w:val="333333"/>
        </w:rPr>
        <w:t>’</w:t>
      </w:r>
      <w:r w:rsidRPr="00CD5C31">
        <w:rPr>
          <w:rFonts w:ascii="Courier New" w:hAnsi="Courier New" w:cs="Courier New"/>
          <w:color w:val="333333"/>
        </w:rPr>
        <w:t xml:space="preserve"> valuation.</w:t>
      </w:r>
      <w:r>
        <w:rPr>
          <w:rFonts w:ascii="Courier New" w:hAnsi="Courier New" w:cs="Courier New"/>
          <w:color w:val="333333"/>
        </w:rPr>
        <w:t>’”</w:t>
      </w:r>
      <w:r w:rsidRPr="00CD5C31">
        <w:rPr>
          <w:rFonts w:ascii="Courier New" w:hAnsi="Courier New" w:cs="Courier New"/>
          <w:color w:val="333333"/>
        </w:rPr>
        <w:t xml:space="preserve">  </w:t>
      </w:r>
      <w:r w:rsidRPr="00CD5C31">
        <w:rPr>
          <w:rFonts w:ascii="Courier New" w:hAnsi="Courier New" w:cs="Courier New"/>
          <w:b/>
          <w:i/>
          <w:color w:val="333333"/>
        </w:rPr>
        <w:t>General Electric</w:t>
      </w:r>
      <w:r>
        <w:rPr>
          <w:rFonts w:ascii="Courier New" w:hAnsi="Courier New" w:cs="Courier New"/>
          <w:b/>
          <w:i/>
          <w:color w:val="333333"/>
        </w:rPr>
        <w:t xml:space="preserve"> Co.</w:t>
      </w:r>
      <w:r w:rsidRPr="00CD5C31">
        <w:rPr>
          <w:rFonts w:ascii="Courier New" w:hAnsi="Courier New" w:cs="Courier New"/>
          <w:color w:val="333333"/>
        </w:rPr>
        <w:t xml:space="preserve">, 393 Mass. at 600 (quoting </w:t>
      </w:r>
      <w:proofErr w:type="spellStart"/>
      <w:r w:rsidRPr="00CD5C31">
        <w:rPr>
          <w:rFonts w:ascii="Courier New" w:hAnsi="Courier New" w:cs="Courier New"/>
          <w:b/>
          <w:i/>
          <w:color w:val="333333"/>
        </w:rPr>
        <w:t>Donlon</w:t>
      </w:r>
      <w:proofErr w:type="spellEnd"/>
      <w:r w:rsidRPr="00CD5C31">
        <w:rPr>
          <w:rFonts w:ascii="Courier New" w:hAnsi="Courier New" w:cs="Courier New"/>
          <w:b/>
          <w:i/>
          <w:color w:val="333333"/>
        </w:rPr>
        <w:t xml:space="preserve"> v. Assessors of Holliston, </w:t>
      </w:r>
      <w:r w:rsidRPr="00CD5C31">
        <w:rPr>
          <w:rFonts w:ascii="Courier New" w:hAnsi="Courier New" w:cs="Courier New"/>
          <w:color w:val="333333"/>
        </w:rPr>
        <w:t>389 Mass. 848, 855 (1983)).</w:t>
      </w:r>
    </w:p>
    <w:p w:rsidR="00E729D7" w:rsidRPr="00A331DD" w:rsidRDefault="00E729D7" w:rsidP="00E729D7">
      <w:pPr>
        <w:spacing w:line="480" w:lineRule="auto"/>
        <w:ind w:firstLine="720"/>
        <w:contextualSpacing/>
        <w:jc w:val="both"/>
        <w:rPr>
          <w:rFonts w:ascii="Courier New" w:eastAsia="Times New Roman" w:hAnsi="Courier New" w:cs="Courier New"/>
        </w:rPr>
      </w:pPr>
      <w:r w:rsidRPr="00A331DD">
        <w:rPr>
          <w:rFonts w:ascii="Courier New" w:eastAsia="Times New Roman" w:hAnsi="Courier New" w:cs="Courier New"/>
        </w:rPr>
        <w:t xml:space="preserve">“‘Prior to valuing the subject property, its highest and best use must be ascertained.’” </w:t>
      </w:r>
      <w:proofErr w:type="spellStart"/>
      <w:r w:rsidRPr="00A331DD">
        <w:rPr>
          <w:rFonts w:ascii="Courier New" w:eastAsia="Times New Roman" w:hAnsi="Courier New" w:cs="Courier New"/>
          <w:b/>
          <w:i/>
        </w:rPr>
        <w:t>Tsissa</w:t>
      </w:r>
      <w:proofErr w:type="spellEnd"/>
      <w:r w:rsidRPr="00A331DD">
        <w:rPr>
          <w:rFonts w:ascii="Courier New" w:eastAsia="Times New Roman" w:hAnsi="Courier New" w:cs="Courier New"/>
          <w:b/>
          <w:i/>
        </w:rPr>
        <w:t xml:space="preserve">, Inc. v. Assessors of West Tisbury, </w:t>
      </w:r>
      <w:r w:rsidRPr="00A331DD">
        <w:rPr>
          <w:rFonts w:ascii="Courier New" w:eastAsia="Times New Roman" w:hAnsi="Courier New" w:cs="Courier New"/>
        </w:rPr>
        <w:t xml:space="preserve">Mass. ATB Findings of Fact and Reports 2011-198, 216 (quoting </w:t>
      </w:r>
      <w:r w:rsidRPr="00A331DD">
        <w:rPr>
          <w:rFonts w:ascii="Courier New" w:eastAsia="Times New Roman" w:hAnsi="Courier New" w:cs="Courier New"/>
          <w:b/>
          <w:bCs/>
          <w:i/>
          <w:iCs/>
        </w:rPr>
        <w:t xml:space="preserve">Tennessee Gas Pipeline Co. v. Assessors of Agawam, </w:t>
      </w:r>
      <w:r w:rsidRPr="00A331DD">
        <w:rPr>
          <w:rFonts w:ascii="Courier New" w:eastAsia="Times New Roman" w:hAnsi="Courier New" w:cs="Courier New"/>
        </w:rPr>
        <w:t xml:space="preserve">Mass. ATB Findings of Fact and Reports 2000-859, 874). In determining fair cash value, all uses to which the property was or could reasonably be adapted on the relevant assessment dates should be considered. </w:t>
      </w:r>
      <w:r w:rsidRPr="00A331DD">
        <w:rPr>
          <w:rFonts w:ascii="Courier New" w:eastAsia="Times New Roman" w:hAnsi="Courier New" w:cs="Courier New"/>
          <w:b/>
          <w:bCs/>
          <w:i/>
          <w:iCs/>
        </w:rPr>
        <w:t>Irving Saunders Trust v. Assessors of Boston</w:t>
      </w:r>
      <w:r w:rsidRPr="00A331DD">
        <w:rPr>
          <w:rFonts w:ascii="Courier New" w:eastAsia="Times New Roman" w:hAnsi="Courier New" w:cs="Courier New"/>
        </w:rPr>
        <w:t xml:space="preserve">, 26 Mass. App. Ct. 838, 843 (1989). The goal is to ascertain the maximum value of the property for any legitimate and reasonable use. </w:t>
      </w:r>
      <w:r w:rsidRPr="00A331DD">
        <w:rPr>
          <w:rFonts w:ascii="Courier New" w:eastAsia="Times New Roman" w:hAnsi="Courier New" w:cs="Courier New"/>
          <w:b/>
          <w:bCs/>
          <w:i/>
          <w:iCs/>
        </w:rPr>
        <w:t>Id.</w:t>
      </w:r>
      <w:r>
        <w:rPr>
          <w:rFonts w:ascii="Courier New" w:eastAsia="Times New Roman" w:hAnsi="Courier New" w:cs="Courier New"/>
        </w:rPr>
        <w:t xml:space="preserve"> Here, </w:t>
      </w:r>
      <w:r w:rsidR="00864C81">
        <w:rPr>
          <w:rFonts w:ascii="Courier New" w:eastAsia="Times New Roman" w:hAnsi="Courier New" w:cs="Courier New"/>
        </w:rPr>
        <w:t xml:space="preserve">both </w:t>
      </w:r>
      <w:r w:rsidR="005F3721">
        <w:rPr>
          <w:rFonts w:ascii="Courier New" w:eastAsia="Times New Roman" w:hAnsi="Courier New" w:cs="Courier New"/>
        </w:rPr>
        <w:t>appraisers</w:t>
      </w:r>
      <w:r>
        <w:rPr>
          <w:rFonts w:ascii="Courier New" w:eastAsia="Times New Roman" w:hAnsi="Courier New" w:cs="Courier New"/>
        </w:rPr>
        <w:t xml:space="preserve"> concluded that the subject propert</w:t>
      </w:r>
      <w:r w:rsidR="00826EDB">
        <w:rPr>
          <w:rFonts w:ascii="Courier New" w:eastAsia="Times New Roman" w:hAnsi="Courier New" w:cs="Courier New"/>
        </w:rPr>
        <w:t>ies</w:t>
      </w:r>
      <w:r>
        <w:rPr>
          <w:rFonts w:ascii="Courier New" w:eastAsia="Times New Roman" w:hAnsi="Courier New" w:cs="Courier New"/>
        </w:rPr>
        <w:t xml:space="preserve">’ </w:t>
      </w:r>
      <w:r w:rsidR="00864C81">
        <w:rPr>
          <w:rFonts w:ascii="Courier New" w:eastAsia="Times New Roman" w:hAnsi="Courier New" w:cs="Courier New"/>
        </w:rPr>
        <w:t xml:space="preserve">existing retail </w:t>
      </w:r>
      <w:r>
        <w:rPr>
          <w:rFonts w:ascii="Courier New" w:eastAsia="Times New Roman" w:hAnsi="Courier New" w:cs="Courier New"/>
        </w:rPr>
        <w:t xml:space="preserve">use was </w:t>
      </w:r>
      <w:r w:rsidR="00864C81">
        <w:rPr>
          <w:rFonts w:ascii="Courier New" w:eastAsia="Times New Roman" w:hAnsi="Courier New" w:cs="Courier New"/>
        </w:rPr>
        <w:t>their</w:t>
      </w:r>
      <w:r>
        <w:rPr>
          <w:rFonts w:ascii="Courier New" w:eastAsia="Times New Roman" w:hAnsi="Courier New" w:cs="Courier New"/>
        </w:rPr>
        <w:t xml:space="preserve"> highest and best </w:t>
      </w:r>
      <w:proofErr w:type="gramStart"/>
      <w:r>
        <w:rPr>
          <w:rFonts w:ascii="Courier New" w:eastAsia="Times New Roman" w:hAnsi="Courier New" w:cs="Courier New"/>
        </w:rPr>
        <w:t>use,</w:t>
      </w:r>
      <w:proofErr w:type="gramEnd"/>
      <w:r>
        <w:rPr>
          <w:rFonts w:ascii="Courier New" w:eastAsia="Times New Roman" w:hAnsi="Courier New" w:cs="Courier New"/>
        </w:rPr>
        <w:t xml:space="preserve"> and the Board agreed with and adopted that conclusion.  </w:t>
      </w:r>
    </w:p>
    <w:p w:rsidR="00E729D7" w:rsidRPr="00BC5976" w:rsidRDefault="00E729D7" w:rsidP="00E729D7">
      <w:pPr>
        <w:spacing w:line="480" w:lineRule="auto"/>
        <w:ind w:firstLine="720"/>
        <w:contextualSpacing/>
        <w:jc w:val="both"/>
        <w:rPr>
          <w:rFonts w:ascii="Courier New" w:eastAsia="Times New Roman" w:hAnsi="Courier New" w:cs="Courier New"/>
        </w:rPr>
      </w:pPr>
      <w:r w:rsidRPr="00A331DD">
        <w:rPr>
          <w:rFonts w:ascii="Courier New" w:eastAsia="Times New Roman" w:hAnsi="Courier New" w:cs="Courier New"/>
        </w:rPr>
        <w:t xml:space="preserve">Generally, real estate valuation experts, Massachusetts courts, and this Board rely upon three approaches to determine the fair cash value of property: income capitalization, sales </w:t>
      </w:r>
      <w:r w:rsidRPr="00A331DD">
        <w:rPr>
          <w:rFonts w:ascii="Courier New" w:eastAsia="Times New Roman" w:hAnsi="Courier New" w:cs="Courier New"/>
        </w:rPr>
        <w:lastRenderedPageBreak/>
        <w:t xml:space="preserve">comparison, and cost reproduction. </w:t>
      </w:r>
      <w:proofErr w:type="spellStart"/>
      <w:proofErr w:type="gramStart"/>
      <w:r w:rsidRPr="00A331DD">
        <w:rPr>
          <w:rFonts w:ascii="Courier New" w:eastAsia="Times New Roman" w:hAnsi="Courier New" w:cs="Courier New"/>
          <w:b/>
          <w:bCs/>
          <w:i/>
          <w:iCs/>
        </w:rPr>
        <w:t>Correia</w:t>
      </w:r>
      <w:proofErr w:type="spellEnd"/>
      <w:r w:rsidRPr="00A331DD">
        <w:rPr>
          <w:rFonts w:ascii="Courier New" w:eastAsia="Times New Roman" w:hAnsi="Courier New" w:cs="Courier New"/>
          <w:b/>
          <w:bCs/>
          <w:i/>
          <w:iCs/>
        </w:rPr>
        <w:t xml:space="preserve"> v.</w:t>
      </w:r>
      <w:proofErr w:type="gramEnd"/>
      <w:r w:rsidRPr="00A331DD">
        <w:rPr>
          <w:rFonts w:ascii="Courier New" w:eastAsia="Times New Roman" w:hAnsi="Courier New" w:cs="Courier New"/>
          <w:b/>
          <w:bCs/>
          <w:i/>
          <w:iCs/>
        </w:rPr>
        <w:t xml:space="preserve"> </w:t>
      </w:r>
      <w:proofErr w:type="gramStart"/>
      <w:r w:rsidRPr="00A331DD">
        <w:rPr>
          <w:rFonts w:ascii="Courier New" w:eastAsia="Times New Roman" w:hAnsi="Courier New" w:cs="Courier New"/>
          <w:b/>
          <w:bCs/>
          <w:i/>
          <w:iCs/>
        </w:rPr>
        <w:t>New</w:t>
      </w:r>
      <w:r>
        <w:rPr>
          <w:rFonts w:ascii="Courier New" w:eastAsia="Times New Roman" w:hAnsi="Courier New" w:cs="Courier New"/>
          <w:b/>
          <w:bCs/>
          <w:i/>
          <w:iCs/>
        </w:rPr>
        <w:t xml:space="preserve"> Bedford Redevelopment Auth</w:t>
      </w:r>
      <w:r w:rsidR="008441BC">
        <w:rPr>
          <w:rFonts w:ascii="Courier New" w:eastAsia="Times New Roman" w:hAnsi="Courier New" w:cs="Courier New"/>
          <w:b/>
          <w:bCs/>
          <w:i/>
          <w:iCs/>
        </w:rPr>
        <w:t>ority</w:t>
      </w:r>
      <w:r w:rsidRPr="00A331DD">
        <w:rPr>
          <w:rFonts w:ascii="Courier New" w:eastAsia="Times New Roman" w:hAnsi="Courier New" w:cs="Courier New"/>
          <w:b/>
          <w:bCs/>
          <w:i/>
          <w:iCs/>
        </w:rPr>
        <w:t>,</w:t>
      </w:r>
      <w:r w:rsidRPr="00A331DD">
        <w:rPr>
          <w:rFonts w:ascii="Courier New" w:eastAsia="Times New Roman" w:hAnsi="Courier New" w:cs="Courier New"/>
        </w:rPr>
        <w:t xml:space="preserve"> 375 Mass. 360, 362 (1978).</w:t>
      </w:r>
      <w:proofErr w:type="gramEnd"/>
      <w:r w:rsidRPr="00A331DD">
        <w:rPr>
          <w:rFonts w:ascii="Courier New" w:eastAsia="Times New Roman" w:hAnsi="Courier New" w:cs="Courier New"/>
        </w:rPr>
        <w:t xml:space="preserve"> </w:t>
      </w:r>
      <w:r w:rsidR="00093196">
        <w:rPr>
          <w:rFonts w:ascii="Courier New" w:eastAsia="Times New Roman" w:hAnsi="Courier New" w:cs="Courier New"/>
        </w:rPr>
        <w:t>T</w:t>
      </w:r>
      <w:r w:rsidRPr="00BC5976">
        <w:rPr>
          <w:rFonts w:ascii="Courier New" w:hAnsi="Courier New" w:cs="Courier New"/>
        </w:rPr>
        <w:t>he income-capitalization method “is frequently applied</w:t>
      </w:r>
      <w:r>
        <w:rPr>
          <w:rFonts w:ascii="Courier New" w:hAnsi="Courier New" w:cs="Courier New"/>
        </w:rPr>
        <w:t xml:space="preserve"> </w:t>
      </w:r>
      <w:r w:rsidRPr="00BC5976">
        <w:rPr>
          <w:rFonts w:ascii="Courier New" w:hAnsi="Courier New" w:cs="Courier New"/>
        </w:rPr>
        <w:t>with</w:t>
      </w:r>
      <w:r>
        <w:rPr>
          <w:rFonts w:ascii="Courier New" w:hAnsi="Courier New" w:cs="Courier New"/>
        </w:rPr>
        <w:t xml:space="preserve"> </w:t>
      </w:r>
      <w:r w:rsidRPr="00BC5976">
        <w:rPr>
          <w:rFonts w:ascii="Courier New" w:hAnsi="Courier New" w:cs="Courier New"/>
        </w:rPr>
        <w:t>respect</w:t>
      </w:r>
      <w:r>
        <w:rPr>
          <w:rFonts w:ascii="Courier New" w:hAnsi="Courier New" w:cs="Courier New"/>
        </w:rPr>
        <w:t xml:space="preserve"> </w:t>
      </w:r>
      <w:r w:rsidRPr="00BC5976">
        <w:rPr>
          <w:rFonts w:ascii="Courier New" w:hAnsi="Courier New" w:cs="Courier New"/>
        </w:rPr>
        <w:t>to income-producing property.”</w:t>
      </w:r>
      <w:r w:rsidR="008441BC">
        <w:rPr>
          <w:rFonts w:ascii="Courier New" w:hAnsi="Courier New" w:cs="Courier New"/>
        </w:rPr>
        <w:t xml:space="preserve"> </w:t>
      </w:r>
      <w:r w:rsidRPr="00BC5976">
        <w:rPr>
          <w:rFonts w:ascii="Courier New" w:hAnsi="Courier New" w:cs="Courier New"/>
          <w:b/>
          <w:bCs/>
          <w:i/>
          <w:iCs/>
        </w:rPr>
        <w:t xml:space="preserve">Taunton Redevelopment Associates v. Assessors of Taunton, </w:t>
      </w:r>
      <w:r w:rsidRPr="00BC5976">
        <w:rPr>
          <w:rFonts w:ascii="Courier New" w:hAnsi="Courier New" w:cs="Courier New"/>
        </w:rPr>
        <w:t>393 Mass. 293, 295 (1984).</w:t>
      </w:r>
      <w:r>
        <w:rPr>
          <w:rFonts w:ascii="Courier New" w:hAnsi="Courier New" w:cs="Courier New"/>
        </w:rPr>
        <w:t xml:space="preserve"> </w:t>
      </w:r>
      <w:r>
        <w:rPr>
          <w:rFonts w:ascii="Courier New" w:eastAsia="Times New Roman" w:hAnsi="Courier New" w:cs="Courier New"/>
        </w:rPr>
        <w:t xml:space="preserve">In these appeals, </w:t>
      </w:r>
      <w:r w:rsidR="00864C81">
        <w:rPr>
          <w:rFonts w:ascii="Courier New" w:eastAsia="Times New Roman" w:hAnsi="Courier New" w:cs="Courier New"/>
        </w:rPr>
        <w:t xml:space="preserve">both </w:t>
      </w:r>
      <w:r w:rsidR="00B649CF">
        <w:rPr>
          <w:rFonts w:ascii="Courier New" w:eastAsia="Times New Roman" w:hAnsi="Courier New" w:cs="Courier New"/>
        </w:rPr>
        <w:t>appraisers</w:t>
      </w:r>
      <w:r w:rsidR="00864C81">
        <w:rPr>
          <w:rFonts w:ascii="Courier New" w:eastAsia="Times New Roman" w:hAnsi="Courier New" w:cs="Courier New"/>
        </w:rPr>
        <w:t xml:space="preserve"> </w:t>
      </w:r>
      <w:r>
        <w:rPr>
          <w:rFonts w:ascii="Courier New" w:eastAsia="Times New Roman" w:hAnsi="Courier New" w:cs="Courier New"/>
        </w:rPr>
        <w:t>concluded that the income-capitalization approach was the most reliable way to value the subject propert</w:t>
      </w:r>
      <w:r w:rsidR="004676B1">
        <w:rPr>
          <w:rFonts w:ascii="Courier New" w:eastAsia="Times New Roman" w:hAnsi="Courier New" w:cs="Courier New"/>
        </w:rPr>
        <w:t>ies</w:t>
      </w:r>
      <w:r w:rsidR="00093196">
        <w:rPr>
          <w:rFonts w:ascii="Courier New" w:eastAsia="Times New Roman" w:hAnsi="Courier New" w:cs="Courier New"/>
        </w:rPr>
        <w:t xml:space="preserve">, </w:t>
      </w:r>
      <w:r>
        <w:rPr>
          <w:rFonts w:ascii="Courier New" w:eastAsia="Times New Roman" w:hAnsi="Courier New" w:cs="Courier New"/>
        </w:rPr>
        <w:t>and the Board agreed that the income-capitalization approach was the best method for valuing the subject propert</w:t>
      </w:r>
      <w:r w:rsidR="00864C81">
        <w:rPr>
          <w:rFonts w:ascii="Courier New" w:eastAsia="Times New Roman" w:hAnsi="Courier New" w:cs="Courier New"/>
        </w:rPr>
        <w:t>ies</w:t>
      </w:r>
      <w:r>
        <w:rPr>
          <w:rFonts w:ascii="Courier New" w:eastAsia="Times New Roman" w:hAnsi="Courier New" w:cs="Courier New"/>
        </w:rPr>
        <w:t xml:space="preserve">.  </w:t>
      </w:r>
    </w:p>
    <w:p w:rsidR="00E729D7" w:rsidRDefault="00E729D7" w:rsidP="00E729D7">
      <w:pPr>
        <w:spacing w:line="480" w:lineRule="auto"/>
        <w:ind w:firstLine="720"/>
        <w:contextualSpacing/>
        <w:jc w:val="both"/>
        <w:rPr>
          <w:rFonts w:ascii="Courier New" w:eastAsia="Times New Roman" w:hAnsi="Courier New" w:cs="Courier New"/>
        </w:rPr>
      </w:pPr>
      <w:r w:rsidRPr="00A331DD">
        <w:rPr>
          <w:rFonts w:ascii="Courier New" w:eastAsia="Times New Roman" w:hAnsi="Courier New" w:cs="Courier New"/>
        </w:rPr>
        <w:t xml:space="preserve">“The direct capitalization of income method analyzes the property’s capacity to generate income over a one-year period and converts the capacity into an indication of fair cash value by capitalizing the income at a rate determined to be appropriate for the investment risk involved.” </w:t>
      </w:r>
      <w:proofErr w:type="gramStart"/>
      <w:r>
        <w:rPr>
          <w:rFonts w:ascii="Courier New" w:eastAsia="Times New Roman" w:hAnsi="Courier New" w:cs="Courier New"/>
          <w:b/>
          <w:i/>
        </w:rPr>
        <w:t>Olympia &amp; York State Street Co. v. Assessors of Boston</w:t>
      </w:r>
      <w:r w:rsidRPr="00A331DD">
        <w:rPr>
          <w:rFonts w:ascii="Courier New" w:eastAsia="Times New Roman" w:hAnsi="Courier New" w:cs="Courier New"/>
        </w:rPr>
        <w:t>, 428 Mass. 236, 239 (1998).</w:t>
      </w:r>
      <w:proofErr w:type="gramEnd"/>
      <w:r w:rsidRPr="00A331DD">
        <w:rPr>
          <w:rFonts w:ascii="Courier New" w:eastAsia="Times New Roman" w:hAnsi="Courier New" w:cs="Courier New"/>
        </w:rPr>
        <w:t xml:space="preserve"> “It is the net income that a property </w:t>
      </w:r>
      <w:r w:rsidRPr="00A331DD">
        <w:rPr>
          <w:rFonts w:ascii="Courier New" w:eastAsia="Times New Roman" w:hAnsi="Courier New" w:cs="Courier New"/>
          <w:i/>
        </w:rPr>
        <w:t>should</w:t>
      </w:r>
      <w:r w:rsidRPr="00A331DD">
        <w:rPr>
          <w:rFonts w:ascii="Courier New" w:eastAsia="Times New Roman" w:hAnsi="Courier New" w:cs="Courier New"/>
        </w:rPr>
        <w:t xml:space="preserve"> be earning, not necessarily what it actually earns, </w:t>
      </w:r>
      <w:proofErr w:type="gramStart"/>
      <w:r w:rsidRPr="00A331DD">
        <w:rPr>
          <w:rFonts w:ascii="Courier New" w:eastAsia="Times New Roman" w:hAnsi="Courier New" w:cs="Courier New"/>
        </w:rPr>
        <w:t>that</w:t>
      </w:r>
      <w:proofErr w:type="gramEnd"/>
      <w:r w:rsidRPr="00A331DD">
        <w:rPr>
          <w:rFonts w:ascii="Courier New" w:eastAsia="Times New Roman" w:hAnsi="Courier New" w:cs="Courier New"/>
        </w:rPr>
        <w:t xml:space="preserve"> is the figure that should be capitalized.” </w:t>
      </w:r>
      <w:proofErr w:type="gramStart"/>
      <w:r w:rsidRPr="00A331DD">
        <w:rPr>
          <w:rFonts w:ascii="Courier New" w:eastAsia="Times New Roman" w:hAnsi="Courier New" w:cs="Courier New"/>
          <w:b/>
          <w:i/>
        </w:rPr>
        <w:t>Peterson v. Assessors of Boston</w:t>
      </w:r>
      <w:r w:rsidRPr="00A331DD">
        <w:rPr>
          <w:rFonts w:ascii="Courier New" w:eastAsia="Times New Roman" w:hAnsi="Courier New" w:cs="Courier New"/>
        </w:rPr>
        <w:t>, 62 Mass. App. Ct. 428, 436 (2008) (emphasis in original).</w:t>
      </w:r>
      <w:proofErr w:type="gramEnd"/>
      <w:r w:rsidRPr="00A331DD">
        <w:rPr>
          <w:rFonts w:ascii="Courier New" w:eastAsia="Times New Roman" w:hAnsi="Courier New" w:cs="Courier New"/>
        </w:rPr>
        <w:t xml:space="preserve">  Accordingly, the income stream used in the income-capitalization method must reflect the property’s earning capacity or economic rental value. </w:t>
      </w:r>
      <w:proofErr w:type="gramStart"/>
      <w:r w:rsidRPr="00A331DD">
        <w:rPr>
          <w:rFonts w:ascii="Courier New" w:eastAsia="Times New Roman" w:hAnsi="Courier New" w:cs="Courier New"/>
          <w:b/>
          <w:bCs/>
          <w:i/>
          <w:iCs/>
        </w:rPr>
        <w:t xml:space="preserve">Pepsi-Cola Bottling Co. v. Assessors of Boston, </w:t>
      </w:r>
      <w:r w:rsidRPr="00A331DD">
        <w:rPr>
          <w:rFonts w:ascii="Courier New" w:eastAsia="Times New Roman" w:hAnsi="Courier New" w:cs="Courier New"/>
        </w:rPr>
        <w:t>397 Mass. 447, 451 (1986).</w:t>
      </w:r>
      <w:proofErr w:type="gramEnd"/>
      <w:r w:rsidRPr="00A331DD">
        <w:rPr>
          <w:rFonts w:ascii="Courier New" w:eastAsia="Times New Roman" w:hAnsi="Courier New" w:cs="Courier New"/>
        </w:rPr>
        <w:t xml:space="preserve">  </w:t>
      </w:r>
    </w:p>
    <w:p w:rsidR="00E64093" w:rsidRDefault="00E729D7" w:rsidP="00483370">
      <w:pPr>
        <w:spacing w:line="480" w:lineRule="auto"/>
        <w:ind w:firstLine="720"/>
        <w:contextualSpacing/>
        <w:jc w:val="both"/>
        <w:rPr>
          <w:rFonts w:ascii="Courier New" w:hAnsi="Courier New" w:cs="Courier New"/>
        </w:rPr>
      </w:pPr>
      <w:r w:rsidRPr="00A331DD">
        <w:rPr>
          <w:rFonts w:ascii="Courier New" w:eastAsia="Times New Roman" w:hAnsi="Courier New" w:cs="Courier New"/>
        </w:rPr>
        <w:lastRenderedPageBreak/>
        <w:t xml:space="preserve">Imputing rental income based on fair market rentals from comparable properties is evidence of value if, once </w:t>
      </w:r>
      <w:r w:rsidR="003B2DE5">
        <w:rPr>
          <w:rFonts w:ascii="Courier New" w:eastAsia="Times New Roman" w:hAnsi="Courier New" w:cs="Courier New"/>
        </w:rPr>
        <w:t xml:space="preserve">the rentals are </w:t>
      </w:r>
      <w:r w:rsidRPr="00A331DD">
        <w:rPr>
          <w:rFonts w:ascii="Courier New" w:eastAsia="Times New Roman" w:hAnsi="Courier New" w:cs="Courier New"/>
        </w:rPr>
        <w:t xml:space="preserve">adjusted, they are indicative of the </w:t>
      </w:r>
      <w:r w:rsidR="00093196">
        <w:rPr>
          <w:rFonts w:ascii="Courier New" w:eastAsia="Times New Roman" w:hAnsi="Courier New" w:cs="Courier New"/>
        </w:rPr>
        <w:t xml:space="preserve">earning capacity of the </w:t>
      </w:r>
      <w:r w:rsidRPr="00A331DD">
        <w:rPr>
          <w:rFonts w:ascii="Courier New" w:eastAsia="Times New Roman" w:hAnsi="Courier New" w:cs="Courier New"/>
        </w:rPr>
        <w:t>property</w:t>
      </w:r>
      <w:r w:rsidR="003B2DE5">
        <w:rPr>
          <w:rFonts w:ascii="Courier New" w:eastAsia="Times New Roman" w:hAnsi="Courier New" w:cs="Courier New"/>
        </w:rPr>
        <w:t xml:space="preserve"> at issue</w:t>
      </w:r>
      <w:r w:rsidRPr="00A331DD">
        <w:rPr>
          <w:rFonts w:ascii="Courier New" w:eastAsia="Times New Roman" w:hAnsi="Courier New" w:cs="Courier New"/>
        </w:rPr>
        <w:t xml:space="preserve">. </w:t>
      </w:r>
      <w:proofErr w:type="gramStart"/>
      <w:r w:rsidRPr="00A331DD">
        <w:rPr>
          <w:rFonts w:ascii="Courier New" w:eastAsia="Times New Roman" w:hAnsi="Courier New" w:cs="Courier New"/>
          <w:i/>
          <w:iCs/>
        </w:rPr>
        <w:t xml:space="preserve">See </w:t>
      </w:r>
      <w:proofErr w:type="spellStart"/>
      <w:r w:rsidRPr="00A331DD">
        <w:rPr>
          <w:rFonts w:ascii="Courier New" w:eastAsia="Times New Roman" w:hAnsi="Courier New" w:cs="Courier New"/>
          <w:b/>
          <w:bCs/>
          <w:i/>
          <w:iCs/>
        </w:rPr>
        <w:t>Correia</w:t>
      </w:r>
      <w:proofErr w:type="spellEnd"/>
      <w:r w:rsidRPr="00A331DD">
        <w:rPr>
          <w:rFonts w:ascii="Courier New" w:eastAsia="Times New Roman" w:hAnsi="Courier New" w:cs="Courier New"/>
          <w:b/>
          <w:bCs/>
          <w:i/>
          <w:iCs/>
        </w:rPr>
        <w:t xml:space="preserve"> v.</w:t>
      </w:r>
      <w:proofErr w:type="gramEnd"/>
      <w:r w:rsidRPr="00A331DD">
        <w:rPr>
          <w:rFonts w:ascii="Courier New" w:eastAsia="Times New Roman" w:hAnsi="Courier New" w:cs="Courier New"/>
          <w:b/>
          <w:bCs/>
          <w:i/>
          <w:iCs/>
        </w:rPr>
        <w:t xml:space="preserve"> New Bedford Redevelopment Auth</w:t>
      </w:r>
      <w:r w:rsidR="008441BC">
        <w:rPr>
          <w:rFonts w:ascii="Courier New" w:eastAsia="Times New Roman" w:hAnsi="Courier New" w:cs="Courier New"/>
          <w:b/>
          <w:bCs/>
          <w:i/>
          <w:iCs/>
        </w:rPr>
        <w:t>ority</w:t>
      </w:r>
      <w:r w:rsidRPr="00A331DD">
        <w:rPr>
          <w:rFonts w:ascii="Courier New" w:eastAsia="Times New Roman" w:hAnsi="Courier New" w:cs="Courier New"/>
        </w:rPr>
        <w:t xml:space="preserve">, 5 Mass. App. Ct. 289, 293-94 (1977), </w:t>
      </w:r>
      <w:proofErr w:type="spellStart"/>
      <w:r w:rsidRPr="00A331DD">
        <w:rPr>
          <w:rFonts w:ascii="Courier New" w:eastAsia="Times New Roman" w:hAnsi="Courier New" w:cs="Courier New"/>
          <w:i/>
          <w:iCs/>
        </w:rPr>
        <w:t>rev’d</w:t>
      </w:r>
      <w:proofErr w:type="spellEnd"/>
      <w:r w:rsidRPr="00A331DD">
        <w:rPr>
          <w:rFonts w:ascii="Courier New" w:eastAsia="Times New Roman" w:hAnsi="Courier New" w:cs="Courier New"/>
          <w:i/>
          <w:iCs/>
        </w:rPr>
        <w:t xml:space="preserve"> on other grounds,</w:t>
      </w:r>
      <w:r w:rsidRPr="00A331DD">
        <w:rPr>
          <w:rFonts w:ascii="Courier New" w:eastAsia="Times New Roman" w:hAnsi="Courier New" w:cs="Courier New"/>
        </w:rPr>
        <w:t xml:space="preserve"> 375 Mass. 360 (1978); </w:t>
      </w:r>
      <w:r w:rsidRPr="00A331DD">
        <w:rPr>
          <w:rFonts w:ascii="Courier New" w:eastAsia="Times New Roman" w:hAnsi="Courier New" w:cs="Courier New"/>
          <w:b/>
          <w:bCs/>
          <w:i/>
          <w:iCs/>
        </w:rPr>
        <w:t>Library Services, Inc. v. Malden Redevelopment Auth</w:t>
      </w:r>
      <w:r w:rsidR="004676B1">
        <w:rPr>
          <w:rFonts w:ascii="Courier New" w:eastAsia="Times New Roman" w:hAnsi="Courier New" w:cs="Courier New"/>
          <w:b/>
          <w:bCs/>
          <w:i/>
          <w:iCs/>
        </w:rPr>
        <w:t>ority</w:t>
      </w:r>
      <w:r w:rsidRPr="00A331DD">
        <w:rPr>
          <w:rFonts w:ascii="Courier New" w:eastAsia="Times New Roman" w:hAnsi="Courier New" w:cs="Courier New"/>
        </w:rPr>
        <w:t>, 9</w:t>
      </w:r>
      <w:r w:rsidR="004676B1">
        <w:rPr>
          <w:rFonts w:ascii="Courier New" w:eastAsia="Times New Roman" w:hAnsi="Courier New" w:cs="Courier New"/>
        </w:rPr>
        <w:t xml:space="preserve"> </w:t>
      </w:r>
      <w:r w:rsidRPr="00A331DD">
        <w:rPr>
          <w:rFonts w:ascii="Courier New" w:eastAsia="Times New Roman" w:hAnsi="Courier New" w:cs="Courier New"/>
        </w:rPr>
        <w:t>Mass. App. Ct. 877, 878 (1980)</w:t>
      </w:r>
      <w:r>
        <w:rPr>
          <w:rFonts w:ascii="Courier New" w:eastAsia="Times New Roman" w:hAnsi="Courier New" w:cs="Courier New"/>
        </w:rPr>
        <w:t xml:space="preserve"> </w:t>
      </w:r>
      <w:r w:rsidRPr="00A331DD">
        <w:rPr>
          <w:rFonts w:ascii="Courier New" w:eastAsia="Times New Roman" w:hAnsi="Courier New" w:cs="Courier New"/>
        </w:rPr>
        <w:t xml:space="preserve">(rescript). </w:t>
      </w:r>
      <w:r w:rsidRPr="007B0FF4">
        <w:rPr>
          <w:rFonts w:ascii="Courier New" w:hAnsi="Courier New" w:cs="Courier New"/>
        </w:rPr>
        <w:t>Properties are “comparable” when they share “fundamental similarities</w:t>
      </w:r>
      <w:r w:rsidR="003B2DE5">
        <w:rPr>
          <w:rFonts w:ascii="Courier New" w:hAnsi="Courier New" w:cs="Courier New"/>
        </w:rPr>
        <w:t>.</w:t>
      </w:r>
      <w:r w:rsidRPr="007B0FF4">
        <w:rPr>
          <w:rFonts w:ascii="Courier New" w:hAnsi="Courier New" w:cs="Courier New"/>
        </w:rPr>
        <w:t xml:space="preserve">” </w:t>
      </w:r>
      <w:r w:rsidRPr="007B0FF4">
        <w:rPr>
          <w:rFonts w:ascii="Courier New" w:hAnsi="Courier New" w:cs="Courier New"/>
          <w:i/>
        </w:rPr>
        <w:t xml:space="preserve">See </w:t>
      </w:r>
      <w:proofErr w:type="spellStart"/>
      <w:r w:rsidRPr="007B0FF4">
        <w:rPr>
          <w:rFonts w:ascii="Courier New" w:hAnsi="Courier New" w:cs="Courier New"/>
          <w:b/>
          <w:i/>
        </w:rPr>
        <w:t>Lattuca</w:t>
      </w:r>
      <w:proofErr w:type="spellEnd"/>
      <w:r w:rsidRPr="007B0FF4">
        <w:rPr>
          <w:rFonts w:ascii="Courier New" w:hAnsi="Courier New" w:cs="Courier New"/>
          <w:b/>
          <w:i/>
        </w:rPr>
        <w:t xml:space="preserve"> v. </w:t>
      </w:r>
      <w:proofErr w:type="spellStart"/>
      <w:r w:rsidRPr="007B0FF4">
        <w:rPr>
          <w:rFonts w:ascii="Courier New" w:hAnsi="Courier New" w:cs="Courier New"/>
          <w:b/>
          <w:i/>
        </w:rPr>
        <w:t>Robsham</w:t>
      </w:r>
      <w:proofErr w:type="spellEnd"/>
      <w:r w:rsidRPr="007B0FF4">
        <w:rPr>
          <w:rFonts w:ascii="Courier New" w:hAnsi="Courier New" w:cs="Courier New"/>
          <w:b/>
          <w:i/>
        </w:rPr>
        <w:t xml:space="preserve">, </w:t>
      </w:r>
      <w:r w:rsidRPr="007B0FF4">
        <w:rPr>
          <w:rFonts w:ascii="Courier New" w:hAnsi="Courier New" w:cs="Courier New"/>
        </w:rPr>
        <w:t xml:space="preserve">442 Mass. 205, 216 (2004). The </w:t>
      </w:r>
      <w:r w:rsidR="00FE142B">
        <w:rPr>
          <w:rFonts w:ascii="Courier New" w:hAnsi="Courier New" w:cs="Courier New"/>
        </w:rPr>
        <w:t>taxpayer</w:t>
      </w:r>
      <w:r w:rsidRPr="007B0FF4">
        <w:rPr>
          <w:rFonts w:ascii="Courier New" w:hAnsi="Courier New" w:cs="Courier New"/>
        </w:rPr>
        <w:t xml:space="preserve"> bears the burden of establishing the comparability of properties. </w:t>
      </w:r>
      <w:proofErr w:type="spellStart"/>
      <w:proofErr w:type="gramStart"/>
      <w:r w:rsidRPr="007B0FF4">
        <w:rPr>
          <w:rFonts w:ascii="Courier New" w:hAnsi="Courier New" w:cs="Courier New"/>
          <w:b/>
          <w:i/>
        </w:rPr>
        <w:t>Silvestri</w:t>
      </w:r>
      <w:proofErr w:type="spellEnd"/>
      <w:r w:rsidRPr="007B0FF4">
        <w:rPr>
          <w:rFonts w:ascii="Courier New" w:hAnsi="Courier New" w:cs="Courier New"/>
          <w:b/>
          <w:i/>
        </w:rPr>
        <w:t xml:space="preserve"> v. Assessors of Lowell, </w:t>
      </w:r>
      <w:r w:rsidRPr="007B0FF4">
        <w:rPr>
          <w:rFonts w:ascii="Courier New" w:hAnsi="Courier New" w:cs="Courier New"/>
        </w:rPr>
        <w:t>Mass. ATB Findings of Fact and Reports 2012-926, 935.</w:t>
      </w:r>
      <w:proofErr w:type="gramEnd"/>
      <w:r w:rsidRPr="007B0FF4">
        <w:rPr>
          <w:rFonts w:ascii="Courier New" w:hAnsi="Courier New" w:cs="Courier New"/>
        </w:rPr>
        <w:t xml:space="preserve"> </w:t>
      </w:r>
      <w:proofErr w:type="gramStart"/>
      <w:r w:rsidRPr="007B0FF4">
        <w:rPr>
          <w:rFonts w:ascii="Courier New" w:hAnsi="Courier New" w:cs="Courier New"/>
          <w:i/>
        </w:rPr>
        <w:t xml:space="preserve">Accord </w:t>
      </w:r>
      <w:r w:rsidRPr="007B0FF4">
        <w:rPr>
          <w:rFonts w:ascii="Courier New" w:hAnsi="Courier New" w:cs="Courier New"/>
          <w:b/>
          <w:i/>
        </w:rPr>
        <w:t xml:space="preserve">New Boston Garden Corp. v. Assessors of Boston, </w:t>
      </w:r>
      <w:r w:rsidRPr="007B0FF4">
        <w:rPr>
          <w:rFonts w:ascii="Courier New" w:hAnsi="Courier New" w:cs="Courier New"/>
        </w:rPr>
        <w:t>383 Mass. 456, 470 (1981).</w:t>
      </w:r>
      <w:proofErr w:type="gramEnd"/>
      <w:r w:rsidRPr="007B0FF4">
        <w:rPr>
          <w:rFonts w:ascii="Courier New" w:hAnsi="Courier New" w:cs="Courier New"/>
        </w:rPr>
        <w:t xml:space="preserve"> </w:t>
      </w:r>
    </w:p>
    <w:p w:rsidR="00B60CBB" w:rsidRPr="006D0E07" w:rsidRDefault="00E729D7" w:rsidP="006D0E07">
      <w:pPr>
        <w:spacing w:line="480" w:lineRule="auto"/>
        <w:ind w:firstLine="720"/>
        <w:contextualSpacing/>
        <w:jc w:val="both"/>
        <w:rPr>
          <w:rFonts w:ascii="Courier New" w:hAnsi="Courier New" w:cs="Courier New"/>
          <w:color w:val="373739"/>
        </w:rPr>
      </w:pPr>
      <w:r>
        <w:rPr>
          <w:rFonts w:ascii="Courier New" w:hAnsi="Courier New" w:cs="Courier New"/>
        </w:rPr>
        <w:t xml:space="preserve">In the present appeals, </w:t>
      </w:r>
      <w:r w:rsidR="00E64093">
        <w:rPr>
          <w:rFonts w:ascii="Courier New" w:hAnsi="Courier New" w:cs="Courier New"/>
        </w:rPr>
        <w:t>the</w:t>
      </w:r>
      <w:r w:rsidR="00C96397">
        <w:rPr>
          <w:rFonts w:ascii="Courier New" w:hAnsi="Courier New" w:cs="Courier New"/>
        </w:rPr>
        <w:t xml:space="preserve"> Board </w:t>
      </w:r>
      <w:r w:rsidR="00DF78A1">
        <w:rPr>
          <w:rFonts w:ascii="Courier New" w:hAnsi="Courier New" w:cs="Courier New"/>
        </w:rPr>
        <w:t xml:space="preserve">considered </w:t>
      </w:r>
      <w:r w:rsidR="006D0E07">
        <w:rPr>
          <w:rFonts w:ascii="Courier New" w:hAnsi="Courier New" w:cs="Courier New"/>
        </w:rPr>
        <w:t>evidence offered</w:t>
      </w:r>
      <w:r w:rsidR="00DF78A1">
        <w:rPr>
          <w:rFonts w:ascii="Courier New" w:hAnsi="Courier New" w:cs="Courier New"/>
        </w:rPr>
        <w:t xml:space="preserve"> by both parties’ </w:t>
      </w:r>
      <w:r w:rsidR="006D0E07">
        <w:rPr>
          <w:rFonts w:ascii="Courier New" w:hAnsi="Courier New" w:cs="Courier New"/>
        </w:rPr>
        <w:t>appraisers</w:t>
      </w:r>
      <w:r w:rsidR="00DF78A1">
        <w:rPr>
          <w:rFonts w:ascii="Courier New" w:hAnsi="Courier New" w:cs="Courier New"/>
        </w:rPr>
        <w:t xml:space="preserve"> </w:t>
      </w:r>
      <w:r w:rsidR="00140A72">
        <w:rPr>
          <w:rFonts w:ascii="Courier New" w:hAnsi="Courier New" w:cs="Courier New"/>
        </w:rPr>
        <w:t xml:space="preserve">to derive fair market rents for the subject properties for each of the fiscal years at issue. </w:t>
      </w:r>
      <w:proofErr w:type="spellStart"/>
      <w:r w:rsidR="00140A72" w:rsidRPr="00140A72">
        <w:rPr>
          <w:rStyle w:val="sssh"/>
          <w:rFonts w:ascii="Courier New" w:hAnsi="Courier New" w:cs="Courier New"/>
          <w:b/>
          <w:bCs/>
          <w:i/>
          <w:color w:val="373739"/>
        </w:rPr>
        <w:t>Cummington</w:t>
      </w:r>
      <w:proofErr w:type="spellEnd"/>
      <w:r w:rsidR="00140A72" w:rsidRPr="00140A72">
        <w:rPr>
          <w:rFonts w:ascii="Courier New" w:hAnsi="Courier New" w:cs="Courier New"/>
          <w:b/>
          <w:i/>
          <w:color w:val="373739"/>
        </w:rPr>
        <w:t xml:space="preserve"> School of the Arts, Inc. v. Assessors of </w:t>
      </w:r>
      <w:proofErr w:type="spellStart"/>
      <w:r w:rsidR="00140A72" w:rsidRPr="00140A72">
        <w:rPr>
          <w:rStyle w:val="sssh"/>
          <w:rFonts w:ascii="Courier New" w:hAnsi="Courier New" w:cs="Courier New"/>
          <w:b/>
          <w:bCs/>
          <w:i/>
          <w:color w:val="373739"/>
        </w:rPr>
        <w:t>Cummington</w:t>
      </w:r>
      <w:proofErr w:type="spellEnd"/>
      <w:r w:rsidR="00140A72" w:rsidRPr="00140A72">
        <w:rPr>
          <w:rFonts w:ascii="Courier New" w:hAnsi="Courier New" w:cs="Courier New"/>
          <w:color w:val="373739"/>
        </w:rPr>
        <w:t>, 373 Mass. 597, 605 (1977)</w:t>
      </w:r>
      <w:r w:rsidR="00140A72">
        <w:rPr>
          <w:rFonts w:ascii="Courier New" w:hAnsi="Courier New" w:cs="Courier New"/>
          <w:color w:val="373739"/>
        </w:rPr>
        <w:t xml:space="preserve"> (“</w:t>
      </w:r>
      <w:r w:rsidR="00140A72" w:rsidRPr="00140A72">
        <w:rPr>
          <w:rFonts w:ascii="Courier New" w:hAnsi="Courier New" w:cs="Courier New"/>
          <w:color w:val="373739"/>
        </w:rPr>
        <w:t xml:space="preserve">The credibility of </w:t>
      </w:r>
      <w:r w:rsidR="00140A72" w:rsidRPr="00140A72">
        <w:rPr>
          <w:rStyle w:val="sssh"/>
          <w:rFonts w:ascii="Courier New" w:hAnsi="Courier New" w:cs="Courier New"/>
          <w:bCs/>
          <w:color w:val="373739"/>
        </w:rPr>
        <w:t>witnesses</w:t>
      </w:r>
      <w:r w:rsidR="00140A72" w:rsidRPr="00140A72">
        <w:rPr>
          <w:rFonts w:ascii="Courier New" w:hAnsi="Courier New" w:cs="Courier New"/>
          <w:color w:val="373739"/>
        </w:rPr>
        <w:t>, the weight of the evidence, and inferences to be drawn from the evidence are matters for the board.</w:t>
      </w:r>
      <w:r w:rsidR="00140A72">
        <w:rPr>
          <w:rFonts w:ascii="Courier New" w:hAnsi="Courier New" w:cs="Courier New"/>
          <w:color w:val="373739"/>
        </w:rPr>
        <w:t>”).</w:t>
      </w:r>
      <w:r w:rsidR="00140A72" w:rsidRPr="00140A72">
        <w:rPr>
          <w:rFonts w:ascii="Courier New" w:hAnsi="Courier New" w:cs="Courier New"/>
          <w:color w:val="373739"/>
        </w:rPr>
        <w:t xml:space="preserve"> </w:t>
      </w:r>
      <w:r w:rsidR="00140A72">
        <w:rPr>
          <w:rFonts w:ascii="Courier New" w:hAnsi="Courier New" w:cs="Courier New"/>
        </w:rPr>
        <w:t>A</w:t>
      </w:r>
      <w:r w:rsidR="00934392">
        <w:rPr>
          <w:rFonts w:ascii="Courier New" w:hAnsi="Courier New" w:cs="Courier New"/>
        </w:rPr>
        <w:t xml:space="preserve">pplying the </w:t>
      </w:r>
      <w:r w:rsidR="00140A72">
        <w:rPr>
          <w:rFonts w:ascii="Courier New" w:hAnsi="Courier New" w:cs="Courier New"/>
        </w:rPr>
        <w:t xml:space="preserve">Board’s </w:t>
      </w:r>
      <w:r w:rsidR="006D0E07">
        <w:rPr>
          <w:rFonts w:ascii="Courier New" w:hAnsi="Courier New" w:cs="Courier New"/>
        </w:rPr>
        <w:t xml:space="preserve">fair market rents and the other elements of its income-capitalization analysis </w:t>
      </w:r>
      <w:r w:rsidR="00934392">
        <w:rPr>
          <w:rFonts w:ascii="Courier New" w:hAnsi="Courier New" w:cs="Courier New"/>
        </w:rPr>
        <w:t xml:space="preserve">resulted </w:t>
      </w:r>
      <w:r w:rsidR="006D0E07">
        <w:rPr>
          <w:rFonts w:ascii="Courier New" w:hAnsi="Courier New" w:cs="Courier New"/>
        </w:rPr>
        <w:t xml:space="preserve">fair cash values that </w:t>
      </w:r>
      <w:r w:rsidR="006D0E07">
        <w:rPr>
          <w:rFonts w:ascii="Courier New" w:hAnsi="Courier New" w:cs="Courier New"/>
        </w:rPr>
        <w:lastRenderedPageBreak/>
        <w:t xml:space="preserve">were less than the </w:t>
      </w:r>
      <w:r w:rsidR="00934392">
        <w:rPr>
          <w:rFonts w:ascii="Courier New" w:hAnsi="Courier New" w:cs="Courier New"/>
        </w:rPr>
        <w:t xml:space="preserve">assessed values for each of the fiscal years at issue. </w:t>
      </w:r>
    </w:p>
    <w:p w:rsidR="006D0E07" w:rsidRDefault="007B0D98" w:rsidP="00483370">
      <w:pPr>
        <w:spacing w:line="480" w:lineRule="auto"/>
        <w:ind w:firstLine="720"/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Accordingly, </w:t>
      </w:r>
      <w:r w:rsidR="006D0E07">
        <w:rPr>
          <w:rFonts w:ascii="Courier New" w:hAnsi="Courier New" w:cs="Courier New"/>
        </w:rPr>
        <w:t>the Board issued decisions for the appellant, granting abatements of $11,534.74, $3,289.66, and $213.05 for each of the fiscal years at issue, respectively, for the main store, and abatements of $15,918.35, $10,328.44, and $5,336.26 for each of the fiscal years at issue, respectively, for the men’s/home store.</w:t>
      </w:r>
    </w:p>
    <w:p w:rsidR="00E729D7" w:rsidRDefault="00DF78A1" w:rsidP="00483370">
      <w:pPr>
        <w:spacing w:line="480" w:lineRule="auto"/>
        <w:ind w:firstLine="720"/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60CBB">
        <w:rPr>
          <w:rFonts w:ascii="Courier New" w:hAnsi="Courier New" w:cs="Courier New"/>
        </w:rPr>
        <w:t xml:space="preserve"> </w:t>
      </w:r>
      <w:r w:rsidR="00C96397">
        <w:rPr>
          <w:rFonts w:ascii="Courier New" w:hAnsi="Courier New" w:cs="Courier New"/>
        </w:rPr>
        <w:t xml:space="preserve">  </w:t>
      </w:r>
    </w:p>
    <w:p w:rsidR="003049BA" w:rsidRDefault="003049BA" w:rsidP="003049BA">
      <w:pPr>
        <w:ind w:left="2880" w:firstLine="720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  </w:t>
      </w:r>
      <w:r w:rsidRPr="006C660D">
        <w:rPr>
          <w:rFonts w:ascii="Courier New" w:hAnsi="Courier New" w:cs="Courier New"/>
          <w:b/>
        </w:rPr>
        <w:t>THE APPELLATE TAX BOARD</w:t>
      </w:r>
    </w:p>
    <w:p w:rsidR="003049BA" w:rsidRDefault="003049BA" w:rsidP="003049BA">
      <w:pPr>
        <w:ind w:left="2880" w:firstLine="720"/>
        <w:jc w:val="both"/>
        <w:rPr>
          <w:rFonts w:ascii="Courier New" w:hAnsi="Courier New" w:cs="Courier New"/>
          <w:b/>
        </w:rPr>
      </w:pPr>
    </w:p>
    <w:p w:rsidR="003049BA" w:rsidRDefault="003049BA" w:rsidP="003049BA">
      <w:pPr>
        <w:ind w:left="2880" w:firstLine="720"/>
        <w:jc w:val="both"/>
        <w:rPr>
          <w:rFonts w:ascii="Courier New" w:hAnsi="Courier New" w:cs="Courier New"/>
          <w:b/>
        </w:rPr>
      </w:pPr>
    </w:p>
    <w:p w:rsidR="003049BA" w:rsidRPr="006C660D" w:rsidRDefault="003049BA" w:rsidP="003049BA">
      <w:pPr>
        <w:ind w:left="2880" w:firstLine="720"/>
        <w:jc w:val="both"/>
        <w:rPr>
          <w:rFonts w:ascii="Courier New" w:hAnsi="Courier New" w:cs="Courier New"/>
          <w:b/>
        </w:rPr>
      </w:pPr>
    </w:p>
    <w:p w:rsidR="003049BA" w:rsidRDefault="003049BA" w:rsidP="003049BA">
      <w:pPr>
        <w:ind w:left="2160" w:firstLine="720"/>
        <w:jc w:val="both"/>
        <w:rPr>
          <w:rFonts w:ascii="Courier New" w:hAnsi="Courier New" w:cs="Courier New"/>
          <w:b/>
        </w:rPr>
      </w:pPr>
      <w:r w:rsidRPr="006C660D">
        <w:rPr>
          <w:rFonts w:ascii="Courier New" w:hAnsi="Courier New" w:cs="Courier New"/>
          <w:b/>
        </w:rPr>
        <w:t>B</w:t>
      </w:r>
      <w:r>
        <w:rPr>
          <w:rFonts w:ascii="Courier New" w:hAnsi="Courier New" w:cs="Courier New"/>
          <w:b/>
        </w:rPr>
        <w:t xml:space="preserve">y:    _______________________________       </w:t>
      </w:r>
    </w:p>
    <w:p w:rsidR="003049BA" w:rsidRPr="006C660D" w:rsidRDefault="003049BA" w:rsidP="003049BA">
      <w:pPr>
        <w:ind w:left="3315" w:firstLine="285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Pr="006C660D">
        <w:rPr>
          <w:rFonts w:ascii="Courier New" w:hAnsi="Courier New" w:cs="Courier New"/>
          <w:b/>
        </w:rPr>
        <w:t xml:space="preserve">Thomas </w:t>
      </w:r>
      <w:r>
        <w:rPr>
          <w:rFonts w:ascii="Courier New" w:hAnsi="Courier New" w:cs="Courier New"/>
          <w:b/>
        </w:rPr>
        <w:t>W. Hammond, Jr.</w:t>
      </w:r>
      <w:r w:rsidRPr="006C660D">
        <w:rPr>
          <w:rFonts w:ascii="Courier New" w:hAnsi="Courier New" w:cs="Courier New"/>
          <w:b/>
        </w:rPr>
        <w:t>, C</w:t>
      </w:r>
      <w:r>
        <w:rPr>
          <w:rFonts w:ascii="Courier New" w:hAnsi="Courier New" w:cs="Courier New"/>
          <w:b/>
        </w:rPr>
        <w:t>hairman</w:t>
      </w:r>
      <w:r w:rsidRPr="006C660D">
        <w:rPr>
          <w:rFonts w:ascii="Courier New" w:hAnsi="Courier New" w:cs="Courier New"/>
          <w:b/>
        </w:rPr>
        <w:t xml:space="preserve"> </w:t>
      </w:r>
    </w:p>
    <w:p w:rsidR="003049BA" w:rsidRDefault="003049BA" w:rsidP="003049BA">
      <w:pPr>
        <w:jc w:val="both"/>
        <w:rPr>
          <w:rFonts w:ascii="Courier New" w:hAnsi="Courier New" w:cs="Courier New"/>
          <w:b/>
        </w:rPr>
      </w:pPr>
    </w:p>
    <w:p w:rsidR="00753DB8" w:rsidRDefault="00753DB8" w:rsidP="00753DB8">
      <w:pPr>
        <w:jc w:val="both"/>
        <w:rPr>
          <w:rFonts w:ascii="Courier New" w:hAnsi="Courier New" w:cs="Courier New"/>
          <w:b/>
        </w:rPr>
      </w:pPr>
    </w:p>
    <w:p w:rsidR="00753DB8" w:rsidRDefault="00753DB8" w:rsidP="00753DB8">
      <w:pPr>
        <w:jc w:val="both"/>
        <w:rPr>
          <w:rFonts w:ascii="Courier New" w:hAnsi="Courier New" w:cs="Courier New"/>
          <w:b/>
        </w:rPr>
      </w:pPr>
      <w:r w:rsidRPr="006C660D">
        <w:rPr>
          <w:rFonts w:ascii="Courier New" w:hAnsi="Courier New" w:cs="Courier New"/>
          <w:b/>
        </w:rPr>
        <w:t xml:space="preserve">A </w:t>
      </w:r>
      <w:r w:rsidRPr="00EB27DC">
        <w:rPr>
          <w:rFonts w:ascii="Courier New" w:hAnsi="Courier New" w:cs="Courier New"/>
          <w:b/>
        </w:rPr>
        <w:t>true copy,</w:t>
      </w:r>
    </w:p>
    <w:p w:rsidR="00753DB8" w:rsidRDefault="00753DB8" w:rsidP="00753DB8">
      <w:pPr>
        <w:jc w:val="both"/>
        <w:rPr>
          <w:rFonts w:ascii="Courier New" w:hAnsi="Courier New" w:cs="Courier New"/>
          <w:b/>
        </w:rPr>
      </w:pPr>
    </w:p>
    <w:p w:rsidR="00753DB8" w:rsidRPr="00EB27DC" w:rsidRDefault="00753DB8" w:rsidP="00753DB8">
      <w:pPr>
        <w:jc w:val="both"/>
        <w:rPr>
          <w:rFonts w:ascii="Courier New" w:hAnsi="Courier New" w:cs="Courier New"/>
          <w:b/>
        </w:rPr>
      </w:pPr>
    </w:p>
    <w:p w:rsidR="00753DB8" w:rsidRDefault="00753DB8" w:rsidP="00753DB8">
      <w:pPr>
        <w:jc w:val="both"/>
        <w:rPr>
          <w:rFonts w:ascii="Courier New" w:hAnsi="Courier New" w:cs="Courier New"/>
          <w:b/>
          <w:u w:val="single"/>
        </w:rPr>
      </w:pPr>
      <w:r w:rsidRPr="00EB27DC">
        <w:rPr>
          <w:rFonts w:ascii="Courier New" w:hAnsi="Courier New" w:cs="Courier New"/>
          <w:b/>
        </w:rPr>
        <w:t>Atte</w:t>
      </w:r>
      <w:r>
        <w:rPr>
          <w:rFonts w:ascii="Courier New" w:hAnsi="Courier New" w:cs="Courier New"/>
          <w:b/>
        </w:rPr>
        <w:t>st: ________________________</w:t>
      </w:r>
    </w:p>
    <w:p w:rsidR="00753DB8" w:rsidRDefault="00753DB8" w:rsidP="00753DB8">
      <w:pPr>
        <w:jc w:val="both"/>
        <w:rPr>
          <w:rFonts w:ascii="Courier New" w:hAnsi="Courier New" w:cs="Courier New"/>
          <w:b/>
        </w:rPr>
      </w:pPr>
      <w:r w:rsidRPr="00EB27DC">
        <w:rPr>
          <w:rFonts w:ascii="Courier New" w:hAnsi="Courier New" w:cs="Courier New"/>
        </w:rPr>
        <w:tab/>
      </w:r>
      <w:r w:rsidRPr="00EB27DC">
        <w:rPr>
          <w:rFonts w:ascii="Courier New" w:hAnsi="Courier New" w:cs="Courier New"/>
          <w:b/>
        </w:rPr>
        <w:t xml:space="preserve">  </w:t>
      </w:r>
      <w:r>
        <w:rPr>
          <w:rFonts w:ascii="Courier New" w:hAnsi="Courier New" w:cs="Courier New"/>
          <w:b/>
        </w:rPr>
        <w:t xml:space="preserve">   </w:t>
      </w:r>
      <w:r w:rsidRPr="00EB27DC">
        <w:rPr>
          <w:rFonts w:ascii="Courier New" w:hAnsi="Courier New" w:cs="Courier New"/>
          <w:b/>
        </w:rPr>
        <w:t xml:space="preserve"> Clerk of the Board</w:t>
      </w:r>
    </w:p>
    <w:p w:rsidR="003049BA" w:rsidRDefault="003049BA" w:rsidP="003049BA">
      <w:pPr>
        <w:jc w:val="both"/>
        <w:rPr>
          <w:rFonts w:ascii="Courier New" w:hAnsi="Courier New" w:cs="Courier New"/>
          <w:b/>
        </w:rPr>
      </w:pPr>
    </w:p>
    <w:sectPr w:rsidR="003049BA" w:rsidSect="00863AE9">
      <w:footerReference w:type="default" r:id="rId9"/>
      <w:pgSz w:w="12240" w:h="15840"/>
      <w:pgMar w:top="1440" w:right="1440" w:bottom="1440" w:left="1440" w:header="720" w:footer="720" w:gutter="0"/>
      <w:pgNumType w:start="26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0B" w:rsidRDefault="009F5E0B" w:rsidP="000C3B21">
      <w:r>
        <w:separator/>
      </w:r>
    </w:p>
  </w:endnote>
  <w:endnote w:type="continuationSeparator" w:id="0">
    <w:p w:rsidR="009F5E0B" w:rsidRDefault="009F5E0B" w:rsidP="000C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E0B" w:rsidRPr="00863AE9" w:rsidRDefault="00863AE9">
    <w:pPr>
      <w:pStyle w:val="Footer"/>
      <w:jc w:val="center"/>
      <w:rPr>
        <w:rFonts w:ascii="Courier New" w:hAnsi="Courier New" w:cs="Courier New"/>
        <w:b/>
      </w:rPr>
    </w:pPr>
    <w:r w:rsidRPr="00863AE9">
      <w:rPr>
        <w:rFonts w:ascii="Courier New" w:hAnsi="Courier New" w:cs="Courier New"/>
        <w:b/>
      </w:rPr>
      <w:t>ATB 2019-</w:t>
    </w:r>
    <w:sdt>
      <w:sdtPr>
        <w:rPr>
          <w:rFonts w:ascii="Courier New" w:hAnsi="Courier New" w:cs="Courier New"/>
          <w:b/>
        </w:rPr>
        <w:id w:val="-19189357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5E0B" w:rsidRPr="00863AE9">
          <w:rPr>
            <w:rFonts w:ascii="Courier New" w:hAnsi="Courier New" w:cs="Courier New"/>
            <w:b/>
          </w:rPr>
          <w:fldChar w:fldCharType="begin"/>
        </w:r>
        <w:r w:rsidR="009F5E0B" w:rsidRPr="00863AE9">
          <w:rPr>
            <w:rFonts w:ascii="Courier New" w:hAnsi="Courier New" w:cs="Courier New"/>
            <w:b/>
          </w:rPr>
          <w:instrText xml:space="preserve"> PAGE   \* MERGEFORMAT </w:instrText>
        </w:r>
        <w:r w:rsidR="009F5E0B" w:rsidRPr="00863AE9">
          <w:rPr>
            <w:rFonts w:ascii="Courier New" w:hAnsi="Courier New" w:cs="Courier New"/>
            <w:b/>
          </w:rPr>
          <w:fldChar w:fldCharType="separate"/>
        </w:r>
        <w:r w:rsidR="009E3CFE">
          <w:rPr>
            <w:rFonts w:ascii="Courier New" w:hAnsi="Courier New" w:cs="Courier New"/>
            <w:b/>
            <w:noProof/>
          </w:rPr>
          <w:t>263</w:t>
        </w:r>
        <w:r w:rsidR="009F5E0B" w:rsidRPr="00863AE9">
          <w:rPr>
            <w:rFonts w:ascii="Courier New" w:hAnsi="Courier New" w:cs="Courier New"/>
            <w:b/>
            <w:noProof/>
          </w:rPr>
          <w:fldChar w:fldCharType="end"/>
        </w:r>
      </w:sdtContent>
    </w:sdt>
  </w:p>
  <w:p w:rsidR="009F5E0B" w:rsidRDefault="009F5E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0B" w:rsidRDefault="009F5E0B" w:rsidP="000C3B21">
      <w:r>
        <w:separator/>
      </w:r>
    </w:p>
  </w:footnote>
  <w:footnote w:type="continuationSeparator" w:id="0">
    <w:p w:rsidR="009F5E0B" w:rsidRDefault="009F5E0B" w:rsidP="000C3B21">
      <w:r>
        <w:continuationSeparator/>
      </w:r>
    </w:p>
  </w:footnote>
  <w:footnote w:id="1">
    <w:p w:rsidR="00C7574F" w:rsidRPr="006B6278" w:rsidRDefault="00C7574F" w:rsidP="00C7574F">
      <w:pPr>
        <w:pStyle w:val="FootnoteText"/>
        <w:jc w:val="both"/>
        <w:rPr>
          <w:rFonts w:ascii="Courier New" w:hAnsi="Courier New" w:cs="Courier New"/>
        </w:rPr>
      </w:pPr>
      <w:r w:rsidRPr="006B6278">
        <w:rPr>
          <w:rStyle w:val="FootnoteReference"/>
          <w:rFonts w:ascii="Courier New" w:hAnsi="Courier New" w:cs="Courier New"/>
        </w:rPr>
        <w:footnoteRef/>
      </w:r>
      <w:r w:rsidRPr="006B6278">
        <w:rPr>
          <w:rFonts w:ascii="Courier New" w:hAnsi="Courier New" w:cs="Courier New"/>
        </w:rPr>
        <w:t xml:space="preserve"> Assessment amounts </w:t>
      </w:r>
      <w:r>
        <w:rPr>
          <w:rFonts w:ascii="Courier New" w:hAnsi="Courier New" w:cs="Courier New"/>
        </w:rPr>
        <w:t xml:space="preserve">listed in the tables </w:t>
      </w:r>
      <w:r w:rsidR="001A22C1">
        <w:rPr>
          <w:rFonts w:ascii="Courier New" w:hAnsi="Courier New" w:cs="Courier New"/>
        </w:rPr>
        <w:t xml:space="preserve">include </w:t>
      </w:r>
      <w:r w:rsidRPr="006B6278">
        <w:rPr>
          <w:rFonts w:ascii="Courier New" w:hAnsi="Courier New" w:cs="Courier New"/>
        </w:rPr>
        <w:t>a 3 percent Community Preservation Act (</w:t>
      </w:r>
      <w:r>
        <w:rPr>
          <w:rFonts w:ascii="Courier New" w:hAnsi="Courier New" w:cs="Courier New"/>
        </w:rPr>
        <w:t>“</w:t>
      </w:r>
      <w:r w:rsidRPr="006B6278">
        <w:rPr>
          <w:rFonts w:ascii="Courier New" w:hAnsi="Courier New" w:cs="Courier New"/>
        </w:rPr>
        <w:t>CPA”) surcharge and Hyannis Fire District tax at a rate of $3.54 per $1,000 for fiscal year 2014, $3.60 per $1,000 for fiscal year 2015, and $3.87 per $1,000 for fiscal year 2016.</w:t>
      </w:r>
    </w:p>
  </w:footnote>
  <w:footnote w:id="2">
    <w:p w:rsidR="009F5E0B" w:rsidRPr="003E6FAD" w:rsidRDefault="009F5E0B" w:rsidP="003E6FAD">
      <w:pPr>
        <w:pStyle w:val="FootnoteText"/>
        <w:jc w:val="both"/>
        <w:rPr>
          <w:rFonts w:ascii="Courier New" w:hAnsi="Courier New" w:cs="Courier New"/>
        </w:rPr>
      </w:pPr>
      <w:r w:rsidRPr="003E6FAD">
        <w:rPr>
          <w:rStyle w:val="FootnoteReference"/>
          <w:rFonts w:ascii="Courier New" w:hAnsi="Courier New" w:cs="Courier New"/>
        </w:rPr>
        <w:footnoteRef/>
      </w:r>
      <w:r w:rsidRPr="003E6FAD">
        <w:rPr>
          <w:rFonts w:ascii="Courier New" w:hAnsi="Courier New" w:cs="Courier New"/>
        </w:rPr>
        <w:t xml:space="preserve"> Because the statutory due date under G.L. c. 59, § 59, February 1, 2014, was a Saturday, the appellant had until the next business day, Monday, February 3, 2014, to file its abatement application. </w:t>
      </w:r>
      <w:proofErr w:type="gramStart"/>
      <w:r w:rsidRPr="003E6FAD">
        <w:rPr>
          <w:rFonts w:ascii="Courier New" w:hAnsi="Courier New" w:cs="Courier New"/>
          <w:i/>
        </w:rPr>
        <w:t>See</w:t>
      </w:r>
      <w:r w:rsidRPr="003E6FAD">
        <w:rPr>
          <w:rFonts w:ascii="Courier New" w:hAnsi="Courier New" w:cs="Courier New"/>
        </w:rPr>
        <w:t xml:space="preserve"> G.L. c. 4, § 9</w:t>
      </w:r>
      <w:r>
        <w:rPr>
          <w:rFonts w:ascii="Courier New" w:hAnsi="Courier New" w:cs="Courier New"/>
        </w:rPr>
        <w:t xml:space="preserve"> and G.L. c. 41, § 110A.</w:t>
      </w:r>
      <w:proofErr w:type="gramEnd"/>
    </w:p>
  </w:footnote>
  <w:footnote w:id="3">
    <w:p w:rsidR="009F5E0B" w:rsidRPr="003E6FAD" w:rsidRDefault="009F5E0B" w:rsidP="003E6FAD">
      <w:pPr>
        <w:pStyle w:val="FootnoteText"/>
        <w:jc w:val="both"/>
        <w:rPr>
          <w:rFonts w:ascii="Courier New" w:hAnsi="Courier New" w:cs="Courier New"/>
        </w:rPr>
      </w:pPr>
      <w:r w:rsidRPr="003E6FAD">
        <w:rPr>
          <w:rStyle w:val="FootnoteReference"/>
          <w:rFonts w:ascii="Courier New" w:hAnsi="Courier New" w:cs="Courier New"/>
        </w:rPr>
        <w:footnoteRef/>
      </w:r>
      <w:r w:rsidRPr="003E6FAD">
        <w:rPr>
          <w:rFonts w:ascii="Courier New" w:hAnsi="Courier New" w:cs="Courier New"/>
        </w:rPr>
        <w:t xml:space="preserve"> Because the statutory due date under G.L. c. 59, § 59, February 1, 201</w:t>
      </w:r>
      <w:r>
        <w:rPr>
          <w:rFonts w:ascii="Courier New" w:hAnsi="Courier New" w:cs="Courier New"/>
        </w:rPr>
        <w:t>5</w:t>
      </w:r>
      <w:r w:rsidRPr="003E6FAD">
        <w:rPr>
          <w:rFonts w:ascii="Courier New" w:hAnsi="Courier New" w:cs="Courier New"/>
        </w:rPr>
        <w:t>, was a S</w:t>
      </w:r>
      <w:r>
        <w:rPr>
          <w:rFonts w:ascii="Courier New" w:hAnsi="Courier New" w:cs="Courier New"/>
        </w:rPr>
        <w:t>unday</w:t>
      </w:r>
      <w:r w:rsidRPr="003E6FAD">
        <w:rPr>
          <w:rFonts w:ascii="Courier New" w:hAnsi="Courier New" w:cs="Courier New"/>
        </w:rPr>
        <w:t xml:space="preserve">, the appellant </w:t>
      </w:r>
      <w:r w:rsidR="00A46FE9">
        <w:rPr>
          <w:rFonts w:ascii="Courier New" w:hAnsi="Courier New" w:cs="Courier New"/>
        </w:rPr>
        <w:t xml:space="preserve">ordinarily would have </w:t>
      </w:r>
      <w:r w:rsidRPr="003E6FAD">
        <w:rPr>
          <w:rFonts w:ascii="Courier New" w:hAnsi="Courier New" w:cs="Courier New"/>
        </w:rPr>
        <w:t xml:space="preserve">had until the next business day, Monday, February </w:t>
      </w:r>
      <w:r>
        <w:rPr>
          <w:rFonts w:ascii="Courier New" w:hAnsi="Courier New" w:cs="Courier New"/>
        </w:rPr>
        <w:t>2</w:t>
      </w:r>
      <w:r w:rsidRPr="003E6FAD">
        <w:rPr>
          <w:rFonts w:ascii="Courier New" w:hAnsi="Courier New" w:cs="Courier New"/>
        </w:rPr>
        <w:t>, 201</w:t>
      </w:r>
      <w:r>
        <w:rPr>
          <w:rFonts w:ascii="Courier New" w:hAnsi="Courier New" w:cs="Courier New"/>
        </w:rPr>
        <w:t>5</w:t>
      </w:r>
      <w:r w:rsidRPr="003E6FAD">
        <w:rPr>
          <w:rFonts w:ascii="Courier New" w:hAnsi="Courier New" w:cs="Courier New"/>
        </w:rPr>
        <w:t xml:space="preserve">, to file its abatement application. </w:t>
      </w:r>
      <w:proofErr w:type="gramStart"/>
      <w:r w:rsidRPr="003E6FAD">
        <w:rPr>
          <w:rFonts w:ascii="Courier New" w:hAnsi="Courier New" w:cs="Courier New"/>
          <w:i/>
        </w:rPr>
        <w:t>See</w:t>
      </w:r>
      <w:r w:rsidRPr="003E6FAD">
        <w:rPr>
          <w:rFonts w:ascii="Courier New" w:hAnsi="Courier New" w:cs="Courier New"/>
        </w:rPr>
        <w:t xml:space="preserve"> G.L. c. 4, § 9</w:t>
      </w:r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However, due to inclement winter weather, abatement applications due on February 2, 2015 were timely if filed by February 6, 2015. </w:t>
      </w:r>
      <w:r w:rsidRPr="00F72558">
        <w:rPr>
          <w:rFonts w:ascii="Courier New" w:hAnsi="Courier New" w:cs="Courier New"/>
          <w:i/>
        </w:rPr>
        <w:t>See</w:t>
      </w:r>
      <w:r>
        <w:rPr>
          <w:rFonts w:ascii="Courier New" w:hAnsi="Courier New" w:cs="Courier New"/>
        </w:rPr>
        <w:t xml:space="preserve"> St. 2015, c. 10 and Massachusetts Department of Revenue, Division of Local Services Bulletin 2015-04B, </w:t>
      </w:r>
      <w:hyperlink r:id="rId1" w:history="1">
        <w:r w:rsidRPr="004676B1">
          <w:rPr>
            <w:rStyle w:val="Hyperlink"/>
            <w:rFonts w:ascii="Courier New" w:hAnsi="Courier New" w:cs="Courier New"/>
            <w:color w:val="auto"/>
            <w:u w:val="none"/>
          </w:rPr>
          <w:t>https://archives.lib.state.ma.us/handle/2452/264162</w:t>
        </w:r>
      </w:hyperlink>
      <w:r w:rsidRPr="004676B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(last visited February 21, 2019) (explaining the impact of St. 2015, c. 10 on due dates). </w:t>
      </w:r>
    </w:p>
  </w:footnote>
  <w:footnote w:id="4">
    <w:p w:rsidR="009F5E0B" w:rsidRPr="001C75A8" w:rsidRDefault="009F5E0B" w:rsidP="001C75A8">
      <w:pPr>
        <w:pStyle w:val="FootnoteText"/>
        <w:jc w:val="both"/>
        <w:rPr>
          <w:rFonts w:ascii="Courier New" w:hAnsi="Courier New" w:cs="Courier New"/>
        </w:rPr>
      </w:pPr>
      <w:r w:rsidRPr="001C75A8">
        <w:rPr>
          <w:rStyle w:val="FootnoteReference"/>
          <w:rFonts w:ascii="Courier New" w:hAnsi="Courier New" w:cs="Courier New"/>
        </w:rPr>
        <w:footnoteRef/>
      </w:r>
      <w:r w:rsidRPr="001C75A8">
        <w:rPr>
          <w:rFonts w:ascii="Courier New" w:hAnsi="Courier New" w:cs="Courier New"/>
        </w:rPr>
        <w:t xml:space="preserve"> </w:t>
      </w:r>
      <w:proofErr w:type="gramStart"/>
      <w:r w:rsidRPr="001C75A8">
        <w:rPr>
          <w:rFonts w:ascii="Courier New" w:hAnsi="Courier New" w:cs="Courier New"/>
        </w:rPr>
        <w:t>Excludes special assessment.</w:t>
      </w:r>
      <w:proofErr w:type="gramEnd"/>
    </w:p>
  </w:footnote>
  <w:footnote w:id="5">
    <w:p w:rsidR="009F5E0B" w:rsidRPr="001C75A8" w:rsidRDefault="009F5E0B" w:rsidP="001C75A8">
      <w:pPr>
        <w:pStyle w:val="FootnoteText"/>
        <w:jc w:val="both"/>
        <w:rPr>
          <w:rFonts w:ascii="Courier New" w:hAnsi="Courier New" w:cs="Courier New"/>
        </w:rPr>
      </w:pPr>
      <w:r w:rsidRPr="001C75A8">
        <w:rPr>
          <w:rStyle w:val="FootnoteReference"/>
          <w:rFonts w:ascii="Courier New" w:hAnsi="Courier New" w:cs="Courier New"/>
        </w:rPr>
        <w:footnoteRef/>
      </w:r>
      <w:r w:rsidRPr="001C75A8">
        <w:rPr>
          <w:rFonts w:ascii="Courier New" w:hAnsi="Courier New" w:cs="Courier New"/>
        </w:rPr>
        <w:t xml:space="preserve"> </w:t>
      </w:r>
      <w:proofErr w:type="gramStart"/>
      <w:r w:rsidRPr="001C75A8">
        <w:rPr>
          <w:rFonts w:ascii="Courier New" w:hAnsi="Courier New" w:cs="Courier New"/>
        </w:rPr>
        <w:t>Excludes special assessment.</w:t>
      </w:r>
      <w:proofErr w:type="gramEnd"/>
    </w:p>
  </w:footnote>
  <w:footnote w:id="6">
    <w:p w:rsidR="009F5E0B" w:rsidRPr="003E6FAD" w:rsidRDefault="009F5E0B" w:rsidP="003E6FAD">
      <w:pPr>
        <w:pStyle w:val="FootnoteText"/>
        <w:jc w:val="both"/>
        <w:rPr>
          <w:rFonts w:ascii="Courier New" w:hAnsi="Courier New" w:cs="Courier New"/>
        </w:rPr>
      </w:pPr>
      <w:r w:rsidRPr="003E6FAD">
        <w:rPr>
          <w:rStyle w:val="FootnoteReference"/>
          <w:rFonts w:ascii="Courier New" w:hAnsi="Courier New" w:cs="Courier New"/>
        </w:rPr>
        <w:footnoteRef/>
      </w:r>
      <w:r w:rsidRPr="003E6FAD">
        <w:rPr>
          <w:rFonts w:ascii="Courier New" w:hAnsi="Courier New" w:cs="Courier New"/>
        </w:rPr>
        <w:t xml:space="preserve"> See footnote </w:t>
      </w:r>
      <w:r w:rsidR="00FD5581">
        <w:rPr>
          <w:rFonts w:ascii="Courier New" w:hAnsi="Courier New" w:cs="Courier New"/>
        </w:rPr>
        <w:t>2</w:t>
      </w:r>
      <w:r w:rsidRPr="003E6FAD">
        <w:rPr>
          <w:rFonts w:ascii="Courier New" w:hAnsi="Courier New" w:cs="Courier New"/>
        </w:rPr>
        <w:t>.</w:t>
      </w:r>
    </w:p>
  </w:footnote>
  <w:footnote w:id="7">
    <w:p w:rsidR="009F5E0B" w:rsidRPr="003E6FAD" w:rsidRDefault="009F5E0B" w:rsidP="003E6FAD">
      <w:pPr>
        <w:pStyle w:val="FootnoteText"/>
        <w:jc w:val="both"/>
        <w:rPr>
          <w:rFonts w:ascii="Courier New" w:hAnsi="Courier New" w:cs="Courier New"/>
        </w:rPr>
      </w:pPr>
      <w:r w:rsidRPr="003E6FAD">
        <w:rPr>
          <w:rStyle w:val="FootnoteReference"/>
          <w:rFonts w:ascii="Courier New" w:hAnsi="Courier New" w:cs="Courier New"/>
        </w:rPr>
        <w:footnoteRef/>
      </w:r>
      <w:r w:rsidRPr="003E6FA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See footnote </w:t>
      </w:r>
      <w:r w:rsidR="00FD5581"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>.</w:t>
      </w:r>
    </w:p>
  </w:footnote>
  <w:footnote w:id="8">
    <w:p w:rsidR="009F5E0B" w:rsidRPr="001C2AD4" w:rsidRDefault="009F5E0B" w:rsidP="001C2AD4">
      <w:pPr>
        <w:pStyle w:val="FootnoteText"/>
        <w:jc w:val="both"/>
        <w:rPr>
          <w:rFonts w:ascii="Courier New" w:hAnsi="Courier New" w:cs="Courier New"/>
        </w:rPr>
      </w:pPr>
      <w:r w:rsidRPr="001C2AD4">
        <w:rPr>
          <w:rStyle w:val="FootnoteReference"/>
          <w:rFonts w:ascii="Courier New" w:hAnsi="Courier New" w:cs="Courier New"/>
        </w:rPr>
        <w:footnoteRef/>
      </w:r>
      <w:r w:rsidRPr="001C2AD4">
        <w:rPr>
          <w:rFonts w:ascii="Courier New" w:hAnsi="Courier New" w:cs="Courier New"/>
        </w:rPr>
        <w:t xml:space="preserve"> Abatement amounts </w:t>
      </w:r>
      <w:r w:rsidR="001A22C1">
        <w:rPr>
          <w:rFonts w:ascii="Courier New" w:hAnsi="Courier New" w:cs="Courier New"/>
        </w:rPr>
        <w:t xml:space="preserve">include </w:t>
      </w:r>
      <w:r w:rsidRPr="001C2AD4">
        <w:rPr>
          <w:rFonts w:ascii="Courier New" w:hAnsi="Courier New" w:cs="Courier New"/>
        </w:rPr>
        <w:t xml:space="preserve">a 3 percent </w:t>
      </w:r>
      <w:r>
        <w:rPr>
          <w:rFonts w:ascii="Courier New" w:hAnsi="Courier New" w:cs="Courier New"/>
        </w:rPr>
        <w:t>CPA</w:t>
      </w:r>
      <w:r w:rsidRPr="001C2AD4">
        <w:rPr>
          <w:rFonts w:ascii="Courier New" w:hAnsi="Courier New" w:cs="Courier New"/>
        </w:rPr>
        <w:t xml:space="preserve"> surcharge and Hyannis Fire District tax at a rate of $3.54 per $1,000 for fiscal year 2014, $3.60 per $1,000 for fiscal year 2015, and $3.87 per $1,000 for fiscal year 2016</w:t>
      </w:r>
      <w:r>
        <w:rPr>
          <w:rFonts w:ascii="Courier New" w:hAnsi="Courier New" w:cs="Courier New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62D"/>
    <w:multiLevelType w:val="hybridMultilevel"/>
    <w:tmpl w:val="9C7A5D24"/>
    <w:lvl w:ilvl="0" w:tplc="5C4C5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42"/>
    <w:rsid w:val="00006789"/>
    <w:rsid w:val="00010ECA"/>
    <w:rsid w:val="00035FAD"/>
    <w:rsid w:val="000479F3"/>
    <w:rsid w:val="000500C2"/>
    <w:rsid w:val="000555B0"/>
    <w:rsid w:val="00065B96"/>
    <w:rsid w:val="00070D4D"/>
    <w:rsid w:val="00092FCE"/>
    <w:rsid w:val="00093196"/>
    <w:rsid w:val="000A4097"/>
    <w:rsid w:val="000C3B21"/>
    <w:rsid w:val="000C76B7"/>
    <w:rsid w:val="000D5675"/>
    <w:rsid w:val="000F65CA"/>
    <w:rsid w:val="00140A72"/>
    <w:rsid w:val="0014357E"/>
    <w:rsid w:val="001543CD"/>
    <w:rsid w:val="00162ED2"/>
    <w:rsid w:val="001755AA"/>
    <w:rsid w:val="001A22C1"/>
    <w:rsid w:val="001A2C39"/>
    <w:rsid w:val="001C2AD4"/>
    <w:rsid w:val="001C7499"/>
    <w:rsid w:val="001C75A8"/>
    <w:rsid w:val="001F3F34"/>
    <w:rsid w:val="00235FEC"/>
    <w:rsid w:val="00247B63"/>
    <w:rsid w:val="00254ADF"/>
    <w:rsid w:val="00285D6E"/>
    <w:rsid w:val="00293109"/>
    <w:rsid w:val="002F39B6"/>
    <w:rsid w:val="003049BA"/>
    <w:rsid w:val="00330946"/>
    <w:rsid w:val="003518CB"/>
    <w:rsid w:val="00351929"/>
    <w:rsid w:val="00351A38"/>
    <w:rsid w:val="00361E24"/>
    <w:rsid w:val="00385C62"/>
    <w:rsid w:val="003B0383"/>
    <w:rsid w:val="003B2DE5"/>
    <w:rsid w:val="003D7D8D"/>
    <w:rsid w:val="003E6FAD"/>
    <w:rsid w:val="00402200"/>
    <w:rsid w:val="004133AB"/>
    <w:rsid w:val="004363C7"/>
    <w:rsid w:val="00453B37"/>
    <w:rsid w:val="004676B1"/>
    <w:rsid w:val="00467F90"/>
    <w:rsid w:val="00483370"/>
    <w:rsid w:val="0049243F"/>
    <w:rsid w:val="004B0DFC"/>
    <w:rsid w:val="004C46FC"/>
    <w:rsid w:val="004E24E7"/>
    <w:rsid w:val="004E29CE"/>
    <w:rsid w:val="004E5314"/>
    <w:rsid w:val="004F27D1"/>
    <w:rsid w:val="0050015A"/>
    <w:rsid w:val="005038CE"/>
    <w:rsid w:val="00534A18"/>
    <w:rsid w:val="00543F78"/>
    <w:rsid w:val="00552B3E"/>
    <w:rsid w:val="005839DA"/>
    <w:rsid w:val="005B2431"/>
    <w:rsid w:val="005E2A08"/>
    <w:rsid w:val="005E2B08"/>
    <w:rsid w:val="005F34DD"/>
    <w:rsid w:val="005F3721"/>
    <w:rsid w:val="006002BD"/>
    <w:rsid w:val="0063414D"/>
    <w:rsid w:val="00656F83"/>
    <w:rsid w:val="00684A7D"/>
    <w:rsid w:val="006B6278"/>
    <w:rsid w:val="006D0E07"/>
    <w:rsid w:val="00711ECA"/>
    <w:rsid w:val="0074510B"/>
    <w:rsid w:val="00753DB8"/>
    <w:rsid w:val="007560DB"/>
    <w:rsid w:val="00763C38"/>
    <w:rsid w:val="00795045"/>
    <w:rsid w:val="007B0D98"/>
    <w:rsid w:val="007C4438"/>
    <w:rsid w:val="007C7FF6"/>
    <w:rsid w:val="007D145B"/>
    <w:rsid w:val="007D2CC3"/>
    <w:rsid w:val="007E4834"/>
    <w:rsid w:val="00802A51"/>
    <w:rsid w:val="0080348F"/>
    <w:rsid w:val="00806ACE"/>
    <w:rsid w:val="008139A9"/>
    <w:rsid w:val="00826EDB"/>
    <w:rsid w:val="008441BC"/>
    <w:rsid w:val="008520F9"/>
    <w:rsid w:val="00863AE9"/>
    <w:rsid w:val="00864C81"/>
    <w:rsid w:val="0088349D"/>
    <w:rsid w:val="008930CC"/>
    <w:rsid w:val="008C0709"/>
    <w:rsid w:val="008C40B4"/>
    <w:rsid w:val="008D2F31"/>
    <w:rsid w:val="008F2538"/>
    <w:rsid w:val="008F3539"/>
    <w:rsid w:val="00912039"/>
    <w:rsid w:val="00922F57"/>
    <w:rsid w:val="0092707A"/>
    <w:rsid w:val="00932F03"/>
    <w:rsid w:val="0093315F"/>
    <w:rsid w:val="00934392"/>
    <w:rsid w:val="00961808"/>
    <w:rsid w:val="00980D12"/>
    <w:rsid w:val="00980EAA"/>
    <w:rsid w:val="0099076C"/>
    <w:rsid w:val="009A4DF4"/>
    <w:rsid w:val="009C3DA8"/>
    <w:rsid w:val="009D1426"/>
    <w:rsid w:val="009E3CFE"/>
    <w:rsid w:val="009F5E0B"/>
    <w:rsid w:val="00A13017"/>
    <w:rsid w:val="00A16008"/>
    <w:rsid w:val="00A22F0D"/>
    <w:rsid w:val="00A27762"/>
    <w:rsid w:val="00A3398C"/>
    <w:rsid w:val="00A46FE9"/>
    <w:rsid w:val="00A50D55"/>
    <w:rsid w:val="00A91A89"/>
    <w:rsid w:val="00AE0D2D"/>
    <w:rsid w:val="00AF716F"/>
    <w:rsid w:val="00B02D78"/>
    <w:rsid w:val="00B40BC2"/>
    <w:rsid w:val="00B60CBB"/>
    <w:rsid w:val="00B649CF"/>
    <w:rsid w:val="00B65D21"/>
    <w:rsid w:val="00B759C7"/>
    <w:rsid w:val="00B850F4"/>
    <w:rsid w:val="00B851DF"/>
    <w:rsid w:val="00BC0F42"/>
    <w:rsid w:val="00BC121D"/>
    <w:rsid w:val="00BC3928"/>
    <w:rsid w:val="00BD03CF"/>
    <w:rsid w:val="00BE0753"/>
    <w:rsid w:val="00BE0FE3"/>
    <w:rsid w:val="00C11717"/>
    <w:rsid w:val="00C54CCB"/>
    <w:rsid w:val="00C73CDC"/>
    <w:rsid w:val="00C7574F"/>
    <w:rsid w:val="00C90B7B"/>
    <w:rsid w:val="00C90D96"/>
    <w:rsid w:val="00C96397"/>
    <w:rsid w:val="00CA1E57"/>
    <w:rsid w:val="00CB0060"/>
    <w:rsid w:val="00CB3116"/>
    <w:rsid w:val="00CB3E78"/>
    <w:rsid w:val="00D0694C"/>
    <w:rsid w:val="00D14E52"/>
    <w:rsid w:val="00D45256"/>
    <w:rsid w:val="00D52E70"/>
    <w:rsid w:val="00D762FE"/>
    <w:rsid w:val="00D8061C"/>
    <w:rsid w:val="00D85F3F"/>
    <w:rsid w:val="00DB3319"/>
    <w:rsid w:val="00DC66DB"/>
    <w:rsid w:val="00DD14B8"/>
    <w:rsid w:val="00DD7B23"/>
    <w:rsid w:val="00DE0946"/>
    <w:rsid w:val="00DE14D9"/>
    <w:rsid w:val="00DF78A1"/>
    <w:rsid w:val="00E64093"/>
    <w:rsid w:val="00E66C44"/>
    <w:rsid w:val="00E729D7"/>
    <w:rsid w:val="00E737E3"/>
    <w:rsid w:val="00EC3A5E"/>
    <w:rsid w:val="00EC6DB3"/>
    <w:rsid w:val="00ED2315"/>
    <w:rsid w:val="00ED5942"/>
    <w:rsid w:val="00EE0B90"/>
    <w:rsid w:val="00F37D7F"/>
    <w:rsid w:val="00F71550"/>
    <w:rsid w:val="00F72558"/>
    <w:rsid w:val="00F77A2B"/>
    <w:rsid w:val="00FA6E41"/>
    <w:rsid w:val="00FB563F"/>
    <w:rsid w:val="00FC4AFF"/>
    <w:rsid w:val="00FD2A51"/>
    <w:rsid w:val="00FD5581"/>
    <w:rsid w:val="00FE142B"/>
    <w:rsid w:val="00FE47F5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F42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B3116"/>
    <w:pPr>
      <w:spacing w:line="276" w:lineRule="auto"/>
    </w:pPr>
    <w:rPr>
      <w:rFonts w:ascii="Arial" w:eastAsia="Arial" w:hAnsi="Arial" w:cs="Arial"/>
      <w:lang w:val="e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3B21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3B2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3B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725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25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09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4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0B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4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0B4"/>
    <w:rPr>
      <w:rFonts w:eastAsiaTheme="minorEastAsia"/>
      <w:sz w:val="24"/>
      <w:szCs w:val="24"/>
    </w:rPr>
  </w:style>
  <w:style w:type="character" w:customStyle="1" w:styleId="sssh">
    <w:name w:val="ss_sh"/>
    <w:basedOn w:val="DefaultParagraphFont"/>
    <w:rsid w:val="00DB3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F42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B3116"/>
    <w:pPr>
      <w:spacing w:line="276" w:lineRule="auto"/>
    </w:pPr>
    <w:rPr>
      <w:rFonts w:ascii="Arial" w:eastAsia="Arial" w:hAnsi="Arial" w:cs="Arial"/>
      <w:lang w:val="e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3B21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3B2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3B2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725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25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109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40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0B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40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0B4"/>
    <w:rPr>
      <w:rFonts w:eastAsiaTheme="minorEastAsia"/>
      <w:sz w:val="24"/>
      <w:szCs w:val="24"/>
    </w:rPr>
  </w:style>
  <w:style w:type="character" w:customStyle="1" w:styleId="sssh">
    <w:name w:val="ss_sh"/>
    <w:basedOn w:val="DefaultParagraphFont"/>
    <w:rsid w:val="00DB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604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1693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6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rchives.lib.state.ma.us/handle/2452/26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B1439-02D8-47A4-A13A-4920C516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15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20</cp:revision>
  <cp:lastPrinted>2019-04-09T16:43:00Z</cp:lastPrinted>
  <dcterms:created xsi:type="dcterms:W3CDTF">2019-03-22T12:46:00Z</dcterms:created>
  <dcterms:modified xsi:type="dcterms:W3CDTF">2019-04-10T16:34:00Z</dcterms:modified>
</cp:coreProperties>
</file>