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756" w:right="0" w:firstLine="0"/>
        <w:rPr>
          <w:sz w:val="20"/>
        </w:rPr>
      </w:pPr>
      <w:r>
        <w:rPr>
          <w:sz w:val="20"/>
        </w:rPr>
        <w:drawing>
          <wp:inline distT="0" distB="0" distL="0" distR="0">
            <wp:extent cx="2206907" cy="80467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206907" cy="804672"/>
                    </a:xfrm>
                    <a:prstGeom prst="rect">
                      <a:avLst/>
                    </a:prstGeom>
                  </pic:spPr>
                </pic:pic>
              </a:graphicData>
            </a:graphic>
          </wp:inline>
        </w:drawing>
      </w:r>
      <w:r>
        <w:rPr>
          <w:sz w:val="20"/>
        </w:rPr>
      </w:r>
    </w:p>
    <w:p>
      <w:pPr>
        <w:pStyle w:val="BodyText"/>
        <w:spacing w:before="213"/>
      </w:pPr>
    </w:p>
    <w:p>
      <w:pPr>
        <w:pStyle w:val="BodyText"/>
        <w:ind w:right="1076"/>
        <w:jc w:val="right"/>
      </w:pPr>
      <w:r>
        <w:rPr>
          <w:spacing w:val="-2"/>
        </w:rPr>
        <w:t>2/12/26</w:t>
      </w:r>
    </w:p>
    <w:p>
      <w:pPr>
        <w:pStyle w:val="BodyText"/>
      </w:pPr>
    </w:p>
    <w:p>
      <w:pPr>
        <w:pStyle w:val="BodyText"/>
        <w:ind w:left="1800"/>
      </w:pPr>
      <w:r>
        <w:rPr/>
        <w:t>To</w:t>
      </w:r>
      <w:r>
        <w:rPr>
          <w:spacing w:val="-3"/>
        </w:rPr>
        <w:t> </w:t>
      </w:r>
      <w:r>
        <w:rPr/>
        <w:t>the</w:t>
      </w:r>
      <w:r>
        <w:rPr>
          <w:spacing w:val="-2"/>
        </w:rPr>
        <w:t> </w:t>
      </w:r>
      <w:r>
        <w:rPr/>
        <w:t>Department of</w:t>
      </w:r>
      <w:r>
        <w:rPr>
          <w:spacing w:val="-1"/>
        </w:rPr>
        <w:t> </w:t>
      </w:r>
      <w:r>
        <w:rPr/>
        <w:t>Public</w:t>
      </w:r>
      <w:r>
        <w:rPr>
          <w:spacing w:val="-1"/>
        </w:rPr>
        <w:t> </w:t>
      </w:r>
      <w:r>
        <w:rPr/>
        <w:t>Health</w:t>
      </w:r>
      <w:r>
        <w:rPr>
          <w:spacing w:val="-1"/>
        </w:rPr>
        <w:t> </w:t>
      </w:r>
      <w:r>
        <w:rPr/>
        <w:t>and whom</w:t>
      </w:r>
      <w:r>
        <w:rPr>
          <w:spacing w:val="-1"/>
        </w:rPr>
        <w:t> </w:t>
      </w:r>
      <w:r>
        <w:rPr/>
        <w:t>else</w:t>
      </w:r>
      <w:r>
        <w:rPr>
          <w:spacing w:val="-1"/>
        </w:rPr>
        <w:t> </w:t>
      </w:r>
      <w:r>
        <w:rPr/>
        <w:t>it</w:t>
      </w:r>
      <w:r>
        <w:rPr>
          <w:spacing w:val="-1"/>
        </w:rPr>
        <w:t> </w:t>
      </w:r>
      <w:r>
        <w:rPr/>
        <w:t>may </w:t>
      </w:r>
      <w:r>
        <w:rPr>
          <w:spacing w:val="-2"/>
        </w:rPr>
        <w:t>concern,</w:t>
      </w:r>
    </w:p>
    <w:p>
      <w:pPr>
        <w:pStyle w:val="BodyText"/>
      </w:pPr>
    </w:p>
    <w:p>
      <w:pPr>
        <w:pStyle w:val="BodyText"/>
        <w:ind w:left="1800" w:right="1136"/>
      </w:pPr>
      <w:r>
        <w:rPr/>
        <w:t>I am writing this letter to express my concern about the recently proposed policy regarding the discharge procedure for residents upon reaching the age of 20. Although I understand that such policies should be in place for appropriate, typical transitions into adult services/alternative placements (i.e. SNF, adult day programs), age-based policies simply</w:t>
      </w:r>
      <w:r>
        <w:rPr>
          <w:spacing w:val="-3"/>
        </w:rPr>
        <w:t> </w:t>
      </w:r>
      <w:r>
        <w:rPr/>
        <w:t>do</w:t>
      </w:r>
      <w:r>
        <w:rPr>
          <w:spacing w:val="-3"/>
        </w:rPr>
        <w:t> </w:t>
      </w:r>
      <w:r>
        <w:rPr/>
        <w:t>not</w:t>
      </w:r>
      <w:r>
        <w:rPr>
          <w:spacing w:val="-3"/>
        </w:rPr>
        <w:t> </w:t>
      </w:r>
      <w:r>
        <w:rPr/>
        <w:t>account</w:t>
      </w:r>
      <w:r>
        <w:rPr>
          <w:spacing w:val="-3"/>
        </w:rPr>
        <w:t> </w:t>
      </w:r>
      <w:r>
        <w:rPr/>
        <w:t>for</w:t>
      </w:r>
      <w:r>
        <w:rPr>
          <w:spacing w:val="-4"/>
        </w:rPr>
        <w:t> </w:t>
      </w:r>
      <w:r>
        <w:rPr/>
        <w:t>the</w:t>
      </w:r>
      <w:r>
        <w:rPr>
          <w:spacing w:val="-3"/>
        </w:rPr>
        <w:t> </w:t>
      </w:r>
      <w:r>
        <w:rPr/>
        <w:t>safe</w:t>
      </w:r>
      <w:r>
        <w:rPr>
          <w:spacing w:val="-5"/>
        </w:rPr>
        <w:t> </w:t>
      </w:r>
      <w:r>
        <w:rPr/>
        <w:t>transition</w:t>
      </w:r>
      <w:r>
        <w:rPr>
          <w:spacing w:val="-3"/>
        </w:rPr>
        <w:t> </w:t>
      </w:r>
      <w:r>
        <w:rPr/>
        <w:t>of</w:t>
      </w:r>
      <w:r>
        <w:rPr>
          <w:spacing w:val="-3"/>
        </w:rPr>
        <w:t> </w:t>
      </w:r>
      <w:r>
        <w:rPr/>
        <w:t>individuals</w:t>
      </w:r>
      <w:r>
        <w:rPr>
          <w:spacing w:val="-4"/>
        </w:rPr>
        <w:t> </w:t>
      </w:r>
      <w:r>
        <w:rPr/>
        <w:t>with</w:t>
      </w:r>
      <w:r>
        <w:rPr>
          <w:spacing w:val="-3"/>
        </w:rPr>
        <w:t> </w:t>
      </w:r>
      <w:r>
        <w:rPr/>
        <w:t>the</w:t>
      </w:r>
      <w:r>
        <w:rPr>
          <w:spacing w:val="-3"/>
        </w:rPr>
        <w:t> </w:t>
      </w:r>
      <w:r>
        <w:rPr/>
        <w:t>medical</w:t>
      </w:r>
      <w:r>
        <w:rPr>
          <w:spacing w:val="-3"/>
        </w:rPr>
        <w:t> </w:t>
      </w:r>
      <w:r>
        <w:rPr/>
        <w:t>complexities and physical needs of those at New England Pediatric Care (NEPC).</w:t>
      </w:r>
    </w:p>
    <w:p>
      <w:pPr>
        <w:pStyle w:val="BodyText"/>
        <w:spacing w:before="1"/>
      </w:pPr>
    </w:p>
    <w:p>
      <w:pPr>
        <w:pStyle w:val="BodyText"/>
        <w:ind w:left="1800" w:right="1136"/>
      </w:pPr>
      <w:r>
        <w:rPr/>
        <w:t>As a member of the Occupational Therapy team here at NEPC, I have had the privilege of working closely with our residents, their families/guardians, and the interdisciplinary team over the last five years. In order to best explain my perspective, I want to explain how I got here. I joined the NEPC team in May 2020 as rehabilitation aide while I was still a college student during the height of the COVID-19 pandemic. At that time, not only</w:t>
      </w:r>
      <w:r>
        <w:rPr>
          <w:spacing w:val="-2"/>
        </w:rPr>
        <w:t> </w:t>
      </w:r>
      <w:r>
        <w:rPr/>
        <w:t>was</w:t>
      </w:r>
      <w:r>
        <w:rPr>
          <w:spacing w:val="-3"/>
        </w:rPr>
        <w:t> </w:t>
      </w:r>
      <w:r>
        <w:rPr/>
        <w:t>the</w:t>
      </w:r>
      <w:r>
        <w:rPr>
          <w:spacing w:val="-2"/>
        </w:rPr>
        <w:t> </w:t>
      </w:r>
      <w:r>
        <w:rPr/>
        <w:t>healthcare</w:t>
      </w:r>
      <w:r>
        <w:rPr>
          <w:spacing w:val="-4"/>
        </w:rPr>
        <w:t> </w:t>
      </w:r>
      <w:r>
        <w:rPr/>
        <w:t>system</w:t>
      </w:r>
      <w:r>
        <w:rPr>
          <w:spacing w:val="-2"/>
        </w:rPr>
        <w:t> </w:t>
      </w:r>
      <w:r>
        <w:rPr/>
        <w:t>under</w:t>
      </w:r>
      <w:r>
        <w:rPr>
          <w:spacing w:val="-2"/>
        </w:rPr>
        <w:t> </w:t>
      </w:r>
      <w:r>
        <w:rPr/>
        <w:t>immense</w:t>
      </w:r>
      <w:r>
        <w:rPr>
          <w:spacing w:val="-3"/>
        </w:rPr>
        <w:t> </w:t>
      </w:r>
      <w:r>
        <w:rPr/>
        <w:t>strain,</w:t>
      </w:r>
      <w:r>
        <w:rPr>
          <w:spacing w:val="-2"/>
        </w:rPr>
        <w:t> </w:t>
      </w:r>
      <w:r>
        <w:rPr/>
        <w:t>but</w:t>
      </w:r>
      <w:r>
        <w:rPr>
          <w:spacing w:val="-2"/>
        </w:rPr>
        <w:t> </w:t>
      </w:r>
      <w:r>
        <w:rPr/>
        <w:t>our</w:t>
      </w:r>
      <w:r>
        <w:rPr>
          <w:spacing w:val="-2"/>
        </w:rPr>
        <w:t> </w:t>
      </w:r>
      <w:r>
        <w:rPr/>
        <w:t>residents</w:t>
      </w:r>
      <w:r>
        <w:rPr>
          <w:spacing w:val="-3"/>
        </w:rPr>
        <w:t> </w:t>
      </w:r>
      <w:r>
        <w:rPr/>
        <w:t>and</w:t>
      </w:r>
      <w:r>
        <w:rPr>
          <w:spacing w:val="-1"/>
        </w:rPr>
        <w:t> </w:t>
      </w:r>
      <w:r>
        <w:rPr/>
        <w:t>their</w:t>
      </w:r>
      <w:r>
        <w:rPr>
          <w:spacing w:val="-3"/>
        </w:rPr>
        <w:t> </w:t>
      </w:r>
      <w:r>
        <w:rPr/>
        <w:t>families were</w:t>
      </w:r>
      <w:r>
        <w:rPr>
          <w:spacing w:val="-5"/>
        </w:rPr>
        <w:t> </w:t>
      </w:r>
      <w:r>
        <w:rPr/>
        <w:t>isolated.</w:t>
      </w:r>
      <w:r>
        <w:rPr>
          <w:spacing w:val="-2"/>
        </w:rPr>
        <w:t> </w:t>
      </w:r>
      <w:r>
        <w:rPr/>
        <w:t>Our</w:t>
      </w:r>
      <w:r>
        <w:rPr>
          <w:spacing w:val="-5"/>
        </w:rPr>
        <w:t> </w:t>
      </w:r>
      <w:r>
        <w:rPr/>
        <w:t>residents</w:t>
      </w:r>
      <w:r>
        <w:rPr>
          <w:spacing w:val="-4"/>
        </w:rPr>
        <w:t> </w:t>
      </w:r>
      <w:r>
        <w:rPr/>
        <w:t>experienced</w:t>
      </w:r>
      <w:r>
        <w:rPr>
          <w:spacing w:val="-3"/>
        </w:rPr>
        <w:t> </w:t>
      </w:r>
      <w:r>
        <w:rPr/>
        <w:t>a</w:t>
      </w:r>
      <w:r>
        <w:rPr>
          <w:spacing w:val="-4"/>
        </w:rPr>
        <w:t> </w:t>
      </w:r>
      <w:r>
        <w:rPr/>
        <w:t>significant</w:t>
      </w:r>
      <w:r>
        <w:rPr>
          <w:spacing w:val="-3"/>
        </w:rPr>
        <w:t> </w:t>
      </w:r>
      <w:r>
        <w:rPr/>
        <w:t>change</w:t>
      </w:r>
      <w:r>
        <w:rPr>
          <w:spacing w:val="-4"/>
        </w:rPr>
        <w:t> </w:t>
      </w:r>
      <w:r>
        <w:rPr/>
        <w:t>in</w:t>
      </w:r>
      <w:r>
        <w:rPr>
          <w:spacing w:val="-3"/>
        </w:rPr>
        <w:t> </w:t>
      </w:r>
      <w:r>
        <w:rPr/>
        <w:t>their</w:t>
      </w:r>
      <w:r>
        <w:rPr>
          <w:spacing w:val="-3"/>
        </w:rPr>
        <w:t> </w:t>
      </w:r>
      <w:r>
        <w:rPr/>
        <w:t>daily</w:t>
      </w:r>
      <w:r>
        <w:rPr>
          <w:spacing w:val="-3"/>
        </w:rPr>
        <w:t> </w:t>
      </w:r>
      <w:r>
        <w:rPr/>
        <w:t>routine,</w:t>
      </w:r>
      <w:r>
        <w:rPr>
          <w:spacing w:val="-3"/>
        </w:rPr>
        <w:t> </w:t>
      </w:r>
      <w:r>
        <w:rPr/>
        <w:t>social opportunities, and connection with the outside world. As a college student walking into this</w:t>
      </w:r>
      <w:r>
        <w:rPr>
          <w:spacing w:val="-4"/>
        </w:rPr>
        <w:t> </w:t>
      </w:r>
      <w:r>
        <w:rPr/>
        <w:t>complicated</w:t>
      </w:r>
      <w:r>
        <w:rPr>
          <w:spacing w:val="-3"/>
        </w:rPr>
        <w:t> </w:t>
      </w:r>
      <w:r>
        <w:rPr/>
        <w:t>setting,</w:t>
      </w:r>
      <w:r>
        <w:rPr>
          <w:spacing w:val="-3"/>
        </w:rPr>
        <w:t> </w:t>
      </w:r>
      <w:r>
        <w:rPr/>
        <w:t>I</w:t>
      </w:r>
      <w:r>
        <w:rPr>
          <w:spacing w:val="-4"/>
        </w:rPr>
        <w:t> </w:t>
      </w:r>
      <w:r>
        <w:rPr/>
        <w:t>was</w:t>
      </w:r>
      <w:r>
        <w:rPr>
          <w:spacing w:val="-4"/>
        </w:rPr>
        <w:t> </w:t>
      </w:r>
      <w:r>
        <w:rPr/>
        <w:t>unsure</w:t>
      </w:r>
      <w:r>
        <w:rPr>
          <w:spacing w:val="-2"/>
        </w:rPr>
        <w:t> </w:t>
      </w:r>
      <w:r>
        <w:rPr/>
        <w:t>as</w:t>
      </w:r>
      <w:r>
        <w:rPr>
          <w:spacing w:val="-4"/>
        </w:rPr>
        <w:t> </w:t>
      </w:r>
      <w:r>
        <w:rPr/>
        <w:t>to</w:t>
      </w:r>
      <w:r>
        <w:rPr>
          <w:spacing w:val="-3"/>
        </w:rPr>
        <w:t> </w:t>
      </w:r>
      <w:r>
        <w:rPr/>
        <w:t>what</w:t>
      </w:r>
      <w:r>
        <w:rPr>
          <w:spacing w:val="-3"/>
        </w:rPr>
        <w:t> </w:t>
      </w:r>
      <w:r>
        <w:rPr/>
        <w:t>this</w:t>
      </w:r>
      <w:r>
        <w:rPr>
          <w:spacing w:val="-4"/>
        </w:rPr>
        <w:t> </w:t>
      </w:r>
      <w:r>
        <w:rPr/>
        <w:t>might</w:t>
      </w:r>
      <w:r>
        <w:rPr>
          <w:spacing w:val="-3"/>
        </w:rPr>
        <w:t> </w:t>
      </w:r>
      <w:r>
        <w:rPr/>
        <w:t>mean</w:t>
      </w:r>
      <w:r>
        <w:rPr>
          <w:spacing w:val="-3"/>
        </w:rPr>
        <w:t> </w:t>
      </w:r>
      <w:r>
        <w:rPr/>
        <w:t>for</w:t>
      </w:r>
      <w:r>
        <w:rPr>
          <w:spacing w:val="-4"/>
        </w:rPr>
        <w:t> </w:t>
      </w:r>
      <w:r>
        <w:rPr/>
        <w:t>their</w:t>
      </w:r>
      <w:r>
        <w:rPr>
          <w:spacing w:val="-2"/>
        </w:rPr>
        <w:t> </w:t>
      </w:r>
      <w:r>
        <w:rPr/>
        <w:t>well-being</w:t>
      </w:r>
      <w:r>
        <w:rPr>
          <w:spacing w:val="-3"/>
        </w:rPr>
        <w:t> </w:t>
      </w:r>
      <w:r>
        <w:rPr/>
        <w:t>and quality of life, but I quickly recognized and respected the resilience of our residents and dedication of the interdisciplinary team. Isolation for our residents meant loss of motivation to participate in their once preferred activities, decreased appetite, deterioration of skills, and lack of multisensory stimulation. Because of the services provided in-house at NEPC (i.e. in-house education program and young adult program, specialty clinics, rehabilitative services), this long period of isolation was met by a</w:t>
      </w:r>
    </w:p>
    <w:p>
      <w:pPr>
        <w:pStyle w:val="BodyText"/>
        <w:ind w:left="1800" w:right="1136"/>
      </w:pPr>
      <w:r>
        <w:rPr/>
        <w:t>determined interdisciplinary team who worked to ensure the resident’s needs were not only being safely met but exceeded. NEPC’s residents continued to receive the services they were entitled to, including but not limited to, OT/PT/SLP treatments, monitoring of adaptive equipment, socialization opportunities, and multisensory exposure. I was inspired</w:t>
      </w:r>
      <w:r>
        <w:rPr>
          <w:spacing w:val="-3"/>
        </w:rPr>
        <w:t> </w:t>
      </w:r>
      <w:r>
        <w:rPr/>
        <w:t>by</w:t>
      </w:r>
      <w:r>
        <w:rPr>
          <w:spacing w:val="-3"/>
        </w:rPr>
        <w:t> </w:t>
      </w:r>
      <w:r>
        <w:rPr/>
        <w:t>the</w:t>
      </w:r>
      <w:r>
        <w:rPr>
          <w:spacing w:val="-3"/>
        </w:rPr>
        <w:t> </w:t>
      </w:r>
      <w:r>
        <w:rPr/>
        <w:t>unique</w:t>
      </w:r>
      <w:r>
        <w:rPr>
          <w:spacing w:val="-4"/>
        </w:rPr>
        <w:t> </w:t>
      </w:r>
      <w:r>
        <w:rPr/>
        <w:t>and</w:t>
      </w:r>
      <w:r>
        <w:rPr>
          <w:spacing w:val="-3"/>
        </w:rPr>
        <w:t> </w:t>
      </w:r>
      <w:r>
        <w:rPr/>
        <w:t>inspirational</w:t>
      </w:r>
      <w:r>
        <w:rPr>
          <w:spacing w:val="-3"/>
        </w:rPr>
        <w:t> </w:t>
      </w:r>
      <w:r>
        <w:rPr/>
        <w:t>setting</w:t>
      </w:r>
      <w:r>
        <w:rPr>
          <w:spacing w:val="-3"/>
        </w:rPr>
        <w:t> </w:t>
      </w:r>
      <w:r>
        <w:rPr/>
        <w:t>of</w:t>
      </w:r>
      <w:r>
        <w:rPr>
          <w:spacing w:val="-4"/>
        </w:rPr>
        <w:t> </w:t>
      </w:r>
      <w:r>
        <w:rPr/>
        <w:t>NEPC</w:t>
      </w:r>
      <w:r>
        <w:rPr>
          <w:spacing w:val="-3"/>
        </w:rPr>
        <w:t> </w:t>
      </w:r>
      <w:r>
        <w:rPr/>
        <w:t>due</w:t>
      </w:r>
      <w:r>
        <w:rPr>
          <w:spacing w:val="-4"/>
        </w:rPr>
        <w:t> </w:t>
      </w:r>
      <w:r>
        <w:rPr/>
        <w:t>to</w:t>
      </w:r>
      <w:r>
        <w:rPr>
          <w:spacing w:val="-3"/>
        </w:rPr>
        <w:t> </w:t>
      </w:r>
      <w:r>
        <w:rPr/>
        <w:t>the</w:t>
      </w:r>
      <w:r>
        <w:rPr>
          <w:spacing w:val="-4"/>
        </w:rPr>
        <w:t> </w:t>
      </w:r>
      <w:r>
        <w:rPr/>
        <w:t>holistic,</w:t>
      </w:r>
      <w:r>
        <w:rPr>
          <w:spacing w:val="-6"/>
        </w:rPr>
        <w:t> </w:t>
      </w:r>
      <w:r>
        <w:rPr/>
        <w:t>relationship-based care that is provided to our residents each and every day. Being a part of this process</w:t>
      </w:r>
      <w:r>
        <w:rPr>
          <w:spacing w:val="-2"/>
        </w:rPr>
        <w:t> </w:t>
      </w:r>
      <w:r>
        <w:rPr/>
        <w:t>during</w:t>
      </w:r>
      <w:r>
        <w:rPr>
          <w:spacing w:val="-1"/>
        </w:rPr>
        <w:t> </w:t>
      </w:r>
      <w:r>
        <w:rPr/>
        <w:t>such a</w:t>
      </w:r>
      <w:r>
        <w:rPr>
          <w:spacing w:val="-2"/>
        </w:rPr>
        <w:t> </w:t>
      </w:r>
      <w:r>
        <w:rPr/>
        <w:t>vulnerable</w:t>
      </w:r>
      <w:r>
        <w:rPr>
          <w:spacing w:val="-1"/>
        </w:rPr>
        <w:t> </w:t>
      </w:r>
      <w:r>
        <w:rPr/>
        <w:t>period</w:t>
      </w:r>
      <w:r>
        <w:rPr>
          <w:spacing w:val="-1"/>
        </w:rPr>
        <w:t> </w:t>
      </w:r>
      <w:r>
        <w:rPr/>
        <w:t>in</w:t>
      </w:r>
      <w:r>
        <w:rPr>
          <w:spacing w:val="-1"/>
        </w:rPr>
        <w:t> </w:t>
      </w:r>
      <w:r>
        <w:rPr/>
        <w:t>our</w:t>
      </w:r>
      <w:r>
        <w:rPr>
          <w:spacing w:val="-1"/>
        </w:rPr>
        <w:t> </w:t>
      </w:r>
      <w:r>
        <w:rPr/>
        <w:t>healthcare</w:t>
      </w:r>
      <w:r>
        <w:rPr>
          <w:spacing w:val="-3"/>
        </w:rPr>
        <w:t> </w:t>
      </w:r>
      <w:r>
        <w:rPr/>
        <w:t>system,</w:t>
      </w:r>
      <w:r>
        <w:rPr>
          <w:spacing w:val="-1"/>
        </w:rPr>
        <w:t> </w:t>
      </w:r>
      <w:r>
        <w:rPr/>
        <w:t>solidified my</w:t>
      </w:r>
      <w:r>
        <w:rPr>
          <w:spacing w:val="-1"/>
        </w:rPr>
        <w:t> </w:t>
      </w:r>
      <w:r>
        <w:rPr/>
        <w:t>dream</w:t>
      </w:r>
      <w:r>
        <w:rPr>
          <w:spacing w:val="-1"/>
        </w:rPr>
        <w:t> </w:t>
      </w:r>
      <w:r>
        <w:rPr/>
        <w:t>to become an OT and continue to serve this specific population.</w:t>
      </w:r>
    </w:p>
    <w:p>
      <w:pPr>
        <w:pStyle w:val="BodyText"/>
        <w:spacing w:before="1"/>
      </w:pPr>
    </w:p>
    <w:p>
      <w:pPr>
        <w:pStyle w:val="BodyText"/>
        <w:ind w:left="1800" w:right="1148"/>
      </w:pPr>
      <w:r>
        <w:rPr/>
        <w:t>During</w:t>
      </w:r>
      <w:r>
        <w:rPr>
          <w:spacing w:val="-2"/>
        </w:rPr>
        <w:t> </w:t>
      </w:r>
      <w:r>
        <w:rPr/>
        <w:t>the</w:t>
      </w:r>
      <w:r>
        <w:rPr>
          <w:spacing w:val="-3"/>
        </w:rPr>
        <w:t> </w:t>
      </w:r>
      <w:r>
        <w:rPr/>
        <w:t>pandemic</w:t>
      </w:r>
      <w:r>
        <w:rPr>
          <w:spacing w:val="-3"/>
        </w:rPr>
        <w:t> </w:t>
      </w:r>
      <w:r>
        <w:rPr/>
        <w:t>our</w:t>
      </w:r>
      <w:r>
        <w:rPr>
          <w:spacing w:val="-1"/>
        </w:rPr>
        <w:t> </w:t>
      </w:r>
      <w:r>
        <w:rPr/>
        <w:t>facility</w:t>
      </w:r>
      <w:r>
        <w:rPr>
          <w:spacing w:val="-2"/>
        </w:rPr>
        <w:t> </w:t>
      </w:r>
      <w:r>
        <w:rPr/>
        <w:t>prioritized</w:t>
      </w:r>
      <w:r>
        <w:rPr>
          <w:spacing w:val="-2"/>
        </w:rPr>
        <w:t> </w:t>
      </w:r>
      <w:r>
        <w:rPr/>
        <w:t>infection</w:t>
      </w:r>
      <w:r>
        <w:rPr>
          <w:spacing w:val="-2"/>
        </w:rPr>
        <w:t> </w:t>
      </w:r>
      <w:r>
        <w:rPr/>
        <w:t>control</w:t>
      </w:r>
      <w:r>
        <w:rPr>
          <w:spacing w:val="-2"/>
        </w:rPr>
        <w:t> </w:t>
      </w:r>
      <w:r>
        <w:rPr/>
        <w:t>measures and thanks</w:t>
      </w:r>
      <w:r>
        <w:rPr>
          <w:spacing w:val="-3"/>
        </w:rPr>
        <w:t> </w:t>
      </w:r>
      <w:r>
        <w:rPr/>
        <w:t>to</w:t>
      </w:r>
      <w:r>
        <w:rPr>
          <w:spacing w:val="-2"/>
        </w:rPr>
        <w:t> </w:t>
      </w:r>
      <w:r>
        <w:rPr/>
        <w:t>that vigilance,</w:t>
      </w:r>
      <w:r>
        <w:rPr>
          <w:spacing w:val="-3"/>
        </w:rPr>
        <w:t> </w:t>
      </w:r>
      <w:r>
        <w:rPr/>
        <w:t>we</w:t>
      </w:r>
      <w:r>
        <w:rPr>
          <w:spacing w:val="-5"/>
        </w:rPr>
        <w:t> </w:t>
      </w:r>
      <w:r>
        <w:rPr/>
        <w:t>were</w:t>
      </w:r>
      <w:r>
        <w:rPr>
          <w:spacing w:val="-3"/>
        </w:rPr>
        <w:t> </w:t>
      </w:r>
      <w:r>
        <w:rPr/>
        <w:t>able</w:t>
      </w:r>
      <w:r>
        <w:rPr>
          <w:spacing w:val="-3"/>
        </w:rPr>
        <w:t> </w:t>
      </w:r>
      <w:r>
        <w:rPr/>
        <w:t>to</w:t>
      </w:r>
      <w:r>
        <w:rPr>
          <w:spacing w:val="-3"/>
        </w:rPr>
        <w:t> </w:t>
      </w:r>
      <w:r>
        <w:rPr/>
        <w:t>prevent</w:t>
      </w:r>
      <w:r>
        <w:rPr>
          <w:spacing w:val="-3"/>
        </w:rPr>
        <w:t> </w:t>
      </w:r>
      <w:r>
        <w:rPr/>
        <w:t>any</w:t>
      </w:r>
      <w:r>
        <w:rPr>
          <w:spacing w:val="-3"/>
        </w:rPr>
        <w:t> </w:t>
      </w:r>
      <w:r>
        <w:rPr/>
        <w:t>loss</w:t>
      </w:r>
      <w:r>
        <w:rPr>
          <w:spacing w:val="-4"/>
        </w:rPr>
        <w:t> </w:t>
      </w:r>
      <w:r>
        <w:rPr/>
        <w:t>from</w:t>
      </w:r>
      <w:r>
        <w:rPr>
          <w:spacing w:val="-3"/>
        </w:rPr>
        <w:t> </w:t>
      </w:r>
      <w:r>
        <w:rPr/>
        <w:t>COVID-19.</w:t>
      </w:r>
      <w:r>
        <w:rPr>
          <w:spacing w:val="-3"/>
        </w:rPr>
        <w:t> </w:t>
      </w:r>
      <w:r>
        <w:rPr/>
        <w:t>This</w:t>
      </w:r>
      <w:r>
        <w:rPr>
          <w:spacing w:val="-4"/>
        </w:rPr>
        <w:t> </w:t>
      </w:r>
      <w:r>
        <w:rPr/>
        <w:t>stands</w:t>
      </w:r>
      <w:r>
        <w:rPr>
          <w:spacing w:val="-4"/>
        </w:rPr>
        <w:t> </w:t>
      </w:r>
      <w:r>
        <w:rPr/>
        <w:t>in</w:t>
      </w:r>
      <w:r>
        <w:rPr>
          <w:spacing w:val="-3"/>
        </w:rPr>
        <w:t> </w:t>
      </w:r>
      <w:r>
        <w:rPr/>
        <w:t>stark</w:t>
      </w:r>
      <w:r>
        <w:rPr>
          <w:spacing w:val="-3"/>
        </w:rPr>
        <w:t> </w:t>
      </w:r>
      <w:r>
        <w:rPr/>
        <w:t>contrast to the many other SNFs and LTACs in Massachusetts, where outbreaks were not only widespread but tragic. The consistent clinical vigilance and continuity of care were critical for our residents’ health and for the overall well-being of those who depend on</w:t>
      </w:r>
      <w:r>
        <w:rPr>
          <w:spacing w:val="40"/>
        </w:rPr>
        <w:t> </w:t>
      </w:r>
      <w:r>
        <w:rPr>
          <w:spacing w:val="-4"/>
        </w:rPr>
        <w:t>us.</w:t>
      </w:r>
    </w:p>
    <w:p>
      <w:pPr>
        <w:pStyle w:val="BodyText"/>
        <w:rPr>
          <w:sz w:val="21"/>
        </w:rPr>
      </w:pPr>
    </w:p>
    <w:p>
      <w:pPr>
        <w:pStyle w:val="BodyText"/>
        <w:rPr>
          <w:sz w:val="21"/>
        </w:rPr>
      </w:pPr>
    </w:p>
    <w:p>
      <w:pPr>
        <w:pStyle w:val="BodyText"/>
        <w:spacing w:before="196"/>
        <w:rPr>
          <w:sz w:val="21"/>
        </w:rPr>
      </w:pPr>
    </w:p>
    <w:p>
      <w:pPr>
        <w:tabs>
          <w:tab w:pos="4090" w:val="left" w:leader="none"/>
          <w:tab w:pos="5543" w:val="left" w:leader="none"/>
          <w:tab w:pos="7266" w:val="left" w:leader="none"/>
          <w:tab w:pos="8800" w:val="left" w:leader="none"/>
        </w:tabs>
        <w:spacing w:before="0"/>
        <w:ind w:left="472" w:right="0" w:firstLine="0"/>
        <w:jc w:val="left"/>
        <w:rPr>
          <w:rFonts w:ascii="Calibri"/>
          <w:sz w:val="21"/>
        </w:rPr>
      </w:pPr>
      <w:r>
        <w:rPr>
          <w:rFonts w:ascii="Calibri"/>
          <w:color w:val="404040"/>
          <w:sz w:val="21"/>
        </w:rPr>
        <w:t>78</w:t>
      </w:r>
      <w:r>
        <w:rPr>
          <w:rFonts w:ascii="Calibri"/>
          <w:color w:val="404040"/>
          <w:spacing w:val="-4"/>
          <w:sz w:val="21"/>
        </w:rPr>
        <w:t> </w:t>
      </w:r>
      <w:r>
        <w:rPr>
          <w:rFonts w:ascii="Calibri"/>
          <w:color w:val="404040"/>
          <w:sz w:val="21"/>
        </w:rPr>
        <w:t>Boston</w:t>
      </w:r>
      <w:r>
        <w:rPr>
          <w:rFonts w:ascii="Calibri"/>
          <w:color w:val="404040"/>
          <w:spacing w:val="-5"/>
          <w:sz w:val="21"/>
        </w:rPr>
        <w:t> </w:t>
      </w:r>
      <w:r>
        <w:rPr>
          <w:rFonts w:ascii="Calibri"/>
          <w:color w:val="404040"/>
          <w:sz w:val="21"/>
        </w:rPr>
        <w:t>Road,</w:t>
      </w:r>
      <w:r>
        <w:rPr>
          <w:rFonts w:ascii="Calibri"/>
          <w:color w:val="404040"/>
          <w:spacing w:val="-5"/>
          <w:sz w:val="21"/>
        </w:rPr>
        <w:t> </w:t>
      </w:r>
      <w:r>
        <w:rPr>
          <w:rFonts w:ascii="Calibri"/>
          <w:color w:val="404040"/>
          <w:sz w:val="21"/>
        </w:rPr>
        <w:t>N.</w:t>
      </w:r>
      <w:r>
        <w:rPr>
          <w:rFonts w:ascii="Calibri"/>
          <w:color w:val="404040"/>
          <w:spacing w:val="-2"/>
          <w:sz w:val="21"/>
        </w:rPr>
        <w:t> </w:t>
      </w:r>
      <w:r>
        <w:rPr>
          <w:rFonts w:ascii="Calibri"/>
          <w:color w:val="404040"/>
          <w:sz w:val="21"/>
        </w:rPr>
        <w:t>Billerica,</w:t>
      </w:r>
      <w:r>
        <w:rPr>
          <w:rFonts w:ascii="Calibri"/>
          <w:color w:val="404040"/>
          <w:spacing w:val="-5"/>
          <w:sz w:val="21"/>
        </w:rPr>
        <w:t> </w:t>
      </w:r>
      <w:r>
        <w:rPr>
          <w:rFonts w:ascii="Calibri"/>
          <w:color w:val="404040"/>
          <w:sz w:val="21"/>
        </w:rPr>
        <w:t>MA</w:t>
      </w:r>
      <w:r>
        <w:rPr>
          <w:rFonts w:ascii="Calibri"/>
          <w:color w:val="404040"/>
          <w:spacing w:val="-2"/>
          <w:sz w:val="21"/>
        </w:rPr>
        <w:t> </w:t>
      </w:r>
      <w:r>
        <w:rPr>
          <w:rFonts w:ascii="Calibri"/>
          <w:color w:val="404040"/>
          <w:spacing w:val="-4"/>
          <w:sz w:val="21"/>
        </w:rPr>
        <w:t>01862</w:t>
      </w:r>
      <w:r>
        <w:rPr>
          <w:rFonts w:ascii="Calibri"/>
          <w:color w:val="404040"/>
          <w:sz w:val="21"/>
        </w:rPr>
        <w:tab/>
      </w:r>
      <w:r>
        <w:rPr>
          <w:rFonts w:ascii="Calibri"/>
          <w:color w:val="404040"/>
          <w:spacing w:val="-2"/>
          <w:sz w:val="21"/>
        </w:rPr>
        <w:t>978.667.5123</w:t>
      </w:r>
      <w:r>
        <w:rPr>
          <w:rFonts w:ascii="Calibri"/>
          <w:color w:val="404040"/>
          <w:sz w:val="21"/>
        </w:rPr>
        <w:tab/>
        <w:t>978-663-5154</w:t>
      </w:r>
      <w:r>
        <w:rPr>
          <w:rFonts w:ascii="Calibri"/>
          <w:color w:val="404040"/>
          <w:spacing w:val="-7"/>
          <w:sz w:val="21"/>
        </w:rPr>
        <w:t> </w:t>
      </w:r>
      <w:r>
        <w:rPr>
          <w:rFonts w:ascii="Calibri"/>
          <w:i/>
          <w:color w:val="404040"/>
          <w:spacing w:val="-5"/>
          <w:sz w:val="20"/>
        </w:rPr>
        <w:t>fax</w:t>
      </w:r>
      <w:r>
        <w:rPr>
          <w:rFonts w:ascii="Calibri"/>
          <w:i/>
          <w:color w:val="404040"/>
          <w:sz w:val="20"/>
        </w:rPr>
        <w:tab/>
      </w:r>
      <w:hyperlink r:id="rId6">
        <w:r>
          <w:rPr>
            <w:rFonts w:ascii="Calibri"/>
            <w:color w:val="404040"/>
            <w:spacing w:val="-2"/>
            <w:sz w:val="21"/>
          </w:rPr>
          <w:t>www.nepc.org</w:t>
        </w:r>
        <w:r>
          <w:rPr>
            <w:rFonts w:ascii="Calibri"/>
            <w:color w:val="404040"/>
            <w:sz w:val="21"/>
          </w:rPr>
          <w:tab/>
        </w:r>
        <w:r>
          <w:rPr>
            <w:rFonts w:ascii="Calibri"/>
            <w:color w:val="404040"/>
            <w:sz w:val="21"/>
          </w:rPr>
          <w:drawing>
            <wp:inline distT="0" distB="0" distL="0" distR="0">
              <wp:extent cx="1704974" cy="422275"/>
              <wp:effectExtent l="0" t="0" r="0" b="0"/>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1704974" cy="422275"/>
                      </a:xfrm>
                      <a:prstGeom prst="rect">
                        <a:avLst/>
                      </a:prstGeom>
                    </pic:spPr>
                  </pic:pic>
                </a:graphicData>
              </a:graphic>
            </wp:inline>
          </w:drawing>
        </w:r>
        <w:r>
          <w:rPr>
            <w:rFonts w:ascii="Calibri"/>
            <w:color w:val="404040"/>
            <w:sz w:val="21"/>
          </w:rPr>
        </w:r>
      </w:hyperlink>
    </w:p>
    <w:p>
      <w:pPr>
        <w:sectPr>
          <w:type w:val="continuous"/>
          <w:pgSz w:w="12240" w:h="15840"/>
          <w:pgMar w:top="700" w:bottom="280" w:left="0" w:right="720"/>
        </w:sectPr>
      </w:pPr>
    </w:p>
    <w:p>
      <w:pPr>
        <w:pStyle w:val="BodyText"/>
        <w:tabs>
          <w:tab w:pos="1524" w:val="left" w:leader="none"/>
        </w:tabs>
        <w:spacing w:before="78"/>
        <w:rPr>
          <w:rFonts w:ascii="Cambria"/>
        </w:rPr>
      </w:pPr>
      <w:r>
        <w:rPr>
          <w:rFonts w:ascii="Cambria"/>
          <w:color w:val="FFFFFF"/>
          <w:shd w:fill="8ED973" w:color="auto" w:val="clear"/>
        </w:rPr>
        <w:tab/>
      </w:r>
      <w:r>
        <w:rPr>
          <w:rFonts w:ascii="Cambria"/>
          <w:color w:val="FFFFFF"/>
          <w:spacing w:val="-10"/>
          <w:shd w:fill="8ED973" w:color="auto" w:val="clear"/>
        </w:rPr>
        <w:t>2</w:t>
      </w:r>
      <w:r>
        <w:rPr>
          <w:rFonts w:ascii="Cambria"/>
          <w:color w:val="FFFFFF"/>
          <w:spacing w:val="40"/>
          <w:shd w:fill="8ED973" w:color="auto" w:val="clear"/>
        </w:rPr>
        <w:t> </w:t>
      </w:r>
    </w:p>
    <w:p>
      <w:pPr>
        <w:pStyle w:val="BodyText"/>
        <w:rPr>
          <w:rFonts w:ascii="Cambria"/>
        </w:rPr>
      </w:pPr>
    </w:p>
    <w:p>
      <w:pPr>
        <w:pStyle w:val="BodyText"/>
        <w:spacing w:before="17"/>
        <w:rPr>
          <w:rFonts w:ascii="Cambria"/>
        </w:rPr>
      </w:pPr>
    </w:p>
    <w:p>
      <w:pPr>
        <w:pStyle w:val="BodyText"/>
        <w:ind w:left="1800" w:right="1136"/>
      </w:pPr>
      <w:r>
        <w:rPr/>
        <w:t>These</w:t>
      </w:r>
      <w:r>
        <w:rPr>
          <w:spacing w:val="-5"/>
        </w:rPr>
        <w:t> </w:t>
      </w:r>
      <w:r>
        <w:rPr/>
        <w:t>individuals</w:t>
      </w:r>
      <w:r>
        <w:rPr>
          <w:spacing w:val="-5"/>
        </w:rPr>
        <w:t> </w:t>
      </w:r>
      <w:r>
        <w:rPr/>
        <w:t>are</w:t>
      </w:r>
      <w:r>
        <w:rPr>
          <w:spacing w:val="-4"/>
        </w:rPr>
        <w:t> </w:t>
      </w:r>
      <w:r>
        <w:rPr/>
        <w:t>rarely</w:t>
      </w:r>
      <w:r>
        <w:rPr>
          <w:spacing w:val="-4"/>
        </w:rPr>
        <w:t> </w:t>
      </w:r>
      <w:r>
        <w:rPr/>
        <w:t>provided</w:t>
      </w:r>
      <w:r>
        <w:rPr>
          <w:spacing w:val="-4"/>
        </w:rPr>
        <w:t> </w:t>
      </w:r>
      <w:r>
        <w:rPr/>
        <w:t>with</w:t>
      </w:r>
      <w:r>
        <w:rPr>
          <w:spacing w:val="-4"/>
        </w:rPr>
        <w:t> </w:t>
      </w:r>
      <w:r>
        <w:rPr/>
        <w:t>equal</w:t>
      </w:r>
      <w:r>
        <w:rPr>
          <w:spacing w:val="-4"/>
        </w:rPr>
        <w:t> </w:t>
      </w:r>
      <w:r>
        <w:rPr/>
        <w:t>opportunities</w:t>
      </w:r>
      <w:r>
        <w:rPr>
          <w:spacing w:val="-5"/>
        </w:rPr>
        <w:t> </w:t>
      </w:r>
      <w:r>
        <w:rPr/>
        <w:t>to</w:t>
      </w:r>
      <w:r>
        <w:rPr>
          <w:spacing w:val="-4"/>
        </w:rPr>
        <w:t> </w:t>
      </w:r>
      <w:r>
        <w:rPr/>
        <w:t>experience</w:t>
      </w:r>
      <w:r>
        <w:rPr>
          <w:spacing w:val="-5"/>
        </w:rPr>
        <w:t> </w:t>
      </w:r>
      <w:r>
        <w:rPr/>
        <w:t>typical</w:t>
      </w:r>
      <w:r>
        <w:rPr>
          <w:spacing w:val="-4"/>
        </w:rPr>
        <w:t> </w:t>
      </w:r>
      <w:r>
        <w:rPr/>
        <w:t>peer and community environments secondary to their medical complexities, mobility limitations, and communication differences. In other settings, specifically adult placements that are larger and less specialized, the risk of isolation is even greater.</w:t>
      </w:r>
    </w:p>
    <w:p>
      <w:pPr>
        <w:pStyle w:val="BodyText"/>
      </w:pPr>
    </w:p>
    <w:p>
      <w:pPr>
        <w:pStyle w:val="BodyText"/>
        <w:ind w:left="1800" w:right="1107"/>
      </w:pPr>
      <w:r>
        <w:rPr/>
        <w:t>At NEPC, our residents attend a Young Adult Program daily that includes consistent consultative services by a strong rehabilitative team comprised of OTs, PTs, and SLPs. The Occupational Therapy team offers resources, consultation, and expertise that are not easily replicated in other adult placements. We closely monitor the musculoskeletal and neuromuscular statuses of our residents, as well as assess their sensory needs, evaluate appropriate access points for participation in adapted switch use, and monitor the fit and function of prescribed adaptive equipment. Such availability and promptness is unheard of in other settings and risks their overall wellbeing and quality of life. Our treatment room is thoughtfully designed and equipped with specialized therapeutic equipment to address our residents’ fine motor skills, upper and lower body strengthening, and multisensory needs. In addition, we have access to a unique sensory room specifically structured</w:t>
      </w:r>
      <w:r>
        <w:rPr>
          <w:spacing w:val="-4"/>
        </w:rPr>
        <w:t> </w:t>
      </w:r>
      <w:r>
        <w:rPr/>
        <w:t>to</w:t>
      </w:r>
      <w:r>
        <w:rPr>
          <w:spacing w:val="-4"/>
        </w:rPr>
        <w:t> </w:t>
      </w:r>
      <w:r>
        <w:rPr/>
        <w:t>support</w:t>
      </w:r>
      <w:r>
        <w:rPr>
          <w:spacing w:val="-4"/>
        </w:rPr>
        <w:t> </w:t>
      </w:r>
      <w:r>
        <w:rPr/>
        <w:t>all</w:t>
      </w:r>
      <w:r>
        <w:rPr>
          <w:spacing w:val="-3"/>
        </w:rPr>
        <w:t> </w:t>
      </w:r>
      <w:r>
        <w:rPr/>
        <w:t>residents’</w:t>
      </w:r>
      <w:r>
        <w:rPr>
          <w:spacing w:val="-4"/>
        </w:rPr>
        <w:t> </w:t>
      </w:r>
      <w:r>
        <w:rPr/>
        <w:t>sensory</w:t>
      </w:r>
      <w:r>
        <w:rPr>
          <w:spacing w:val="-4"/>
        </w:rPr>
        <w:t> </w:t>
      </w:r>
      <w:r>
        <w:rPr/>
        <w:t>regulation</w:t>
      </w:r>
      <w:r>
        <w:rPr>
          <w:spacing w:val="-4"/>
        </w:rPr>
        <w:t> </w:t>
      </w:r>
      <w:r>
        <w:rPr/>
        <w:t>and</w:t>
      </w:r>
      <w:r>
        <w:rPr>
          <w:spacing w:val="-4"/>
        </w:rPr>
        <w:t> </w:t>
      </w:r>
      <w:r>
        <w:rPr/>
        <w:t>emotional</w:t>
      </w:r>
      <w:r>
        <w:rPr>
          <w:spacing w:val="-4"/>
        </w:rPr>
        <w:t> </w:t>
      </w:r>
      <w:r>
        <w:rPr/>
        <w:t>modulation,</w:t>
      </w:r>
      <w:r>
        <w:rPr>
          <w:spacing w:val="-4"/>
        </w:rPr>
        <w:t> </w:t>
      </w:r>
      <w:r>
        <w:rPr/>
        <w:t>which</w:t>
      </w:r>
      <w:r>
        <w:rPr>
          <w:spacing w:val="-4"/>
        </w:rPr>
        <w:t> </w:t>
      </w:r>
      <w:r>
        <w:rPr/>
        <w:t>is not often offered in alternative settings. These spaces are carefully curated environments that allow our residents the opportunity to engage meaningfully and regulate effectively.</w:t>
      </w:r>
    </w:p>
    <w:p>
      <w:pPr>
        <w:pStyle w:val="BodyText"/>
        <w:spacing w:before="1"/>
      </w:pPr>
    </w:p>
    <w:p>
      <w:pPr>
        <w:pStyle w:val="BodyText"/>
        <w:spacing w:before="1"/>
        <w:ind w:left="1800" w:right="916"/>
      </w:pPr>
      <w:r>
        <w:rPr/>
        <w:t>I</w:t>
      </w:r>
      <w:r>
        <w:rPr>
          <w:spacing w:val="-1"/>
        </w:rPr>
        <w:t> </w:t>
      </w:r>
      <w:r>
        <w:rPr/>
        <w:t>have seen first-hand how critical the continuity of care is for the individuals we support and</w:t>
      </w:r>
      <w:r>
        <w:rPr>
          <w:spacing w:val="-3"/>
        </w:rPr>
        <w:t> </w:t>
      </w:r>
      <w:r>
        <w:rPr/>
        <w:t>their</w:t>
      </w:r>
      <w:r>
        <w:rPr>
          <w:spacing w:val="-4"/>
        </w:rPr>
        <w:t> </w:t>
      </w:r>
      <w:r>
        <w:rPr/>
        <w:t>quality</w:t>
      </w:r>
      <w:r>
        <w:rPr>
          <w:spacing w:val="-3"/>
        </w:rPr>
        <w:t> </w:t>
      </w:r>
      <w:r>
        <w:rPr/>
        <w:t>of</w:t>
      </w:r>
      <w:r>
        <w:rPr>
          <w:spacing w:val="-3"/>
        </w:rPr>
        <w:t> </w:t>
      </w:r>
      <w:r>
        <w:rPr/>
        <w:t>life.</w:t>
      </w:r>
      <w:r>
        <w:rPr>
          <w:spacing w:val="-1"/>
        </w:rPr>
        <w:t> </w:t>
      </w:r>
      <w:r>
        <w:rPr/>
        <w:t>From</w:t>
      </w:r>
      <w:r>
        <w:rPr>
          <w:spacing w:val="-3"/>
        </w:rPr>
        <w:t> </w:t>
      </w:r>
      <w:r>
        <w:rPr/>
        <w:t>a</w:t>
      </w:r>
      <w:r>
        <w:rPr>
          <w:spacing w:val="-5"/>
        </w:rPr>
        <w:t> </w:t>
      </w:r>
      <w:r>
        <w:rPr/>
        <w:t>clinical</w:t>
      </w:r>
      <w:r>
        <w:rPr>
          <w:spacing w:val="-3"/>
        </w:rPr>
        <w:t> </w:t>
      </w:r>
      <w:r>
        <w:rPr/>
        <w:t>perspective,</w:t>
      </w:r>
      <w:r>
        <w:rPr>
          <w:spacing w:val="-3"/>
        </w:rPr>
        <w:t> </w:t>
      </w:r>
      <w:r>
        <w:rPr/>
        <w:t>discharge</w:t>
      </w:r>
      <w:r>
        <w:rPr>
          <w:spacing w:val="-4"/>
        </w:rPr>
        <w:t> </w:t>
      </w:r>
      <w:r>
        <w:rPr/>
        <w:t>decisions</w:t>
      </w:r>
      <w:r>
        <w:rPr>
          <w:spacing w:val="-4"/>
        </w:rPr>
        <w:t> </w:t>
      </w:r>
      <w:r>
        <w:rPr/>
        <w:t>should</w:t>
      </w:r>
      <w:r>
        <w:rPr>
          <w:spacing w:val="-3"/>
        </w:rPr>
        <w:t> </w:t>
      </w:r>
      <w:r>
        <w:rPr/>
        <w:t>be</w:t>
      </w:r>
      <w:r>
        <w:rPr>
          <w:spacing w:val="-3"/>
        </w:rPr>
        <w:t> </w:t>
      </w:r>
      <w:r>
        <w:rPr/>
        <w:t>guided by holistic wellbeing and medical needs and not solely based on chronological age. I believe strongly that policy decisions regarding discharge</w:t>
      </w:r>
      <w:r>
        <w:rPr>
          <w:spacing w:val="-1"/>
        </w:rPr>
        <w:t> </w:t>
      </w:r>
      <w:r>
        <w:rPr/>
        <w:t>should reflect clinical evidence and the realities of the individuals we serve. I am deeply concerned about their safety if transitioned to settings that may not be equipped to meet their complex needs. In environments that lack the specialized equipment for this unique population, sensory expertise, and trained staff, there is increased risk of social isolation, dysregulation, preventable injury, unmet medical needs, and avoidable hospitalizations/deaths. For medically fragile young adults, the consequences of an unprepared transition can be </w:t>
      </w:r>
      <w:r>
        <w:rPr>
          <w:spacing w:val="-2"/>
        </w:rPr>
        <w:t>significant.</w:t>
      </w:r>
    </w:p>
    <w:p>
      <w:pPr>
        <w:pStyle w:val="BodyText"/>
      </w:pPr>
    </w:p>
    <w:p>
      <w:pPr>
        <w:pStyle w:val="BodyText"/>
        <w:ind w:left="1800" w:right="1121"/>
        <w:jc w:val="both"/>
      </w:pPr>
      <w:r>
        <w:rPr/>
        <w:t>With</w:t>
      </w:r>
      <w:r>
        <w:rPr>
          <w:spacing w:val="-1"/>
        </w:rPr>
        <w:t> </w:t>
      </w:r>
      <w:r>
        <w:rPr/>
        <w:t>that</w:t>
      </w:r>
      <w:r>
        <w:rPr>
          <w:spacing w:val="-1"/>
        </w:rPr>
        <w:t> </w:t>
      </w:r>
      <w:r>
        <w:rPr/>
        <w:t>being</w:t>
      </w:r>
      <w:r>
        <w:rPr>
          <w:spacing w:val="-1"/>
        </w:rPr>
        <w:t> </w:t>
      </w:r>
      <w:r>
        <w:rPr/>
        <w:t>said, I</w:t>
      </w:r>
      <w:r>
        <w:rPr>
          <w:spacing w:val="-4"/>
        </w:rPr>
        <w:t> </w:t>
      </w:r>
      <w:r>
        <w:rPr/>
        <w:t>respectfully</w:t>
      </w:r>
      <w:r>
        <w:rPr>
          <w:spacing w:val="-1"/>
        </w:rPr>
        <w:t> </w:t>
      </w:r>
      <w:r>
        <w:rPr/>
        <w:t>urge</w:t>
      </w:r>
      <w:r>
        <w:rPr>
          <w:spacing w:val="-3"/>
        </w:rPr>
        <w:t> </w:t>
      </w:r>
      <w:r>
        <w:rPr/>
        <w:t>the</w:t>
      </w:r>
      <w:r>
        <w:rPr>
          <w:spacing w:val="-1"/>
        </w:rPr>
        <w:t> </w:t>
      </w:r>
      <w:r>
        <w:rPr/>
        <w:t>Department</w:t>
      </w:r>
      <w:r>
        <w:rPr>
          <w:spacing w:val="-1"/>
        </w:rPr>
        <w:t> </w:t>
      </w:r>
      <w:r>
        <w:rPr/>
        <w:t>of</w:t>
      </w:r>
      <w:r>
        <w:rPr>
          <w:spacing w:val="-1"/>
        </w:rPr>
        <w:t> </w:t>
      </w:r>
      <w:r>
        <w:rPr/>
        <w:t>Public</w:t>
      </w:r>
      <w:r>
        <w:rPr>
          <w:spacing w:val="-2"/>
        </w:rPr>
        <w:t> </w:t>
      </w:r>
      <w:r>
        <w:rPr/>
        <w:t>Health</w:t>
      </w:r>
      <w:r>
        <w:rPr>
          <w:spacing w:val="-1"/>
        </w:rPr>
        <w:t> </w:t>
      </w:r>
      <w:r>
        <w:rPr/>
        <w:t>to</w:t>
      </w:r>
      <w:r>
        <w:rPr>
          <w:spacing w:val="-1"/>
        </w:rPr>
        <w:t> </w:t>
      </w:r>
      <w:r>
        <w:rPr/>
        <w:t>reconsider</w:t>
      </w:r>
      <w:r>
        <w:rPr>
          <w:spacing w:val="-1"/>
        </w:rPr>
        <w:t> </w:t>
      </w:r>
      <w:r>
        <w:rPr/>
        <w:t>or deny</w:t>
      </w:r>
      <w:r>
        <w:rPr>
          <w:spacing w:val="-3"/>
        </w:rPr>
        <w:t> </w:t>
      </w:r>
      <w:r>
        <w:rPr/>
        <w:t>the</w:t>
      </w:r>
      <w:r>
        <w:rPr>
          <w:spacing w:val="-3"/>
        </w:rPr>
        <w:t> </w:t>
      </w:r>
      <w:r>
        <w:rPr/>
        <w:t>proposed</w:t>
      </w:r>
      <w:r>
        <w:rPr>
          <w:spacing w:val="-3"/>
        </w:rPr>
        <w:t> </w:t>
      </w:r>
      <w:r>
        <w:rPr/>
        <w:t>policy</w:t>
      </w:r>
      <w:r>
        <w:rPr>
          <w:spacing w:val="-1"/>
        </w:rPr>
        <w:t> </w:t>
      </w:r>
      <w:r>
        <w:rPr/>
        <w:t>to</w:t>
      </w:r>
      <w:r>
        <w:rPr>
          <w:spacing w:val="-3"/>
        </w:rPr>
        <w:t> </w:t>
      </w:r>
      <w:r>
        <w:rPr/>
        <w:t>ensure</w:t>
      </w:r>
      <w:r>
        <w:rPr>
          <w:spacing w:val="-4"/>
        </w:rPr>
        <w:t> </w:t>
      </w:r>
      <w:r>
        <w:rPr/>
        <w:t>that</w:t>
      </w:r>
      <w:r>
        <w:rPr>
          <w:spacing w:val="-3"/>
        </w:rPr>
        <w:t> </w:t>
      </w:r>
      <w:r>
        <w:rPr/>
        <w:t>our</w:t>
      </w:r>
      <w:r>
        <w:rPr>
          <w:spacing w:val="-4"/>
        </w:rPr>
        <w:t> </w:t>
      </w:r>
      <w:r>
        <w:rPr/>
        <w:t>residents</w:t>
      </w:r>
      <w:r>
        <w:rPr>
          <w:spacing w:val="-4"/>
        </w:rPr>
        <w:t> </w:t>
      </w:r>
      <w:r>
        <w:rPr/>
        <w:t>continue</w:t>
      </w:r>
      <w:r>
        <w:rPr>
          <w:spacing w:val="-4"/>
        </w:rPr>
        <w:t> </w:t>
      </w:r>
      <w:r>
        <w:rPr/>
        <w:t>to</w:t>
      </w:r>
      <w:r>
        <w:rPr>
          <w:spacing w:val="-3"/>
        </w:rPr>
        <w:t> </w:t>
      </w:r>
      <w:r>
        <w:rPr/>
        <w:t>receive</w:t>
      </w:r>
      <w:r>
        <w:rPr>
          <w:spacing w:val="-4"/>
        </w:rPr>
        <w:t> </w:t>
      </w:r>
      <w:r>
        <w:rPr/>
        <w:t>the</w:t>
      </w:r>
      <w:r>
        <w:rPr>
          <w:spacing w:val="-3"/>
        </w:rPr>
        <w:t> </w:t>
      </w:r>
      <w:r>
        <w:rPr/>
        <w:t>continuity</w:t>
      </w:r>
      <w:r>
        <w:rPr>
          <w:spacing w:val="-3"/>
        </w:rPr>
        <w:t> </w:t>
      </w:r>
      <w:r>
        <w:rPr/>
        <w:t>of care, relationship-based practice, and interdisciplinary approach they are entitled to.</w:t>
      </w:r>
    </w:p>
    <w:p>
      <w:pPr>
        <w:pStyle w:val="BodyText"/>
        <w:spacing w:before="1"/>
        <w:ind w:left="1800" w:right="1101"/>
        <w:jc w:val="both"/>
      </w:pPr>
      <w:r>
        <w:rPr/>
        <w:t>Thank</w:t>
      </w:r>
      <w:r>
        <w:rPr>
          <w:spacing w:val="-3"/>
        </w:rPr>
        <w:t> </w:t>
      </w:r>
      <w:r>
        <w:rPr/>
        <w:t>you</w:t>
      </w:r>
      <w:r>
        <w:rPr>
          <w:spacing w:val="-3"/>
        </w:rPr>
        <w:t> </w:t>
      </w:r>
      <w:r>
        <w:rPr/>
        <w:t>for</w:t>
      </w:r>
      <w:r>
        <w:rPr>
          <w:spacing w:val="-3"/>
        </w:rPr>
        <w:t> </w:t>
      </w:r>
      <w:r>
        <w:rPr/>
        <w:t>your</w:t>
      </w:r>
      <w:r>
        <w:rPr>
          <w:spacing w:val="-3"/>
        </w:rPr>
        <w:t> </w:t>
      </w:r>
      <w:r>
        <w:rPr/>
        <w:t>attention</w:t>
      </w:r>
      <w:r>
        <w:rPr>
          <w:spacing w:val="-3"/>
        </w:rPr>
        <w:t> </w:t>
      </w:r>
      <w:r>
        <w:rPr/>
        <w:t>to</w:t>
      </w:r>
      <w:r>
        <w:rPr>
          <w:spacing w:val="-3"/>
        </w:rPr>
        <w:t> </w:t>
      </w:r>
      <w:r>
        <w:rPr/>
        <w:t>this</w:t>
      </w:r>
      <w:r>
        <w:rPr>
          <w:spacing w:val="-4"/>
        </w:rPr>
        <w:t> </w:t>
      </w:r>
      <w:r>
        <w:rPr/>
        <w:t>important</w:t>
      </w:r>
      <w:r>
        <w:rPr>
          <w:spacing w:val="-3"/>
        </w:rPr>
        <w:t> </w:t>
      </w:r>
      <w:r>
        <w:rPr/>
        <w:t>matter</w:t>
      </w:r>
      <w:r>
        <w:rPr>
          <w:spacing w:val="-3"/>
        </w:rPr>
        <w:t> </w:t>
      </w:r>
      <w:r>
        <w:rPr/>
        <w:t>and</w:t>
      </w:r>
      <w:r>
        <w:rPr>
          <w:spacing w:val="-3"/>
        </w:rPr>
        <w:t> </w:t>
      </w:r>
      <w:r>
        <w:rPr/>
        <w:t>for</w:t>
      </w:r>
      <w:r>
        <w:rPr>
          <w:spacing w:val="-3"/>
        </w:rPr>
        <w:t> </w:t>
      </w:r>
      <w:r>
        <w:rPr/>
        <w:t>considering</w:t>
      </w:r>
      <w:r>
        <w:rPr>
          <w:spacing w:val="-3"/>
        </w:rPr>
        <w:t> </w:t>
      </w:r>
      <w:r>
        <w:rPr/>
        <w:t>the</w:t>
      </w:r>
      <w:r>
        <w:rPr>
          <w:spacing w:val="-4"/>
        </w:rPr>
        <w:t> </w:t>
      </w:r>
      <w:r>
        <w:rPr/>
        <w:t>perspectives from those of us working at the facilities that are the target of this policy.</w:t>
      </w:r>
    </w:p>
    <w:p>
      <w:pPr>
        <w:pStyle w:val="BodyText"/>
        <w:spacing w:before="275"/>
      </w:pPr>
    </w:p>
    <w:p>
      <w:pPr>
        <w:pStyle w:val="BodyText"/>
        <w:spacing w:before="1"/>
        <w:ind w:left="1800"/>
      </w:pPr>
      <w:r>
        <w:rPr/>
        <w:drawing>
          <wp:anchor distT="0" distB="0" distL="0" distR="0" allowOverlap="1" layoutInCell="1" locked="0" behindDoc="0" simplePos="0" relativeHeight="15728640">
            <wp:simplePos x="0" y="0"/>
            <wp:positionH relativeFrom="page">
              <wp:posOffset>1188725</wp:posOffset>
            </wp:positionH>
            <wp:positionV relativeFrom="paragraph">
              <wp:posOffset>64661</wp:posOffset>
            </wp:positionV>
            <wp:extent cx="1662551" cy="696607"/>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1662551" cy="696607"/>
                    </a:xfrm>
                    <a:prstGeom prst="rect">
                      <a:avLst/>
                    </a:prstGeom>
                  </pic:spPr>
                </pic:pic>
              </a:graphicData>
            </a:graphic>
          </wp:anchor>
        </w:drawing>
      </w:r>
      <w:r>
        <w:rPr>
          <w:spacing w:val="-2"/>
        </w:rPr>
        <w:t>Sincerely,</w:t>
      </w:r>
    </w:p>
    <w:p>
      <w:pPr>
        <w:pStyle w:val="BodyText"/>
      </w:pPr>
    </w:p>
    <w:p>
      <w:pPr>
        <w:pStyle w:val="BodyText"/>
      </w:pPr>
    </w:p>
    <w:p>
      <w:pPr>
        <w:pStyle w:val="BodyText"/>
      </w:pPr>
    </w:p>
    <w:p>
      <w:pPr>
        <w:pStyle w:val="BodyText"/>
        <w:ind w:left="1800" w:right="5439"/>
      </w:pPr>
      <w:r>
        <w:rPr/>
        <w:t>Madison</w:t>
      </w:r>
      <w:r>
        <w:rPr>
          <w:spacing w:val="-13"/>
        </w:rPr>
        <w:t> </w:t>
      </w:r>
      <w:r>
        <w:rPr/>
        <w:t>Knibbs,</w:t>
      </w:r>
      <w:r>
        <w:rPr>
          <w:spacing w:val="-13"/>
        </w:rPr>
        <w:t> </w:t>
      </w:r>
      <w:r>
        <w:rPr/>
        <w:t>MOT,</w:t>
      </w:r>
      <w:r>
        <w:rPr>
          <w:spacing w:val="-13"/>
        </w:rPr>
        <w:t> </w:t>
      </w:r>
      <w:r>
        <w:rPr/>
        <w:t>OTR/L Occupational Therapist</w:t>
      </w:r>
    </w:p>
    <w:p>
      <w:pPr>
        <w:pStyle w:val="BodyText"/>
        <w:ind w:left="1800"/>
        <w:jc w:val="both"/>
      </w:pPr>
      <w:r>
        <w:rPr/>
        <w:t>New</w:t>
      </w:r>
      <w:r>
        <w:rPr>
          <w:spacing w:val="-2"/>
        </w:rPr>
        <w:t> </w:t>
      </w:r>
      <w:r>
        <w:rPr/>
        <w:t>England</w:t>
      </w:r>
      <w:r>
        <w:rPr>
          <w:spacing w:val="-1"/>
        </w:rPr>
        <w:t> </w:t>
      </w:r>
      <w:r>
        <w:rPr/>
        <w:t>Pediatric</w:t>
      </w:r>
      <w:r>
        <w:rPr>
          <w:spacing w:val="-1"/>
        </w:rPr>
        <w:t> </w:t>
      </w:r>
      <w:r>
        <w:rPr>
          <w:spacing w:val="-4"/>
        </w:rPr>
        <w:t>Care</w:t>
      </w:r>
    </w:p>
    <w:sectPr>
      <w:pgSz w:w="12240" w:h="15840"/>
      <w:pgMar w:top="500" w:bottom="280" w:left="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nepc.org/" TargetMode="External"/><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dc:title>Evaluation Status/DWO – Mohammad Haadi Adnan</dc:title>
  <dcterms:created xsi:type="dcterms:W3CDTF">2026-02-13T15:16:15Z</dcterms:created>
  <dcterms:modified xsi:type="dcterms:W3CDTF">2026-02-13T15:16:15Z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Microsoft® Word for Microsoft 365</vt:lpwstr>
  </property>
  <property fmtid="{D5CDD505-2E9C-101B-9397-08002B2CF9AE}" pid="4" name="LastSaved">
    <vt:filetime>2026-02-13T00:00:00Z</vt:filetime>
  </property>
  <property fmtid="{D5CDD505-2E9C-101B-9397-08002B2CF9AE}" pid="5" name="Producer">
    <vt:lpwstr>Microsoft® Word for Microsoft 365</vt:lpwstr>
  </property>
</Properties>
</file>