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bookmarkStart w:id="0" w:name="_GoBack"/>
      <w:bookmarkEnd w:id="0"/>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ED7F53">
      <w:pPr>
        <w:tabs>
          <w:tab w:val="left" w:pos="5040"/>
        </w:tabs>
        <w:suppressAutoHyphens/>
        <w:rPr>
          <w:rFonts w:ascii="Georgia" w:hAnsi="Georgia" w:cs="Arial"/>
          <w:b/>
          <w:color w:val="1F497D"/>
          <w:sz w:val="24"/>
          <w:szCs w:val="24"/>
        </w:rPr>
      </w:pPr>
    </w:p>
    <w:p w:rsidR="0069586B" w:rsidRDefault="0069586B" w:rsidP="00ED7F53">
      <w:pPr>
        <w:tabs>
          <w:tab w:val="left" w:pos="5040"/>
        </w:tabs>
        <w:suppressAutoHyphens/>
        <w:rPr>
          <w:rFonts w:ascii="Georgia" w:hAnsi="Georgia" w:cs="Arial"/>
          <w:b/>
          <w:color w:val="1F497D"/>
          <w:sz w:val="24"/>
          <w:szCs w:val="24"/>
        </w:rPr>
      </w:pPr>
    </w:p>
    <w:p w:rsidR="00D65B5E" w:rsidRPr="00992234" w:rsidRDefault="00D65B5E" w:rsidP="00992234">
      <w:pPr>
        <w:pStyle w:val="Heading1"/>
        <w:ind w:left="5040" w:right="0" w:firstLine="0"/>
      </w:pPr>
      <w:r w:rsidRPr="00C66371">
        <w:t>MassHealth</w:t>
      </w:r>
    </w:p>
    <w:p w:rsidR="00D65B5E" w:rsidRPr="00992234" w:rsidRDefault="00FF2E1B" w:rsidP="00992234">
      <w:pPr>
        <w:pStyle w:val="Heading1"/>
        <w:ind w:left="5040" w:right="0" w:firstLine="0"/>
      </w:pPr>
      <w:r>
        <w:t xml:space="preserve">Managed Care Entity </w:t>
      </w:r>
      <w:r w:rsidR="00D65B5E" w:rsidRPr="00C66371">
        <w:t xml:space="preserve">Bulletin </w:t>
      </w:r>
      <w:r w:rsidR="00A7032E">
        <w:t>12</w:t>
      </w:r>
    </w:p>
    <w:p w:rsidR="00D65B5E" w:rsidRPr="001B792F" w:rsidRDefault="000B3DED" w:rsidP="00992234">
      <w:pPr>
        <w:pStyle w:val="Heading1"/>
        <w:ind w:left="5040" w:right="0" w:firstLine="0"/>
      </w:pPr>
      <w:r w:rsidRPr="00992234">
        <w:t>May</w:t>
      </w:r>
      <w:r w:rsidR="00F7118D" w:rsidRPr="00992234">
        <w:t xml:space="preserve"> </w:t>
      </w:r>
      <w:r w:rsidR="00FF2E1B" w:rsidRPr="00992234">
        <w:t>2019</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927F41" w:rsidRPr="00927F41">
        <w:rPr>
          <w:rFonts w:ascii="Georgia" w:hAnsi="Georgia" w:cs="Arial"/>
          <w:sz w:val="22"/>
          <w:szCs w:val="22"/>
        </w:rPr>
        <w:t xml:space="preserve">Managed </w:t>
      </w:r>
      <w:r w:rsidR="00927F41">
        <w:rPr>
          <w:rFonts w:ascii="Georgia" w:hAnsi="Georgia" w:cs="Arial"/>
          <w:sz w:val="22"/>
          <w:szCs w:val="22"/>
        </w:rPr>
        <w:t>Care Organizations</w:t>
      </w:r>
      <w:r w:rsidR="009A0EAC">
        <w:rPr>
          <w:rFonts w:ascii="Georgia" w:hAnsi="Georgia" w:cs="Arial"/>
          <w:sz w:val="22"/>
          <w:szCs w:val="22"/>
        </w:rPr>
        <w:t xml:space="preserve"> and</w:t>
      </w:r>
      <w:r w:rsidR="00927F41">
        <w:rPr>
          <w:rFonts w:ascii="Georgia" w:hAnsi="Georgia" w:cs="Arial"/>
          <w:sz w:val="22"/>
          <w:szCs w:val="22"/>
        </w:rPr>
        <w:t xml:space="preserve"> Accountable Care Partnership Plans</w:t>
      </w:r>
      <w:r w:rsidR="009A0EAC">
        <w:rPr>
          <w:rFonts w:ascii="Georgia" w:hAnsi="Georgia" w:cs="Arial"/>
          <w:sz w:val="22"/>
          <w:szCs w:val="22"/>
        </w:rPr>
        <w:t xml:space="preserve"> </w:t>
      </w:r>
      <w:r w:rsidR="009A0EAC" w:rsidRPr="00927F41">
        <w:rPr>
          <w:rFonts w:ascii="Georgia" w:hAnsi="Georgia" w:cs="Arial"/>
          <w:sz w:val="22"/>
          <w:szCs w:val="22"/>
        </w:rPr>
        <w:t>Participating</w:t>
      </w:r>
      <w:r w:rsidR="009A0EAC" w:rsidRPr="001B792F">
        <w:rPr>
          <w:rFonts w:ascii="Georgia" w:hAnsi="Georgia" w:cs="Arial"/>
          <w:sz w:val="22"/>
          <w:szCs w:val="22"/>
        </w:rPr>
        <w:t xml:space="preserve"> in MassHealth</w:t>
      </w:r>
      <w:r w:rsidR="00927F41">
        <w:rPr>
          <w:rFonts w:ascii="Georgia" w:hAnsi="Georgia" w:cs="Arial"/>
          <w:sz w:val="22"/>
          <w:szCs w:val="22"/>
        </w:rPr>
        <w:t xml:space="preserve">, and MassHealth’s Behavioral </w:t>
      </w:r>
      <w:r w:rsidR="009A0EAC">
        <w:rPr>
          <w:rFonts w:ascii="Georgia" w:hAnsi="Georgia" w:cs="Arial"/>
          <w:sz w:val="22"/>
          <w:szCs w:val="22"/>
        </w:rPr>
        <w:t>H</w:t>
      </w:r>
      <w:r w:rsidR="00927F41">
        <w:rPr>
          <w:rFonts w:ascii="Georgia" w:hAnsi="Georgia" w:cs="Arial"/>
          <w:sz w:val="22"/>
          <w:szCs w:val="22"/>
        </w:rPr>
        <w:t xml:space="preserve">ealth Vendor </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076325">
        <w:rPr>
          <w:rFonts w:ascii="Georgia" w:hAnsi="Georgia" w:cs="Arial"/>
          <w:sz w:val="22"/>
          <w:szCs w:val="22"/>
        </w:rPr>
        <w:t xml:space="preserve"> [Signature of Dan Tsai]</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DC292A" w:rsidRDefault="0069586B" w:rsidP="00927F41">
      <w:pPr>
        <w:tabs>
          <w:tab w:val="right" w:pos="720"/>
          <w:tab w:val="left" w:pos="1152"/>
          <w:tab w:val="left" w:pos="5184"/>
        </w:tabs>
        <w:suppressAutoHyphens/>
        <w:ind w:left="1742" w:right="576" w:hanging="1166"/>
        <w:rPr>
          <w:rFonts w:ascii="Georgia" w:hAnsi="Georgia" w:cs="Arial"/>
          <w:b/>
          <w:i/>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927F41">
        <w:rPr>
          <w:rFonts w:ascii="Georgia" w:hAnsi="Georgia" w:cs="Arial"/>
          <w:b/>
          <w:sz w:val="22"/>
          <w:szCs w:val="22"/>
        </w:rPr>
        <w:t>Medications for Addiction Treatment in the Opioid Treatment Programs</w:t>
      </w:r>
    </w:p>
    <w:p w:rsidR="00DC292A" w:rsidRDefault="00DC292A" w:rsidP="0008203E">
      <w:pPr>
        <w:ind w:left="720" w:right="720" w:hanging="2880"/>
        <w:rPr>
          <w:rFonts w:ascii="Georgia" w:hAnsi="Georgia" w:cs="Arial"/>
          <w:b/>
          <w:i/>
          <w:sz w:val="22"/>
          <w:szCs w:val="22"/>
        </w:rPr>
      </w:pPr>
    </w:p>
    <w:p w:rsidR="001B792F" w:rsidRPr="003E6A0D" w:rsidRDefault="00927F41" w:rsidP="003E6A0D">
      <w:pPr>
        <w:pStyle w:val="Heading1"/>
      </w:pPr>
      <w:r w:rsidRPr="003E6A0D">
        <w:t>Background</w:t>
      </w:r>
    </w:p>
    <w:p w:rsidR="001B792F" w:rsidRDefault="001B792F" w:rsidP="0008203E">
      <w:pPr>
        <w:ind w:left="720" w:right="720" w:hanging="2880"/>
        <w:rPr>
          <w:rFonts w:ascii="Georgia" w:hAnsi="Georgia" w:cs="Arial"/>
          <w:sz w:val="22"/>
          <w:szCs w:val="22"/>
        </w:rPr>
      </w:pPr>
    </w:p>
    <w:p w:rsidR="00927F41" w:rsidRPr="00C909E9" w:rsidRDefault="00927F41" w:rsidP="009A0EAC">
      <w:pPr>
        <w:spacing w:after="120"/>
        <w:ind w:left="576" w:right="576"/>
        <w:rPr>
          <w:rFonts w:ascii="Georgia" w:hAnsi="Georgia" w:cs="Arial"/>
          <w:sz w:val="22"/>
          <w:szCs w:val="22"/>
        </w:rPr>
      </w:pPr>
      <w:r w:rsidRPr="00C909E9">
        <w:rPr>
          <w:rFonts w:ascii="Georgia" w:hAnsi="Georgia" w:cs="Arial"/>
          <w:sz w:val="22"/>
          <w:szCs w:val="22"/>
        </w:rPr>
        <w:t>Managed Care Organizations (MCOs)</w:t>
      </w:r>
      <w:r>
        <w:rPr>
          <w:rFonts w:ascii="Georgia" w:hAnsi="Georgia" w:cs="Arial"/>
          <w:sz w:val="22"/>
          <w:szCs w:val="22"/>
        </w:rPr>
        <w:t>,</w:t>
      </w:r>
      <w:r w:rsidRPr="00C909E9">
        <w:rPr>
          <w:rFonts w:ascii="Georgia" w:hAnsi="Georgia" w:cs="Arial"/>
          <w:sz w:val="22"/>
          <w:szCs w:val="22"/>
        </w:rPr>
        <w:t xml:space="preserve"> Accountable Care Partnership Plans (ACPPs)</w:t>
      </w:r>
      <w:r>
        <w:rPr>
          <w:rFonts w:ascii="Georgia" w:hAnsi="Georgia" w:cs="Arial"/>
          <w:sz w:val="22"/>
          <w:szCs w:val="22"/>
        </w:rPr>
        <w:t>, and MassHealth’s behavioral health vendor</w:t>
      </w:r>
      <w:r w:rsidRPr="00C909E9">
        <w:rPr>
          <w:rFonts w:ascii="Georgia" w:hAnsi="Georgia" w:cs="Arial"/>
          <w:sz w:val="22"/>
          <w:szCs w:val="22"/>
        </w:rPr>
        <w:t xml:space="preserve"> are required to cover opioid treatment services for enrolled MassHealth members. (See</w:t>
      </w:r>
      <w:r w:rsidRPr="00C909E9">
        <w:rPr>
          <w:rFonts w:ascii="Georgia" w:hAnsi="Georgia" w:cs="Arial"/>
          <w:i/>
          <w:sz w:val="22"/>
          <w:szCs w:val="22"/>
        </w:rPr>
        <w:t xml:space="preserve"> </w:t>
      </w:r>
      <w:r w:rsidRPr="00C909E9">
        <w:rPr>
          <w:rFonts w:ascii="Georgia" w:hAnsi="Georgia" w:cs="Arial"/>
          <w:sz w:val="22"/>
          <w:szCs w:val="22"/>
        </w:rPr>
        <w:t>Appendix C of the MCO and ACPP contract</w:t>
      </w:r>
      <w:r>
        <w:rPr>
          <w:rFonts w:ascii="Georgia" w:hAnsi="Georgia" w:cs="Arial"/>
          <w:sz w:val="22"/>
          <w:szCs w:val="22"/>
        </w:rPr>
        <w:t>s and Appendix A of the behavioral health vendor’s contract</w:t>
      </w:r>
      <w:r w:rsidRPr="00C909E9">
        <w:rPr>
          <w:rFonts w:ascii="Georgia" w:hAnsi="Georgia" w:cs="Arial"/>
          <w:sz w:val="22"/>
          <w:szCs w:val="22"/>
        </w:rPr>
        <w:t>.</w:t>
      </w:r>
      <w:r w:rsidR="00C25CC3">
        <w:rPr>
          <w:rStyle w:val="FootnoteReference"/>
          <w:rFonts w:ascii="Georgia" w:hAnsi="Georgia" w:cs="Arial"/>
          <w:sz w:val="22"/>
          <w:szCs w:val="22"/>
        </w:rPr>
        <w:footnoteReference w:id="1"/>
      </w:r>
      <w:r w:rsidRPr="00C909E9">
        <w:rPr>
          <w:rFonts w:ascii="Georgia" w:hAnsi="Georgia" w:cs="Arial"/>
          <w:sz w:val="22"/>
          <w:szCs w:val="22"/>
        </w:rPr>
        <w:t>)</w:t>
      </w:r>
      <w:r w:rsidR="00E94F80">
        <w:rPr>
          <w:rFonts w:ascii="Georgia" w:hAnsi="Georgia" w:cs="Arial"/>
          <w:sz w:val="22"/>
          <w:szCs w:val="22"/>
        </w:rPr>
        <w:t xml:space="preserve"> </w:t>
      </w:r>
    </w:p>
    <w:p w:rsidR="00927F41" w:rsidRDefault="00927F41" w:rsidP="009A0EAC">
      <w:pPr>
        <w:spacing w:after="120"/>
        <w:ind w:left="576" w:right="576"/>
        <w:rPr>
          <w:rFonts w:ascii="Georgia" w:hAnsi="Georgia" w:cs="Arial"/>
          <w:sz w:val="22"/>
          <w:szCs w:val="22"/>
        </w:rPr>
      </w:pPr>
      <w:r>
        <w:rPr>
          <w:rFonts w:ascii="Georgia" w:hAnsi="Georgia" w:cs="Arial"/>
          <w:sz w:val="22"/>
          <w:szCs w:val="22"/>
        </w:rPr>
        <w:t>Opioid</w:t>
      </w:r>
      <w:r w:rsidRPr="00C909E9">
        <w:rPr>
          <w:rFonts w:ascii="Georgia" w:hAnsi="Georgia" w:cs="Arial"/>
          <w:sz w:val="22"/>
          <w:szCs w:val="22"/>
        </w:rPr>
        <w:t xml:space="preserve"> treatment programs (OTPs) are outpatient programs that deliver opioid treatment services by providing monitored administ</w:t>
      </w:r>
      <w:r w:rsidR="00AD6AE6">
        <w:rPr>
          <w:rFonts w:ascii="Georgia" w:hAnsi="Georgia" w:cs="Arial"/>
          <w:sz w:val="22"/>
          <w:szCs w:val="22"/>
        </w:rPr>
        <w:t>erin</w:t>
      </w:r>
      <w:r w:rsidR="0064583D">
        <w:rPr>
          <w:rFonts w:ascii="Georgia" w:hAnsi="Georgia" w:cs="Arial"/>
          <w:sz w:val="22"/>
          <w:szCs w:val="22"/>
        </w:rPr>
        <w:t>g</w:t>
      </w:r>
      <w:r w:rsidRPr="00C909E9">
        <w:rPr>
          <w:rFonts w:ascii="Georgia" w:hAnsi="Georgia" w:cs="Arial"/>
          <w:sz w:val="22"/>
          <w:szCs w:val="22"/>
        </w:rPr>
        <w:t xml:space="preserve"> and dispensing of FDA-approved medications for the treatment of opioid use disorder, as well as counseling services. Unlike other providers of medications for addiction treatment (MAT), OTPs do not prescribe </w:t>
      </w:r>
      <w:proofErr w:type="gramStart"/>
      <w:r w:rsidRPr="00C909E9">
        <w:rPr>
          <w:rFonts w:ascii="Georgia" w:hAnsi="Georgia" w:cs="Arial"/>
          <w:sz w:val="22"/>
          <w:szCs w:val="22"/>
        </w:rPr>
        <w:t>medications</w:t>
      </w:r>
      <w:proofErr w:type="gramEnd"/>
      <w:r w:rsidRPr="00C909E9">
        <w:rPr>
          <w:rFonts w:ascii="Georgia" w:hAnsi="Georgia" w:cs="Arial"/>
          <w:sz w:val="22"/>
          <w:szCs w:val="22"/>
        </w:rPr>
        <w:t>, but administer and dispense such medications within the structure of the program. Historically, OTPs provided only methadone and counseling services and were unable to administer and dispense buprenorphine and naltrexone. OTPs are now increasingly able to administer and dispense all FDA-approved MAT, including methadone, bu</w:t>
      </w:r>
      <w:r w:rsidR="009A0EAC">
        <w:rPr>
          <w:rFonts w:ascii="Georgia" w:hAnsi="Georgia" w:cs="Arial"/>
          <w:sz w:val="22"/>
          <w:szCs w:val="22"/>
        </w:rPr>
        <w:t>prenorphine, and naltrexone.</w:t>
      </w:r>
    </w:p>
    <w:p w:rsidR="00927F41" w:rsidRPr="00C909E9" w:rsidRDefault="00927F41" w:rsidP="009A0EAC">
      <w:pPr>
        <w:spacing w:after="120"/>
        <w:ind w:left="576" w:right="576"/>
        <w:rPr>
          <w:rFonts w:ascii="Georgia" w:hAnsi="Georgia" w:cs="Arial"/>
          <w:sz w:val="22"/>
          <w:szCs w:val="22"/>
        </w:rPr>
      </w:pPr>
      <w:r>
        <w:rPr>
          <w:rFonts w:ascii="Georgia" w:hAnsi="Georgia" w:cs="Arial"/>
          <w:sz w:val="22"/>
          <w:szCs w:val="22"/>
        </w:rPr>
        <w:t>As part of the opioid treatment services covered by the plan, MCOs, ACPPs, and the behavioral health vendor must cover the administ</w:t>
      </w:r>
      <w:r w:rsidR="00E94F80">
        <w:rPr>
          <w:rFonts w:ascii="Georgia" w:hAnsi="Georgia" w:cs="Arial"/>
          <w:sz w:val="22"/>
          <w:szCs w:val="22"/>
        </w:rPr>
        <w:t>ering</w:t>
      </w:r>
      <w:r>
        <w:rPr>
          <w:rFonts w:ascii="Georgia" w:hAnsi="Georgia" w:cs="Arial"/>
          <w:sz w:val="22"/>
          <w:szCs w:val="22"/>
        </w:rPr>
        <w:t xml:space="preserve"> and dispens</w:t>
      </w:r>
      <w:r w:rsidR="009A0EAC">
        <w:rPr>
          <w:rFonts w:ascii="Georgia" w:hAnsi="Georgia" w:cs="Arial"/>
          <w:sz w:val="22"/>
          <w:szCs w:val="22"/>
        </w:rPr>
        <w:t>ing</w:t>
      </w:r>
      <w:r>
        <w:rPr>
          <w:rFonts w:ascii="Georgia" w:hAnsi="Georgia" w:cs="Arial"/>
          <w:sz w:val="22"/>
          <w:szCs w:val="22"/>
        </w:rPr>
        <w:t xml:space="preserve"> of all FDA-approved MAT, including methadone, buprenorphine, and naltrexone, when provided by OTPs in their networks or the networks of their behavioral health subcontractor, if applicable, as further specified in this bulletin.</w:t>
      </w:r>
    </w:p>
    <w:p w:rsidR="002B5B63" w:rsidRDefault="002B5B63" w:rsidP="00287894">
      <w:pPr>
        <w:ind w:left="576" w:right="576"/>
        <w:rPr>
          <w:rFonts w:ascii="Georgia" w:hAnsi="Georgia" w:cs="Arial"/>
          <w:sz w:val="22"/>
          <w:szCs w:val="22"/>
        </w:rPr>
      </w:pPr>
    </w:p>
    <w:p w:rsidR="00927F41" w:rsidRPr="00C66371" w:rsidRDefault="00927F41" w:rsidP="000B3DED">
      <w:pPr>
        <w:pStyle w:val="Heading1"/>
        <w:ind w:left="576" w:firstLine="0"/>
      </w:pPr>
      <w:r>
        <w:t>Coverage of Administ</w:t>
      </w:r>
      <w:r w:rsidR="00A02476">
        <w:t>ering</w:t>
      </w:r>
      <w:r>
        <w:t xml:space="preserve"> </w:t>
      </w:r>
      <w:r w:rsidRPr="003E6A0D">
        <w:t>and</w:t>
      </w:r>
      <w:r>
        <w:t xml:space="preserve"> Dispens</w:t>
      </w:r>
      <w:r w:rsidR="00A02476">
        <w:t>ing</w:t>
      </w:r>
      <w:r>
        <w:t xml:space="preserve"> of Methadone, Buprenorphine</w:t>
      </w:r>
      <w:r w:rsidR="009A0EAC">
        <w:t>,</w:t>
      </w:r>
      <w:r>
        <w:t xml:space="preserve"> and Naltrexone through OTPs</w:t>
      </w:r>
    </w:p>
    <w:p w:rsidR="00927F41" w:rsidRDefault="00927F41" w:rsidP="00287894">
      <w:pPr>
        <w:ind w:left="576" w:right="576"/>
        <w:rPr>
          <w:rFonts w:ascii="Georgia" w:hAnsi="Georgia" w:cs="Arial"/>
          <w:sz w:val="22"/>
          <w:szCs w:val="22"/>
        </w:rPr>
      </w:pPr>
    </w:p>
    <w:p w:rsidR="00927F41" w:rsidRDefault="00927F41" w:rsidP="00927F41">
      <w:pPr>
        <w:ind w:left="576" w:right="576"/>
        <w:rPr>
          <w:rFonts w:ascii="Georgia" w:hAnsi="Georgia" w:cs="Arial"/>
          <w:sz w:val="22"/>
          <w:szCs w:val="22"/>
        </w:rPr>
      </w:pPr>
      <w:r>
        <w:rPr>
          <w:rFonts w:ascii="Georgia" w:hAnsi="Georgia" w:cs="Arial"/>
          <w:sz w:val="22"/>
          <w:szCs w:val="22"/>
        </w:rPr>
        <w:t>No later than July 1, 2019</w:t>
      </w:r>
      <w:r w:rsidRPr="00C909E9">
        <w:rPr>
          <w:rFonts w:ascii="Georgia" w:hAnsi="Georgia" w:cs="Arial"/>
          <w:sz w:val="22"/>
          <w:szCs w:val="22"/>
        </w:rPr>
        <w:t>, MCOs</w:t>
      </w:r>
      <w:r>
        <w:rPr>
          <w:rFonts w:ascii="Georgia" w:hAnsi="Georgia" w:cs="Arial"/>
          <w:sz w:val="22"/>
          <w:szCs w:val="22"/>
        </w:rPr>
        <w:t xml:space="preserve">, </w:t>
      </w:r>
      <w:r w:rsidRPr="00C909E9">
        <w:rPr>
          <w:rFonts w:ascii="Georgia" w:hAnsi="Georgia" w:cs="Arial"/>
          <w:sz w:val="22"/>
          <w:szCs w:val="22"/>
        </w:rPr>
        <w:t>ACPPs</w:t>
      </w:r>
      <w:r>
        <w:rPr>
          <w:rFonts w:ascii="Georgia" w:hAnsi="Georgia" w:cs="Arial"/>
          <w:sz w:val="22"/>
          <w:szCs w:val="22"/>
        </w:rPr>
        <w:t>, and the behavioral health vendor</w:t>
      </w:r>
      <w:r w:rsidRPr="00C909E9">
        <w:rPr>
          <w:rFonts w:ascii="Georgia" w:hAnsi="Georgia" w:cs="Arial"/>
          <w:sz w:val="22"/>
          <w:szCs w:val="22"/>
        </w:rPr>
        <w:t xml:space="preserve"> must cover the administ</w:t>
      </w:r>
      <w:r w:rsidR="00A02476">
        <w:rPr>
          <w:rFonts w:ascii="Georgia" w:hAnsi="Georgia" w:cs="Arial"/>
          <w:sz w:val="22"/>
          <w:szCs w:val="22"/>
        </w:rPr>
        <w:t>ering</w:t>
      </w:r>
      <w:r w:rsidRPr="00C909E9">
        <w:rPr>
          <w:rFonts w:ascii="Georgia" w:hAnsi="Georgia" w:cs="Arial"/>
          <w:sz w:val="22"/>
          <w:szCs w:val="22"/>
        </w:rPr>
        <w:t xml:space="preserve"> and dispens</w:t>
      </w:r>
      <w:r w:rsidR="009A0EAC">
        <w:rPr>
          <w:rFonts w:ascii="Georgia" w:hAnsi="Georgia" w:cs="Arial"/>
          <w:sz w:val="22"/>
          <w:szCs w:val="22"/>
        </w:rPr>
        <w:t>ing</w:t>
      </w:r>
      <w:r w:rsidRPr="00C909E9">
        <w:rPr>
          <w:rFonts w:ascii="Georgia" w:hAnsi="Georgia" w:cs="Arial"/>
          <w:sz w:val="22"/>
          <w:szCs w:val="22"/>
        </w:rPr>
        <w:t xml:space="preserve"> of </w:t>
      </w:r>
      <w:r>
        <w:rPr>
          <w:rFonts w:ascii="Georgia" w:hAnsi="Georgia" w:cs="Arial"/>
          <w:sz w:val="22"/>
          <w:szCs w:val="22"/>
        </w:rPr>
        <w:t xml:space="preserve">methadone, </w:t>
      </w:r>
      <w:r w:rsidRPr="00C909E9">
        <w:rPr>
          <w:rFonts w:ascii="Georgia" w:hAnsi="Georgia" w:cs="Arial"/>
          <w:sz w:val="22"/>
          <w:szCs w:val="22"/>
        </w:rPr>
        <w:t>buprenorphine</w:t>
      </w:r>
      <w:r w:rsidR="00E94F80">
        <w:rPr>
          <w:rFonts w:ascii="Georgia" w:hAnsi="Georgia" w:cs="Arial"/>
          <w:sz w:val="22"/>
          <w:szCs w:val="22"/>
        </w:rPr>
        <w:t>,</w:t>
      </w:r>
      <w:r w:rsidRPr="00C909E9">
        <w:rPr>
          <w:rFonts w:ascii="Georgia" w:hAnsi="Georgia" w:cs="Arial"/>
          <w:sz w:val="22"/>
          <w:szCs w:val="22"/>
        </w:rPr>
        <w:t xml:space="preserve"> and naltrexone from OTPs in their networks.</w:t>
      </w:r>
      <w:r w:rsidR="00E94F80">
        <w:rPr>
          <w:rFonts w:ascii="Georgia" w:hAnsi="Georgia" w:cs="Arial"/>
          <w:sz w:val="22"/>
          <w:szCs w:val="22"/>
        </w:rPr>
        <w:t xml:space="preserve"> </w:t>
      </w:r>
      <w:r w:rsidRPr="00C909E9">
        <w:rPr>
          <w:rFonts w:ascii="Georgia" w:hAnsi="Georgia" w:cs="Arial"/>
          <w:sz w:val="22"/>
          <w:szCs w:val="22"/>
        </w:rPr>
        <w:t xml:space="preserve">If </w:t>
      </w:r>
      <w:r>
        <w:rPr>
          <w:rFonts w:ascii="Georgia" w:hAnsi="Georgia" w:cs="Arial"/>
          <w:sz w:val="22"/>
          <w:szCs w:val="22"/>
        </w:rPr>
        <w:t>an</w:t>
      </w:r>
      <w:r w:rsidRPr="00C909E9">
        <w:rPr>
          <w:rFonts w:ascii="Georgia" w:hAnsi="Georgia" w:cs="Arial"/>
          <w:sz w:val="22"/>
          <w:szCs w:val="22"/>
        </w:rPr>
        <w:t xml:space="preserve"> MCO or ACPP uses a behavioral health subcontractor to manage its network of OTPs, then the behavioral health subcontractor must cover administ</w:t>
      </w:r>
      <w:r w:rsidR="00A02476">
        <w:rPr>
          <w:rFonts w:ascii="Georgia" w:hAnsi="Georgia" w:cs="Arial"/>
          <w:sz w:val="22"/>
          <w:szCs w:val="22"/>
        </w:rPr>
        <w:t>ering</w:t>
      </w:r>
      <w:r w:rsidRPr="00C909E9">
        <w:rPr>
          <w:rFonts w:ascii="Georgia" w:hAnsi="Georgia" w:cs="Arial"/>
          <w:sz w:val="22"/>
          <w:szCs w:val="22"/>
        </w:rPr>
        <w:t xml:space="preserve"> and dispens</w:t>
      </w:r>
      <w:r w:rsidR="009A0EAC">
        <w:rPr>
          <w:rFonts w:ascii="Georgia" w:hAnsi="Georgia" w:cs="Arial"/>
          <w:sz w:val="22"/>
          <w:szCs w:val="22"/>
        </w:rPr>
        <w:t>ing</w:t>
      </w:r>
      <w:r w:rsidRPr="00C909E9">
        <w:rPr>
          <w:rFonts w:ascii="Georgia" w:hAnsi="Georgia" w:cs="Arial"/>
          <w:sz w:val="22"/>
          <w:szCs w:val="22"/>
        </w:rPr>
        <w:t xml:space="preserve"> of </w:t>
      </w:r>
      <w:r>
        <w:rPr>
          <w:rFonts w:ascii="Georgia" w:hAnsi="Georgia" w:cs="Arial"/>
          <w:sz w:val="22"/>
          <w:szCs w:val="22"/>
        </w:rPr>
        <w:t xml:space="preserve">methadone, </w:t>
      </w:r>
      <w:r w:rsidRPr="00C909E9">
        <w:rPr>
          <w:rFonts w:ascii="Georgia" w:hAnsi="Georgia" w:cs="Arial"/>
          <w:sz w:val="22"/>
          <w:szCs w:val="22"/>
        </w:rPr>
        <w:t>buprenorphine</w:t>
      </w:r>
      <w:r w:rsidR="00E94F80">
        <w:rPr>
          <w:rFonts w:ascii="Georgia" w:hAnsi="Georgia" w:cs="Arial"/>
          <w:sz w:val="22"/>
          <w:szCs w:val="22"/>
        </w:rPr>
        <w:t>,</w:t>
      </w:r>
      <w:r w:rsidRPr="00C909E9">
        <w:rPr>
          <w:rFonts w:ascii="Georgia" w:hAnsi="Georgia" w:cs="Arial"/>
          <w:sz w:val="22"/>
          <w:szCs w:val="22"/>
        </w:rPr>
        <w:t xml:space="preserve"> and naltrexone services, on behalf of the MCO or ACPP, for OTPs in its network.</w:t>
      </w:r>
      <w:r w:rsidR="00E94F80">
        <w:rPr>
          <w:rFonts w:ascii="Georgia" w:hAnsi="Georgia" w:cs="Arial"/>
          <w:sz w:val="22"/>
          <w:szCs w:val="22"/>
        </w:rPr>
        <w:t xml:space="preserve"> </w:t>
      </w:r>
    </w:p>
    <w:p w:rsidR="003E6A0D" w:rsidRDefault="00745CC5" w:rsidP="000B3DED">
      <w:pPr>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r w:rsidR="003E6A0D">
        <w:rPr>
          <w:rFonts w:ascii="Georgia" w:hAnsi="Georgia" w:cs="Arial"/>
          <w:i/>
          <w:sz w:val="22"/>
          <w:szCs w:val="22"/>
        </w:rPr>
        <w:br w:type="page"/>
      </w:r>
    </w:p>
    <w:p w:rsidR="00287894" w:rsidRDefault="00287894" w:rsidP="003E6A0D">
      <w:pPr>
        <w:pStyle w:val="Heading1"/>
      </w:pPr>
    </w:p>
    <w:p w:rsidR="0019652F" w:rsidRPr="001433E7" w:rsidRDefault="0019652F" w:rsidP="003E6A0D">
      <w:pPr>
        <w:pStyle w:val="Heading1"/>
        <w:ind w:left="6480"/>
      </w:pPr>
      <w:r w:rsidRPr="001433E7">
        <w:t>MassHealth</w:t>
      </w:r>
    </w:p>
    <w:p w:rsidR="0019652F" w:rsidRPr="001433E7" w:rsidRDefault="00395082" w:rsidP="003E6A0D">
      <w:pPr>
        <w:pStyle w:val="Heading1"/>
        <w:ind w:left="6480"/>
      </w:pPr>
      <w:r>
        <w:t xml:space="preserve">Managed Care Entity </w:t>
      </w:r>
      <w:r w:rsidR="002B5B63" w:rsidRPr="001433E7">
        <w:t xml:space="preserve">Bulletin </w:t>
      </w:r>
      <w:r w:rsidR="00A7032E">
        <w:t>12</w:t>
      </w:r>
    </w:p>
    <w:p w:rsidR="0019652F" w:rsidRPr="001433E7" w:rsidRDefault="000B3DED" w:rsidP="003E6A0D">
      <w:pPr>
        <w:pStyle w:val="Heading1"/>
        <w:ind w:left="6480"/>
      </w:pPr>
      <w:r>
        <w:t>May</w:t>
      </w:r>
      <w:r w:rsidR="0019652F" w:rsidRPr="001433E7">
        <w:t xml:space="preserve"> </w:t>
      </w:r>
      <w:r w:rsidR="00395082">
        <w:t>2019</w:t>
      </w:r>
    </w:p>
    <w:p w:rsidR="0019652F" w:rsidRPr="001433E7" w:rsidRDefault="0019652F" w:rsidP="003E6A0D">
      <w:pPr>
        <w:pStyle w:val="Heading1"/>
        <w:ind w:left="6480"/>
      </w:pPr>
      <w:r w:rsidRPr="001433E7">
        <w:t xml:space="preserve">Page </w:t>
      </w:r>
      <w:r w:rsidRPr="001433E7">
        <w:fldChar w:fldCharType="begin"/>
      </w:r>
      <w:r w:rsidRPr="001433E7">
        <w:instrText>page \* arabic</w:instrText>
      </w:r>
      <w:r w:rsidRPr="001433E7">
        <w:fldChar w:fldCharType="separate"/>
      </w:r>
      <w:r w:rsidR="00826517">
        <w:rPr>
          <w:noProof/>
        </w:rPr>
        <w:t>2</w:t>
      </w:r>
      <w:r w:rsidRPr="001433E7">
        <w:fldChar w:fldCharType="end"/>
      </w:r>
    </w:p>
    <w:p w:rsidR="00D65B5E" w:rsidRPr="001B792F" w:rsidRDefault="00D65B5E" w:rsidP="00A7032E">
      <w:pPr>
        <w:tabs>
          <w:tab w:val="left" w:pos="2880"/>
          <w:tab w:val="left" w:pos="10080"/>
        </w:tabs>
        <w:suppressAutoHyphens/>
        <w:spacing w:line="260" w:lineRule="exact"/>
        <w:rPr>
          <w:rFonts w:ascii="Georgia" w:hAnsi="Georgia" w:cs="Arial"/>
          <w:sz w:val="22"/>
          <w:szCs w:val="22"/>
        </w:rPr>
      </w:pPr>
    </w:p>
    <w:p w:rsidR="00927F41" w:rsidRDefault="00927F41" w:rsidP="009A0EAC">
      <w:pPr>
        <w:spacing w:after="120"/>
        <w:ind w:left="576" w:right="576"/>
        <w:rPr>
          <w:rFonts w:ascii="Georgia" w:hAnsi="Georgia" w:cs="Arial"/>
          <w:sz w:val="22"/>
          <w:szCs w:val="22"/>
        </w:rPr>
      </w:pPr>
      <w:r w:rsidRPr="00C909E9">
        <w:rPr>
          <w:rFonts w:ascii="Georgia" w:hAnsi="Georgia" w:cs="Arial"/>
          <w:sz w:val="22"/>
          <w:szCs w:val="22"/>
        </w:rPr>
        <w:t xml:space="preserve">To </w:t>
      </w:r>
      <w:r w:rsidR="00A02476">
        <w:rPr>
          <w:rFonts w:ascii="Georgia" w:hAnsi="Georgia" w:cs="Arial"/>
          <w:sz w:val="22"/>
          <w:szCs w:val="22"/>
        </w:rPr>
        <w:t>put</w:t>
      </w:r>
      <w:r w:rsidR="00A02476" w:rsidRPr="00C909E9">
        <w:rPr>
          <w:rFonts w:ascii="Georgia" w:hAnsi="Georgia" w:cs="Arial"/>
          <w:sz w:val="22"/>
          <w:szCs w:val="22"/>
        </w:rPr>
        <w:t xml:space="preserve"> </w:t>
      </w:r>
      <w:r w:rsidRPr="00C909E9">
        <w:rPr>
          <w:rFonts w:ascii="Georgia" w:hAnsi="Georgia" w:cs="Arial"/>
          <w:sz w:val="22"/>
          <w:szCs w:val="22"/>
        </w:rPr>
        <w:t xml:space="preserve">this requirement </w:t>
      </w:r>
      <w:r w:rsidR="00A02476">
        <w:rPr>
          <w:rFonts w:ascii="Georgia" w:hAnsi="Georgia" w:cs="Arial"/>
          <w:sz w:val="22"/>
          <w:szCs w:val="22"/>
        </w:rPr>
        <w:t xml:space="preserve">into effect </w:t>
      </w:r>
      <w:r w:rsidRPr="00C909E9">
        <w:rPr>
          <w:rFonts w:ascii="Georgia" w:hAnsi="Georgia" w:cs="Arial"/>
          <w:sz w:val="22"/>
          <w:szCs w:val="22"/>
        </w:rPr>
        <w:t xml:space="preserve">and ensure consistency across payers, MCOs and ACPPs (or their behavioral health subcontractors, if applicable) </w:t>
      </w:r>
      <w:r>
        <w:rPr>
          <w:rFonts w:ascii="Georgia" w:hAnsi="Georgia" w:cs="Arial"/>
          <w:sz w:val="22"/>
          <w:szCs w:val="22"/>
        </w:rPr>
        <w:t xml:space="preserve">and the behavioral health vendor </w:t>
      </w:r>
      <w:r w:rsidRPr="00C909E9">
        <w:rPr>
          <w:rFonts w:ascii="Georgia" w:hAnsi="Georgia" w:cs="Arial"/>
          <w:sz w:val="22"/>
          <w:szCs w:val="22"/>
        </w:rPr>
        <w:t xml:space="preserve">must use the codes </w:t>
      </w:r>
      <w:r w:rsidR="007B69F5">
        <w:rPr>
          <w:rFonts w:ascii="Georgia" w:hAnsi="Georgia" w:cs="Arial"/>
          <w:sz w:val="22"/>
          <w:szCs w:val="22"/>
        </w:rPr>
        <w:t xml:space="preserve">in </w:t>
      </w:r>
      <w:r w:rsidRPr="00C909E9">
        <w:rPr>
          <w:rFonts w:ascii="Georgia" w:hAnsi="Georgia" w:cs="Arial"/>
          <w:sz w:val="22"/>
          <w:szCs w:val="22"/>
        </w:rPr>
        <w:t>this bulletin for the coverage of</w:t>
      </w:r>
      <w:r>
        <w:rPr>
          <w:rFonts w:ascii="Georgia" w:hAnsi="Georgia" w:cs="Arial"/>
          <w:sz w:val="22"/>
          <w:szCs w:val="22"/>
        </w:rPr>
        <w:t xml:space="preserve"> methadone,</w:t>
      </w:r>
      <w:r w:rsidRPr="00C909E9">
        <w:rPr>
          <w:rFonts w:ascii="Georgia" w:hAnsi="Georgia" w:cs="Arial"/>
          <w:sz w:val="22"/>
          <w:szCs w:val="22"/>
        </w:rPr>
        <w:t xml:space="preserve"> buprenorphine</w:t>
      </w:r>
      <w:r>
        <w:rPr>
          <w:rFonts w:ascii="Georgia" w:hAnsi="Georgia" w:cs="Arial"/>
          <w:sz w:val="22"/>
          <w:szCs w:val="22"/>
        </w:rPr>
        <w:t>,</w:t>
      </w:r>
      <w:r w:rsidRPr="00C909E9">
        <w:rPr>
          <w:rFonts w:ascii="Georgia" w:hAnsi="Georgia" w:cs="Arial"/>
          <w:sz w:val="22"/>
          <w:szCs w:val="22"/>
        </w:rPr>
        <w:t xml:space="preserve"> and naltrexone and related se</w:t>
      </w:r>
      <w:r>
        <w:rPr>
          <w:rFonts w:ascii="Georgia" w:hAnsi="Georgia" w:cs="Arial"/>
          <w:sz w:val="22"/>
          <w:szCs w:val="22"/>
        </w:rPr>
        <w:t>rvices when delivered by OTPs.</w:t>
      </w:r>
    </w:p>
    <w:p w:rsidR="00927F41" w:rsidRDefault="00927F41" w:rsidP="009A0EAC">
      <w:pPr>
        <w:shd w:val="clear" w:color="auto" w:fill="FFFFFF" w:themeFill="background1"/>
        <w:spacing w:after="120"/>
        <w:ind w:left="576" w:right="576"/>
        <w:rPr>
          <w:rFonts w:ascii="Georgia" w:hAnsi="Georgia" w:cs="Arial"/>
          <w:sz w:val="22"/>
          <w:szCs w:val="22"/>
        </w:rPr>
      </w:pPr>
      <w:r w:rsidRPr="00501DEF">
        <w:rPr>
          <w:rFonts w:ascii="Georgia" w:hAnsi="Georgia" w:cs="Arial"/>
          <w:sz w:val="22"/>
          <w:szCs w:val="22"/>
        </w:rPr>
        <w:t xml:space="preserve">Furthermore, MCOs, ACPPs and </w:t>
      </w:r>
      <w:r>
        <w:rPr>
          <w:rFonts w:ascii="Georgia" w:hAnsi="Georgia" w:cs="Arial"/>
          <w:sz w:val="22"/>
          <w:szCs w:val="22"/>
        </w:rPr>
        <w:t>the behavioral health vendor</w:t>
      </w:r>
      <w:r w:rsidRPr="00A456B7">
        <w:rPr>
          <w:rFonts w:ascii="Georgia" w:hAnsi="Georgia" w:cs="Arial"/>
          <w:sz w:val="22"/>
          <w:szCs w:val="22"/>
        </w:rPr>
        <w:t xml:space="preserve"> must comply with all provisions of the federal rebate regulation</w:t>
      </w:r>
      <w:r w:rsidR="00A02476">
        <w:rPr>
          <w:rFonts w:ascii="Georgia" w:hAnsi="Georgia" w:cs="Arial"/>
          <w:sz w:val="22"/>
          <w:szCs w:val="22"/>
        </w:rPr>
        <w:t>,</w:t>
      </w:r>
      <w:r w:rsidRPr="00A456B7">
        <w:rPr>
          <w:rFonts w:ascii="Georgia" w:hAnsi="Georgia" w:cs="Arial"/>
          <w:sz w:val="22"/>
          <w:szCs w:val="22"/>
        </w:rPr>
        <w:t xml:space="preserve"> ensuring that provi</w:t>
      </w:r>
      <w:r w:rsidRPr="0094381C">
        <w:rPr>
          <w:rFonts w:ascii="Georgia" w:hAnsi="Georgia" w:cs="Arial"/>
          <w:sz w:val="22"/>
          <w:szCs w:val="22"/>
        </w:rPr>
        <w:t>ders include the National Drug Code (NDC) on all claims</w:t>
      </w:r>
      <w:r>
        <w:rPr>
          <w:rFonts w:ascii="Georgia" w:hAnsi="Georgia" w:cs="Arial"/>
          <w:sz w:val="22"/>
          <w:szCs w:val="22"/>
        </w:rPr>
        <w:t xml:space="preserve"> that include clinician</w:t>
      </w:r>
      <w:r w:rsidR="00A02476">
        <w:rPr>
          <w:rFonts w:ascii="Georgia" w:hAnsi="Georgia" w:cs="Arial"/>
          <w:sz w:val="22"/>
          <w:szCs w:val="22"/>
        </w:rPr>
        <w:t>-</w:t>
      </w:r>
      <w:r>
        <w:rPr>
          <w:rFonts w:ascii="Georgia" w:hAnsi="Georgia" w:cs="Arial"/>
          <w:sz w:val="22"/>
          <w:szCs w:val="22"/>
        </w:rPr>
        <w:t xml:space="preserve">administered drugs (J Codes). </w:t>
      </w:r>
      <w:r w:rsidRPr="0094381C">
        <w:rPr>
          <w:rFonts w:ascii="Georgia" w:hAnsi="Georgia" w:cs="Arial"/>
          <w:sz w:val="22"/>
          <w:szCs w:val="22"/>
        </w:rPr>
        <w:t>MCOs</w:t>
      </w:r>
      <w:r>
        <w:rPr>
          <w:rFonts w:ascii="Georgia" w:hAnsi="Georgia" w:cs="Arial"/>
          <w:sz w:val="22"/>
          <w:szCs w:val="22"/>
        </w:rPr>
        <w:t xml:space="preserve"> and </w:t>
      </w:r>
      <w:r w:rsidRPr="0094381C">
        <w:rPr>
          <w:rFonts w:ascii="Georgia" w:hAnsi="Georgia" w:cs="Arial"/>
          <w:sz w:val="22"/>
          <w:szCs w:val="22"/>
        </w:rPr>
        <w:t>ACPPs</w:t>
      </w:r>
      <w:r w:rsidRPr="00501DEF">
        <w:rPr>
          <w:rFonts w:ascii="Georgia" w:hAnsi="Georgia" w:cs="Arial"/>
          <w:sz w:val="22"/>
          <w:szCs w:val="22"/>
        </w:rPr>
        <w:t xml:space="preserve"> must ensure that OTPs in their networks (or the networks of their behavioral health subcontractors, if applicable) follow the MassHealth ACPP/MCO Uniform Preferred Drug List for any applicable drugs.</w:t>
      </w:r>
      <w:r>
        <w:rPr>
          <w:rFonts w:ascii="Georgia" w:hAnsi="Georgia" w:cs="Arial"/>
          <w:sz w:val="22"/>
          <w:szCs w:val="22"/>
        </w:rPr>
        <w:t xml:space="preserve"> MassHealth’s behavioral health vendor must ensure that OTPs in its network follow the MassHealth Supplemental Rebate/Preferred Drug List.</w:t>
      </w:r>
      <w:r w:rsidRPr="00501DEF">
        <w:rPr>
          <w:rFonts w:ascii="Georgia" w:hAnsi="Georgia" w:cs="Arial"/>
          <w:sz w:val="22"/>
          <w:szCs w:val="22"/>
        </w:rPr>
        <w:t xml:space="preserve"> Please see </w:t>
      </w:r>
      <w:hyperlink r:id="rId11" w:history="1">
        <w:r w:rsidRPr="00501DEF">
          <w:rPr>
            <w:rStyle w:val="Hyperlink"/>
            <w:rFonts w:ascii="Georgia" w:hAnsi="Georgia" w:cs="Arial"/>
            <w:color w:val="auto"/>
            <w:sz w:val="22"/>
            <w:szCs w:val="22"/>
          </w:rPr>
          <w:t>https://masshealthdruglist.ehs.state.ma.us/MHDL/</w:t>
        </w:r>
      </w:hyperlink>
      <w:r w:rsidRPr="00501DEF">
        <w:rPr>
          <w:rFonts w:ascii="Georgia" w:hAnsi="Georgia" w:cs="Arial"/>
          <w:sz w:val="22"/>
          <w:szCs w:val="22"/>
        </w:rPr>
        <w:t xml:space="preserve"> for additional information.</w:t>
      </w:r>
    </w:p>
    <w:p w:rsidR="00927F41" w:rsidRDefault="00927F41" w:rsidP="009A0EAC">
      <w:pPr>
        <w:spacing w:after="120"/>
        <w:ind w:left="576" w:right="576"/>
        <w:rPr>
          <w:rFonts w:ascii="Georgia" w:hAnsi="Georgia" w:cs="Arial"/>
          <w:sz w:val="22"/>
          <w:szCs w:val="22"/>
        </w:rPr>
      </w:pPr>
      <w:r w:rsidRPr="00C909E9">
        <w:rPr>
          <w:rFonts w:ascii="Georgia" w:hAnsi="Georgia" w:cs="Arial"/>
          <w:sz w:val="22"/>
          <w:szCs w:val="22"/>
        </w:rPr>
        <w:t>MassHealth may set minimum rates of payment at or above the MassHealth fee-for-service rates for these services in future MCO</w:t>
      </w:r>
      <w:r>
        <w:rPr>
          <w:rFonts w:ascii="Georgia" w:hAnsi="Georgia" w:cs="Arial"/>
          <w:sz w:val="22"/>
          <w:szCs w:val="22"/>
        </w:rPr>
        <w:t xml:space="preserve">, </w:t>
      </w:r>
      <w:r w:rsidRPr="00C909E9">
        <w:rPr>
          <w:rFonts w:ascii="Georgia" w:hAnsi="Georgia" w:cs="Arial"/>
          <w:sz w:val="22"/>
          <w:szCs w:val="22"/>
        </w:rPr>
        <w:t>ACPP</w:t>
      </w:r>
      <w:r>
        <w:rPr>
          <w:rFonts w:ascii="Georgia" w:hAnsi="Georgia" w:cs="Arial"/>
          <w:sz w:val="22"/>
          <w:szCs w:val="22"/>
        </w:rPr>
        <w:t>, or behavioral health vendor</w:t>
      </w:r>
      <w:r w:rsidRPr="00C909E9">
        <w:rPr>
          <w:rFonts w:ascii="Georgia" w:hAnsi="Georgia" w:cs="Arial"/>
          <w:sz w:val="22"/>
          <w:szCs w:val="22"/>
        </w:rPr>
        <w:t xml:space="preserve"> contract years. </w:t>
      </w:r>
    </w:p>
    <w:p w:rsidR="00927F41" w:rsidRDefault="00927F41" w:rsidP="00927F41">
      <w:pPr>
        <w:ind w:left="576" w:right="576"/>
        <w:rPr>
          <w:rFonts w:ascii="Georgia" w:hAnsi="Georgia" w:cs="Arial"/>
          <w:sz w:val="22"/>
          <w:szCs w:val="22"/>
        </w:rPr>
      </w:pPr>
    </w:p>
    <w:tbl>
      <w:tblPr>
        <w:tblW w:w="4502" w:type="pct"/>
        <w:tblInd w:w="738" w:type="dxa"/>
        <w:tblLayout w:type="fixed"/>
        <w:tblLook w:val="04A0" w:firstRow="1" w:lastRow="0" w:firstColumn="1" w:lastColumn="0" w:noHBand="0" w:noVBand="1"/>
      </w:tblPr>
      <w:tblGrid>
        <w:gridCol w:w="1441"/>
        <w:gridCol w:w="1261"/>
        <w:gridCol w:w="6569"/>
      </w:tblGrid>
      <w:tr w:rsidR="00927F41" w:rsidRPr="00C909E9" w:rsidTr="00634C83">
        <w:trPr>
          <w:cantSplit/>
          <w:trHeight w:val="300"/>
          <w:tblHeader/>
        </w:trPr>
        <w:tc>
          <w:tcPr>
            <w:tcW w:w="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F41" w:rsidRPr="00E5415D" w:rsidRDefault="00927F41" w:rsidP="00B932D4">
            <w:pPr>
              <w:spacing w:line="240" w:lineRule="exact"/>
              <w:jc w:val="center"/>
              <w:rPr>
                <w:rFonts w:ascii="Georgia" w:hAnsi="Georgia"/>
                <w:b/>
                <w:bCs/>
                <w:sz w:val="22"/>
                <w:szCs w:val="22"/>
              </w:rPr>
            </w:pPr>
            <w:r w:rsidRPr="00E5415D">
              <w:rPr>
                <w:rFonts w:ascii="Georgia" w:hAnsi="Georgia"/>
                <w:b/>
                <w:bCs/>
                <w:sz w:val="22"/>
                <w:szCs w:val="22"/>
              </w:rPr>
              <w:t>Code</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F41" w:rsidRPr="00E5415D" w:rsidRDefault="00927F41" w:rsidP="00B932D4">
            <w:pPr>
              <w:spacing w:line="240" w:lineRule="exact"/>
              <w:jc w:val="center"/>
              <w:rPr>
                <w:rFonts w:ascii="Georgia" w:hAnsi="Georgia"/>
                <w:b/>
                <w:bCs/>
                <w:sz w:val="22"/>
                <w:szCs w:val="22"/>
              </w:rPr>
            </w:pPr>
            <w:r w:rsidRPr="00E5415D">
              <w:rPr>
                <w:rFonts w:ascii="Georgia" w:hAnsi="Georgia"/>
                <w:b/>
                <w:bCs/>
                <w:sz w:val="22"/>
                <w:szCs w:val="22"/>
              </w:rPr>
              <w:t>Unit</w:t>
            </w:r>
          </w:p>
        </w:tc>
        <w:tc>
          <w:tcPr>
            <w:tcW w:w="3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F41" w:rsidRPr="00E5415D" w:rsidRDefault="00927F41" w:rsidP="00B932D4">
            <w:pPr>
              <w:spacing w:line="240" w:lineRule="exact"/>
              <w:jc w:val="center"/>
              <w:rPr>
                <w:rFonts w:ascii="Georgia" w:hAnsi="Georgia"/>
                <w:b/>
                <w:bCs/>
                <w:sz w:val="22"/>
                <w:szCs w:val="22"/>
              </w:rPr>
            </w:pPr>
            <w:r w:rsidRPr="00E5415D">
              <w:rPr>
                <w:rFonts w:ascii="Georgia" w:hAnsi="Georgia"/>
                <w:b/>
                <w:bCs/>
                <w:sz w:val="22"/>
                <w:szCs w:val="22"/>
              </w:rPr>
              <w:t>Description</w:t>
            </w:r>
          </w:p>
        </w:tc>
      </w:tr>
      <w:tr w:rsidR="00927F41" w:rsidRPr="00C909E9" w:rsidTr="00634C83">
        <w:trPr>
          <w:cantSplit/>
          <w:trHeight w:val="300"/>
          <w:tblHeader/>
        </w:trPr>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Pr>
                <w:rFonts w:ascii="Georgia" w:hAnsi="Georgia"/>
                <w:sz w:val="22"/>
                <w:szCs w:val="22"/>
              </w:rPr>
              <w:t>H0020</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Pr>
                <w:rFonts w:ascii="Georgia" w:hAnsi="Georgia"/>
                <w:sz w:val="22"/>
                <w:szCs w:val="22"/>
              </w:rPr>
              <w:t>Per Dose</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Pr>
                <w:rFonts w:ascii="Georgia" w:hAnsi="Georgia"/>
                <w:sz w:val="22"/>
                <w:szCs w:val="22"/>
              </w:rPr>
              <w:t>Alcohol and/or drug services; methadone administration and/or service (dosing)</w:t>
            </w:r>
          </w:p>
        </w:tc>
      </w:tr>
      <w:tr w:rsidR="00927F41" w:rsidRPr="00C909E9" w:rsidTr="00634C83">
        <w:trPr>
          <w:cantSplit/>
          <w:trHeight w:val="300"/>
          <w:tblHeader/>
        </w:trPr>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H0001-U1</w:t>
            </w:r>
          </w:p>
        </w:tc>
        <w:tc>
          <w:tcPr>
            <w:tcW w:w="680" w:type="pct"/>
            <w:tcBorders>
              <w:top w:val="single" w:sz="4" w:space="0" w:color="auto"/>
              <w:left w:val="nil"/>
              <w:bottom w:val="single" w:sz="4" w:space="0" w:color="auto"/>
              <w:right w:val="single" w:sz="4" w:space="0" w:color="auto"/>
            </w:tcBorders>
            <w:shd w:val="clear" w:color="auto" w:fill="auto"/>
            <w:noWrap/>
            <w:vAlign w:val="center"/>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Per Visit</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tcPr>
          <w:p w:rsidR="00927F41" w:rsidRPr="00E5415D" w:rsidRDefault="00927F41" w:rsidP="009A0EAC">
            <w:pPr>
              <w:spacing w:line="240" w:lineRule="exact"/>
              <w:rPr>
                <w:rFonts w:ascii="Georgia" w:hAnsi="Georgia"/>
                <w:sz w:val="22"/>
                <w:szCs w:val="22"/>
              </w:rPr>
            </w:pPr>
            <w:r w:rsidRPr="00E5415D">
              <w:rPr>
                <w:rFonts w:ascii="Georgia" w:hAnsi="Georgia"/>
                <w:sz w:val="22"/>
                <w:szCs w:val="22"/>
              </w:rPr>
              <w:t>Alcohol and/or drug assessment (buprenorphine and naltrexone medication evaluation</w:t>
            </w:r>
            <w:r>
              <w:rPr>
                <w:rFonts w:ascii="Georgia" w:hAnsi="Georgia"/>
                <w:sz w:val="22"/>
                <w:szCs w:val="22"/>
              </w:rPr>
              <w:t xml:space="preserve"> by physician and/or midlevel practitioner</w:t>
            </w:r>
            <w:r w:rsidRPr="00E5415D">
              <w:rPr>
                <w:rFonts w:ascii="Georgia" w:hAnsi="Georgia"/>
                <w:sz w:val="22"/>
                <w:szCs w:val="22"/>
              </w:rPr>
              <w:t xml:space="preserve">, </w:t>
            </w:r>
            <w:r>
              <w:rPr>
                <w:rFonts w:ascii="Georgia" w:hAnsi="Georgia"/>
                <w:sz w:val="22"/>
                <w:szCs w:val="22"/>
              </w:rPr>
              <w:t>one unit maximum annually</w:t>
            </w:r>
          </w:p>
        </w:tc>
      </w:tr>
      <w:tr w:rsidR="00927F41" w:rsidRPr="00C909E9" w:rsidTr="00634C83">
        <w:trPr>
          <w:cantSplit/>
          <w:trHeight w:val="1161"/>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H0033</w:t>
            </w:r>
          </w:p>
        </w:tc>
        <w:tc>
          <w:tcPr>
            <w:tcW w:w="680" w:type="pct"/>
            <w:tcBorders>
              <w:top w:val="nil"/>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Per Visit</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 xml:space="preserve">Oral medication administration, </w:t>
            </w:r>
            <w:r>
              <w:rPr>
                <w:rFonts w:ascii="Georgia" w:hAnsi="Georgia"/>
                <w:sz w:val="22"/>
                <w:szCs w:val="22"/>
              </w:rPr>
              <w:t xml:space="preserve">with extended </w:t>
            </w:r>
            <w:r w:rsidRPr="00E5415D">
              <w:rPr>
                <w:rFonts w:ascii="Georgia" w:hAnsi="Georgia"/>
                <w:sz w:val="22"/>
                <w:szCs w:val="22"/>
              </w:rPr>
              <w:t xml:space="preserve">direct observation </w:t>
            </w:r>
            <w:r>
              <w:rPr>
                <w:rFonts w:ascii="Georgia" w:hAnsi="Georgia"/>
                <w:sz w:val="22"/>
                <w:szCs w:val="22"/>
              </w:rPr>
              <w:t xml:space="preserve">up to 2.5 hours </w:t>
            </w:r>
            <w:r w:rsidRPr="00E5415D">
              <w:rPr>
                <w:rFonts w:ascii="Georgia" w:hAnsi="Georgia"/>
                <w:sz w:val="22"/>
                <w:szCs w:val="22"/>
              </w:rPr>
              <w:t>(buprenorphine</w:t>
            </w:r>
            <w:r>
              <w:rPr>
                <w:rFonts w:ascii="Georgia" w:hAnsi="Georgia"/>
                <w:sz w:val="22"/>
                <w:szCs w:val="22"/>
              </w:rPr>
              <w:t xml:space="preserve"> and associated drug screens</w:t>
            </w:r>
            <w:r w:rsidRPr="00E5415D">
              <w:rPr>
                <w:rFonts w:ascii="Georgia" w:hAnsi="Georgia"/>
                <w:sz w:val="22"/>
                <w:szCs w:val="22"/>
              </w:rPr>
              <w:t xml:space="preserve">, </w:t>
            </w:r>
            <w:r>
              <w:rPr>
                <w:rFonts w:ascii="Georgia" w:hAnsi="Georgia"/>
                <w:sz w:val="22"/>
                <w:szCs w:val="22"/>
              </w:rPr>
              <w:t>to be billed once during induction</w:t>
            </w:r>
            <w:r w:rsidRPr="00E5415D">
              <w:rPr>
                <w:rFonts w:ascii="Georgia" w:hAnsi="Georgia"/>
                <w:sz w:val="22"/>
                <w:szCs w:val="22"/>
              </w:rPr>
              <w:t>)</w:t>
            </w:r>
            <w:r>
              <w:rPr>
                <w:rFonts w:ascii="Georgia" w:hAnsi="Georgia"/>
                <w:sz w:val="22"/>
                <w:szCs w:val="22"/>
              </w:rPr>
              <w:t>; may not be combined with H0033-U2</w:t>
            </w:r>
          </w:p>
        </w:tc>
      </w:tr>
      <w:tr w:rsidR="00927F41" w:rsidRPr="00C909E9" w:rsidTr="00634C83">
        <w:trPr>
          <w:cantSplit/>
          <w:trHeight w:val="300"/>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H0033-U2</w:t>
            </w:r>
          </w:p>
        </w:tc>
        <w:tc>
          <w:tcPr>
            <w:tcW w:w="680" w:type="pct"/>
            <w:tcBorders>
              <w:top w:val="nil"/>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Per Visit</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Oral medication administration, direct observation (buprenorphine</w:t>
            </w:r>
            <w:r>
              <w:rPr>
                <w:rFonts w:ascii="Georgia" w:hAnsi="Georgia"/>
                <w:sz w:val="22"/>
                <w:szCs w:val="22"/>
              </w:rPr>
              <w:t xml:space="preserve"> and associated drug screens</w:t>
            </w:r>
            <w:r w:rsidRPr="00E5415D">
              <w:rPr>
                <w:rFonts w:ascii="Georgia" w:hAnsi="Georgia"/>
                <w:sz w:val="22"/>
                <w:szCs w:val="22"/>
              </w:rPr>
              <w:t>, dosing only visit)</w:t>
            </w:r>
            <w:r>
              <w:rPr>
                <w:rFonts w:ascii="Georgia" w:hAnsi="Georgia"/>
                <w:sz w:val="22"/>
                <w:szCs w:val="22"/>
              </w:rPr>
              <w:t>; may not be combined with H0033</w:t>
            </w:r>
          </w:p>
        </w:tc>
      </w:tr>
      <w:tr w:rsidR="00927F41" w:rsidRPr="00C909E9" w:rsidTr="00634C83">
        <w:trPr>
          <w:cantSplit/>
          <w:trHeight w:val="300"/>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H0033-U3</w:t>
            </w:r>
          </w:p>
        </w:tc>
        <w:tc>
          <w:tcPr>
            <w:tcW w:w="680" w:type="pct"/>
            <w:tcBorders>
              <w:top w:val="nil"/>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Per Visit</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Oral medication administration, direct observation (oral naltrexone dosing)</w:t>
            </w:r>
          </w:p>
        </w:tc>
      </w:tr>
      <w:tr w:rsidR="00927F41" w:rsidRPr="00C909E9" w:rsidTr="00634C83">
        <w:trPr>
          <w:cantSplit/>
          <w:trHeight w:val="300"/>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96372</w:t>
            </w:r>
          </w:p>
        </w:tc>
        <w:tc>
          <w:tcPr>
            <w:tcW w:w="680" w:type="pct"/>
            <w:tcBorders>
              <w:top w:val="nil"/>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Per Visit</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Therapeutic prophylactic or diagnostic injection (specify substance or drug); subcutaneous or intramuscular (Naltrexone)</w:t>
            </w:r>
          </w:p>
        </w:tc>
      </w:tr>
      <w:tr w:rsidR="00927F41" w:rsidRPr="00C909E9" w:rsidTr="00634C83">
        <w:trPr>
          <w:cantSplit/>
          <w:trHeight w:val="300"/>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J0571*</w:t>
            </w:r>
          </w:p>
        </w:tc>
        <w:tc>
          <w:tcPr>
            <w:tcW w:w="680" w:type="pct"/>
            <w:tcBorders>
              <w:top w:val="nil"/>
              <w:left w:val="nil"/>
              <w:bottom w:val="single" w:sz="4" w:space="0" w:color="auto"/>
              <w:right w:val="single" w:sz="4" w:space="0" w:color="auto"/>
            </w:tcBorders>
            <w:shd w:val="clear" w:color="auto" w:fill="auto"/>
            <w:noWrap/>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1 mg</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Buprenorphine, oral, 1 mg (maximum 32 mg per day) (prior authorization required)</w:t>
            </w:r>
          </w:p>
        </w:tc>
      </w:tr>
      <w:tr w:rsidR="00927F41" w:rsidRPr="00C909E9" w:rsidTr="00634C83">
        <w:trPr>
          <w:cantSplit/>
          <w:trHeight w:val="900"/>
          <w:tblHead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927F41" w:rsidRPr="00E5415D" w:rsidRDefault="00927F41" w:rsidP="00634C83">
            <w:pPr>
              <w:spacing w:line="240" w:lineRule="exact"/>
              <w:rPr>
                <w:rFonts w:ascii="Georgia" w:hAnsi="Georgia"/>
                <w:sz w:val="22"/>
                <w:szCs w:val="22"/>
              </w:rPr>
            </w:pPr>
            <w:r w:rsidRPr="00E5415D">
              <w:rPr>
                <w:rFonts w:ascii="Georgia" w:hAnsi="Georgia"/>
                <w:sz w:val="22"/>
                <w:szCs w:val="22"/>
              </w:rPr>
              <w:t>J0572*</w:t>
            </w:r>
          </w:p>
        </w:tc>
        <w:tc>
          <w:tcPr>
            <w:tcW w:w="680" w:type="pct"/>
            <w:tcBorders>
              <w:top w:val="nil"/>
              <w:left w:val="nil"/>
              <w:bottom w:val="single" w:sz="4" w:space="0" w:color="auto"/>
              <w:right w:val="single" w:sz="4" w:space="0" w:color="auto"/>
            </w:tcBorders>
            <w:shd w:val="clear" w:color="auto" w:fill="auto"/>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Less than or equal to 3 mg</w:t>
            </w:r>
          </w:p>
        </w:tc>
        <w:tc>
          <w:tcPr>
            <w:tcW w:w="3544" w:type="pct"/>
            <w:tcBorders>
              <w:top w:val="nil"/>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927F41" w:rsidRPr="00E5415D" w:rsidRDefault="00927F41" w:rsidP="005328F9">
            <w:pPr>
              <w:spacing w:line="240" w:lineRule="exact"/>
              <w:rPr>
                <w:rFonts w:ascii="Georgia" w:hAnsi="Georgia"/>
                <w:sz w:val="22"/>
                <w:szCs w:val="22"/>
              </w:rPr>
            </w:pPr>
            <w:r w:rsidRPr="00E5415D">
              <w:rPr>
                <w:rFonts w:ascii="Georgia" w:hAnsi="Georgia"/>
                <w:sz w:val="22"/>
                <w:szCs w:val="22"/>
              </w:rPr>
              <w:t>Buprenorphine/naloxone, oral, less than or equal to 3 mg (maximum of one unit (film or pill) per day; may be combined with J0573, J0574, and J0575, as medically necessary)</w:t>
            </w:r>
          </w:p>
        </w:tc>
      </w:tr>
    </w:tbl>
    <w:p w:rsidR="00B932D4" w:rsidRDefault="00B932D4"/>
    <w:p w:rsidR="009A0EAC" w:rsidRPr="000B3DED" w:rsidRDefault="009A0EAC" w:rsidP="000B3DED">
      <w:pPr>
        <w:tabs>
          <w:tab w:val="left" w:pos="2880"/>
          <w:tab w:val="left" w:pos="10080"/>
        </w:tabs>
        <w:suppressAutoHyphens/>
        <w:spacing w:after="960" w:line="260" w:lineRule="exact"/>
        <w:rPr>
          <w:rFonts w:ascii="Georgia" w:hAnsi="Georgia" w:cs="Arial"/>
          <w:sz w:val="22"/>
          <w:szCs w:val="22"/>
        </w:rPr>
      </w:pPr>
    </w:p>
    <w:p w:rsidR="00B932D4" w:rsidRDefault="009A0EAC" w:rsidP="009A0EAC">
      <w:pPr>
        <w:tabs>
          <w:tab w:val="left" w:pos="2880"/>
          <w:tab w:val="left" w:pos="10080"/>
        </w:tabs>
        <w:suppressAutoHyphens/>
        <w:spacing w:line="260" w:lineRule="exact"/>
        <w:ind w:left="2880"/>
        <w:jc w:val="right"/>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r w:rsidR="00B932D4">
        <w:br w:type="page"/>
      </w:r>
    </w:p>
    <w:p w:rsidR="00B932D4" w:rsidRDefault="00B932D4" w:rsidP="003E6A0D">
      <w:pPr>
        <w:pStyle w:val="Heading1"/>
      </w:pPr>
    </w:p>
    <w:p w:rsidR="00B932D4" w:rsidRPr="001433E7" w:rsidRDefault="00B932D4" w:rsidP="003E6A0D">
      <w:pPr>
        <w:pStyle w:val="Heading1"/>
        <w:ind w:left="6480"/>
      </w:pPr>
      <w:r w:rsidRPr="001433E7">
        <w:t>MassHealth</w:t>
      </w:r>
    </w:p>
    <w:p w:rsidR="00B932D4" w:rsidRPr="001433E7" w:rsidRDefault="00B932D4" w:rsidP="003E6A0D">
      <w:pPr>
        <w:pStyle w:val="Heading1"/>
        <w:ind w:left="6480"/>
      </w:pPr>
      <w:r>
        <w:t xml:space="preserve">Managed Care Entity </w:t>
      </w:r>
      <w:r w:rsidRPr="001433E7">
        <w:t xml:space="preserve">Bulletin </w:t>
      </w:r>
      <w:r>
        <w:t>12</w:t>
      </w:r>
    </w:p>
    <w:p w:rsidR="00B932D4" w:rsidRPr="001433E7" w:rsidRDefault="000B3DED" w:rsidP="003E6A0D">
      <w:pPr>
        <w:pStyle w:val="Heading1"/>
        <w:ind w:left="6480"/>
      </w:pPr>
      <w:r>
        <w:t>May</w:t>
      </w:r>
      <w:r w:rsidR="00B932D4" w:rsidRPr="001433E7">
        <w:t xml:space="preserve"> </w:t>
      </w:r>
      <w:r w:rsidR="00B932D4">
        <w:t>2019</w:t>
      </w:r>
    </w:p>
    <w:p w:rsidR="00B932D4" w:rsidRPr="001433E7" w:rsidRDefault="00B932D4" w:rsidP="003E6A0D">
      <w:pPr>
        <w:pStyle w:val="Heading1"/>
        <w:ind w:left="6480"/>
      </w:pPr>
      <w:r w:rsidRPr="001433E7">
        <w:t xml:space="preserve">Page </w:t>
      </w:r>
      <w:r w:rsidRPr="001433E7">
        <w:fldChar w:fldCharType="begin"/>
      </w:r>
      <w:r w:rsidRPr="001433E7">
        <w:instrText>page \* arabic</w:instrText>
      </w:r>
      <w:r w:rsidRPr="001433E7">
        <w:fldChar w:fldCharType="separate"/>
      </w:r>
      <w:r w:rsidR="00826517">
        <w:rPr>
          <w:noProof/>
        </w:rPr>
        <w:t>3</w:t>
      </w:r>
      <w:r w:rsidRPr="001433E7">
        <w:fldChar w:fldCharType="end"/>
      </w:r>
    </w:p>
    <w:p w:rsidR="003E6A0D" w:rsidRPr="001B792F" w:rsidRDefault="003E6A0D" w:rsidP="00B932D4">
      <w:pPr>
        <w:tabs>
          <w:tab w:val="left" w:pos="2880"/>
          <w:tab w:val="left" w:pos="10080"/>
        </w:tabs>
        <w:suppressAutoHyphens/>
        <w:spacing w:line="260" w:lineRule="exact"/>
        <w:rPr>
          <w:rFonts w:ascii="Georgia" w:hAnsi="Georgia" w:cs="Arial"/>
          <w:sz w:val="22"/>
          <w:szCs w:val="22"/>
        </w:rPr>
      </w:pPr>
    </w:p>
    <w:tbl>
      <w:tblPr>
        <w:tblW w:w="4502" w:type="pct"/>
        <w:tblInd w:w="738" w:type="dxa"/>
        <w:tblLayout w:type="fixed"/>
        <w:tblLook w:val="04A0" w:firstRow="1" w:lastRow="0" w:firstColumn="1" w:lastColumn="0" w:noHBand="0" w:noVBand="1"/>
      </w:tblPr>
      <w:tblGrid>
        <w:gridCol w:w="1350"/>
        <w:gridCol w:w="1350"/>
        <w:gridCol w:w="6571"/>
      </w:tblGrid>
      <w:tr w:rsidR="00B932D4" w:rsidRPr="00C909E9" w:rsidTr="009A0EAC">
        <w:trPr>
          <w:cantSplit/>
          <w:trHeight w:val="333"/>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932D4" w:rsidRPr="00E5415D" w:rsidRDefault="00B932D4" w:rsidP="00B932D4">
            <w:pPr>
              <w:spacing w:line="240" w:lineRule="exact"/>
              <w:jc w:val="center"/>
              <w:rPr>
                <w:rFonts w:ascii="Georgia" w:hAnsi="Georgia"/>
                <w:b/>
                <w:bCs/>
                <w:sz w:val="22"/>
                <w:szCs w:val="22"/>
              </w:rPr>
            </w:pPr>
            <w:r w:rsidRPr="00E5415D">
              <w:rPr>
                <w:rFonts w:ascii="Georgia" w:hAnsi="Georgia"/>
                <w:b/>
                <w:bCs/>
                <w:sz w:val="22"/>
                <w:szCs w:val="22"/>
              </w:rPr>
              <w:t>Code</w:t>
            </w:r>
          </w:p>
        </w:tc>
        <w:tc>
          <w:tcPr>
            <w:tcW w:w="728" w:type="pct"/>
            <w:tcBorders>
              <w:top w:val="single" w:sz="4" w:space="0" w:color="auto"/>
              <w:left w:val="nil"/>
              <w:bottom w:val="single" w:sz="4" w:space="0" w:color="auto"/>
              <w:right w:val="single" w:sz="4" w:space="0" w:color="auto"/>
            </w:tcBorders>
            <w:shd w:val="clear" w:color="auto" w:fill="auto"/>
            <w:vAlign w:val="bottom"/>
          </w:tcPr>
          <w:p w:rsidR="00B932D4" w:rsidRPr="00E5415D" w:rsidRDefault="00B932D4" w:rsidP="00B932D4">
            <w:pPr>
              <w:spacing w:line="240" w:lineRule="exact"/>
              <w:jc w:val="center"/>
              <w:rPr>
                <w:rFonts w:ascii="Georgia" w:hAnsi="Georgia"/>
                <w:b/>
                <w:bCs/>
                <w:sz w:val="22"/>
                <w:szCs w:val="22"/>
              </w:rPr>
            </w:pPr>
            <w:r w:rsidRPr="00E5415D">
              <w:rPr>
                <w:rFonts w:ascii="Georgia" w:hAnsi="Georgia"/>
                <w:b/>
                <w:bCs/>
                <w:sz w:val="22"/>
                <w:szCs w:val="22"/>
              </w:rPr>
              <w:t>Unit</w:t>
            </w:r>
          </w:p>
        </w:tc>
        <w:tc>
          <w:tcPr>
            <w:tcW w:w="3544" w:type="pct"/>
            <w:tcBorders>
              <w:top w:val="single" w:sz="4" w:space="0" w:color="auto"/>
              <w:left w:val="nil"/>
              <w:bottom w:val="single" w:sz="4" w:space="0" w:color="auto"/>
              <w:right w:val="single" w:sz="4" w:space="0" w:color="auto"/>
            </w:tcBorders>
            <w:shd w:val="clear" w:color="auto" w:fill="auto"/>
            <w:vAlign w:val="bottom"/>
          </w:tcPr>
          <w:p w:rsidR="00B932D4" w:rsidRPr="00E5415D" w:rsidRDefault="00B932D4" w:rsidP="00B932D4">
            <w:pPr>
              <w:spacing w:line="240" w:lineRule="exact"/>
              <w:jc w:val="center"/>
              <w:rPr>
                <w:rFonts w:ascii="Georgia" w:hAnsi="Georgia"/>
                <w:b/>
                <w:bCs/>
                <w:sz w:val="22"/>
                <w:szCs w:val="22"/>
              </w:rPr>
            </w:pPr>
            <w:r w:rsidRPr="00E5415D">
              <w:rPr>
                <w:rFonts w:ascii="Georgia" w:hAnsi="Georgia"/>
                <w:b/>
                <w:bCs/>
                <w:sz w:val="22"/>
                <w:szCs w:val="22"/>
              </w:rPr>
              <w:t>Description</w:t>
            </w:r>
          </w:p>
        </w:tc>
      </w:tr>
      <w:tr w:rsidR="00B932D4" w:rsidRPr="00C909E9" w:rsidTr="009A0EAC">
        <w:trPr>
          <w:cantSplit/>
          <w:trHeight w:val="600"/>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2D4" w:rsidRPr="00E5415D" w:rsidRDefault="00B932D4" w:rsidP="00634C83">
            <w:pPr>
              <w:spacing w:line="240" w:lineRule="exact"/>
              <w:rPr>
                <w:rFonts w:ascii="Georgia" w:hAnsi="Georgia"/>
                <w:sz w:val="22"/>
                <w:szCs w:val="22"/>
              </w:rPr>
            </w:pPr>
            <w:r w:rsidRPr="00E5415D">
              <w:rPr>
                <w:rFonts w:ascii="Georgia" w:hAnsi="Georgia"/>
                <w:sz w:val="22"/>
                <w:szCs w:val="22"/>
              </w:rPr>
              <w:t>J0573*</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B932D4" w:rsidRPr="00E5415D" w:rsidRDefault="00B932D4" w:rsidP="005328F9">
            <w:pPr>
              <w:spacing w:line="240" w:lineRule="exact"/>
              <w:rPr>
                <w:rFonts w:ascii="Georgia" w:hAnsi="Georgia"/>
                <w:sz w:val="22"/>
                <w:szCs w:val="22"/>
              </w:rPr>
            </w:pPr>
            <w:r w:rsidRPr="00E5415D">
              <w:rPr>
                <w:rFonts w:ascii="Georgia" w:hAnsi="Georgia"/>
                <w:spacing w:val="-3"/>
                <w:sz w:val="22"/>
                <w:szCs w:val="22"/>
              </w:rPr>
              <w:t>3.1 mg to 6 mg</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Buprenorphine/naloxone, oral, greater than 3 mg, but less than or equal 3.1 to 6 mg (maximum of one unit (film or pill) per day; may be combined with J0572, J0574, and J0575, as medically necessary)</w:t>
            </w:r>
          </w:p>
        </w:tc>
      </w:tr>
      <w:tr w:rsidR="00B932D4" w:rsidRPr="00C909E9" w:rsidTr="009A0EAC">
        <w:trPr>
          <w:cantSplit/>
          <w:trHeight w:val="900"/>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2D4" w:rsidRPr="00E5415D" w:rsidRDefault="00B932D4" w:rsidP="00634C83">
            <w:pPr>
              <w:spacing w:line="240" w:lineRule="exact"/>
              <w:rPr>
                <w:rFonts w:ascii="Georgia" w:hAnsi="Georgia"/>
                <w:sz w:val="22"/>
                <w:szCs w:val="22"/>
              </w:rPr>
            </w:pPr>
            <w:r w:rsidRPr="00E5415D">
              <w:rPr>
                <w:rFonts w:ascii="Georgia" w:hAnsi="Georgia"/>
                <w:sz w:val="22"/>
                <w:szCs w:val="22"/>
              </w:rPr>
              <w:t>J0574*</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B932D4" w:rsidRPr="00E5415D" w:rsidRDefault="00B932D4" w:rsidP="005328F9">
            <w:pPr>
              <w:spacing w:line="240" w:lineRule="exact"/>
              <w:rPr>
                <w:rFonts w:ascii="Georgia" w:hAnsi="Georgia"/>
                <w:sz w:val="22"/>
                <w:szCs w:val="22"/>
              </w:rPr>
            </w:pPr>
            <w:r w:rsidRPr="00E5415D">
              <w:rPr>
                <w:rFonts w:ascii="Georgia" w:hAnsi="Georgia"/>
                <w:spacing w:val="-3"/>
                <w:sz w:val="22"/>
                <w:szCs w:val="22"/>
              </w:rPr>
              <w:t>Less than or equal to 10 mg but greater than 6 mg</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hideMark/>
          </w:tcPr>
          <w:p w:rsidR="00B932D4" w:rsidRPr="00E5415D" w:rsidRDefault="00B932D4" w:rsidP="005328F9">
            <w:pPr>
              <w:spacing w:line="240" w:lineRule="exact"/>
              <w:rPr>
                <w:rFonts w:ascii="Georgia" w:hAnsi="Georgia"/>
                <w:sz w:val="22"/>
                <w:szCs w:val="22"/>
              </w:rPr>
            </w:pPr>
            <w:proofErr w:type="spellStart"/>
            <w:r w:rsidRPr="00E5415D">
              <w:rPr>
                <w:rFonts w:ascii="Georgia" w:hAnsi="Georgia"/>
                <w:sz w:val="22"/>
                <w:szCs w:val="22"/>
              </w:rPr>
              <w:t>Buprenophine</w:t>
            </w:r>
            <w:proofErr w:type="spellEnd"/>
            <w:r w:rsidRPr="00E5415D">
              <w:rPr>
                <w:rFonts w:ascii="Georgia" w:hAnsi="Georgia"/>
                <w:sz w:val="22"/>
                <w:szCs w:val="22"/>
              </w:rPr>
              <w:t>/naloxone, oral, greater than 6 mg, but less than or equal to 10 mg. (maximum of 4 units (film or pill) per day; may be combined with J0572, J0573, and J0575, as medically necessary)</w:t>
            </w:r>
          </w:p>
        </w:tc>
      </w:tr>
      <w:tr w:rsidR="00B932D4" w:rsidRPr="00C909E9" w:rsidTr="009A0EAC">
        <w:trPr>
          <w:cantSplit/>
          <w:trHeight w:val="900"/>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J0575*</w:t>
            </w:r>
          </w:p>
          <w:p w:rsidR="00B932D4" w:rsidRPr="00C909E9" w:rsidRDefault="00B932D4" w:rsidP="005328F9">
            <w:pPr>
              <w:rPr>
                <w:rFonts w:ascii="Georgia" w:hAnsi="Georgia"/>
                <w:sz w:val="22"/>
                <w:szCs w:val="22"/>
              </w:rPr>
            </w:pPr>
          </w:p>
        </w:tc>
        <w:tc>
          <w:tcPr>
            <w:tcW w:w="728" w:type="pct"/>
            <w:tcBorders>
              <w:top w:val="single" w:sz="4" w:space="0" w:color="auto"/>
              <w:left w:val="nil"/>
              <w:bottom w:val="single" w:sz="4" w:space="0" w:color="auto"/>
              <w:right w:val="single" w:sz="4" w:space="0" w:color="auto"/>
            </w:tcBorders>
            <w:shd w:val="clear" w:color="auto" w:fill="auto"/>
            <w:vAlign w:val="center"/>
          </w:tcPr>
          <w:p w:rsidR="00B932D4" w:rsidRPr="00E5415D" w:rsidRDefault="00B932D4" w:rsidP="005328F9">
            <w:pPr>
              <w:spacing w:line="240" w:lineRule="exact"/>
              <w:rPr>
                <w:rFonts w:ascii="Georgia" w:hAnsi="Georgia"/>
                <w:sz w:val="22"/>
                <w:szCs w:val="22"/>
              </w:rPr>
            </w:pPr>
            <w:r w:rsidRPr="00E5415D">
              <w:rPr>
                <w:rFonts w:ascii="Georgia" w:hAnsi="Georgia"/>
                <w:spacing w:val="-3"/>
                <w:sz w:val="22"/>
                <w:szCs w:val="22"/>
              </w:rPr>
              <w:t>Greater than 10 mg</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 xml:space="preserve">Buprenorphine/naloxone, oral, greater than 10 mg (maximum of 2 units (film or pill) per day; may be combined with J0572, J0573, and J0574, as medically necessary) </w:t>
            </w:r>
          </w:p>
        </w:tc>
      </w:tr>
      <w:tr w:rsidR="00B932D4" w:rsidRPr="00C909E9" w:rsidTr="00634C83">
        <w:trPr>
          <w:cantSplit/>
          <w:trHeight w:val="302"/>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J2315*</w:t>
            </w:r>
          </w:p>
        </w:tc>
        <w:tc>
          <w:tcPr>
            <w:tcW w:w="728" w:type="pct"/>
            <w:tcBorders>
              <w:top w:val="single" w:sz="4" w:space="0" w:color="auto"/>
              <w:left w:val="nil"/>
              <w:bottom w:val="single" w:sz="4" w:space="0" w:color="auto"/>
              <w:right w:val="single" w:sz="4" w:space="0" w:color="auto"/>
            </w:tcBorders>
            <w:shd w:val="clear" w:color="auto" w:fill="auto"/>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Per 1 mg</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 xml:space="preserve">Injection, naltrexone, depot form, 1 mg (maximum of 380 mg. per month) </w:t>
            </w:r>
          </w:p>
        </w:tc>
      </w:tr>
      <w:tr w:rsidR="00B932D4" w:rsidRPr="00C909E9" w:rsidTr="009A0EAC">
        <w:trPr>
          <w:cantSplit/>
          <w:trHeight w:val="900"/>
          <w:tblHeader/>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J3490*</w:t>
            </w:r>
          </w:p>
        </w:tc>
        <w:tc>
          <w:tcPr>
            <w:tcW w:w="728" w:type="pct"/>
            <w:tcBorders>
              <w:top w:val="single" w:sz="4" w:space="0" w:color="auto"/>
              <w:left w:val="nil"/>
              <w:bottom w:val="single" w:sz="4" w:space="0" w:color="auto"/>
              <w:right w:val="single" w:sz="4" w:space="0" w:color="auto"/>
            </w:tcBorders>
            <w:shd w:val="clear" w:color="auto" w:fill="auto"/>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Per 50 mg tablet</w:t>
            </w:r>
          </w:p>
        </w:tc>
        <w:tc>
          <w:tcPr>
            <w:tcW w:w="3544" w:type="pct"/>
            <w:tcBorders>
              <w:top w:val="single" w:sz="4" w:space="0" w:color="auto"/>
              <w:left w:val="nil"/>
              <w:bottom w:val="single" w:sz="4" w:space="0" w:color="auto"/>
              <w:right w:val="single" w:sz="4" w:space="0" w:color="auto"/>
            </w:tcBorders>
            <w:shd w:val="clear" w:color="auto" w:fill="auto"/>
            <w:tcMar>
              <w:top w:w="43" w:type="dxa"/>
              <w:left w:w="115" w:type="dxa"/>
              <w:bottom w:w="43" w:type="dxa"/>
              <w:right w:w="115" w:type="dxa"/>
            </w:tcMar>
            <w:vAlign w:val="center"/>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Unclassified drugs (Naltrexone, oral)</w:t>
            </w:r>
          </w:p>
        </w:tc>
      </w:tr>
      <w:tr w:rsidR="00B932D4" w:rsidRPr="00C909E9" w:rsidTr="009A0EAC">
        <w:trPr>
          <w:cantSplit/>
          <w:trHeight w:val="333"/>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tcPr>
          <w:p w:rsidR="00B932D4" w:rsidRPr="00E5415D" w:rsidRDefault="00B932D4" w:rsidP="005328F9">
            <w:pPr>
              <w:spacing w:line="240" w:lineRule="exact"/>
              <w:rPr>
                <w:rFonts w:ascii="Georgia" w:hAnsi="Georgia"/>
                <w:sz w:val="22"/>
                <w:szCs w:val="22"/>
              </w:rPr>
            </w:pPr>
            <w:r w:rsidRPr="00E5415D">
              <w:rPr>
                <w:rFonts w:ascii="Georgia" w:hAnsi="Georgia"/>
                <w:sz w:val="22"/>
                <w:szCs w:val="22"/>
              </w:rPr>
              <w:t>*NDC required</w:t>
            </w:r>
          </w:p>
        </w:tc>
      </w:tr>
    </w:tbl>
    <w:p w:rsidR="00927F41" w:rsidRPr="00C909E9" w:rsidRDefault="00927F41" w:rsidP="00927F41">
      <w:pPr>
        <w:ind w:left="576" w:right="576"/>
        <w:rPr>
          <w:rFonts w:ascii="Georgia" w:hAnsi="Georgia" w:cs="Arial"/>
          <w:sz w:val="22"/>
          <w:szCs w:val="22"/>
        </w:rPr>
      </w:pPr>
    </w:p>
    <w:p w:rsidR="00B932D4" w:rsidRDefault="00B932D4" w:rsidP="00A7032E">
      <w:pPr>
        <w:tabs>
          <w:tab w:val="left" w:pos="2880"/>
          <w:tab w:val="left" w:pos="7560"/>
          <w:tab w:val="left" w:pos="10080"/>
        </w:tabs>
        <w:suppressAutoHyphens/>
        <w:spacing w:line="260" w:lineRule="exact"/>
        <w:ind w:left="2016" w:right="576" w:hanging="1440"/>
        <w:rPr>
          <w:rFonts w:ascii="Georgia" w:hAnsi="Georgia" w:cs="Arial"/>
          <w:b/>
          <w:color w:val="1F497D"/>
          <w:sz w:val="24"/>
          <w:szCs w:val="24"/>
        </w:rPr>
      </w:pPr>
    </w:p>
    <w:p w:rsidR="00654FCF" w:rsidRDefault="00654FCF" w:rsidP="00A7032E">
      <w:pPr>
        <w:tabs>
          <w:tab w:val="left" w:pos="2880"/>
          <w:tab w:val="left" w:pos="7560"/>
          <w:tab w:val="left" w:pos="10080"/>
        </w:tabs>
        <w:suppressAutoHyphens/>
        <w:spacing w:line="260" w:lineRule="exact"/>
        <w:ind w:left="2016" w:right="576" w:hanging="1440"/>
        <w:rPr>
          <w:rFonts w:ascii="Georgia" w:hAnsi="Georgia" w:cs="Arial"/>
          <w:b/>
          <w:color w:val="1F497D"/>
          <w:sz w:val="24"/>
          <w:szCs w:val="24"/>
        </w:rPr>
      </w:pPr>
    </w:p>
    <w:p w:rsidR="00654FCF" w:rsidRDefault="00654FCF" w:rsidP="00A7032E">
      <w:pPr>
        <w:tabs>
          <w:tab w:val="left" w:pos="2880"/>
          <w:tab w:val="left" w:pos="7560"/>
          <w:tab w:val="left" w:pos="10080"/>
        </w:tabs>
        <w:suppressAutoHyphens/>
        <w:spacing w:line="260" w:lineRule="exact"/>
        <w:ind w:left="2016" w:right="576" w:hanging="1440"/>
        <w:rPr>
          <w:rFonts w:ascii="Georgia" w:hAnsi="Georgia" w:cs="Arial"/>
          <w:b/>
          <w:color w:val="1F497D"/>
          <w:sz w:val="24"/>
          <w:szCs w:val="24"/>
        </w:rPr>
      </w:pPr>
    </w:p>
    <w:p w:rsidR="00A7032E" w:rsidRPr="00A7032E" w:rsidRDefault="00A7032E" w:rsidP="000B3DED">
      <w:pPr>
        <w:pStyle w:val="Heading1"/>
        <w:ind w:left="576" w:firstLine="0"/>
      </w:pPr>
      <w:r w:rsidRPr="00A7032E">
        <w:t xml:space="preserve">Payment for Required Drug Screenings for Members Receiving Opioid Treatment Services at OTPs </w:t>
      </w:r>
    </w:p>
    <w:p w:rsidR="00772D2E" w:rsidRDefault="00772D2E" w:rsidP="00772D2E">
      <w:pPr>
        <w:ind w:left="576" w:right="576"/>
        <w:rPr>
          <w:rFonts w:ascii="Georgia" w:hAnsi="Georgia" w:cs="Arial"/>
          <w:sz w:val="22"/>
          <w:szCs w:val="22"/>
        </w:rPr>
      </w:pPr>
    </w:p>
    <w:p w:rsidR="00A7032E" w:rsidRPr="00A7032E" w:rsidRDefault="00A7032E" w:rsidP="003E6A0D">
      <w:pPr>
        <w:spacing w:after="120"/>
        <w:ind w:left="576" w:right="576"/>
        <w:rPr>
          <w:rFonts w:ascii="Georgia" w:hAnsi="Georgia" w:cs="Arial"/>
          <w:sz w:val="22"/>
          <w:szCs w:val="22"/>
        </w:rPr>
      </w:pPr>
      <w:r w:rsidRPr="00A7032E">
        <w:rPr>
          <w:rFonts w:ascii="Georgia" w:hAnsi="Georgia" w:cs="Arial"/>
          <w:sz w:val="22"/>
          <w:szCs w:val="22"/>
        </w:rPr>
        <w:t xml:space="preserve">For members receiving methadone and buprenorphine at an </w:t>
      </w:r>
      <w:r w:rsidR="007B69F5">
        <w:rPr>
          <w:rFonts w:ascii="Georgia" w:hAnsi="Georgia" w:cs="Arial"/>
          <w:sz w:val="22"/>
          <w:szCs w:val="22"/>
        </w:rPr>
        <w:t>opioid treatment program</w:t>
      </w:r>
      <w:r w:rsidRPr="00A7032E">
        <w:rPr>
          <w:rFonts w:ascii="Georgia" w:hAnsi="Georgia" w:cs="Arial"/>
          <w:sz w:val="22"/>
          <w:szCs w:val="22"/>
        </w:rPr>
        <w:t xml:space="preserve">, MCOs, ACPPs, </w:t>
      </w:r>
      <w:r w:rsidR="00A02476">
        <w:rPr>
          <w:rFonts w:ascii="Georgia" w:hAnsi="Georgia" w:cs="Arial"/>
          <w:sz w:val="22"/>
          <w:szCs w:val="22"/>
        </w:rPr>
        <w:t>or</w:t>
      </w:r>
      <w:r w:rsidR="00A02476" w:rsidRPr="00A7032E">
        <w:rPr>
          <w:rFonts w:ascii="Georgia" w:hAnsi="Georgia" w:cs="Arial"/>
          <w:sz w:val="22"/>
          <w:szCs w:val="22"/>
        </w:rPr>
        <w:t xml:space="preserve"> </w:t>
      </w:r>
      <w:r w:rsidRPr="00A7032E">
        <w:rPr>
          <w:rFonts w:ascii="Georgia" w:hAnsi="Georgia" w:cs="Arial"/>
          <w:sz w:val="22"/>
          <w:szCs w:val="22"/>
        </w:rPr>
        <w:t>the behavioral health vendor must account for the costs of associated required drug screenings into the rate for the daily administ</w:t>
      </w:r>
      <w:r w:rsidR="00E94F80">
        <w:rPr>
          <w:rFonts w:ascii="Georgia" w:hAnsi="Georgia" w:cs="Arial"/>
          <w:sz w:val="22"/>
          <w:szCs w:val="22"/>
        </w:rPr>
        <w:t>ering</w:t>
      </w:r>
      <w:r w:rsidRPr="00A7032E">
        <w:rPr>
          <w:rFonts w:ascii="Georgia" w:hAnsi="Georgia" w:cs="Arial"/>
          <w:sz w:val="22"/>
          <w:szCs w:val="22"/>
        </w:rPr>
        <w:t xml:space="preserve"> of such medications at the OTP.</w:t>
      </w:r>
      <w:r w:rsidR="00E94F80">
        <w:rPr>
          <w:rFonts w:ascii="Georgia" w:hAnsi="Georgia" w:cs="Arial"/>
          <w:sz w:val="22"/>
          <w:szCs w:val="22"/>
        </w:rPr>
        <w:t xml:space="preserve"> </w:t>
      </w:r>
    </w:p>
    <w:p w:rsidR="00A7032E" w:rsidRDefault="00A7032E" w:rsidP="003E6A0D">
      <w:pPr>
        <w:spacing w:after="120"/>
        <w:ind w:left="576" w:right="576"/>
        <w:rPr>
          <w:rFonts w:ascii="Georgia" w:hAnsi="Georgia" w:cs="Arial"/>
          <w:sz w:val="22"/>
          <w:szCs w:val="22"/>
        </w:rPr>
      </w:pPr>
      <w:r w:rsidRPr="00A7032E">
        <w:rPr>
          <w:rFonts w:ascii="Georgia" w:hAnsi="Georgia" w:cs="Arial"/>
          <w:sz w:val="22"/>
          <w:szCs w:val="22"/>
        </w:rPr>
        <w:t xml:space="preserve">For members receiving naltrexone at an </w:t>
      </w:r>
      <w:r w:rsidR="007B69F5">
        <w:rPr>
          <w:rFonts w:ascii="Georgia" w:hAnsi="Georgia" w:cs="Arial"/>
          <w:sz w:val="22"/>
          <w:szCs w:val="22"/>
        </w:rPr>
        <w:t>opioid treatment program</w:t>
      </w:r>
      <w:r w:rsidRPr="00A7032E">
        <w:rPr>
          <w:rFonts w:ascii="Georgia" w:hAnsi="Georgia" w:cs="Arial"/>
          <w:sz w:val="22"/>
          <w:szCs w:val="22"/>
        </w:rPr>
        <w:t>, MCOs and ACPPs must pay for all drug screenings required by OTP licensing regulations (see 105 CMR 164.304(B)) as Laboratory Services. MCOs and ACPPs may use the following codes for such drug screenings:</w:t>
      </w:r>
    </w:p>
    <w:p w:rsidR="003E6A0D" w:rsidRDefault="0098184F" w:rsidP="000B3DED">
      <w:pPr>
        <w:tabs>
          <w:tab w:val="left" w:pos="2880"/>
          <w:tab w:val="left" w:pos="10080"/>
        </w:tabs>
        <w:suppressAutoHyphens/>
        <w:spacing w:before="2400" w:line="260" w:lineRule="exact"/>
        <w:ind w:left="2880"/>
        <w:jc w:val="right"/>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r w:rsidR="003E6A0D">
        <w:rPr>
          <w:rFonts w:ascii="Georgia" w:hAnsi="Georgia" w:cs="Arial"/>
          <w:sz w:val="22"/>
          <w:szCs w:val="22"/>
        </w:rPr>
        <w:br w:type="page"/>
      </w:r>
    </w:p>
    <w:p w:rsidR="00B932D4" w:rsidRDefault="00B932D4"/>
    <w:p w:rsidR="002C4F31" w:rsidRPr="001433E7" w:rsidRDefault="002C4F31" w:rsidP="003E6A0D">
      <w:pPr>
        <w:pStyle w:val="Heading1"/>
        <w:ind w:left="6480"/>
      </w:pPr>
      <w:r w:rsidRPr="001433E7">
        <w:t>MassHealth</w:t>
      </w:r>
    </w:p>
    <w:p w:rsidR="002C4F31" w:rsidRPr="001433E7" w:rsidRDefault="002C4F31" w:rsidP="003E6A0D">
      <w:pPr>
        <w:pStyle w:val="Heading1"/>
        <w:ind w:left="6480"/>
      </w:pPr>
      <w:r>
        <w:t xml:space="preserve">Managed Care Entity </w:t>
      </w:r>
      <w:r w:rsidRPr="001433E7">
        <w:t xml:space="preserve">Bulletin </w:t>
      </w:r>
      <w:r>
        <w:t>12</w:t>
      </w:r>
    </w:p>
    <w:p w:rsidR="002C4F31" w:rsidRPr="001433E7" w:rsidRDefault="000B3DED" w:rsidP="003E6A0D">
      <w:pPr>
        <w:pStyle w:val="Heading1"/>
        <w:ind w:left="6480"/>
      </w:pPr>
      <w:r>
        <w:t>May</w:t>
      </w:r>
      <w:r w:rsidR="002C4F31" w:rsidRPr="001433E7">
        <w:t xml:space="preserve"> </w:t>
      </w:r>
      <w:r w:rsidR="002C4F31">
        <w:t>2019</w:t>
      </w:r>
    </w:p>
    <w:p w:rsidR="002C4F31" w:rsidRPr="001433E7" w:rsidRDefault="002C4F31" w:rsidP="003E6A0D">
      <w:pPr>
        <w:pStyle w:val="Heading1"/>
        <w:ind w:left="6480"/>
      </w:pPr>
      <w:r w:rsidRPr="001433E7">
        <w:t xml:space="preserve">Page </w:t>
      </w:r>
      <w:r w:rsidRPr="001433E7">
        <w:fldChar w:fldCharType="begin"/>
      </w:r>
      <w:r w:rsidRPr="001433E7">
        <w:instrText>page \* arabic</w:instrText>
      </w:r>
      <w:r w:rsidRPr="001433E7">
        <w:fldChar w:fldCharType="separate"/>
      </w:r>
      <w:r w:rsidR="00826517">
        <w:rPr>
          <w:noProof/>
        </w:rPr>
        <w:t>4</w:t>
      </w:r>
      <w:r w:rsidRPr="001433E7">
        <w:fldChar w:fldCharType="end"/>
      </w:r>
    </w:p>
    <w:p w:rsidR="00B932D4" w:rsidRDefault="00B932D4"/>
    <w:p w:rsidR="00B932D4" w:rsidRDefault="00B932D4"/>
    <w:tbl>
      <w:tblPr>
        <w:tblW w:w="4545" w:type="pct"/>
        <w:tblInd w:w="648" w:type="dxa"/>
        <w:tblLayout w:type="fixed"/>
        <w:tblLook w:val="04A0" w:firstRow="1" w:lastRow="0" w:firstColumn="1" w:lastColumn="0" w:noHBand="0" w:noVBand="1"/>
      </w:tblPr>
      <w:tblGrid>
        <w:gridCol w:w="1440"/>
        <w:gridCol w:w="1351"/>
        <w:gridCol w:w="6568"/>
      </w:tblGrid>
      <w:tr w:rsidR="003E6A0D" w:rsidRPr="00EF093C" w:rsidTr="003E6A0D">
        <w:trPr>
          <w:trHeight w:val="495"/>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6A0D" w:rsidRPr="00B932D4" w:rsidRDefault="003E6A0D" w:rsidP="00EC5B71">
            <w:pPr>
              <w:spacing w:line="240" w:lineRule="exact"/>
              <w:jc w:val="center"/>
              <w:rPr>
                <w:rFonts w:ascii="Georgia" w:hAnsi="Georgia"/>
                <w:b/>
                <w:sz w:val="22"/>
                <w:szCs w:val="22"/>
              </w:rPr>
            </w:pPr>
            <w:r w:rsidRPr="00B932D4">
              <w:rPr>
                <w:rFonts w:ascii="Georgia" w:hAnsi="Georgia"/>
                <w:b/>
                <w:sz w:val="22"/>
                <w:szCs w:val="22"/>
              </w:rPr>
              <w:t>Code</w:t>
            </w:r>
          </w:p>
        </w:tc>
        <w:tc>
          <w:tcPr>
            <w:tcW w:w="722" w:type="pct"/>
            <w:tcBorders>
              <w:top w:val="single" w:sz="4" w:space="0" w:color="auto"/>
              <w:left w:val="nil"/>
              <w:bottom w:val="single" w:sz="4" w:space="0" w:color="auto"/>
              <w:right w:val="single" w:sz="4" w:space="0" w:color="auto"/>
            </w:tcBorders>
            <w:shd w:val="clear" w:color="auto" w:fill="auto"/>
            <w:noWrap/>
            <w:vAlign w:val="center"/>
          </w:tcPr>
          <w:p w:rsidR="003E6A0D" w:rsidRPr="00B932D4" w:rsidRDefault="003E6A0D" w:rsidP="00EC5B71">
            <w:pPr>
              <w:spacing w:line="240" w:lineRule="exact"/>
              <w:jc w:val="center"/>
              <w:rPr>
                <w:rFonts w:ascii="Georgia" w:hAnsi="Georgia"/>
                <w:b/>
                <w:sz w:val="22"/>
                <w:szCs w:val="22"/>
              </w:rPr>
            </w:pPr>
            <w:r w:rsidRPr="00B932D4">
              <w:rPr>
                <w:rFonts w:ascii="Georgia" w:hAnsi="Georgia"/>
                <w:b/>
                <w:sz w:val="22"/>
                <w:szCs w:val="22"/>
              </w:rPr>
              <w:t>Unit</w:t>
            </w:r>
          </w:p>
        </w:tc>
        <w:tc>
          <w:tcPr>
            <w:tcW w:w="3509" w:type="pct"/>
            <w:tcBorders>
              <w:top w:val="single" w:sz="4" w:space="0" w:color="auto"/>
              <w:left w:val="nil"/>
              <w:bottom w:val="single" w:sz="4" w:space="0" w:color="auto"/>
              <w:right w:val="single" w:sz="4" w:space="0" w:color="auto"/>
            </w:tcBorders>
            <w:shd w:val="clear" w:color="auto" w:fill="auto"/>
            <w:vAlign w:val="center"/>
          </w:tcPr>
          <w:p w:rsidR="003E6A0D" w:rsidRPr="00B932D4" w:rsidRDefault="003E6A0D" w:rsidP="00EC5B71">
            <w:pPr>
              <w:spacing w:line="240" w:lineRule="exact"/>
              <w:jc w:val="center"/>
              <w:rPr>
                <w:rFonts w:ascii="Georgia" w:hAnsi="Georgia"/>
                <w:b/>
                <w:sz w:val="22"/>
                <w:szCs w:val="22"/>
              </w:rPr>
            </w:pPr>
            <w:r w:rsidRPr="00B932D4">
              <w:rPr>
                <w:rFonts w:ascii="Georgia" w:hAnsi="Georgia"/>
                <w:b/>
                <w:sz w:val="22"/>
                <w:szCs w:val="22"/>
              </w:rPr>
              <w:t>Description</w:t>
            </w:r>
          </w:p>
        </w:tc>
      </w:tr>
      <w:tr w:rsidR="003E6A0D" w:rsidRPr="00E5415D" w:rsidTr="003E6A0D">
        <w:trPr>
          <w:trHeight w:val="495"/>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6A0D" w:rsidRPr="003E6A0D" w:rsidRDefault="003E6A0D" w:rsidP="003E6A0D">
            <w:pPr>
              <w:spacing w:line="240" w:lineRule="exact"/>
              <w:rPr>
                <w:rFonts w:ascii="Georgia" w:hAnsi="Georgia"/>
                <w:sz w:val="22"/>
                <w:szCs w:val="22"/>
              </w:rPr>
            </w:pPr>
            <w:r w:rsidRPr="003E6A0D">
              <w:rPr>
                <w:rFonts w:ascii="Georgia" w:hAnsi="Georgia"/>
                <w:sz w:val="22"/>
                <w:szCs w:val="22"/>
              </w:rPr>
              <w:t>80305</w:t>
            </w:r>
          </w:p>
        </w:tc>
        <w:tc>
          <w:tcPr>
            <w:tcW w:w="722" w:type="pct"/>
            <w:tcBorders>
              <w:top w:val="single" w:sz="4" w:space="0" w:color="auto"/>
              <w:left w:val="nil"/>
              <w:bottom w:val="single" w:sz="4" w:space="0" w:color="auto"/>
              <w:right w:val="single" w:sz="4" w:space="0" w:color="auto"/>
            </w:tcBorders>
            <w:shd w:val="clear" w:color="auto" w:fill="auto"/>
            <w:noWrap/>
            <w:vAlign w:val="center"/>
          </w:tcPr>
          <w:p w:rsidR="003E6A0D" w:rsidRPr="003E6A0D" w:rsidRDefault="003E6A0D" w:rsidP="003E6A0D">
            <w:pPr>
              <w:spacing w:line="240" w:lineRule="exact"/>
              <w:rPr>
                <w:rFonts w:ascii="Georgia" w:hAnsi="Georgia"/>
                <w:sz w:val="22"/>
                <w:szCs w:val="22"/>
              </w:rPr>
            </w:pPr>
            <w:r w:rsidRPr="003E6A0D">
              <w:rPr>
                <w:rFonts w:ascii="Georgia" w:hAnsi="Georgia"/>
                <w:sz w:val="22"/>
                <w:szCs w:val="22"/>
              </w:rPr>
              <w:t>Per Visit</w:t>
            </w:r>
          </w:p>
        </w:tc>
        <w:tc>
          <w:tcPr>
            <w:tcW w:w="3509" w:type="pct"/>
            <w:tcBorders>
              <w:top w:val="single" w:sz="4" w:space="0" w:color="auto"/>
              <w:left w:val="nil"/>
              <w:bottom w:val="single" w:sz="4" w:space="0" w:color="auto"/>
              <w:right w:val="single" w:sz="4" w:space="0" w:color="auto"/>
            </w:tcBorders>
            <w:shd w:val="clear" w:color="auto" w:fill="auto"/>
            <w:vAlign w:val="center"/>
          </w:tcPr>
          <w:p w:rsidR="003E6A0D" w:rsidRPr="003E6A0D" w:rsidRDefault="003E6A0D" w:rsidP="003E6A0D">
            <w:pPr>
              <w:spacing w:line="240" w:lineRule="exact"/>
              <w:rPr>
                <w:rFonts w:ascii="Georgia" w:hAnsi="Georgia"/>
                <w:sz w:val="22"/>
                <w:szCs w:val="22"/>
              </w:rPr>
            </w:pPr>
            <w:r w:rsidRPr="003E6A0D">
              <w:rPr>
                <w:rFonts w:ascii="Georgia" w:hAnsi="Georgia"/>
                <w:sz w:val="22"/>
                <w:szCs w:val="22"/>
              </w:rPr>
              <w:t>Drug tests(s), presumptive, any number of drug classes, any number of devices or procedures (e.g., immunoassay); capable of being read by direct optical observation only (e.g., dipsticks, cups, cards, cartridges) includes sample validation when performed, per date of service</w:t>
            </w:r>
          </w:p>
        </w:tc>
      </w:tr>
      <w:tr w:rsidR="00A7032E" w:rsidRPr="00E5415D" w:rsidTr="002C4F31">
        <w:trPr>
          <w:trHeight w:val="9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80306</w:t>
            </w:r>
          </w:p>
        </w:tc>
        <w:tc>
          <w:tcPr>
            <w:tcW w:w="722" w:type="pct"/>
            <w:tcBorders>
              <w:top w:val="nil"/>
              <w:left w:val="nil"/>
              <w:bottom w:val="single" w:sz="4" w:space="0" w:color="auto"/>
              <w:right w:val="single" w:sz="4" w:space="0" w:color="auto"/>
            </w:tcBorders>
            <w:shd w:val="clear" w:color="auto" w:fill="auto"/>
            <w:noWrap/>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Per Visit</w:t>
            </w:r>
          </w:p>
        </w:tc>
        <w:tc>
          <w:tcPr>
            <w:tcW w:w="3509" w:type="pct"/>
            <w:tcBorders>
              <w:top w:val="nil"/>
              <w:left w:val="nil"/>
              <w:bottom w:val="single" w:sz="4" w:space="0" w:color="auto"/>
              <w:right w:val="single" w:sz="4" w:space="0" w:color="auto"/>
            </w:tcBorders>
            <w:shd w:val="clear" w:color="auto" w:fill="auto"/>
            <w:tcMar>
              <w:top w:w="29" w:type="dxa"/>
              <w:left w:w="115" w:type="dxa"/>
              <w:bottom w:w="29" w:type="dxa"/>
              <w:right w:w="115" w:type="dxa"/>
            </w:tcMar>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Drug test(s), presumptive, any number of drug classes, any number of devices or procedures, (e.g., immunoassay) read by instrument assisted direct optical observation (e.g., dipsticks, cups, cards, cartridges), includes sample validation when performed, per date of service</w:t>
            </w:r>
          </w:p>
        </w:tc>
      </w:tr>
      <w:tr w:rsidR="00A7032E" w:rsidRPr="00E5415D" w:rsidTr="002C4F31">
        <w:trPr>
          <w:trHeight w:val="12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80307</w:t>
            </w:r>
          </w:p>
        </w:tc>
        <w:tc>
          <w:tcPr>
            <w:tcW w:w="722" w:type="pct"/>
            <w:tcBorders>
              <w:top w:val="nil"/>
              <w:left w:val="nil"/>
              <w:bottom w:val="single" w:sz="4" w:space="0" w:color="auto"/>
              <w:right w:val="single" w:sz="4" w:space="0" w:color="auto"/>
            </w:tcBorders>
            <w:shd w:val="clear" w:color="auto" w:fill="auto"/>
            <w:noWrap/>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Per Visit</w:t>
            </w:r>
          </w:p>
        </w:tc>
        <w:tc>
          <w:tcPr>
            <w:tcW w:w="3509" w:type="pct"/>
            <w:tcBorders>
              <w:top w:val="nil"/>
              <w:left w:val="nil"/>
              <w:bottom w:val="single" w:sz="4" w:space="0" w:color="auto"/>
              <w:right w:val="single" w:sz="4" w:space="0" w:color="auto"/>
            </w:tcBorders>
            <w:shd w:val="clear" w:color="auto" w:fill="auto"/>
            <w:tcMar>
              <w:top w:w="29" w:type="dxa"/>
              <w:left w:w="115" w:type="dxa"/>
              <w:bottom w:w="29" w:type="dxa"/>
              <w:right w:w="115" w:type="dxa"/>
            </w:tcMar>
            <w:vAlign w:val="center"/>
            <w:hideMark/>
          </w:tcPr>
          <w:p w:rsidR="00A7032E" w:rsidRPr="00E5415D" w:rsidRDefault="00A7032E" w:rsidP="005328F9">
            <w:pPr>
              <w:spacing w:line="240" w:lineRule="exact"/>
              <w:rPr>
                <w:rFonts w:ascii="Georgia" w:hAnsi="Georgia"/>
                <w:sz w:val="22"/>
                <w:szCs w:val="22"/>
              </w:rPr>
            </w:pPr>
            <w:r w:rsidRPr="00E5415D">
              <w:rPr>
                <w:rFonts w:ascii="Georgia" w:hAnsi="Georgia"/>
                <w:sz w:val="22"/>
                <w:szCs w:val="22"/>
              </w:rPr>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w:t>
            </w:r>
          </w:p>
        </w:tc>
      </w:tr>
    </w:tbl>
    <w:p w:rsidR="00772D2E" w:rsidRDefault="00772D2E" w:rsidP="00772D2E">
      <w:pPr>
        <w:ind w:left="576" w:right="576"/>
        <w:rPr>
          <w:rFonts w:ascii="Georgia" w:hAnsi="Georgia" w:cs="Arial"/>
          <w:sz w:val="22"/>
          <w:szCs w:val="22"/>
        </w:rPr>
      </w:pPr>
    </w:p>
    <w:p w:rsidR="00634C83" w:rsidRDefault="00634C83" w:rsidP="003904A6">
      <w:pPr>
        <w:tabs>
          <w:tab w:val="left" w:pos="10080"/>
        </w:tabs>
        <w:suppressAutoHyphens/>
        <w:spacing w:line="260" w:lineRule="exact"/>
        <w:ind w:left="9846" w:hanging="9270"/>
        <w:rPr>
          <w:rFonts w:ascii="Georgia" w:hAnsi="Georgia" w:cs="Arial"/>
          <w:b/>
          <w:color w:val="1F497D"/>
          <w:sz w:val="24"/>
          <w:szCs w:val="24"/>
        </w:rPr>
      </w:pPr>
    </w:p>
    <w:p w:rsidR="003904A6" w:rsidRPr="00A27473" w:rsidRDefault="003904A6" w:rsidP="003E6A0D">
      <w:pPr>
        <w:pStyle w:val="Heading1"/>
      </w:pPr>
      <w:r w:rsidRPr="00A27473">
        <w:t>MassHealth Website</w:t>
      </w:r>
    </w:p>
    <w:p w:rsidR="003904A6" w:rsidRDefault="003904A6" w:rsidP="003904A6">
      <w:pPr>
        <w:widowControl w:val="0"/>
        <w:ind w:left="576"/>
        <w:rPr>
          <w:rFonts w:ascii="Arial" w:hAnsi="Arial" w:cs="Arial"/>
          <w:sz w:val="22"/>
        </w:rPr>
      </w:pPr>
    </w:p>
    <w:p w:rsidR="003904A6" w:rsidRPr="00A27473" w:rsidRDefault="003904A6" w:rsidP="00634C83">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2"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Pr="00283142" w:rsidRDefault="003904A6" w:rsidP="00634C83">
      <w:pPr>
        <w:spacing w:after="120"/>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3"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Pr="00165D0F" w:rsidRDefault="00772D2E" w:rsidP="00772D2E">
      <w:pPr>
        <w:ind w:left="576" w:right="576"/>
        <w:rPr>
          <w:rFonts w:ascii="Georgia" w:hAnsi="Georgia" w:cs="Arial"/>
          <w:sz w:val="22"/>
          <w:szCs w:val="22"/>
        </w:rPr>
      </w:pPr>
    </w:p>
    <w:p w:rsidR="00772D2E" w:rsidRDefault="00772D2E" w:rsidP="00772D2E">
      <w:pPr>
        <w:ind w:left="576" w:right="576"/>
        <w:rPr>
          <w:rFonts w:ascii="Georgia" w:hAnsi="Georgia" w:cs="Arial"/>
          <w:sz w:val="22"/>
          <w:szCs w:val="22"/>
        </w:rPr>
      </w:pPr>
    </w:p>
    <w:p w:rsidR="00836D22" w:rsidRPr="00C66371" w:rsidRDefault="00836D22" w:rsidP="003E6A0D">
      <w:pPr>
        <w:pStyle w:val="Heading1"/>
      </w:pPr>
      <w:r w:rsidRPr="00C66371">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B97812" w:rsidRDefault="00B97812" w:rsidP="000B3DED">
      <w:pPr>
        <w:spacing w:after="2280"/>
        <w:ind w:left="576" w:right="576"/>
        <w:rPr>
          <w:rFonts w:ascii="Georgia" w:hAnsi="Georgia" w:cs="Arial"/>
          <w:sz w:val="22"/>
          <w:szCs w:val="22"/>
        </w:rPr>
      </w:pPr>
    </w:p>
    <w:p w:rsidR="00D65B5E" w:rsidRPr="003F56EC" w:rsidRDefault="00B97812">
      <w:pPr>
        <w:ind w:left="576"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5">
        <w:r>
          <w:rPr>
            <w:rFonts w:ascii="Bookman Old Style"/>
            <w:b/>
            <w:i/>
            <w:color w:val="0000FF"/>
            <w:spacing w:val="-1"/>
            <w:u w:val="single" w:color="0000FF"/>
          </w:rPr>
          <w:t>@MassHealth</w:t>
        </w:r>
      </w:hyperlink>
    </w:p>
    <w:sectPr w:rsidR="00D65B5E" w:rsidRPr="003F56EC"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82" w:rsidRDefault="00D92E82" w:rsidP="00D65B5E">
      <w:r>
        <w:separator/>
      </w:r>
    </w:p>
  </w:endnote>
  <w:endnote w:type="continuationSeparator" w:id="0">
    <w:p w:rsidR="00D92E82" w:rsidRDefault="00D92E82"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82" w:rsidRDefault="00D92E82" w:rsidP="00D65B5E">
      <w:r>
        <w:separator/>
      </w:r>
    </w:p>
  </w:footnote>
  <w:footnote w:type="continuationSeparator" w:id="0">
    <w:p w:rsidR="00D92E82" w:rsidRDefault="00D92E82" w:rsidP="00D65B5E">
      <w:r>
        <w:continuationSeparator/>
      </w:r>
    </w:p>
  </w:footnote>
  <w:footnote w:id="1">
    <w:p w:rsidR="00C25CC3" w:rsidRDefault="00C25CC3">
      <w:pPr>
        <w:pStyle w:val="FootnoteText"/>
      </w:pPr>
      <w:r>
        <w:rPr>
          <w:rStyle w:val="FootnoteReference"/>
        </w:rPr>
        <w:footnoteRef/>
      </w:r>
      <w:r>
        <w:t xml:space="preserve"> The behavioral health vendor’s contract will be amended to update the name of this service from opioid replacement therapy to opioid treatment services</w:t>
      </w:r>
      <w:proofErr w:type="gramStart"/>
      <w:r>
        <w:t xml:space="preserve">.  </w:t>
      </w:r>
      <w:proofErr w:type="gramEnd"/>
      <w:r>
        <w:t>All references in this bulletin to opioid treatment services include opioid replacement therapy as currently covered by the behavioral health vendor.</w:t>
      </w:r>
    </w:p>
    <w:p w:rsidR="00745CC5" w:rsidRDefault="00745CC5">
      <w:pPr>
        <w:pStyle w:val="FootnoteText"/>
      </w:pPr>
    </w:p>
    <w:p w:rsidR="00745CC5" w:rsidRDefault="00745C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76325"/>
    <w:rsid w:val="00081D68"/>
    <w:rsid w:val="0008203E"/>
    <w:rsid w:val="000A0245"/>
    <w:rsid w:val="000A0662"/>
    <w:rsid w:val="000B3DED"/>
    <w:rsid w:val="000B6C3A"/>
    <w:rsid w:val="000C085A"/>
    <w:rsid w:val="000F3698"/>
    <w:rsid w:val="000F5EDD"/>
    <w:rsid w:val="0010460D"/>
    <w:rsid w:val="001100D4"/>
    <w:rsid w:val="00121B4C"/>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D63E2"/>
    <w:rsid w:val="00204BAE"/>
    <w:rsid w:val="00241C06"/>
    <w:rsid w:val="00253ED3"/>
    <w:rsid w:val="00277E30"/>
    <w:rsid w:val="00286E7B"/>
    <w:rsid w:val="00287894"/>
    <w:rsid w:val="002B3CFE"/>
    <w:rsid w:val="002B5624"/>
    <w:rsid w:val="002B5B63"/>
    <w:rsid w:val="002C4BD7"/>
    <w:rsid w:val="002C4F31"/>
    <w:rsid w:val="002F0836"/>
    <w:rsid w:val="00300B78"/>
    <w:rsid w:val="003056C3"/>
    <w:rsid w:val="00331AAC"/>
    <w:rsid w:val="003456F5"/>
    <w:rsid w:val="00346BC5"/>
    <w:rsid w:val="00346CA3"/>
    <w:rsid w:val="003528DF"/>
    <w:rsid w:val="00355078"/>
    <w:rsid w:val="0035533A"/>
    <w:rsid w:val="003560CD"/>
    <w:rsid w:val="00361A6E"/>
    <w:rsid w:val="00367D15"/>
    <w:rsid w:val="00376B20"/>
    <w:rsid w:val="00386528"/>
    <w:rsid w:val="003904A6"/>
    <w:rsid w:val="00392917"/>
    <w:rsid w:val="00395082"/>
    <w:rsid w:val="0039642E"/>
    <w:rsid w:val="00396FB3"/>
    <w:rsid w:val="003A0EBE"/>
    <w:rsid w:val="003A1405"/>
    <w:rsid w:val="003A2475"/>
    <w:rsid w:val="003B3AED"/>
    <w:rsid w:val="003C1569"/>
    <w:rsid w:val="003E6A0D"/>
    <w:rsid w:val="003F56EC"/>
    <w:rsid w:val="003F6732"/>
    <w:rsid w:val="00404387"/>
    <w:rsid w:val="00406BBF"/>
    <w:rsid w:val="00410E6D"/>
    <w:rsid w:val="0041425B"/>
    <w:rsid w:val="00421334"/>
    <w:rsid w:val="00424DB7"/>
    <w:rsid w:val="0043034D"/>
    <w:rsid w:val="004316F2"/>
    <w:rsid w:val="00434CF2"/>
    <w:rsid w:val="00440E3D"/>
    <w:rsid w:val="004422FC"/>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31FDC"/>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34C83"/>
    <w:rsid w:val="00640A54"/>
    <w:rsid w:val="0064583D"/>
    <w:rsid w:val="00651119"/>
    <w:rsid w:val="00654FCF"/>
    <w:rsid w:val="00661476"/>
    <w:rsid w:val="006621A1"/>
    <w:rsid w:val="00684368"/>
    <w:rsid w:val="0069586B"/>
    <w:rsid w:val="00695CC0"/>
    <w:rsid w:val="006B22E3"/>
    <w:rsid w:val="006D3F3E"/>
    <w:rsid w:val="006D63AE"/>
    <w:rsid w:val="006E3443"/>
    <w:rsid w:val="00701802"/>
    <w:rsid w:val="00706585"/>
    <w:rsid w:val="00715ADA"/>
    <w:rsid w:val="00736364"/>
    <w:rsid w:val="00745CC5"/>
    <w:rsid w:val="00746065"/>
    <w:rsid w:val="0075470C"/>
    <w:rsid w:val="00762517"/>
    <w:rsid w:val="00772D2E"/>
    <w:rsid w:val="00793652"/>
    <w:rsid w:val="007B69F5"/>
    <w:rsid w:val="007D602F"/>
    <w:rsid w:val="007D72E0"/>
    <w:rsid w:val="007E5047"/>
    <w:rsid w:val="007F085D"/>
    <w:rsid w:val="00814EEC"/>
    <w:rsid w:val="008163A0"/>
    <w:rsid w:val="00817AED"/>
    <w:rsid w:val="00826517"/>
    <w:rsid w:val="008300C9"/>
    <w:rsid w:val="0083595D"/>
    <w:rsid w:val="00836D22"/>
    <w:rsid w:val="00853580"/>
    <w:rsid w:val="008556C1"/>
    <w:rsid w:val="008638E0"/>
    <w:rsid w:val="0087427D"/>
    <w:rsid w:val="00882865"/>
    <w:rsid w:val="00884B8D"/>
    <w:rsid w:val="008A0DD5"/>
    <w:rsid w:val="008A2757"/>
    <w:rsid w:val="008A5E41"/>
    <w:rsid w:val="008B6990"/>
    <w:rsid w:val="008C3BDF"/>
    <w:rsid w:val="008E0A71"/>
    <w:rsid w:val="0090478E"/>
    <w:rsid w:val="00905BB5"/>
    <w:rsid w:val="0091250B"/>
    <w:rsid w:val="00927F41"/>
    <w:rsid w:val="00930A2B"/>
    <w:rsid w:val="0093403A"/>
    <w:rsid w:val="009478C1"/>
    <w:rsid w:val="00957B5D"/>
    <w:rsid w:val="00967E33"/>
    <w:rsid w:val="0098184F"/>
    <w:rsid w:val="00992234"/>
    <w:rsid w:val="009A0EAC"/>
    <w:rsid w:val="009A494A"/>
    <w:rsid w:val="009A7D2E"/>
    <w:rsid w:val="009C3053"/>
    <w:rsid w:val="009C37D5"/>
    <w:rsid w:val="009D1F5C"/>
    <w:rsid w:val="009E157D"/>
    <w:rsid w:val="00A010D1"/>
    <w:rsid w:val="00A02476"/>
    <w:rsid w:val="00A45AAC"/>
    <w:rsid w:val="00A61095"/>
    <w:rsid w:val="00A63B71"/>
    <w:rsid w:val="00A7032E"/>
    <w:rsid w:val="00A7476F"/>
    <w:rsid w:val="00A91FB2"/>
    <w:rsid w:val="00A9437D"/>
    <w:rsid w:val="00A973B4"/>
    <w:rsid w:val="00AA1074"/>
    <w:rsid w:val="00AA5EED"/>
    <w:rsid w:val="00AB0550"/>
    <w:rsid w:val="00AB1C1F"/>
    <w:rsid w:val="00AD41AD"/>
    <w:rsid w:val="00AD6AE6"/>
    <w:rsid w:val="00AD6B24"/>
    <w:rsid w:val="00AF7CB8"/>
    <w:rsid w:val="00B02284"/>
    <w:rsid w:val="00B23AA2"/>
    <w:rsid w:val="00B36452"/>
    <w:rsid w:val="00B441C4"/>
    <w:rsid w:val="00B61CF5"/>
    <w:rsid w:val="00B85308"/>
    <w:rsid w:val="00B877BE"/>
    <w:rsid w:val="00B932D4"/>
    <w:rsid w:val="00B93E59"/>
    <w:rsid w:val="00B9734C"/>
    <w:rsid w:val="00B97812"/>
    <w:rsid w:val="00B97DEF"/>
    <w:rsid w:val="00BC0557"/>
    <w:rsid w:val="00BC677C"/>
    <w:rsid w:val="00BE52FC"/>
    <w:rsid w:val="00BF5AA4"/>
    <w:rsid w:val="00C03F85"/>
    <w:rsid w:val="00C25CC3"/>
    <w:rsid w:val="00C26155"/>
    <w:rsid w:val="00C32C5C"/>
    <w:rsid w:val="00C55D56"/>
    <w:rsid w:val="00C62206"/>
    <w:rsid w:val="00C66371"/>
    <w:rsid w:val="00C71878"/>
    <w:rsid w:val="00C74836"/>
    <w:rsid w:val="00C81F6B"/>
    <w:rsid w:val="00C82910"/>
    <w:rsid w:val="00C97095"/>
    <w:rsid w:val="00CB0959"/>
    <w:rsid w:val="00CC4071"/>
    <w:rsid w:val="00CE4B40"/>
    <w:rsid w:val="00CF5226"/>
    <w:rsid w:val="00CF6E84"/>
    <w:rsid w:val="00D135DB"/>
    <w:rsid w:val="00D17FC2"/>
    <w:rsid w:val="00D275E5"/>
    <w:rsid w:val="00D34ADE"/>
    <w:rsid w:val="00D421CC"/>
    <w:rsid w:val="00D64B09"/>
    <w:rsid w:val="00D657CA"/>
    <w:rsid w:val="00D65B5E"/>
    <w:rsid w:val="00D66920"/>
    <w:rsid w:val="00D840C5"/>
    <w:rsid w:val="00D92E82"/>
    <w:rsid w:val="00D96485"/>
    <w:rsid w:val="00D97760"/>
    <w:rsid w:val="00DA2F9E"/>
    <w:rsid w:val="00DA3E13"/>
    <w:rsid w:val="00DB2672"/>
    <w:rsid w:val="00DC292A"/>
    <w:rsid w:val="00DE46E6"/>
    <w:rsid w:val="00E024B7"/>
    <w:rsid w:val="00E26B81"/>
    <w:rsid w:val="00E273F8"/>
    <w:rsid w:val="00E308C6"/>
    <w:rsid w:val="00E3459A"/>
    <w:rsid w:val="00E46BE7"/>
    <w:rsid w:val="00E63572"/>
    <w:rsid w:val="00E715FE"/>
    <w:rsid w:val="00E837E7"/>
    <w:rsid w:val="00E84B1B"/>
    <w:rsid w:val="00E91144"/>
    <w:rsid w:val="00E94F80"/>
    <w:rsid w:val="00EA1D60"/>
    <w:rsid w:val="00EA562B"/>
    <w:rsid w:val="00ED115A"/>
    <w:rsid w:val="00ED7F53"/>
    <w:rsid w:val="00F12C1E"/>
    <w:rsid w:val="00F21012"/>
    <w:rsid w:val="00F3021E"/>
    <w:rsid w:val="00F346A4"/>
    <w:rsid w:val="00F559B6"/>
    <w:rsid w:val="00F66A36"/>
    <w:rsid w:val="00F7118D"/>
    <w:rsid w:val="00F81EF5"/>
    <w:rsid w:val="00F82C5A"/>
    <w:rsid w:val="00F950C5"/>
    <w:rsid w:val="00FA7458"/>
    <w:rsid w:val="00FB0941"/>
    <w:rsid w:val="00FD580D"/>
    <w:rsid w:val="00FD60B4"/>
    <w:rsid w:val="00FE20D1"/>
    <w:rsid w:val="00FE46E8"/>
    <w:rsid w:val="00FF2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3E6A0D"/>
    <w:pPr>
      <w:ind w:left="2016" w:right="576" w:hanging="1440"/>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C25CC3"/>
  </w:style>
  <w:style w:type="character" w:customStyle="1" w:styleId="FootnoteTextChar">
    <w:name w:val="Footnote Text Char"/>
    <w:basedOn w:val="DefaultParagraphFont"/>
    <w:link w:val="FootnoteText"/>
    <w:rsid w:val="00C25CC3"/>
  </w:style>
  <w:style w:type="character" w:styleId="FootnoteReference">
    <w:name w:val="footnote reference"/>
    <w:basedOn w:val="DefaultParagraphFont"/>
    <w:rsid w:val="00C25C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3E6A0D"/>
    <w:pPr>
      <w:ind w:left="2016" w:right="576" w:hanging="1440"/>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C25CC3"/>
  </w:style>
  <w:style w:type="character" w:customStyle="1" w:styleId="FootnoteTextChar">
    <w:name w:val="Footnote Text Char"/>
    <w:basedOn w:val="DefaultParagraphFont"/>
    <w:link w:val="FootnoteText"/>
    <w:rsid w:val="00C25CC3"/>
  </w:style>
  <w:style w:type="character" w:styleId="FootnoteReference">
    <w:name w:val="footnote reference"/>
    <w:basedOn w:val="DefaultParagraphFont"/>
    <w:rsid w:val="00C25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shealthdruglist.ehs.state.ma.us/MHDL/" TargetMode="Externa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E336-0390-4968-949B-4A0F29DB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1192</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8624</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9</cp:revision>
  <cp:lastPrinted>2019-05-01T14:30:00Z</cp:lastPrinted>
  <dcterms:created xsi:type="dcterms:W3CDTF">2019-05-01T13:55:00Z</dcterms:created>
  <dcterms:modified xsi:type="dcterms:W3CDTF">2019-05-06T19:10:00Z</dcterms:modified>
</cp:coreProperties>
</file>