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38E3"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342F215C" wp14:editId="0F1FA01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4E3C45" wp14:editId="136B04B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332461D"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AB8A4B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8940D0C" w14:textId="77777777" w:rsidR="006D3F15" w:rsidRPr="00777A22" w:rsidRDefault="005C37DB"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2C555E8" w14:textId="77777777" w:rsidR="00F664CC" w:rsidRPr="00150BCC" w:rsidRDefault="00F664CC" w:rsidP="00982839">
      <w:pPr>
        <w:pStyle w:val="BullsHeading"/>
        <w:spacing w:before="480"/>
      </w:pPr>
      <w:r w:rsidRPr="00150BCC">
        <w:t>MassHealth</w:t>
      </w:r>
    </w:p>
    <w:p w14:paraId="777D893C" w14:textId="08038A67" w:rsidR="00F664CC" w:rsidRPr="00150BCC" w:rsidRDefault="004F4301" w:rsidP="00150BCC">
      <w:pPr>
        <w:pStyle w:val="BullsHeading"/>
      </w:pPr>
      <w:r>
        <w:t>Managed Care Entity</w:t>
      </w:r>
      <w:r w:rsidR="00F664CC" w:rsidRPr="00150BCC">
        <w:t xml:space="preserve"> Bulletin </w:t>
      </w:r>
      <w:r w:rsidR="00F47E95">
        <w:t>40</w:t>
      </w:r>
    </w:p>
    <w:p w14:paraId="2606A87A" w14:textId="773A0A69" w:rsidR="00F664CC" w:rsidRPr="000C53E9" w:rsidRDefault="00650589" w:rsidP="00150BCC">
      <w:pPr>
        <w:pStyle w:val="BullsHeading"/>
        <w:rPr>
          <w:sz w:val="22"/>
          <w:szCs w:val="22"/>
        </w:rPr>
      </w:pPr>
      <w:r>
        <w:rPr>
          <w:sz w:val="22"/>
          <w:szCs w:val="22"/>
        </w:rPr>
        <w:t xml:space="preserve">August </w:t>
      </w:r>
      <w:r w:rsidR="00886222" w:rsidRPr="000C53E9">
        <w:rPr>
          <w:sz w:val="22"/>
          <w:szCs w:val="22"/>
        </w:rPr>
        <w:t>2020</w:t>
      </w:r>
    </w:p>
    <w:p w14:paraId="687A1687" w14:textId="77777777" w:rsidR="00F664CC" w:rsidRPr="000C53E9" w:rsidRDefault="00F664CC" w:rsidP="00BD2DAF">
      <w:pPr>
        <w:spacing w:line="360" w:lineRule="auto"/>
        <w:ind w:left="360"/>
        <w:rPr>
          <w:rFonts w:ascii="Georgia" w:hAnsi="Georgia"/>
          <w:b/>
          <w:color w:val="1F497D" w:themeColor="text2"/>
          <w:sz w:val="22"/>
          <w:szCs w:val="22"/>
        </w:rPr>
      </w:pPr>
    </w:p>
    <w:p w14:paraId="2EBF1A73" w14:textId="77777777" w:rsidR="00F664CC" w:rsidRPr="000C53E9" w:rsidRDefault="00F664CC" w:rsidP="00BD2DAF">
      <w:pPr>
        <w:spacing w:line="360" w:lineRule="auto"/>
        <w:ind w:left="360"/>
        <w:rPr>
          <w:rFonts w:ascii="Georgia" w:hAnsi="Georgia"/>
          <w:b/>
          <w:color w:val="1F497D" w:themeColor="text2"/>
          <w:sz w:val="21"/>
          <w:szCs w:val="21"/>
        </w:rPr>
        <w:sectPr w:rsidR="00F664CC" w:rsidRPr="000C53E9"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4668CB5" w14:textId="41BC93E5" w:rsidR="00F664CC" w:rsidRPr="00F664CC" w:rsidRDefault="00F664CC" w:rsidP="00232E64">
      <w:pPr>
        <w:ind w:left="108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proofErr w:type="gramStart"/>
      <w:r w:rsidR="00754B9F" w:rsidRPr="00754B9F">
        <w:rPr>
          <w:rFonts w:ascii="Georgia" w:hAnsi="Georgia"/>
          <w:sz w:val="22"/>
          <w:szCs w:val="22"/>
        </w:rPr>
        <w:t>Accountable</w:t>
      </w:r>
      <w:proofErr w:type="gramEnd"/>
      <w:r w:rsidR="00754B9F" w:rsidRPr="00754B9F">
        <w:rPr>
          <w:rFonts w:ascii="Georgia" w:hAnsi="Georgia"/>
          <w:sz w:val="22"/>
          <w:szCs w:val="22"/>
        </w:rPr>
        <w:t xml:space="preserve"> Care Partnership Plans</w:t>
      </w:r>
      <w:r w:rsidR="001945FB">
        <w:rPr>
          <w:rFonts w:ascii="Georgia" w:hAnsi="Georgia"/>
          <w:sz w:val="22"/>
          <w:szCs w:val="22"/>
        </w:rPr>
        <w:t xml:space="preserve"> and</w:t>
      </w:r>
      <w:r w:rsidR="00754B9F" w:rsidRPr="00754B9F">
        <w:rPr>
          <w:rFonts w:ascii="Georgia" w:hAnsi="Georgia"/>
          <w:sz w:val="22"/>
          <w:szCs w:val="22"/>
        </w:rPr>
        <w:t xml:space="preserve"> Managed Care Organizations Participating in MassHealth</w:t>
      </w:r>
    </w:p>
    <w:p w14:paraId="1D310147" w14:textId="7D9F14C8" w:rsidR="00F664CC" w:rsidRPr="00F664CC" w:rsidRDefault="00F664CC" w:rsidP="00232E64">
      <w:pPr>
        <w:spacing w:before="240" w:after="240"/>
        <w:ind w:left="1080" w:hanging="108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 xml:space="preserve">Amanda Cassel Kraft, Acting Medicaid </w:t>
      </w:r>
      <w:proofErr w:type="gramStart"/>
      <w:r w:rsidR="003A7588" w:rsidRPr="003A7588">
        <w:rPr>
          <w:rFonts w:ascii="Georgia" w:hAnsi="Georgia"/>
          <w:sz w:val="22"/>
          <w:szCs w:val="22"/>
        </w:rPr>
        <w:t>Director</w:t>
      </w:r>
      <w:r w:rsidR="007D1F33">
        <w:rPr>
          <w:rFonts w:ascii="Georgia" w:hAnsi="Georgia"/>
          <w:sz w:val="22"/>
          <w:szCs w:val="22"/>
        </w:rPr>
        <w:t xml:space="preserve">  </w:t>
      </w:r>
      <w:r w:rsidR="005C37DB">
        <w:rPr>
          <w:rFonts w:ascii="Georgia" w:hAnsi="Georgia"/>
          <w:sz w:val="22"/>
          <w:szCs w:val="22"/>
        </w:rPr>
        <w:t>[</w:t>
      </w:r>
      <w:proofErr w:type="gramEnd"/>
      <w:r w:rsidR="005C37DB">
        <w:rPr>
          <w:rFonts w:ascii="Georgia" w:hAnsi="Georgia"/>
          <w:sz w:val="22"/>
          <w:szCs w:val="22"/>
        </w:rPr>
        <w:t>Signature of Amanda Cassel Kraft]</w:t>
      </w:r>
      <w:bookmarkStart w:id="0" w:name="_GoBack"/>
      <w:bookmarkEnd w:id="0"/>
    </w:p>
    <w:p w14:paraId="118EC036" w14:textId="638975FD" w:rsidR="00B30D33" w:rsidRDefault="00F664CC" w:rsidP="00232E64">
      <w:pPr>
        <w:spacing w:after="240" w:line="276" w:lineRule="auto"/>
        <w:ind w:left="1080" w:hanging="1080"/>
        <w:rPr>
          <w:rFonts w:ascii="Georgia" w:hAnsi="Georgia"/>
          <w:sz w:val="22"/>
          <w:szCs w:val="22"/>
        </w:rPr>
      </w:pPr>
      <w:r w:rsidRPr="00F664CC">
        <w:rPr>
          <w:rFonts w:ascii="Georgia" w:hAnsi="Georgia"/>
          <w:b/>
          <w:sz w:val="22"/>
          <w:szCs w:val="22"/>
        </w:rPr>
        <w:t>RE:</w:t>
      </w:r>
      <w:r w:rsidR="00BD2DAF">
        <w:rPr>
          <w:rFonts w:ascii="Georgia" w:hAnsi="Georgia"/>
          <w:b/>
          <w:sz w:val="22"/>
          <w:szCs w:val="22"/>
        </w:rPr>
        <w:tab/>
      </w:r>
      <w:r w:rsidR="00C870A6" w:rsidRPr="006D41FA">
        <w:rPr>
          <w:rFonts w:ascii="Georgia" w:hAnsi="Georgia"/>
          <w:b/>
          <w:sz w:val="22"/>
          <w:szCs w:val="22"/>
        </w:rPr>
        <w:t>Payment for COVID-19 Specimen Collection and Testing</w:t>
      </w:r>
      <w:r w:rsidR="00C870A6" w:rsidRPr="00D62587">
        <w:rPr>
          <w:rFonts w:ascii="Georgia" w:hAnsi="Georgia"/>
          <w:sz w:val="22"/>
          <w:szCs w:val="22"/>
        </w:rPr>
        <w:t xml:space="preserve"> </w:t>
      </w:r>
    </w:p>
    <w:p w14:paraId="2B2E47EB" w14:textId="77777777" w:rsidR="0037039C" w:rsidRDefault="0037039C" w:rsidP="0037039C">
      <w:pPr>
        <w:spacing w:line="276" w:lineRule="auto"/>
        <w:ind w:left="1080" w:hanging="1080"/>
      </w:pPr>
    </w:p>
    <w:p w14:paraId="7655E624" w14:textId="4D6447E3" w:rsidR="006D41FA" w:rsidRPr="006D41FA" w:rsidRDefault="006D41FA" w:rsidP="000262BD">
      <w:pPr>
        <w:pStyle w:val="BodyTextIndent"/>
        <w:ind w:left="0"/>
        <w:rPr>
          <w:b/>
          <w:color w:val="1F497D" w:themeColor="text2"/>
        </w:rPr>
      </w:pPr>
      <w:r w:rsidRPr="006D41FA">
        <w:rPr>
          <w:b/>
          <w:color w:val="1F497D" w:themeColor="text2"/>
          <w:sz w:val="24"/>
        </w:rPr>
        <w:t>Background</w:t>
      </w:r>
    </w:p>
    <w:p w14:paraId="2D09B14B" w14:textId="5D386D98" w:rsidR="00091225" w:rsidRDefault="004F4301" w:rsidP="000262BD">
      <w:pPr>
        <w:pStyle w:val="BodyTextIndent"/>
        <w:ind w:left="0"/>
      </w:pPr>
      <w:r w:rsidRPr="0091028C">
        <w:t>MassHealth’s mission is to improve the health outcomes of our diverse members and their families by providing access to integrated health care services that sustainably and equitably promote health, well-being, independence</w:t>
      </w:r>
      <w:r w:rsidR="0079569A">
        <w:t>,</w:t>
      </w:r>
      <w:r w:rsidRPr="0091028C">
        <w:t xml:space="preserve"> and quality of life. In support of that mission, MassHealth provides broad coverage of medically necessary health care services to its members. MassHealth </w:t>
      </w:r>
      <w:r w:rsidR="00B83579">
        <w:t xml:space="preserve">also </w:t>
      </w:r>
      <w:r w:rsidRPr="0091028C">
        <w:t>partners with a wide variety of service providers</w:t>
      </w:r>
      <w:r w:rsidR="000A69B1">
        <w:t xml:space="preserve"> </w:t>
      </w:r>
      <w:r w:rsidRPr="0091028C">
        <w:t xml:space="preserve">in order to offer its members access. </w:t>
      </w:r>
    </w:p>
    <w:p w14:paraId="7502E989" w14:textId="67E34E0E" w:rsidR="00091225" w:rsidRPr="0020786A" w:rsidRDefault="00C870A6" w:rsidP="000262BD">
      <w:pPr>
        <w:pStyle w:val="BodyTextIndent"/>
        <w:ind w:left="0"/>
      </w:pPr>
      <w:r>
        <w:t xml:space="preserve">In light of the state of emergency declared in the Commonwealth due to the 2019 novel Coronavirus (COVID-19) outbreak </w:t>
      </w:r>
      <w:r w:rsidR="00091225">
        <w:t xml:space="preserve">and to facilitate the testing of MassHealth members suspected of having COVID-19, including at rapid testing sites operating in accordance with MassHealth and Department of Public Health rules and regulations, and in recognition of the unique costs incurred by providers collecting specimens from those members, MassHealth has implemented flexibilities to allow providers to separately bill and receive payment for COVID-19 </w:t>
      </w:r>
      <w:r w:rsidR="00091225" w:rsidRPr="0020786A">
        <w:t xml:space="preserve">specimen collection and testing services.  </w:t>
      </w:r>
    </w:p>
    <w:p w14:paraId="5FD125BC" w14:textId="58D13676" w:rsidR="00433C4E" w:rsidRPr="0020786A" w:rsidRDefault="00232638" w:rsidP="000262BD">
      <w:pPr>
        <w:pStyle w:val="BodyTextIndent"/>
        <w:ind w:left="0"/>
      </w:pPr>
      <w:r w:rsidRPr="0020786A">
        <w:t xml:space="preserve">Managed Care Organizations (MCOs) and Accountable Care Partnership Plans (ACPPs) (together “managed care plans”) </w:t>
      </w:r>
      <w:r w:rsidR="00433C4E" w:rsidRPr="0020786A">
        <w:t>must ensure that they deliver all covered services in an amount, duration</w:t>
      </w:r>
      <w:r w:rsidR="0079569A">
        <w:t>,</w:t>
      </w:r>
      <w:r w:rsidR="00433C4E" w:rsidRPr="0020786A">
        <w:t xml:space="preserve"> and scope that </w:t>
      </w:r>
      <w:proofErr w:type="gramStart"/>
      <w:r w:rsidR="00433C4E" w:rsidRPr="0020786A">
        <w:t>is</w:t>
      </w:r>
      <w:proofErr w:type="gramEnd"/>
      <w:r w:rsidR="00433C4E" w:rsidRPr="0020786A">
        <w:t xml:space="preserve"> no more restrictive than the MassH</w:t>
      </w:r>
      <w:r w:rsidR="005515D3">
        <w:t xml:space="preserve">ealth fee-for-service program. </w:t>
      </w:r>
      <w:r w:rsidR="00433C4E" w:rsidRPr="0020786A">
        <w:t>Managed care plans should stay up to date on any changes to the amount, duration, and scope of services that MassHealth may announce via subsequent bulletins or guidance.</w:t>
      </w:r>
    </w:p>
    <w:p w14:paraId="30E0409D" w14:textId="2CCB6CAE" w:rsidR="00A334A0" w:rsidRDefault="005515D3" w:rsidP="000262BD">
      <w:pPr>
        <w:pStyle w:val="BodyTextIndent"/>
        <w:spacing w:after="120" w:afterAutospacing="0"/>
        <w:ind w:left="0"/>
      </w:pPr>
      <w:r>
        <w:t>In</w:t>
      </w:r>
      <w:r w:rsidRPr="0020786A">
        <w:t xml:space="preserve"> </w:t>
      </w:r>
      <w:r w:rsidR="00C04767" w:rsidRPr="0020786A">
        <w:t>this bulletin,</w:t>
      </w:r>
      <w:r w:rsidR="00A334A0" w:rsidRPr="0020786A">
        <w:t xml:space="preserve"> MassHealth clarifi</w:t>
      </w:r>
      <w:r>
        <w:t>es</w:t>
      </w:r>
      <w:r w:rsidR="00A334A0" w:rsidRPr="0020786A">
        <w:t xml:space="preserve"> </w:t>
      </w:r>
      <w:r>
        <w:t xml:space="preserve">managed care plan </w:t>
      </w:r>
      <w:r w:rsidR="00A334A0" w:rsidRPr="0020786A">
        <w:t xml:space="preserve">requirements </w:t>
      </w:r>
      <w:r w:rsidR="00D8329A" w:rsidRPr="0020786A">
        <w:t xml:space="preserve">for </w:t>
      </w:r>
      <w:r w:rsidR="00A334A0" w:rsidRPr="0020786A">
        <w:t>payment to a provider for specimen collection when the provider also conducts or bills for the laboratory test.</w:t>
      </w:r>
      <w:r w:rsidR="00A334A0">
        <w:t xml:space="preserve"> </w:t>
      </w:r>
    </w:p>
    <w:p w14:paraId="1123B494" w14:textId="7FC8449A" w:rsidR="00A334A0" w:rsidRPr="0037039C" w:rsidRDefault="00A334A0" w:rsidP="000262BD">
      <w:pPr>
        <w:pStyle w:val="BodyTextIndent"/>
        <w:spacing w:after="120" w:afterAutospacing="0"/>
        <w:ind w:left="0"/>
      </w:pPr>
      <w:r>
        <w:t xml:space="preserve">MassHealth is also directing managed care plans to conform their </w:t>
      </w:r>
      <w:r w:rsidR="00C04767">
        <w:t xml:space="preserve">payment systems to permit the use of a certain modifier by providers in billing for specimen collection, </w:t>
      </w:r>
      <w:r w:rsidR="00C04767" w:rsidRPr="0037039C">
        <w:t>testing</w:t>
      </w:r>
      <w:r w:rsidR="005515D3" w:rsidRPr="0037039C">
        <w:t>,</w:t>
      </w:r>
      <w:r w:rsidR="00C04767" w:rsidRPr="0037039C">
        <w:t xml:space="preserve"> and resulting. </w:t>
      </w:r>
      <w:r w:rsidR="005F2804" w:rsidRPr="0037039C">
        <w:t xml:space="preserve">In addition, </w:t>
      </w:r>
      <w:r w:rsidRPr="0037039C">
        <w:t xml:space="preserve">MassHealth is directing plans to cover all medically necessary </w:t>
      </w:r>
      <w:proofErr w:type="gramStart"/>
      <w:r w:rsidRPr="0037039C">
        <w:t>laboratory</w:t>
      </w:r>
      <w:proofErr w:type="gramEnd"/>
      <w:r w:rsidRPr="0037039C">
        <w:t xml:space="preserve"> testing for COVID-19.</w:t>
      </w:r>
    </w:p>
    <w:p w14:paraId="5FF0C6BB" w14:textId="6D232954" w:rsidR="00A51B29" w:rsidRDefault="00C04767" w:rsidP="000262BD">
      <w:pPr>
        <w:spacing w:after="240"/>
        <w:rPr>
          <w:rFonts w:ascii="Georgia" w:hAnsi="Georgia"/>
          <w:sz w:val="22"/>
          <w:szCs w:val="22"/>
        </w:rPr>
      </w:pPr>
      <w:r w:rsidRPr="0037039C">
        <w:rPr>
          <w:rFonts w:ascii="Georgia" w:hAnsi="Georgia"/>
          <w:sz w:val="22"/>
          <w:szCs w:val="22"/>
        </w:rPr>
        <w:t>Finally, t</w:t>
      </w:r>
      <w:r w:rsidR="00A334A0" w:rsidRPr="0037039C">
        <w:rPr>
          <w:rFonts w:ascii="Georgia" w:hAnsi="Georgia"/>
          <w:sz w:val="22"/>
          <w:szCs w:val="22"/>
        </w:rPr>
        <w:t xml:space="preserve">hrough this bulletin, </w:t>
      </w:r>
      <w:r w:rsidR="00D2281F" w:rsidRPr="0037039C">
        <w:rPr>
          <w:rFonts w:ascii="Georgia" w:hAnsi="Georgia"/>
          <w:sz w:val="22"/>
          <w:szCs w:val="22"/>
        </w:rPr>
        <w:t xml:space="preserve">MassHealth is directing managed care plans to </w:t>
      </w:r>
      <w:r w:rsidR="0004505E" w:rsidRPr="0037039C">
        <w:rPr>
          <w:rFonts w:ascii="Georgia" w:hAnsi="Georgia"/>
          <w:sz w:val="22"/>
          <w:szCs w:val="22"/>
        </w:rPr>
        <w:t xml:space="preserve">pay for </w:t>
      </w:r>
      <w:r w:rsidR="00433C4E" w:rsidRPr="0037039C">
        <w:rPr>
          <w:rFonts w:ascii="Georgia" w:hAnsi="Georgia"/>
          <w:sz w:val="22"/>
          <w:szCs w:val="22"/>
        </w:rPr>
        <w:t xml:space="preserve">medically necessary </w:t>
      </w:r>
      <w:r w:rsidR="005F2804" w:rsidRPr="0037039C">
        <w:rPr>
          <w:rFonts w:ascii="Georgia" w:hAnsi="Georgia"/>
          <w:sz w:val="22"/>
          <w:szCs w:val="22"/>
        </w:rPr>
        <w:t>specimen collection, testing</w:t>
      </w:r>
      <w:r w:rsidR="0079569A">
        <w:rPr>
          <w:rFonts w:ascii="Georgia" w:hAnsi="Georgia"/>
          <w:sz w:val="22"/>
          <w:szCs w:val="22"/>
        </w:rPr>
        <w:t>,</w:t>
      </w:r>
      <w:r w:rsidR="005F2804" w:rsidRPr="0037039C">
        <w:rPr>
          <w:rFonts w:ascii="Georgia" w:hAnsi="Georgia"/>
          <w:sz w:val="22"/>
          <w:szCs w:val="22"/>
        </w:rPr>
        <w:t xml:space="preserve"> and resulting</w:t>
      </w:r>
      <w:r w:rsidR="0004505E" w:rsidRPr="0037039C">
        <w:rPr>
          <w:rFonts w:ascii="Georgia" w:hAnsi="Georgia"/>
          <w:sz w:val="22"/>
          <w:szCs w:val="22"/>
        </w:rPr>
        <w:t xml:space="preserve"> services as set forth in</w:t>
      </w:r>
      <w:r w:rsidR="0037039C">
        <w:rPr>
          <w:rFonts w:ascii="Georgia" w:hAnsi="Georgia"/>
          <w:sz w:val="22"/>
          <w:szCs w:val="22"/>
        </w:rPr>
        <w:t xml:space="preserve"> this bulletin.</w:t>
      </w:r>
    </w:p>
    <w:p w14:paraId="13C4F971" w14:textId="11F4A9DD" w:rsidR="0020786A" w:rsidRDefault="0020786A" w:rsidP="0020786A">
      <w:pPr>
        <w:spacing w:after="240"/>
        <w:rPr>
          <w:rFonts w:ascii="Georgia" w:hAnsi="Georgia"/>
          <w:sz w:val="22"/>
          <w:szCs w:val="22"/>
        </w:rPr>
      </w:pPr>
      <w:r>
        <w:rPr>
          <w:rFonts w:ascii="Georgia" w:hAnsi="Georgia"/>
          <w:sz w:val="22"/>
          <w:szCs w:val="22"/>
        </w:rPr>
        <w:t xml:space="preserve">This bulletin is not applicable </w:t>
      </w:r>
      <w:r w:rsidR="004A0D4B">
        <w:rPr>
          <w:rFonts w:ascii="Georgia" w:hAnsi="Georgia"/>
          <w:sz w:val="22"/>
          <w:szCs w:val="22"/>
        </w:rPr>
        <w:t xml:space="preserve">to One Care Plans, Senior Care </w:t>
      </w:r>
      <w:r>
        <w:rPr>
          <w:rFonts w:ascii="Georgia" w:hAnsi="Georgia"/>
          <w:sz w:val="22"/>
          <w:szCs w:val="22"/>
        </w:rPr>
        <w:t>Organizations or Program of All-Inclusive Care for the Elderly (PACE) organizations.</w:t>
      </w:r>
    </w:p>
    <w:p w14:paraId="44FF5DF9" w14:textId="77777777" w:rsidR="0020786A" w:rsidRDefault="0020786A" w:rsidP="000262BD">
      <w:pPr>
        <w:spacing w:after="240"/>
        <w:rPr>
          <w:rFonts w:ascii="Georgia" w:hAnsi="Georgia"/>
          <w:sz w:val="22"/>
          <w:szCs w:val="22"/>
        </w:rPr>
      </w:pPr>
    </w:p>
    <w:p w14:paraId="7AA23A2B" w14:textId="0309A873" w:rsidR="00C870A6" w:rsidRPr="006D41FA" w:rsidRDefault="00C621C6" w:rsidP="000262BD">
      <w:pPr>
        <w:pStyle w:val="Heading1"/>
        <w:keepNext/>
        <w:ind w:left="0"/>
      </w:pPr>
      <w:r w:rsidRPr="006D41FA">
        <w:lastRenderedPageBreak/>
        <w:t>Coverage of COVID-19</w:t>
      </w:r>
      <w:r w:rsidR="00C870A6" w:rsidRPr="006D41FA">
        <w:t xml:space="preserve"> Specimen Collection </w:t>
      </w:r>
    </w:p>
    <w:p w14:paraId="74F84796" w14:textId="42E16DA7" w:rsidR="00433C4E" w:rsidRDefault="0004505E" w:rsidP="000262BD">
      <w:pPr>
        <w:rPr>
          <w:rFonts w:cs="Arial"/>
        </w:rPr>
      </w:pPr>
      <w:r w:rsidRPr="00466854">
        <w:rPr>
          <w:rFonts w:ascii="Georgia" w:hAnsi="Georgia"/>
          <w:sz w:val="22"/>
          <w:szCs w:val="22"/>
        </w:rPr>
        <w:t>As described i</w:t>
      </w:r>
      <w:r w:rsidR="00C04767">
        <w:rPr>
          <w:rFonts w:ascii="Georgia" w:hAnsi="Georgia"/>
          <w:sz w:val="22"/>
          <w:szCs w:val="22"/>
        </w:rPr>
        <w:t xml:space="preserve">n </w:t>
      </w:r>
      <w:hyperlink r:id="rId13" w:history="1">
        <w:r w:rsidR="00C04767" w:rsidRPr="001720BF">
          <w:rPr>
            <w:rStyle w:val="Hyperlink"/>
            <w:rFonts w:ascii="Georgia" w:hAnsi="Georgia"/>
            <w:sz w:val="22"/>
            <w:szCs w:val="22"/>
          </w:rPr>
          <w:t>Managed Care Entity Bulletin 29</w:t>
        </w:r>
      </w:hyperlink>
      <w:r w:rsidR="00C04767">
        <w:rPr>
          <w:rFonts w:ascii="Georgia" w:hAnsi="Georgia"/>
          <w:sz w:val="22"/>
          <w:szCs w:val="22"/>
        </w:rPr>
        <w:t xml:space="preserve">, managed care plans are directed to conform their specimen collection and testing services coverage policies to match those set forth in </w:t>
      </w:r>
      <w:hyperlink r:id="rId14" w:history="1">
        <w:r w:rsidR="00C04767" w:rsidRPr="0079569A">
          <w:rPr>
            <w:rStyle w:val="Hyperlink"/>
            <w:rFonts w:ascii="Georgia" w:hAnsi="Georgia"/>
            <w:sz w:val="22"/>
            <w:szCs w:val="22"/>
          </w:rPr>
          <w:t>All Provider Bulletin 294</w:t>
        </w:r>
      </w:hyperlink>
      <w:r w:rsidR="00C04767">
        <w:rPr>
          <w:rFonts w:ascii="Georgia" w:hAnsi="Georgia"/>
          <w:sz w:val="22"/>
          <w:szCs w:val="22"/>
        </w:rPr>
        <w:t xml:space="preserve">. </w:t>
      </w:r>
      <w:r w:rsidR="00B30D33" w:rsidRPr="0020786A">
        <w:rPr>
          <w:rFonts w:ascii="Georgia" w:hAnsi="Georgia"/>
          <w:sz w:val="22"/>
          <w:szCs w:val="22"/>
        </w:rPr>
        <w:t>To clarify MCE Bulletin 29,</w:t>
      </w:r>
      <w:r w:rsidR="005F2804" w:rsidRPr="0020786A">
        <w:rPr>
          <w:rFonts w:ascii="Georgia" w:hAnsi="Georgia"/>
          <w:sz w:val="22"/>
          <w:szCs w:val="22"/>
        </w:rPr>
        <w:t xml:space="preserve"> </w:t>
      </w:r>
      <w:r w:rsidR="005F2804" w:rsidRPr="0020786A">
        <w:rPr>
          <w:rFonts w:ascii="Georgia" w:hAnsi="Georgia" w:cs="Arial"/>
          <w:sz w:val="22"/>
          <w:szCs w:val="22"/>
        </w:rPr>
        <w:t>managed care plans must allow providers to</w:t>
      </w:r>
      <w:r w:rsidR="00B30D33" w:rsidRPr="0020786A">
        <w:rPr>
          <w:rFonts w:ascii="Georgia" w:hAnsi="Georgia" w:cs="Arial"/>
          <w:sz w:val="22"/>
          <w:szCs w:val="22"/>
        </w:rPr>
        <w:t xml:space="preserve"> </w:t>
      </w:r>
      <w:r w:rsidR="005F2804" w:rsidRPr="0020786A">
        <w:rPr>
          <w:rFonts w:ascii="Georgia" w:hAnsi="Georgia" w:cs="Arial"/>
          <w:sz w:val="22"/>
          <w:szCs w:val="22"/>
        </w:rPr>
        <w:t>bill separately for either or both 1) the collection of specimens for the purpose of clinical laboratory testing for COVID-19</w:t>
      </w:r>
      <w:r w:rsidR="00D97ADF" w:rsidRPr="0020786A">
        <w:rPr>
          <w:rFonts w:ascii="Georgia" w:hAnsi="Georgia" w:cs="Arial"/>
          <w:sz w:val="22"/>
          <w:szCs w:val="22"/>
        </w:rPr>
        <w:t xml:space="preserve"> using codes G2023 or G2024</w:t>
      </w:r>
      <w:r w:rsidR="005F2804" w:rsidRPr="0020786A">
        <w:rPr>
          <w:rFonts w:ascii="Georgia" w:hAnsi="Georgia" w:cs="Arial"/>
          <w:sz w:val="22"/>
          <w:szCs w:val="22"/>
        </w:rPr>
        <w:t>, and 2) the laboratory analysis of such specimens</w:t>
      </w:r>
      <w:r w:rsidR="005F2804" w:rsidRPr="0020786A">
        <w:t xml:space="preserve">. </w:t>
      </w:r>
      <w:r w:rsidR="005F2804" w:rsidRPr="0020786A">
        <w:rPr>
          <w:rFonts w:ascii="Georgia" w:hAnsi="Georgia"/>
          <w:sz w:val="22"/>
          <w:szCs w:val="22"/>
        </w:rPr>
        <w:t>As such, M</w:t>
      </w:r>
      <w:r w:rsidR="00466854" w:rsidRPr="0020786A">
        <w:rPr>
          <w:rFonts w:ascii="Georgia" w:hAnsi="Georgia"/>
          <w:sz w:val="22"/>
          <w:szCs w:val="22"/>
        </w:rPr>
        <w:t xml:space="preserve">COs and ACPPs must </w:t>
      </w:r>
      <w:r w:rsidR="00B30D33" w:rsidRPr="0020786A">
        <w:rPr>
          <w:rFonts w:ascii="Georgia" w:hAnsi="Georgia"/>
          <w:sz w:val="22"/>
          <w:szCs w:val="22"/>
        </w:rPr>
        <w:t>cover</w:t>
      </w:r>
      <w:r w:rsidR="00482BF2" w:rsidRPr="0020786A">
        <w:rPr>
          <w:rFonts w:ascii="Georgia" w:hAnsi="Georgia" w:cs="Arial"/>
          <w:sz w:val="22"/>
          <w:szCs w:val="22"/>
        </w:rPr>
        <w:t xml:space="preserve"> provider collection of the specimen for COVID-19 testing when the provider is also </w:t>
      </w:r>
      <w:r w:rsidR="00482BF2" w:rsidRPr="0020786A">
        <w:rPr>
          <w:rFonts w:ascii="Georgia" w:hAnsi="Georgia"/>
          <w:sz w:val="22"/>
          <w:szCs w:val="22"/>
        </w:rPr>
        <w:t>conducting</w:t>
      </w:r>
      <w:r w:rsidR="00482BF2" w:rsidRPr="0020786A">
        <w:rPr>
          <w:rFonts w:ascii="Georgia" w:hAnsi="Georgia" w:cs="Arial"/>
          <w:sz w:val="22"/>
          <w:szCs w:val="22"/>
        </w:rPr>
        <w:t xml:space="preserve"> or billing for the actual laboratory test.</w:t>
      </w:r>
    </w:p>
    <w:p w14:paraId="094FAC48" w14:textId="28421643" w:rsidR="002663F1" w:rsidRDefault="002663F1" w:rsidP="000262BD"/>
    <w:p w14:paraId="7CC66D32" w14:textId="1315175F" w:rsidR="00E118FE" w:rsidRDefault="00D62587" w:rsidP="00232E64">
      <w:r w:rsidRPr="00482BF2">
        <w:rPr>
          <w:rFonts w:ascii="Georgia" w:hAnsi="Georgia"/>
          <w:sz w:val="22"/>
          <w:szCs w:val="22"/>
        </w:rPr>
        <w:t xml:space="preserve">These flexibilities apply to dates of service beginning March 12, 2020, for the duration of the state of emergency declared by Executive Order No. 591. </w:t>
      </w:r>
      <w:r w:rsidR="00482BF2" w:rsidRPr="000262BD">
        <w:rPr>
          <w:rFonts w:ascii="Georgia" w:hAnsi="Georgia"/>
          <w:sz w:val="22"/>
          <w:szCs w:val="22"/>
        </w:rPr>
        <w:t>Managed care plans are directed to pay for specimen collection code G2023 and G2024 consistent with this bulletin</w:t>
      </w:r>
      <w:r w:rsidR="00595E5F">
        <w:rPr>
          <w:rFonts w:ascii="Georgia" w:hAnsi="Georgia"/>
          <w:sz w:val="22"/>
          <w:szCs w:val="22"/>
        </w:rPr>
        <w:t xml:space="preserve"> at the following rates:</w:t>
      </w:r>
      <w:r w:rsidRPr="00D62587">
        <w:rPr>
          <w:rFonts w:ascii="Georgia" w:hAnsi="Georgia"/>
          <w:sz w:val="22"/>
          <w:szCs w:val="22"/>
        </w:rPr>
        <w:t xml:space="preserve"> </w:t>
      </w:r>
    </w:p>
    <w:p w14:paraId="78649FDE" w14:textId="77777777" w:rsidR="00D62587" w:rsidRDefault="00D62587" w:rsidP="00CE6FA0">
      <w:pPr>
        <w:spacing w:after="240"/>
      </w:pPr>
    </w:p>
    <w:tbl>
      <w:tblPr>
        <w:tblStyle w:val="TableGrid"/>
        <w:tblW w:w="9270" w:type="dxa"/>
        <w:tblInd w:w="288" w:type="dxa"/>
        <w:tblLayout w:type="fixed"/>
        <w:tblLook w:val="04A0" w:firstRow="1" w:lastRow="0" w:firstColumn="1" w:lastColumn="0" w:noHBand="0" w:noVBand="1"/>
      </w:tblPr>
      <w:tblGrid>
        <w:gridCol w:w="1350"/>
        <w:gridCol w:w="1350"/>
        <w:gridCol w:w="6570"/>
      </w:tblGrid>
      <w:tr w:rsidR="00E118FE" w14:paraId="44A212DA" w14:textId="77777777" w:rsidTr="001720BF">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06121772" w14:textId="77777777" w:rsidR="00E118FE" w:rsidRDefault="00E118FE">
            <w:pPr>
              <w:tabs>
                <w:tab w:val="left" w:pos="1440"/>
                <w:tab w:val="center" w:pos="4925"/>
              </w:tabs>
              <w:ind w:left="234" w:right="198"/>
              <w:rPr>
                <w:sz w:val="22"/>
                <w:szCs w:val="22"/>
              </w:rPr>
            </w:pPr>
            <w:r>
              <w:rPr>
                <w:b/>
                <w:bCs/>
                <w:color w:val="000000"/>
                <w:sz w:val="22"/>
                <w:szCs w:val="22"/>
              </w:rPr>
              <w:t>CODE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91930EA" w14:textId="77777777" w:rsidR="00E118FE" w:rsidRDefault="00E118FE">
            <w:pPr>
              <w:ind w:left="234" w:right="198"/>
              <w:rPr>
                <w:color w:val="000000"/>
                <w:sz w:val="22"/>
                <w:szCs w:val="22"/>
              </w:rPr>
            </w:pPr>
            <w:r>
              <w:rPr>
                <w:b/>
                <w:bCs/>
                <w:color w:val="000000"/>
                <w:sz w:val="22"/>
                <w:szCs w:val="22"/>
              </w:rPr>
              <w:t>RATE</w:t>
            </w:r>
          </w:p>
        </w:tc>
        <w:tc>
          <w:tcPr>
            <w:tcW w:w="6570" w:type="dxa"/>
            <w:tcBorders>
              <w:top w:val="single" w:sz="4" w:space="0" w:color="auto"/>
              <w:left w:val="single" w:sz="4" w:space="0" w:color="auto"/>
              <w:bottom w:val="single" w:sz="4" w:space="0" w:color="auto"/>
              <w:right w:val="single" w:sz="4" w:space="0" w:color="auto"/>
            </w:tcBorders>
            <w:vAlign w:val="center"/>
            <w:hideMark/>
          </w:tcPr>
          <w:p w14:paraId="467654DA" w14:textId="77777777" w:rsidR="00E118FE" w:rsidRDefault="00E118FE" w:rsidP="0037039C">
            <w:pPr>
              <w:ind w:left="193" w:right="198"/>
              <w:jc w:val="center"/>
              <w:rPr>
                <w:rFonts w:eastAsia="Calibri"/>
                <w:color w:val="000000"/>
                <w:sz w:val="22"/>
                <w:szCs w:val="22"/>
              </w:rPr>
            </w:pPr>
            <w:r>
              <w:rPr>
                <w:b/>
                <w:bCs/>
                <w:color w:val="000000"/>
                <w:sz w:val="22"/>
                <w:szCs w:val="22"/>
              </w:rPr>
              <w:t>DESCRIPTION</w:t>
            </w:r>
          </w:p>
        </w:tc>
      </w:tr>
      <w:tr w:rsidR="00E118FE" w14:paraId="5F732B14" w14:textId="77777777" w:rsidTr="001720BF">
        <w:trPr>
          <w:trHeight w:val="1043"/>
        </w:trPr>
        <w:tc>
          <w:tcPr>
            <w:tcW w:w="1350" w:type="dxa"/>
            <w:tcBorders>
              <w:top w:val="single" w:sz="4" w:space="0" w:color="auto"/>
              <w:left w:val="single" w:sz="4" w:space="0" w:color="auto"/>
              <w:bottom w:val="single" w:sz="4" w:space="0" w:color="auto"/>
              <w:right w:val="single" w:sz="4" w:space="0" w:color="auto"/>
            </w:tcBorders>
            <w:vAlign w:val="center"/>
            <w:hideMark/>
          </w:tcPr>
          <w:p w14:paraId="18B9FF01" w14:textId="77777777" w:rsidR="00E118FE" w:rsidRDefault="00E118FE">
            <w:pPr>
              <w:tabs>
                <w:tab w:val="left" w:pos="1440"/>
                <w:tab w:val="center" w:pos="4925"/>
              </w:tabs>
              <w:ind w:left="234" w:right="198"/>
              <w:rPr>
                <w:sz w:val="22"/>
                <w:szCs w:val="22"/>
              </w:rPr>
            </w:pPr>
            <w:r>
              <w:rPr>
                <w:sz w:val="22"/>
                <w:szCs w:val="22"/>
              </w:rPr>
              <w:t>G2023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2DE7B56" w14:textId="77777777" w:rsidR="00E118FE" w:rsidRDefault="00E118FE">
            <w:pPr>
              <w:ind w:left="234" w:right="198"/>
              <w:rPr>
                <w:color w:val="000000"/>
                <w:sz w:val="22"/>
                <w:szCs w:val="22"/>
              </w:rPr>
            </w:pPr>
            <w:r>
              <w:rPr>
                <w:color w:val="000000"/>
                <w:sz w:val="22"/>
                <w:szCs w:val="22"/>
              </w:rPr>
              <w:t>$23.46</w:t>
            </w:r>
          </w:p>
        </w:tc>
        <w:tc>
          <w:tcPr>
            <w:tcW w:w="6570" w:type="dxa"/>
            <w:tcBorders>
              <w:top w:val="single" w:sz="4" w:space="0" w:color="auto"/>
              <w:left w:val="single" w:sz="4" w:space="0" w:color="auto"/>
              <w:bottom w:val="single" w:sz="4" w:space="0" w:color="auto"/>
              <w:right w:val="single" w:sz="4" w:space="0" w:color="auto"/>
            </w:tcBorders>
            <w:vAlign w:val="center"/>
            <w:hideMark/>
          </w:tcPr>
          <w:p w14:paraId="3C2E8362" w14:textId="77777777" w:rsidR="00E118FE" w:rsidRDefault="00E118FE" w:rsidP="0037039C">
            <w:pPr>
              <w:autoSpaceDE w:val="0"/>
              <w:autoSpaceDN w:val="0"/>
              <w:adjustRightInd w:val="0"/>
              <w:ind w:left="193" w:right="252"/>
              <w:rPr>
                <w:color w:val="000000"/>
                <w:sz w:val="22"/>
                <w:szCs w:val="22"/>
              </w:rPr>
            </w:pPr>
            <w:r>
              <w:rPr>
                <w:color w:val="000000"/>
                <w:sz w:val="22"/>
                <w:szCs w:val="22"/>
                <w:shd w:val="clear" w:color="auto" w:fill="FFFFFF"/>
              </w:rPr>
              <w:t>S</w:t>
            </w:r>
            <w:r>
              <w:rPr>
                <w:color w:val="000000"/>
                <w:sz w:val="22"/>
                <w:szCs w:val="22"/>
              </w:rPr>
              <w:t>pecimen collection for severe acute respiratory syndrome coronavirus 2 (SARS-CoV-2) (Coronavirus disease [COVID-19]), any specimen source;</w:t>
            </w:r>
          </w:p>
        </w:tc>
      </w:tr>
      <w:tr w:rsidR="00E118FE" w14:paraId="2D4B1656" w14:textId="77777777" w:rsidTr="001720BF">
        <w:trPr>
          <w:trHeight w:val="1529"/>
        </w:trPr>
        <w:tc>
          <w:tcPr>
            <w:tcW w:w="1350" w:type="dxa"/>
            <w:tcBorders>
              <w:top w:val="single" w:sz="4" w:space="0" w:color="auto"/>
              <w:left w:val="single" w:sz="4" w:space="0" w:color="auto"/>
              <w:bottom w:val="single" w:sz="4" w:space="0" w:color="auto"/>
              <w:right w:val="single" w:sz="4" w:space="0" w:color="auto"/>
            </w:tcBorders>
            <w:vAlign w:val="center"/>
            <w:hideMark/>
          </w:tcPr>
          <w:p w14:paraId="60488E5B" w14:textId="77777777" w:rsidR="00E118FE" w:rsidRDefault="00E118FE">
            <w:pPr>
              <w:tabs>
                <w:tab w:val="left" w:pos="1440"/>
                <w:tab w:val="center" w:pos="4925"/>
              </w:tabs>
              <w:ind w:left="234" w:right="198"/>
              <w:rPr>
                <w:sz w:val="22"/>
                <w:szCs w:val="22"/>
              </w:rPr>
            </w:pPr>
            <w:r>
              <w:rPr>
                <w:sz w:val="22"/>
                <w:szCs w:val="22"/>
              </w:rPr>
              <w:t>G2024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3CA29B" w14:textId="77777777" w:rsidR="00E118FE" w:rsidRDefault="00E118FE">
            <w:pPr>
              <w:ind w:left="234" w:right="198"/>
              <w:rPr>
                <w:color w:val="000000"/>
                <w:sz w:val="22"/>
                <w:szCs w:val="22"/>
              </w:rPr>
            </w:pPr>
            <w:r>
              <w:rPr>
                <w:color w:val="000000"/>
                <w:sz w:val="22"/>
                <w:szCs w:val="22"/>
              </w:rPr>
              <w:t>$25.46</w:t>
            </w:r>
          </w:p>
        </w:tc>
        <w:tc>
          <w:tcPr>
            <w:tcW w:w="6570" w:type="dxa"/>
            <w:tcBorders>
              <w:top w:val="single" w:sz="4" w:space="0" w:color="auto"/>
              <w:left w:val="single" w:sz="4" w:space="0" w:color="auto"/>
              <w:bottom w:val="single" w:sz="4" w:space="0" w:color="auto"/>
              <w:right w:val="single" w:sz="4" w:space="0" w:color="auto"/>
            </w:tcBorders>
            <w:vAlign w:val="center"/>
            <w:hideMark/>
          </w:tcPr>
          <w:p w14:paraId="6B36B859" w14:textId="77777777" w:rsidR="00E118FE" w:rsidRDefault="00E118FE" w:rsidP="0037039C">
            <w:pPr>
              <w:autoSpaceDE w:val="0"/>
              <w:autoSpaceDN w:val="0"/>
              <w:adjustRightInd w:val="0"/>
              <w:ind w:left="193" w:right="522"/>
              <w:rPr>
                <w:rFonts w:eastAsia="Calibri"/>
                <w:color w:val="000000"/>
                <w:sz w:val="22"/>
                <w:szCs w:val="22"/>
              </w:rPr>
            </w:pPr>
            <w:r>
              <w:rPr>
                <w:color w:val="000000"/>
                <w:sz w:val="22"/>
                <w:szCs w:val="22"/>
              </w:rPr>
              <w:t>Specimen collection for severe acute respiratory syndrome coronavirus 2 (SARS-CoV-2) (Coronavirus disease [COVID-19]), from an individual in a skilled nursing facility or by a laboratory on behalf of a home health agency, any specimen source</w:t>
            </w:r>
          </w:p>
        </w:tc>
      </w:tr>
    </w:tbl>
    <w:p w14:paraId="69161413" w14:textId="640DECEC" w:rsidR="00466854" w:rsidRDefault="00C621C6" w:rsidP="00232E64">
      <w:pPr>
        <w:pStyle w:val="Heading1"/>
        <w:ind w:left="0"/>
      </w:pPr>
      <w:r>
        <w:t>Coverage of Additional</w:t>
      </w:r>
      <w:r w:rsidR="00E118FE">
        <w:t xml:space="preserve"> COVID-19 Specimen Collection Services</w:t>
      </w:r>
    </w:p>
    <w:p w14:paraId="0E615BEA" w14:textId="270BF52C" w:rsidR="00A51B29" w:rsidRDefault="00466854" w:rsidP="00232E64">
      <w:pPr>
        <w:pStyle w:val="BodyTextIndent"/>
        <w:spacing w:after="120" w:afterAutospacing="0"/>
        <w:ind w:left="0"/>
      </w:pPr>
      <w:r w:rsidRPr="008A2290">
        <w:t xml:space="preserve">In addition, through </w:t>
      </w:r>
      <w:hyperlink r:id="rId15" w:history="1">
        <w:r w:rsidRPr="008A2290">
          <w:rPr>
            <w:rStyle w:val="Hyperlink"/>
          </w:rPr>
          <w:t>All Provider Bulletin 296</w:t>
        </w:r>
      </w:hyperlink>
      <w:r w:rsidRPr="008A2290">
        <w:t xml:space="preserve">, MassHealth is allowing </w:t>
      </w:r>
      <w:r w:rsidR="00482BF2">
        <w:t xml:space="preserve">certain </w:t>
      </w:r>
      <w:r w:rsidRPr="008A2290">
        <w:t xml:space="preserve">providers who can bill for specimen collection codes G2023 and G2024 to bill those codes with modifier CG and receive an additional payment, so long as they meet the requirements described in that bulletin and are not otherwise billing for a medical visit relating to the COVID-19 testing </w:t>
      </w:r>
      <w:r w:rsidRPr="00482BF2">
        <w:t xml:space="preserve">process. </w:t>
      </w:r>
      <w:r w:rsidR="00E118FE" w:rsidRPr="00482BF2">
        <w:t xml:space="preserve">Managed care plans </w:t>
      </w:r>
      <w:r w:rsidRPr="00BF67A8">
        <w:t>are directed to</w:t>
      </w:r>
      <w:r w:rsidR="00E118FE" w:rsidRPr="00BF67A8">
        <w:t xml:space="preserve"> allow providers </w:t>
      </w:r>
      <w:r w:rsidR="000A69B1" w:rsidRPr="00BF67A8">
        <w:t>eligible to bill codes G2023 and G2024</w:t>
      </w:r>
      <w:r w:rsidR="000A69B1" w:rsidRPr="00A334A0">
        <w:t xml:space="preserve"> </w:t>
      </w:r>
      <w:r w:rsidR="00E118FE" w:rsidRPr="00C04767">
        <w:t>to apply modifier</w:t>
      </w:r>
      <w:r w:rsidR="00E118FE" w:rsidRPr="00E118FE">
        <w:t xml:space="preserve"> “CG” to</w:t>
      </w:r>
      <w:r w:rsidR="000A69B1">
        <w:t xml:space="preserve"> these codes</w:t>
      </w:r>
      <w:r w:rsidR="00E118FE" w:rsidRPr="00E118FE">
        <w:t>, which will trigger additional payment</w:t>
      </w:r>
      <w:r w:rsidR="00F2636F">
        <w:t xml:space="preserve"> for the </w:t>
      </w:r>
      <w:r w:rsidR="00F2636F" w:rsidRPr="0037039C">
        <w:t>ordering and resulting services</w:t>
      </w:r>
      <w:r w:rsidR="00F2636F">
        <w:t xml:space="preserve"> associated with this modifier</w:t>
      </w:r>
      <w:r w:rsidR="00595E5F">
        <w:t>, as set forth below</w:t>
      </w:r>
      <w:r w:rsidR="00E118FE" w:rsidRPr="00E118FE">
        <w:t xml:space="preserve">. </w:t>
      </w:r>
      <w:r w:rsidR="00A51B29">
        <w:t xml:space="preserve">Details around the use of modifier “CG” </w:t>
      </w:r>
      <w:r w:rsidR="00F2636F">
        <w:t>by</w:t>
      </w:r>
      <w:r w:rsidR="00A51B29">
        <w:t xml:space="preserve"> providers for s</w:t>
      </w:r>
      <w:r w:rsidR="00F2636F">
        <w:t>pecimen collection may be found</w:t>
      </w:r>
      <w:r w:rsidR="00A51B29" w:rsidRPr="00A51B29">
        <w:t xml:space="preserve"> </w:t>
      </w:r>
      <w:r w:rsidR="00A51B29" w:rsidRPr="000262BD">
        <w:t>in</w:t>
      </w:r>
      <w:r w:rsidR="00A51B29">
        <w:t xml:space="preserve"> </w:t>
      </w:r>
      <w:r w:rsidR="00A51B29" w:rsidRPr="0079569A">
        <w:t>All Provider Bulletin 296</w:t>
      </w:r>
      <w:r w:rsidR="00A51B29">
        <w:t xml:space="preserve">. MCOs and ACPPs </w:t>
      </w:r>
      <w:r w:rsidR="00A51B29" w:rsidRPr="0030637C">
        <w:t xml:space="preserve">must </w:t>
      </w:r>
      <w:r w:rsidR="00A51B29">
        <w:t xml:space="preserve">configure their payment systems </w:t>
      </w:r>
      <w:r w:rsidR="00F2636F">
        <w:t>and</w:t>
      </w:r>
      <w:r w:rsidR="00A51B29">
        <w:t xml:space="preserve"> </w:t>
      </w:r>
      <w:proofErr w:type="gramStart"/>
      <w:r w:rsidR="00A51B29" w:rsidRPr="0030637C">
        <w:t>conform</w:t>
      </w:r>
      <w:proofErr w:type="gramEnd"/>
      <w:r w:rsidR="00A51B29" w:rsidRPr="0030637C">
        <w:t xml:space="preserve"> thei</w:t>
      </w:r>
      <w:r w:rsidR="00A51B29">
        <w:t>r</w:t>
      </w:r>
      <w:r w:rsidR="00A51B29" w:rsidRPr="0030637C">
        <w:t xml:space="preserve"> coverage policies to match those set forth in that bulletin</w:t>
      </w:r>
      <w:r w:rsidR="00A51B29">
        <w:t>.</w:t>
      </w:r>
    </w:p>
    <w:p w14:paraId="21A18F1D" w14:textId="77777777" w:rsidR="00E118FE" w:rsidRPr="00E118FE" w:rsidRDefault="00E118FE" w:rsidP="00E118FE">
      <w:pPr>
        <w:ind w:left="360"/>
        <w:rPr>
          <w:rFonts w:ascii="Georgia" w:hAnsi="Georgia"/>
          <w:sz w:val="22"/>
          <w:szCs w:val="22"/>
        </w:rPr>
      </w:pPr>
    </w:p>
    <w:p w14:paraId="242ACB39" w14:textId="371960F8" w:rsidR="00E118FE" w:rsidRDefault="00E118FE" w:rsidP="000262BD">
      <w:pPr>
        <w:rPr>
          <w:rFonts w:ascii="Georgia" w:hAnsi="Georgia"/>
          <w:sz w:val="22"/>
          <w:szCs w:val="22"/>
        </w:rPr>
      </w:pPr>
      <w:r w:rsidRPr="00E118FE">
        <w:rPr>
          <w:rFonts w:ascii="Georgia" w:hAnsi="Georgia"/>
          <w:sz w:val="22"/>
          <w:szCs w:val="22"/>
        </w:rPr>
        <w:t xml:space="preserve">These flexibilities apply to dates of service beginning May 22, 2020, for the duration of the state of emergency declared by Executive Order No. 591. </w:t>
      </w:r>
      <w:r w:rsidR="00A51B29">
        <w:rPr>
          <w:rFonts w:ascii="Georgia" w:hAnsi="Georgia"/>
          <w:sz w:val="22"/>
          <w:szCs w:val="22"/>
        </w:rPr>
        <w:t xml:space="preserve">MassHealth is directing managed care plans to pay the following rates for </w:t>
      </w:r>
      <w:r w:rsidRPr="00E118FE">
        <w:rPr>
          <w:rFonts w:ascii="Georgia" w:hAnsi="Georgia"/>
          <w:sz w:val="22"/>
          <w:szCs w:val="22"/>
        </w:rPr>
        <w:t>COVID-19 diagnostic testing with additional or</w:t>
      </w:r>
      <w:r w:rsidR="00383F1D">
        <w:rPr>
          <w:rFonts w:ascii="Georgia" w:hAnsi="Georgia"/>
          <w:sz w:val="22"/>
          <w:szCs w:val="22"/>
        </w:rPr>
        <w:t>dering and resulting services</w:t>
      </w:r>
      <w:r w:rsidR="00595E5F">
        <w:rPr>
          <w:rFonts w:ascii="Georgia" w:hAnsi="Georgia"/>
          <w:sz w:val="22"/>
          <w:szCs w:val="22"/>
        </w:rPr>
        <w:t>, as indicated by the use of modifier “CG” on a claim</w:t>
      </w:r>
      <w:r w:rsidR="00383F1D">
        <w:rPr>
          <w:rFonts w:ascii="Georgia" w:hAnsi="Georgia"/>
          <w:sz w:val="22"/>
          <w:szCs w:val="22"/>
        </w:rPr>
        <w:t>:</w:t>
      </w:r>
    </w:p>
    <w:p w14:paraId="2456DF65" w14:textId="77777777" w:rsidR="00383F1D" w:rsidRPr="00E118FE" w:rsidRDefault="00383F1D" w:rsidP="00E118FE">
      <w:pPr>
        <w:ind w:left="360"/>
        <w:rPr>
          <w:rFonts w:ascii="Georgia" w:hAnsi="Georgia"/>
          <w:sz w:val="22"/>
          <w:szCs w:val="22"/>
        </w:rPr>
      </w:pPr>
    </w:p>
    <w:tbl>
      <w:tblPr>
        <w:tblStyle w:val="TableGrid"/>
        <w:tblW w:w="9270" w:type="dxa"/>
        <w:tblInd w:w="558" w:type="dxa"/>
        <w:tblLayout w:type="fixed"/>
        <w:tblLook w:val="04A0" w:firstRow="1" w:lastRow="0" w:firstColumn="1" w:lastColumn="0" w:noHBand="0" w:noVBand="1"/>
        <w:tblCaption w:val="Rate for Specimen Collection Table"/>
        <w:tblDescription w:val="Code, Rate, and Description information is provided here."/>
      </w:tblPr>
      <w:tblGrid>
        <w:gridCol w:w="1409"/>
        <w:gridCol w:w="1504"/>
        <w:gridCol w:w="6357"/>
      </w:tblGrid>
      <w:tr w:rsidR="00E118FE" w14:paraId="44B85081" w14:textId="77777777" w:rsidTr="00232E64">
        <w:trPr>
          <w:trHeight w:val="497"/>
          <w:tblHeader/>
        </w:trPr>
        <w:tc>
          <w:tcPr>
            <w:tcW w:w="1409" w:type="dxa"/>
            <w:tcBorders>
              <w:top w:val="single" w:sz="4" w:space="0" w:color="auto"/>
              <w:left w:val="single" w:sz="4" w:space="0" w:color="auto"/>
              <w:bottom w:val="single" w:sz="4" w:space="0" w:color="auto"/>
              <w:right w:val="single" w:sz="4" w:space="0" w:color="auto"/>
            </w:tcBorders>
            <w:vAlign w:val="center"/>
            <w:hideMark/>
          </w:tcPr>
          <w:p w14:paraId="18C30D12" w14:textId="77777777" w:rsidR="00E118FE" w:rsidRDefault="00E118FE" w:rsidP="00E118FE">
            <w:pPr>
              <w:keepNext/>
              <w:tabs>
                <w:tab w:val="left" w:pos="1440"/>
                <w:tab w:val="center" w:pos="4925"/>
              </w:tabs>
              <w:ind w:left="234" w:right="202"/>
              <w:rPr>
                <w:b/>
                <w:sz w:val="22"/>
                <w:szCs w:val="22"/>
              </w:rPr>
            </w:pPr>
            <w:r>
              <w:rPr>
                <w:sz w:val="22"/>
                <w:szCs w:val="22"/>
              </w:rPr>
              <w:lastRenderedPageBreak/>
              <w:t xml:space="preserve"> </w:t>
            </w:r>
            <w:r>
              <w:rPr>
                <w:b/>
                <w:bCs/>
                <w:color w:val="000000"/>
                <w:sz w:val="22"/>
                <w:szCs w:val="22"/>
              </w:rPr>
              <w:t>CODE</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DD92A55" w14:textId="77777777" w:rsidR="00E118FE" w:rsidRDefault="00E118FE" w:rsidP="00E118FE">
            <w:pPr>
              <w:keepNext/>
              <w:ind w:left="234" w:right="202"/>
              <w:rPr>
                <w:b/>
                <w:color w:val="000000"/>
                <w:sz w:val="22"/>
                <w:szCs w:val="22"/>
              </w:rPr>
            </w:pPr>
            <w:r>
              <w:rPr>
                <w:b/>
                <w:bCs/>
                <w:color w:val="000000"/>
                <w:sz w:val="22"/>
                <w:szCs w:val="22"/>
              </w:rPr>
              <w:t>RATE</w:t>
            </w:r>
          </w:p>
        </w:tc>
        <w:tc>
          <w:tcPr>
            <w:tcW w:w="6357" w:type="dxa"/>
            <w:tcBorders>
              <w:top w:val="single" w:sz="4" w:space="0" w:color="auto"/>
              <w:left w:val="single" w:sz="4" w:space="0" w:color="auto"/>
              <w:bottom w:val="single" w:sz="4" w:space="0" w:color="auto"/>
              <w:right w:val="single" w:sz="4" w:space="0" w:color="auto"/>
            </w:tcBorders>
            <w:vAlign w:val="center"/>
            <w:hideMark/>
          </w:tcPr>
          <w:p w14:paraId="5F39BA98" w14:textId="77777777" w:rsidR="00E118FE" w:rsidRDefault="00E118FE" w:rsidP="00232E64">
            <w:pPr>
              <w:keepNext/>
              <w:ind w:left="193" w:right="202"/>
              <w:jc w:val="center"/>
              <w:rPr>
                <w:rFonts w:eastAsia="Calibri"/>
                <w:b/>
                <w:color w:val="000000"/>
                <w:sz w:val="22"/>
                <w:szCs w:val="22"/>
              </w:rPr>
            </w:pPr>
            <w:r>
              <w:rPr>
                <w:b/>
                <w:bCs/>
                <w:color w:val="000000"/>
                <w:sz w:val="22"/>
                <w:szCs w:val="22"/>
              </w:rPr>
              <w:t>DESCRIPTION</w:t>
            </w:r>
          </w:p>
        </w:tc>
      </w:tr>
      <w:tr w:rsidR="00E118FE" w14:paraId="559166C6" w14:textId="77777777" w:rsidTr="0037039C">
        <w:trPr>
          <w:trHeight w:val="2717"/>
        </w:trPr>
        <w:tc>
          <w:tcPr>
            <w:tcW w:w="1409" w:type="dxa"/>
            <w:tcBorders>
              <w:top w:val="single" w:sz="4" w:space="0" w:color="auto"/>
              <w:left w:val="single" w:sz="4" w:space="0" w:color="auto"/>
              <w:bottom w:val="single" w:sz="4" w:space="0" w:color="auto"/>
              <w:right w:val="single" w:sz="4" w:space="0" w:color="auto"/>
            </w:tcBorders>
            <w:vAlign w:val="center"/>
            <w:hideMark/>
          </w:tcPr>
          <w:p w14:paraId="6DF5454B" w14:textId="77777777" w:rsidR="00E118FE" w:rsidRDefault="00E118FE">
            <w:pPr>
              <w:tabs>
                <w:tab w:val="left" w:pos="1440"/>
                <w:tab w:val="center" w:pos="4925"/>
              </w:tabs>
              <w:ind w:left="234" w:right="198"/>
              <w:rPr>
                <w:sz w:val="22"/>
                <w:szCs w:val="22"/>
              </w:rPr>
            </w:pPr>
            <w:r>
              <w:rPr>
                <w:sz w:val="22"/>
                <w:szCs w:val="22"/>
              </w:rPr>
              <w:t>G2023 CG</w:t>
            </w:r>
          </w:p>
        </w:tc>
        <w:tc>
          <w:tcPr>
            <w:tcW w:w="1504" w:type="dxa"/>
            <w:tcBorders>
              <w:top w:val="single" w:sz="4" w:space="0" w:color="auto"/>
              <w:left w:val="single" w:sz="4" w:space="0" w:color="auto"/>
              <w:bottom w:val="single" w:sz="4" w:space="0" w:color="auto"/>
              <w:right w:val="single" w:sz="4" w:space="0" w:color="auto"/>
            </w:tcBorders>
            <w:vAlign w:val="center"/>
            <w:hideMark/>
          </w:tcPr>
          <w:p w14:paraId="757045AE" w14:textId="77777777" w:rsidR="00E118FE" w:rsidRDefault="00E118FE">
            <w:pPr>
              <w:ind w:left="234" w:right="198"/>
              <w:rPr>
                <w:color w:val="000000"/>
                <w:sz w:val="22"/>
                <w:szCs w:val="22"/>
              </w:rPr>
            </w:pPr>
            <w:r>
              <w:rPr>
                <w:bCs/>
                <w:iCs/>
                <w:sz w:val="22"/>
                <w:szCs w:val="22"/>
              </w:rPr>
              <w:t>$44.27</w:t>
            </w:r>
          </w:p>
        </w:tc>
        <w:tc>
          <w:tcPr>
            <w:tcW w:w="6357" w:type="dxa"/>
            <w:tcBorders>
              <w:top w:val="single" w:sz="4" w:space="0" w:color="auto"/>
              <w:left w:val="single" w:sz="4" w:space="0" w:color="auto"/>
              <w:bottom w:val="single" w:sz="4" w:space="0" w:color="auto"/>
              <w:right w:val="single" w:sz="4" w:space="0" w:color="auto"/>
            </w:tcBorders>
            <w:vAlign w:val="center"/>
            <w:hideMark/>
          </w:tcPr>
          <w:p w14:paraId="6F2E12BA" w14:textId="77777777" w:rsidR="00E118FE" w:rsidRDefault="00E118FE" w:rsidP="0037039C">
            <w:pPr>
              <w:autoSpaceDE w:val="0"/>
              <w:autoSpaceDN w:val="0"/>
              <w:adjustRightInd w:val="0"/>
              <w:ind w:left="193" w:right="432"/>
              <w:rPr>
                <w:color w:val="000000"/>
                <w:sz w:val="22"/>
                <w:szCs w:val="22"/>
              </w:rPr>
            </w:pPr>
            <w:r>
              <w:rPr>
                <w:color w:val="000000"/>
                <w:sz w:val="22"/>
                <w:szCs w:val="22"/>
                <w:shd w:val="clear" w:color="auto" w:fill="FFFFFF"/>
              </w:rPr>
              <w:t>S</w:t>
            </w:r>
            <w:r>
              <w:rPr>
                <w:color w:val="000000"/>
                <w:sz w:val="22"/>
                <w:szCs w:val="22"/>
              </w:rPr>
              <w:t xml:space="preserve">pecimen collection for severe acute respiratory syndrome coronavirus 2 (SARS-CoV-2) (Coronavirus disease [COVID-19]), any specimen source. </w:t>
            </w:r>
            <w:r>
              <w:rPr>
                <w:iCs/>
                <w:sz w:val="22"/>
                <w:szCs w:val="22"/>
              </w:rPr>
              <w:t>[Used when provider 1) has a qualified ordering clinician present at the specimen collection site available to order medically necessary COVID-19 diagnostic tests; and 2) ensures the test results are provided to the patient (along with any initial follow-up counseling, as appropriate), either directly or through the patient’s ordering clinician.]</w:t>
            </w:r>
          </w:p>
        </w:tc>
      </w:tr>
      <w:tr w:rsidR="00E118FE" w14:paraId="2384FCDE" w14:textId="77777777" w:rsidTr="00232E64">
        <w:trPr>
          <w:trHeight w:val="3221"/>
        </w:trPr>
        <w:tc>
          <w:tcPr>
            <w:tcW w:w="1409" w:type="dxa"/>
            <w:tcBorders>
              <w:top w:val="single" w:sz="4" w:space="0" w:color="auto"/>
              <w:left w:val="single" w:sz="4" w:space="0" w:color="auto"/>
              <w:bottom w:val="single" w:sz="4" w:space="0" w:color="auto"/>
              <w:right w:val="single" w:sz="4" w:space="0" w:color="auto"/>
            </w:tcBorders>
            <w:vAlign w:val="center"/>
            <w:hideMark/>
          </w:tcPr>
          <w:p w14:paraId="4620A7D9" w14:textId="77777777" w:rsidR="00E118FE" w:rsidRDefault="00E118FE">
            <w:pPr>
              <w:tabs>
                <w:tab w:val="left" w:pos="1440"/>
                <w:tab w:val="center" w:pos="4925"/>
              </w:tabs>
              <w:ind w:left="234" w:right="198"/>
              <w:rPr>
                <w:sz w:val="22"/>
                <w:szCs w:val="22"/>
              </w:rPr>
            </w:pPr>
            <w:r>
              <w:rPr>
                <w:sz w:val="22"/>
                <w:szCs w:val="22"/>
              </w:rPr>
              <w:t>G2024 CG</w:t>
            </w:r>
          </w:p>
        </w:tc>
        <w:tc>
          <w:tcPr>
            <w:tcW w:w="1504" w:type="dxa"/>
            <w:tcBorders>
              <w:top w:val="single" w:sz="4" w:space="0" w:color="auto"/>
              <w:left w:val="single" w:sz="4" w:space="0" w:color="auto"/>
              <w:bottom w:val="single" w:sz="4" w:space="0" w:color="auto"/>
              <w:right w:val="single" w:sz="4" w:space="0" w:color="auto"/>
            </w:tcBorders>
            <w:vAlign w:val="center"/>
            <w:hideMark/>
          </w:tcPr>
          <w:p w14:paraId="6DD41B94" w14:textId="77777777" w:rsidR="00E118FE" w:rsidRDefault="00E118FE">
            <w:pPr>
              <w:ind w:left="234" w:right="198"/>
              <w:rPr>
                <w:color w:val="000000"/>
                <w:sz w:val="22"/>
                <w:szCs w:val="22"/>
              </w:rPr>
            </w:pPr>
            <w:r>
              <w:rPr>
                <w:bCs/>
                <w:iCs/>
                <w:sz w:val="22"/>
                <w:szCs w:val="22"/>
              </w:rPr>
              <w:t>$46.27</w:t>
            </w:r>
          </w:p>
        </w:tc>
        <w:tc>
          <w:tcPr>
            <w:tcW w:w="6357" w:type="dxa"/>
            <w:tcBorders>
              <w:top w:val="single" w:sz="4" w:space="0" w:color="auto"/>
              <w:left w:val="single" w:sz="4" w:space="0" w:color="auto"/>
              <w:bottom w:val="single" w:sz="4" w:space="0" w:color="auto"/>
              <w:right w:val="single" w:sz="4" w:space="0" w:color="auto"/>
            </w:tcBorders>
            <w:vAlign w:val="center"/>
            <w:hideMark/>
          </w:tcPr>
          <w:p w14:paraId="7D32DE3E" w14:textId="77777777" w:rsidR="00E118FE" w:rsidRDefault="00E118FE" w:rsidP="0037039C">
            <w:pPr>
              <w:autoSpaceDE w:val="0"/>
              <w:autoSpaceDN w:val="0"/>
              <w:adjustRightInd w:val="0"/>
              <w:ind w:left="193" w:right="432"/>
              <w:rPr>
                <w:color w:val="000000"/>
                <w:sz w:val="22"/>
                <w:szCs w:val="22"/>
                <w:shd w:val="clear" w:color="auto" w:fill="FFFFFF"/>
              </w:rPr>
            </w:pPr>
            <w:r>
              <w:rPr>
                <w:color w:val="000000"/>
                <w:sz w:val="22"/>
                <w:szCs w:val="22"/>
              </w:rPr>
              <w:t xml:space="preserve">Specimen collection for severe acute respiratory syndrome coronavirus 2 (SARS-CoV-2) (Coronavirus disease [COVID-19]), from an individual in a skilled nursing facility or by a laboratory on behalf of a home health agency, any specimen source. </w:t>
            </w:r>
            <w:r>
              <w:rPr>
                <w:iCs/>
                <w:sz w:val="22"/>
                <w:szCs w:val="22"/>
              </w:rPr>
              <w:t xml:space="preserve">[Used when provider 1) has a qualified ordering clinician present at the specimen collection site available to order medically necessary COVID-19 diagnostic tests; and 2) ensures the test results are provided to the patient (along with any initial follow-up counseling, as appropriate), either directly or through the patient’s ordering clinician.]  </w:t>
            </w:r>
          </w:p>
        </w:tc>
      </w:tr>
    </w:tbl>
    <w:p w14:paraId="57686F24" w14:textId="77777777" w:rsidR="00E118FE" w:rsidRPr="00E118FE" w:rsidRDefault="00E118FE" w:rsidP="00E118FE"/>
    <w:p w14:paraId="7C99516B" w14:textId="393B3414" w:rsidR="00383F1D" w:rsidRDefault="00383F1D" w:rsidP="00232E64">
      <w:pPr>
        <w:pStyle w:val="Heading1"/>
        <w:keepNext/>
        <w:ind w:left="0"/>
      </w:pPr>
      <w:r>
        <w:t>Payment for COVID</w:t>
      </w:r>
      <w:r w:rsidR="00C621C6">
        <w:t>-1</w:t>
      </w:r>
      <w:r>
        <w:t xml:space="preserve">9 Laboratory Testing Services </w:t>
      </w:r>
    </w:p>
    <w:p w14:paraId="1D4C941F" w14:textId="10E419EE" w:rsidR="00383F1D" w:rsidRDefault="00466854" w:rsidP="00232E64">
      <w:pPr>
        <w:autoSpaceDE w:val="0"/>
        <w:autoSpaceDN w:val="0"/>
        <w:adjustRightInd w:val="0"/>
        <w:rPr>
          <w:rFonts w:ascii="Georgia" w:hAnsi="Georgia"/>
          <w:sz w:val="22"/>
          <w:szCs w:val="22"/>
        </w:rPr>
      </w:pPr>
      <w:r w:rsidRPr="000262BD">
        <w:rPr>
          <w:rFonts w:ascii="Georgia" w:hAnsi="Georgia"/>
          <w:sz w:val="22"/>
          <w:szCs w:val="22"/>
        </w:rPr>
        <w:t xml:space="preserve">Also through All Provider Bulletin 296, MassHealth is covering all medically necessary </w:t>
      </w:r>
      <w:proofErr w:type="gramStart"/>
      <w:r w:rsidRPr="000262BD">
        <w:rPr>
          <w:rFonts w:ascii="Georgia" w:hAnsi="Georgia"/>
          <w:sz w:val="22"/>
          <w:szCs w:val="22"/>
        </w:rPr>
        <w:t>la</w:t>
      </w:r>
      <w:r w:rsidR="00737933">
        <w:rPr>
          <w:rFonts w:ascii="Georgia" w:hAnsi="Georgia"/>
          <w:sz w:val="22"/>
          <w:szCs w:val="22"/>
        </w:rPr>
        <w:t>boratory</w:t>
      </w:r>
      <w:proofErr w:type="gramEnd"/>
      <w:r w:rsidR="00737933">
        <w:rPr>
          <w:rFonts w:ascii="Georgia" w:hAnsi="Georgia"/>
          <w:sz w:val="22"/>
          <w:szCs w:val="22"/>
        </w:rPr>
        <w:t xml:space="preserve"> testing for COVID-19. </w:t>
      </w:r>
      <w:r w:rsidR="00383F1D" w:rsidRPr="000262BD">
        <w:rPr>
          <w:rFonts w:ascii="Georgia" w:hAnsi="Georgia"/>
          <w:sz w:val="22"/>
          <w:szCs w:val="22"/>
        </w:rPr>
        <w:t>M</w:t>
      </w:r>
      <w:r w:rsidR="00383F1D" w:rsidRPr="00383F1D">
        <w:rPr>
          <w:rFonts w:ascii="Georgia" w:hAnsi="Georgia"/>
          <w:sz w:val="22"/>
          <w:szCs w:val="22"/>
        </w:rPr>
        <w:t xml:space="preserve">anaged care plans </w:t>
      </w:r>
      <w:r>
        <w:rPr>
          <w:rFonts w:ascii="Georgia" w:hAnsi="Georgia"/>
          <w:sz w:val="22"/>
          <w:szCs w:val="22"/>
        </w:rPr>
        <w:t>are</w:t>
      </w:r>
      <w:r w:rsidR="00383F1D" w:rsidRPr="00383F1D">
        <w:rPr>
          <w:rFonts w:ascii="Georgia" w:hAnsi="Georgia"/>
          <w:sz w:val="22"/>
          <w:szCs w:val="22"/>
        </w:rPr>
        <w:t xml:space="preserve"> directed to pay for the following </w:t>
      </w:r>
      <w:r w:rsidR="00383F1D">
        <w:rPr>
          <w:rFonts w:ascii="Georgia" w:hAnsi="Georgia"/>
          <w:sz w:val="22"/>
          <w:szCs w:val="22"/>
        </w:rPr>
        <w:t xml:space="preserve">COVID-19 </w:t>
      </w:r>
      <w:r w:rsidR="00383F1D" w:rsidRPr="00383F1D">
        <w:rPr>
          <w:rFonts w:ascii="Georgia" w:hAnsi="Georgia"/>
          <w:sz w:val="22"/>
          <w:szCs w:val="22"/>
        </w:rPr>
        <w:t>laboratory testing services, at the rates set forth below</w:t>
      </w:r>
      <w:r w:rsidR="00383F1D">
        <w:rPr>
          <w:rFonts w:ascii="Georgia" w:hAnsi="Georgia"/>
          <w:sz w:val="22"/>
          <w:szCs w:val="22"/>
        </w:rPr>
        <w:t>:</w:t>
      </w:r>
    </w:p>
    <w:p w14:paraId="1D5BA470" w14:textId="77777777" w:rsidR="00482BF2" w:rsidRPr="00383F1D" w:rsidRDefault="00482BF2" w:rsidP="00232E64">
      <w:pPr>
        <w:autoSpaceDE w:val="0"/>
        <w:autoSpaceDN w:val="0"/>
        <w:adjustRightInd w:val="0"/>
        <w:rPr>
          <w:rFonts w:ascii="Georgia" w:hAnsi="Georgia"/>
          <w:sz w:val="22"/>
          <w:szCs w:val="22"/>
        </w:rPr>
      </w:pPr>
    </w:p>
    <w:tbl>
      <w:tblPr>
        <w:tblStyle w:val="TableGrid"/>
        <w:tblW w:w="9018" w:type="dxa"/>
        <w:tblInd w:w="558" w:type="dxa"/>
        <w:tblLook w:val="04A0" w:firstRow="1" w:lastRow="0" w:firstColumn="1" w:lastColumn="0" w:noHBand="0" w:noVBand="1"/>
      </w:tblPr>
      <w:tblGrid>
        <w:gridCol w:w="1116"/>
        <w:gridCol w:w="1446"/>
        <w:gridCol w:w="2028"/>
        <w:gridCol w:w="4428"/>
      </w:tblGrid>
      <w:tr w:rsidR="00383F1D" w14:paraId="4A568310" w14:textId="77777777" w:rsidTr="0037039C">
        <w:trPr>
          <w:trHeight w:val="305"/>
        </w:trPr>
        <w:tc>
          <w:tcPr>
            <w:tcW w:w="1116" w:type="dxa"/>
            <w:tcBorders>
              <w:top w:val="single" w:sz="4" w:space="0" w:color="auto"/>
              <w:left w:val="single" w:sz="4" w:space="0" w:color="auto"/>
              <w:bottom w:val="single" w:sz="4" w:space="0" w:color="auto"/>
              <w:right w:val="single" w:sz="4" w:space="0" w:color="auto"/>
            </w:tcBorders>
            <w:vAlign w:val="center"/>
            <w:hideMark/>
          </w:tcPr>
          <w:p w14:paraId="23E31780" w14:textId="77777777" w:rsidR="00383F1D" w:rsidRDefault="00383F1D" w:rsidP="00091225">
            <w:pPr>
              <w:keepNext/>
              <w:tabs>
                <w:tab w:val="left" w:pos="1256"/>
                <w:tab w:val="center" w:pos="4925"/>
              </w:tabs>
              <w:ind w:left="144" w:right="78"/>
              <w:rPr>
                <w:sz w:val="22"/>
                <w:szCs w:val="22"/>
              </w:rPr>
            </w:pPr>
            <w:r>
              <w:rPr>
                <w:b/>
                <w:bCs/>
                <w:color w:val="000000"/>
                <w:sz w:val="22"/>
                <w:szCs w:val="22"/>
              </w:rPr>
              <w:lastRenderedPageBreak/>
              <w:t>CODE</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4407D45" w14:textId="77777777" w:rsidR="00383F1D" w:rsidRDefault="00383F1D" w:rsidP="00091225">
            <w:pPr>
              <w:keepNext/>
              <w:tabs>
                <w:tab w:val="left" w:pos="1256"/>
              </w:tabs>
              <w:ind w:left="182" w:right="198"/>
              <w:rPr>
                <w:color w:val="000000"/>
                <w:sz w:val="22"/>
                <w:szCs w:val="22"/>
              </w:rPr>
            </w:pPr>
            <w:r>
              <w:rPr>
                <w:b/>
                <w:bCs/>
                <w:color w:val="000000"/>
                <w:sz w:val="22"/>
                <w:szCs w:val="22"/>
              </w:rPr>
              <w:t xml:space="preserve">RATE </w:t>
            </w:r>
          </w:p>
        </w:tc>
        <w:tc>
          <w:tcPr>
            <w:tcW w:w="2028" w:type="dxa"/>
            <w:tcBorders>
              <w:top w:val="single" w:sz="4" w:space="0" w:color="auto"/>
              <w:left w:val="single" w:sz="4" w:space="0" w:color="auto"/>
              <w:bottom w:val="single" w:sz="4" w:space="0" w:color="auto"/>
              <w:right w:val="single" w:sz="4" w:space="0" w:color="auto"/>
            </w:tcBorders>
          </w:tcPr>
          <w:p w14:paraId="3E7F66C2" w14:textId="3441DD9A" w:rsidR="00383F1D" w:rsidRDefault="00383F1D" w:rsidP="00091225">
            <w:pPr>
              <w:keepNext/>
              <w:tabs>
                <w:tab w:val="left" w:pos="1256"/>
              </w:tabs>
              <w:ind w:left="72" w:right="198"/>
              <w:rPr>
                <w:b/>
                <w:bCs/>
                <w:color w:val="000000"/>
                <w:sz w:val="22"/>
                <w:szCs w:val="22"/>
              </w:rPr>
            </w:pPr>
            <w:r>
              <w:rPr>
                <w:b/>
                <w:bCs/>
                <w:color w:val="000000"/>
                <w:sz w:val="22"/>
                <w:szCs w:val="22"/>
              </w:rPr>
              <w:t>FOR DATES OF SERVICE ON OR AFTER</w:t>
            </w:r>
          </w:p>
        </w:tc>
        <w:tc>
          <w:tcPr>
            <w:tcW w:w="4428" w:type="dxa"/>
            <w:tcBorders>
              <w:top w:val="single" w:sz="4" w:space="0" w:color="auto"/>
              <w:left w:val="single" w:sz="4" w:space="0" w:color="auto"/>
              <w:bottom w:val="single" w:sz="4" w:space="0" w:color="auto"/>
              <w:right w:val="single" w:sz="4" w:space="0" w:color="auto"/>
            </w:tcBorders>
            <w:vAlign w:val="center"/>
            <w:hideMark/>
          </w:tcPr>
          <w:p w14:paraId="29129E7A" w14:textId="4AA53217" w:rsidR="00383F1D" w:rsidRDefault="00383F1D" w:rsidP="00091225">
            <w:pPr>
              <w:keepNext/>
              <w:tabs>
                <w:tab w:val="left" w:pos="1256"/>
              </w:tabs>
              <w:ind w:left="72" w:right="198"/>
              <w:rPr>
                <w:rFonts w:eastAsia="Calibri"/>
                <w:color w:val="000000"/>
                <w:sz w:val="22"/>
                <w:szCs w:val="22"/>
              </w:rPr>
            </w:pPr>
            <w:r>
              <w:rPr>
                <w:b/>
                <w:bCs/>
                <w:color w:val="000000"/>
                <w:sz w:val="22"/>
                <w:szCs w:val="22"/>
              </w:rPr>
              <w:t xml:space="preserve">DESCRIPTION </w:t>
            </w:r>
          </w:p>
        </w:tc>
      </w:tr>
      <w:tr w:rsidR="00383F1D" w14:paraId="5080D310" w14:textId="77777777" w:rsidTr="0037039C">
        <w:trPr>
          <w:trHeight w:val="1466"/>
        </w:trPr>
        <w:tc>
          <w:tcPr>
            <w:tcW w:w="1116" w:type="dxa"/>
            <w:tcBorders>
              <w:top w:val="single" w:sz="4" w:space="0" w:color="auto"/>
              <w:left w:val="single" w:sz="4" w:space="0" w:color="auto"/>
              <w:bottom w:val="single" w:sz="4" w:space="0" w:color="auto"/>
              <w:right w:val="single" w:sz="4" w:space="0" w:color="auto"/>
            </w:tcBorders>
            <w:vAlign w:val="center"/>
          </w:tcPr>
          <w:p w14:paraId="0FFB81C0" w14:textId="764C558F" w:rsidR="00383F1D" w:rsidRDefault="00383F1D" w:rsidP="00091225">
            <w:pPr>
              <w:keepNext/>
              <w:tabs>
                <w:tab w:val="left" w:pos="1256"/>
                <w:tab w:val="center" w:pos="4925"/>
              </w:tabs>
              <w:ind w:left="144" w:right="78"/>
              <w:rPr>
                <w:sz w:val="22"/>
                <w:szCs w:val="22"/>
              </w:rPr>
            </w:pPr>
            <w:r>
              <w:rPr>
                <w:sz w:val="22"/>
                <w:szCs w:val="22"/>
              </w:rPr>
              <w:t xml:space="preserve">U0002 </w:t>
            </w:r>
          </w:p>
        </w:tc>
        <w:tc>
          <w:tcPr>
            <w:tcW w:w="1446" w:type="dxa"/>
            <w:tcBorders>
              <w:top w:val="single" w:sz="4" w:space="0" w:color="auto"/>
              <w:left w:val="single" w:sz="4" w:space="0" w:color="auto"/>
              <w:bottom w:val="single" w:sz="4" w:space="0" w:color="auto"/>
              <w:right w:val="single" w:sz="4" w:space="0" w:color="auto"/>
            </w:tcBorders>
            <w:vAlign w:val="center"/>
          </w:tcPr>
          <w:p w14:paraId="3EAD5F38" w14:textId="697B3453" w:rsidR="00383F1D" w:rsidRDefault="00383F1D" w:rsidP="00091225">
            <w:pPr>
              <w:keepNext/>
              <w:tabs>
                <w:tab w:val="left" w:pos="1256"/>
              </w:tabs>
              <w:ind w:left="182" w:right="198"/>
              <w:rPr>
                <w:color w:val="000000"/>
                <w:sz w:val="22"/>
                <w:szCs w:val="22"/>
              </w:rPr>
            </w:pPr>
            <w:r>
              <w:rPr>
                <w:color w:val="000000"/>
                <w:sz w:val="22"/>
                <w:szCs w:val="22"/>
              </w:rPr>
              <w:t>$51.31</w:t>
            </w:r>
          </w:p>
        </w:tc>
        <w:tc>
          <w:tcPr>
            <w:tcW w:w="2028" w:type="dxa"/>
            <w:tcBorders>
              <w:top w:val="single" w:sz="4" w:space="0" w:color="auto"/>
              <w:left w:val="single" w:sz="4" w:space="0" w:color="auto"/>
              <w:bottom w:val="single" w:sz="4" w:space="0" w:color="auto"/>
              <w:right w:val="single" w:sz="4" w:space="0" w:color="auto"/>
            </w:tcBorders>
            <w:vAlign w:val="center"/>
          </w:tcPr>
          <w:p w14:paraId="1C2AB13A" w14:textId="3997C0A4" w:rsidR="00383F1D" w:rsidRDefault="00383F1D" w:rsidP="00091225">
            <w:pPr>
              <w:keepNext/>
              <w:tabs>
                <w:tab w:val="left" w:pos="1256"/>
              </w:tabs>
              <w:autoSpaceDE w:val="0"/>
              <w:autoSpaceDN w:val="0"/>
              <w:adjustRightInd w:val="0"/>
              <w:ind w:left="72"/>
              <w:rPr>
                <w:color w:val="000000"/>
                <w:sz w:val="22"/>
                <w:szCs w:val="22"/>
              </w:rPr>
            </w:pPr>
            <w:r>
              <w:rPr>
                <w:color w:val="000000"/>
                <w:sz w:val="22"/>
                <w:szCs w:val="22"/>
              </w:rPr>
              <w:t>March 12, 2020</w:t>
            </w:r>
          </w:p>
        </w:tc>
        <w:tc>
          <w:tcPr>
            <w:tcW w:w="4428" w:type="dxa"/>
            <w:tcBorders>
              <w:top w:val="single" w:sz="4" w:space="0" w:color="auto"/>
              <w:left w:val="single" w:sz="4" w:space="0" w:color="auto"/>
              <w:bottom w:val="single" w:sz="4" w:space="0" w:color="auto"/>
              <w:right w:val="single" w:sz="4" w:space="0" w:color="auto"/>
            </w:tcBorders>
            <w:vAlign w:val="center"/>
          </w:tcPr>
          <w:p w14:paraId="2CDDB54B" w14:textId="55BAC0CB" w:rsidR="00383F1D" w:rsidRDefault="00383F1D" w:rsidP="0037039C">
            <w:pPr>
              <w:keepNext/>
              <w:tabs>
                <w:tab w:val="left" w:pos="1256"/>
              </w:tabs>
              <w:autoSpaceDE w:val="0"/>
              <w:autoSpaceDN w:val="0"/>
              <w:adjustRightInd w:val="0"/>
              <w:ind w:left="72" w:right="270"/>
              <w:rPr>
                <w:color w:val="000000"/>
                <w:sz w:val="22"/>
                <w:szCs w:val="22"/>
              </w:rPr>
            </w:pPr>
            <w:r>
              <w:rPr>
                <w:sz w:val="22"/>
                <w:szCs w:val="22"/>
              </w:rPr>
              <w:t>2019-nCoV Coronavirus, SARS-CoV-2/2019-nCoV (COVID-19) using any technique, multiple types or subtypes (includes all targets).</w:t>
            </w:r>
          </w:p>
        </w:tc>
      </w:tr>
      <w:tr w:rsidR="00383F1D" w14:paraId="59D73701" w14:textId="77777777" w:rsidTr="0037039C">
        <w:trPr>
          <w:trHeight w:val="1610"/>
        </w:trPr>
        <w:tc>
          <w:tcPr>
            <w:tcW w:w="1116" w:type="dxa"/>
            <w:tcBorders>
              <w:top w:val="single" w:sz="4" w:space="0" w:color="auto"/>
              <w:left w:val="single" w:sz="4" w:space="0" w:color="auto"/>
              <w:bottom w:val="single" w:sz="4" w:space="0" w:color="auto"/>
              <w:right w:val="single" w:sz="4" w:space="0" w:color="auto"/>
            </w:tcBorders>
            <w:vAlign w:val="center"/>
          </w:tcPr>
          <w:p w14:paraId="7D07C947" w14:textId="00F34603" w:rsidR="00383F1D" w:rsidRDefault="00383F1D" w:rsidP="00091225">
            <w:pPr>
              <w:keepNext/>
              <w:tabs>
                <w:tab w:val="left" w:pos="1256"/>
                <w:tab w:val="center" w:pos="4925"/>
              </w:tabs>
              <w:ind w:left="144" w:right="78"/>
              <w:rPr>
                <w:sz w:val="22"/>
                <w:szCs w:val="22"/>
              </w:rPr>
            </w:pPr>
            <w:r>
              <w:rPr>
                <w:color w:val="000000"/>
                <w:sz w:val="22"/>
                <w:szCs w:val="22"/>
                <w:shd w:val="clear" w:color="auto" w:fill="FFFFFF"/>
              </w:rPr>
              <w:t>87635</w:t>
            </w:r>
          </w:p>
        </w:tc>
        <w:tc>
          <w:tcPr>
            <w:tcW w:w="1446" w:type="dxa"/>
            <w:tcBorders>
              <w:top w:val="single" w:sz="4" w:space="0" w:color="auto"/>
              <w:left w:val="single" w:sz="4" w:space="0" w:color="auto"/>
              <w:bottom w:val="single" w:sz="4" w:space="0" w:color="auto"/>
              <w:right w:val="single" w:sz="4" w:space="0" w:color="auto"/>
            </w:tcBorders>
            <w:vAlign w:val="center"/>
          </w:tcPr>
          <w:p w14:paraId="2EC1B01E" w14:textId="4BB94882" w:rsidR="00383F1D" w:rsidRDefault="00383F1D" w:rsidP="00091225">
            <w:pPr>
              <w:keepNext/>
              <w:tabs>
                <w:tab w:val="left" w:pos="1256"/>
              </w:tabs>
              <w:ind w:left="182" w:right="198"/>
              <w:rPr>
                <w:color w:val="000000"/>
                <w:sz w:val="22"/>
                <w:szCs w:val="22"/>
              </w:rPr>
            </w:pPr>
            <w:r>
              <w:rPr>
                <w:color w:val="000000"/>
                <w:sz w:val="22"/>
                <w:szCs w:val="22"/>
              </w:rPr>
              <w:t>$51.31</w:t>
            </w:r>
          </w:p>
        </w:tc>
        <w:tc>
          <w:tcPr>
            <w:tcW w:w="2028" w:type="dxa"/>
            <w:tcBorders>
              <w:top w:val="single" w:sz="4" w:space="0" w:color="auto"/>
              <w:left w:val="single" w:sz="4" w:space="0" w:color="auto"/>
              <w:bottom w:val="single" w:sz="4" w:space="0" w:color="auto"/>
              <w:right w:val="single" w:sz="4" w:space="0" w:color="auto"/>
            </w:tcBorders>
            <w:vAlign w:val="center"/>
          </w:tcPr>
          <w:p w14:paraId="578E2F8F" w14:textId="05D1FEAB" w:rsidR="00383F1D" w:rsidRDefault="00383F1D" w:rsidP="00091225">
            <w:pPr>
              <w:keepNext/>
              <w:tabs>
                <w:tab w:val="left" w:pos="1256"/>
              </w:tabs>
              <w:autoSpaceDE w:val="0"/>
              <w:autoSpaceDN w:val="0"/>
              <w:adjustRightInd w:val="0"/>
              <w:ind w:left="72"/>
              <w:rPr>
                <w:color w:val="000000"/>
                <w:sz w:val="22"/>
                <w:szCs w:val="22"/>
              </w:rPr>
            </w:pPr>
            <w:r>
              <w:rPr>
                <w:color w:val="000000"/>
                <w:sz w:val="22"/>
                <w:szCs w:val="22"/>
              </w:rPr>
              <w:t>March 12, 2020</w:t>
            </w:r>
          </w:p>
        </w:tc>
        <w:tc>
          <w:tcPr>
            <w:tcW w:w="4428" w:type="dxa"/>
            <w:tcBorders>
              <w:top w:val="single" w:sz="4" w:space="0" w:color="auto"/>
              <w:left w:val="single" w:sz="4" w:space="0" w:color="auto"/>
              <w:bottom w:val="single" w:sz="4" w:space="0" w:color="auto"/>
              <w:right w:val="single" w:sz="4" w:space="0" w:color="auto"/>
            </w:tcBorders>
            <w:vAlign w:val="center"/>
          </w:tcPr>
          <w:p w14:paraId="04C377CA" w14:textId="7882FD7D" w:rsidR="00383F1D" w:rsidRDefault="00383F1D" w:rsidP="0037039C">
            <w:pPr>
              <w:keepNext/>
              <w:tabs>
                <w:tab w:val="left" w:pos="1256"/>
              </w:tabs>
              <w:autoSpaceDE w:val="0"/>
              <w:autoSpaceDN w:val="0"/>
              <w:adjustRightInd w:val="0"/>
              <w:ind w:left="72" w:right="270"/>
              <w:rPr>
                <w:color w:val="000000"/>
                <w:sz w:val="22"/>
                <w:szCs w:val="22"/>
              </w:rPr>
            </w:pPr>
            <w:r>
              <w:rPr>
                <w:sz w:val="22"/>
                <w:szCs w:val="22"/>
              </w:rPr>
              <w:t>Infectious agent detection by nucleic acid (DNA or RNA); severe acute respiratory syndrome coronavirus 2 (SARS-CoV-2) (Coronavirus disease [COVID-19]), amplified probe technique</w:t>
            </w:r>
          </w:p>
        </w:tc>
      </w:tr>
      <w:tr w:rsidR="00383F1D" w14:paraId="6370C336" w14:textId="77777777" w:rsidTr="0037039C">
        <w:trPr>
          <w:trHeight w:val="2204"/>
        </w:trPr>
        <w:tc>
          <w:tcPr>
            <w:tcW w:w="1116" w:type="dxa"/>
            <w:tcBorders>
              <w:top w:val="single" w:sz="4" w:space="0" w:color="auto"/>
              <w:left w:val="single" w:sz="4" w:space="0" w:color="auto"/>
              <w:bottom w:val="single" w:sz="4" w:space="0" w:color="auto"/>
              <w:right w:val="single" w:sz="4" w:space="0" w:color="auto"/>
            </w:tcBorders>
            <w:vAlign w:val="center"/>
            <w:hideMark/>
          </w:tcPr>
          <w:p w14:paraId="73EEE75C" w14:textId="77777777" w:rsidR="00383F1D" w:rsidRDefault="00383F1D">
            <w:pPr>
              <w:tabs>
                <w:tab w:val="left" w:pos="1256"/>
                <w:tab w:val="center" w:pos="4925"/>
              </w:tabs>
              <w:ind w:left="144" w:right="78"/>
              <w:rPr>
                <w:sz w:val="22"/>
                <w:szCs w:val="22"/>
              </w:rPr>
            </w:pPr>
            <w:r>
              <w:rPr>
                <w:sz w:val="22"/>
                <w:szCs w:val="22"/>
              </w:rPr>
              <w:t xml:space="preserve">U0003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9C39EB0" w14:textId="77777777" w:rsidR="00383F1D" w:rsidRDefault="00383F1D">
            <w:pPr>
              <w:tabs>
                <w:tab w:val="left" w:pos="1256"/>
              </w:tabs>
              <w:ind w:left="182" w:right="198"/>
              <w:rPr>
                <w:color w:val="000000"/>
                <w:sz w:val="22"/>
                <w:szCs w:val="22"/>
              </w:rPr>
            </w:pPr>
            <w:r>
              <w:rPr>
                <w:color w:val="000000"/>
                <w:sz w:val="22"/>
                <w:szCs w:val="22"/>
              </w:rPr>
              <w:t>$100.00</w:t>
            </w:r>
          </w:p>
        </w:tc>
        <w:tc>
          <w:tcPr>
            <w:tcW w:w="2028" w:type="dxa"/>
            <w:tcBorders>
              <w:top w:val="single" w:sz="4" w:space="0" w:color="auto"/>
              <w:left w:val="single" w:sz="4" w:space="0" w:color="auto"/>
              <w:bottom w:val="single" w:sz="4" w:space="0" w:color="auto"/>
              <w:right w:val="single" w:sz="4" w:space="0" w:color="auto"/>
            </w:tcBorders>
            <w:vAlign w:val="center"/>
          </w:tcPr>
          <w:p w14:paraId="6ED00EA7" w14:textId="52A41C63" w:rsidR="00383F1D" w:rsidRPr="00383F1D" w:rsidRDefault="00383F1D" w:rsidP="00383F1D">
            <w:pPr>
              <w:tabs>
                <w:tab w:val="left" w:pos="1256"/>
                <w:tab w:val="center" w:pos="4925"/>
              </w:tabs>
              <w:ind w:left="144" w:right="78"/>
              <w:rPr>
                <w:sz w:val="22"/>
                <w:szCs w:val="22"/>
              </w:rPr>
            </w:pPr>
            <w:r w:rsidRPr="00383F1D">
              <w:rPr>
                <w:sz w:val="22"/>
                <w:szCs w:val="22"/>
              </w:rPr>
              <w:t>March 18, 2020</w:t>
            </w:r>
          </w:p>
        </w:tc>
        <w:tc>
          <w:tcPr>
            <w:tcW w:w="4428" w:type="dxa"/>
            <w:tcBorders>
              <w:top w:val="single" w:sz="4" w:space="0" w:color="auto"/>
              <w:left w:val="single" w:sz="4" w:space="0" w:color="auto"/>
              <w:bottom w:val="single" w:sz="4" w:space="0" w:color="auto"/>
              <w:right w:val="single" w:sz="4" w:space="0" w:color="auto"/>
            </w:tcBorders>
            <w:vAlign w:val="center"/>
            <w:hideMark/>
          </w:tcPr>
          <w:p w14:paraId="50ABA1F3" w14:textId="3896087A" w:rsidR="00383F1D" w:rsidRDefault="00383F1D" w:rsidP="0037039C">
            <w:pPr>
              <w:tabs>
                <w:tab w:val="left" w:pos="1256"/>
              </w:tabs>
              <w:autoSpaceDE w:val="0"/>
              <w:autoSpaceDN w:val="0"/>
              <w:adjustRightInd w:val="0"/>
              <w:ind w:left="72" w:right="270"/>
              <w:rPr>
                <w:color w:val="000000"/>
                <w:sz w:val="22"/>
                <w:szCs w:val="22"/>
              </w:rPr>
            </w:pPr>
            <w:r>
              <w:rPr>
                <w:color w:val="000000"/>
                <w:sz w:val="22"/>
                <w:szCs w:val="22"/>
              </w:rPr>
              <w:t>Infectious agent detection by nucleic acid (DNA or RNA); severe acute respiratory syndrome coronavirus 2 (SARS-CoV-2) (Coronavirus disease [COVID-19]), amplified probe technique, making use of high throughput technologies as described by CMS-2020-01-R.</w:t>
            </w:r>
          </w:p>
        </w:tc>
      </w:tr>
      <w:tr w:rsidR="00383F1D" w14:paraId="746A810C" w14:textId="77777777" w:rsidTr="0037039C">
        <w:trPr>
          <w:trHeight w:val="1790"/>
        </w:trPr>
        <w:tc>
          <w:tcPr>
            <w:tcW w:w="1116" w:type="dxa"/>
            <w:tcBorders>
              <w:top w:val="single" w:sz="4" w:space="0" w:color="auto"/>
              <w:left w:val="single" w:sz="4" w:space="0" w:color="auto"/>
              <w:bottom w:val="single" w:sz="4" w:space="0" w:color="auto"/>
              <w:right w:val="single" w:sz="4" w:space="0" w:color="auto"/>
            </w:tcBorders>
            <w:vAlign w:val="center"/>
            <w:hideMark/>
          </w:tcPr>
          <w:p w14:paraId="77FDE9F2" w14:textId="77777777" w:rsidR="00383F1D" w:rsidRDefault="00383F1D">
            <w:pPr>
              <w:tabs>
                <w:tab w:val="left" w:pos="1256"/>
                <w:tab w:val="left" w:pos="3330"/>
                <w:tab w:val="center" w:pos="4925"/>
              </w:tabs>
              <w:ind w:left="144" w:right="78"/>
              <w:rPr>
                <w:sz w:val="22"/>
                <w:szCs w:val="22"/>
              </w:rPr>
            </w:pPr>
            <w:r>
              <w:rPr>
                <w:sz w:val="22"/>
                <w:szCs w:val="22"/>
              </w:rPr>
              <w:t>U0004</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E5336F0" w14:textId="77777777" w:rsidR="00383F1D" w:rsidRDefault="00383F1D">
            <w:pPr>
              <w:tabs>
                <w:tab w:val="left" w:pos="1256"/>
                <w:tab w:val="left" w:pos="3330"/>
              </w:tabs>
              <w:ind w:left="182" w:right="198"/>
              <w:rPr>
                <w:color w:val="000000"/>
                <w:sz w:val="22"/>
                <w:szCs w:val="22"/>
              </w:rPr>
            </w:pPr>
            <w:r>
              <w:rPr>
                <w:color w:val="000000"/>
                <w:sz w:val="22"/>
                <w:szCs w:val="22"/>
              </w:rPr>
              <w:t>$100.00</w:t>
            </w:r>
          </w:p>
        </w:tc>
        <w:tc>
          <w:tcPr>
            <w:tcW w:w="2028" w:type="dxa"/>
            <w:tcBorders>
              <w:top w:val="single" w:sz="4" w:space="0" w:color="auto"/>
              <w:left w:val="single" w:sz="4" w:space="0" w:color="auto"/>
              <w:bottom w:val="single" w:sz="4" w:space="0" w:color="auto"/>
              <w:right w:val="single" w:sz="4" w:space="0" w:color="auto"/>
            </w:tcBorders>
            <w:vAlign w:val="center"/>
          </w:tcPr>
          <w:p w14:paraId="28C49DA8" w14:textId="01B9E87E" w:rsidR="00383F1D" w:rsidRPr="00383F1D" w:rsidRDefault="00383F1D" w:rsidP="00383F1D">
            <w:pPr>
              <w:tabs>
                <w:tab w:val="left" w:pos="1256"/>
                <w:tab w:val="center" w:pos="4925"/>
              </w:tabs>
              <w:ind w:left="144" w:right="78"/>
              <w:rPr>
                <w:sz w:val="22"/>
                <w:szCs w:val="22"/>
              </w:rPr>
            </w:pPr>
            <w:r w:rsidRPr="00383F1D">
              <w:rPr>
                <w:sz w:val="22"/>
                <w:szCs w:val="22"/>
              </w:rPr>
              <w:t>March 18, 2020</w:t>
            </w:r>
          </w:p>
        </w:tc>
        <w:tc>
          <w:tcPr>
            <w:tcW w:w="4428" w:type="dxa"/>
            <w:tcBorders>
              <w:top w:val="single" w:sz="4" w:space="0" w:color="auto"/>
              <w:left w:val="single" w:sz="4" w:space="0" w:color="auto"/>
              <w:bottom w:val="single" w:sz="4" w:space="0" w:color="auto"/>
              <w:right w:val="single" w:sz="4" w:space="0" w:color="auto"/>
            </w:tcBorders>
            <w:vAlign w:val="center"/>
            <w:hideMark/>
          </w:tcPr>
          <w:p w14:paraId="696F7864" w14:textId="3ECF10CF" w:rsidR="00383F1D" w:rsidRDefault="00383F1D" w:rsidP="0037039C">
            <w:pPr>
              <w:tabs>
                <w:tab w:val="left" w:pos="1256"/>
                <w:tab w:val="left" w:pos="3330"/>
              </w:tabs>
              <w:autoSpaceDE w:val="0"/>
              <w:autoSpaceDN w:val="0"/>
              <w:adjustRightInd w:val="0"/>
              <w:ind w:left="72" w:right="270"/>
              <w:rPr>
                <w:rFonts w:eastAsia="Calibri"/>
                <w:color w:val="000000"/>
                <w:sz w:val="22"/>
                <w:szCs w:val="22"/>
              </w:rPr>
            </w:pPr>
            <w:r>
              <w:rPr>
                <w:color w:val="000000"/>
                <w:sz w:val="22"/>
                <w:szCs w:val="22"/>
              </w:rPr>
              <w:t>2019-nCoV Coronavirus, SARS-CoV-2/2019-nCoV (COVID-19), any technique, multiple types or subtypes (includes all targets), non-CDC, making use of high throughput technologies as described by CMS-2020-01-R</w:t>
            </w:r>
          </w:p>
        </w:tc>
      </w:tr>
      <w:tr w:rsidR="00722016" w14:paraId="30CA6BFE" w14:textId="77777777" w:rsidTr="0037039C">
        <w:trPr>
          <w:trHeight w:val="758"/>
        </w:trPr>
        <w:tc>
          <w:tcPr>
            <w:tcW w:w="1116" w:type="dxa"/>
            <w:vMerge w:val="restart"/>
            <w:tcBorders>
              <w:top w:val="single" w:sz="4" w:space="0" w:color="auto"/>
              <w:left w:val="single" w:sz="4" w:space="0" w:color="auto"/>
              <w:right w:val="single" w:sz="4" w:space="0" w:color="auto"/>
            </w:tcBorders>
            <w:vAlign w:val="center"/>
          </w:tcPr>
          <w:p w14:paraId="55B631DD" w14:textId="0550D725" w:rsidR="00722016" w:rsidRDefault="00722016" w:rsidP="00383F1D">
            <w:pPr>
              <w:tabs>
                <w:tab w:val="left" w:pos="1256"/>
                <w:tab w:val="left" w:pos="3330"/>
                <w:tab w:val="center" w:pos="4925"/>
              </w:tabs>
              <w:ind w:left="144" w:right="78"/>
              <w:rPr>
                <w:sz w:val="22"/>
                <w:szCs w:val="22"/>
              </w:rPr>
            </w:pPr>
            <w:r>
              <w:rPr>
                <w:bCs/>
                <w:sz w:val="22"/>
                <w:szCs w:val="22"/>
              </w:rPr>
              <w:t>86328</w:t>
            </w:r>
          </w:p>
        </w:tc>
        <w:tc>
          <w:tcPr>
            <w:tcW w:w="1446" w:type="dxa"/>
            <w:tcBorders>
              <w:top w:val="single" w:sz="4" w:space="0" w:color="auto"/>
              <w:left w:val="single" w:sz="4" w:space="0" w:color="auto"/>
              <w:bottom w:val="single" w:sz="4" w:space="0" w:color="auto"/>
              <w:right w:val="single" w:sz="4" w:space="0" w:color="auto"/>
            </w:tcBorders>
            <w:vAlign w:val="center"/>
          </w:tcPr>
          <w:p w14:paraId="49A3DF46" w14:textId="53849CD0" w:rsidR="00722016" w:rsidRDefault="00722016" w:rsidP="009F5032">
            <w:pPr>
              <w:tabs>
                <w:tab w:val="left" w:pos="1256"/>
                <w:tab w:val="left" w:pos="3330"/>
              </w:tabs>
              <w:ind w:left="182" w:right="198"/>
              <w:rPr>
                <w:color w:val="000000"/>
                <w:sz w:val="22"/>
                <w:szCs w:val="22"/>
              </w:rPr>
            </w:pPr>
            <w:r>
              <w:rPr>
                <w:color w:val="000000"/>
                <w:sz w:val="22"/>
                <w:szCs w:val="22"/>
              </w:rPr>
              <w:t>I.C.</w:t>
            </w:r>
          </w:p>
        </w:tc>
        <w:tc>
          <w:tcPr>
            <w:tcW w:w="2028" w:type="dxa"/>
            <w:tcBorders>
              <w:top w:val="single" w:sz="4" w:space="0" w:color="auto"/>
              <w:left w:val="single" w:sz="4" w:space="0" w:color="auto"/>
              <w:right w:val="single" w:sz="4" w:space="0" w:color="auto"/>
            </w:tcBorders>
            <w:vAlign w:val="center"/>
          </w:tcPr>
          <w:p w14:paraId="2EB9612A" w14:textId="3673A8C7" w:rsidR="00722016" w:rsidRPr="00383F1D" w:rsidRDefault="00722016">
            <w:pPr>
              <w:tabs>
                <w:tab w:val="left" w:pos="1256"/>
                <w:tab w:val="center" w:pos="4925"/>
              </w:tabs>
              <w:ind w:left="144" w:right="78"/>
              <w:rPr>
                <w:sz w:val="22"/>
                <w:szCs w:val="22"/>
              </w:rPr>
            </w:pPr>
            <w:r w:rsidRPr="00383F1D">
              <w:rPr>
                <w:sz w:val="22"/>
                <w:szCs w:val="22"/>
              </w:rPr>
              <w:t>April 10, 2020</w:t>
            </w:r>
          </w:p>
        </w:tc>
        <w:tc>
          <w:tcPr>
            <w:tcW w:w="4428" w:type="dxa"/>
            <w:vMerge w:val="restart"/>
            <w:tcBorders>
              <w:top w:val="single" w:sz="4" w:space="0" w:color="auto"/>
              <w:left w:val="single" w:sz="4" w:space="0" w:color="auto"/>
              <w:right w:val="single" w:sz="4" w:space="0" w:color="auto"/>
            </w:tcBorders>
            <w:vAlign w:val="center"/>
          </w:tcPr>
          <w:p w14:paraId="18D14ED8" w14:textId="79466BCB" w:rsidR="00722016" w:rsidRDefault="00722016" w:rsidP="0037039C">
            <w:pPr>
              <w:tabs>
                <w:tab w:val="left" w:pos="1256"/>
                <w:tab w:val="left" w:pos="3330"/>
              </w:tabs>
              <w:autoSpaceDE w:val="0"/>
              <w:autoSpaceDN w:val="0"/>
              <w:adjustRightInd w:val="0"/>
              <w:ind w:left="72" w:right="270"/>
              <w:rPr>
                <w:color w:val="000000"/>
                <w:sz w:val="22"/>
                <w:szCs w:val="22"/>
              </w:rPr>
            </w:pPr>
            <w:r>
              <w:rPr>
                <w:color w:val="000000"/>
                <w:sz w:val="22"/>
                <w:szCs w:val="22"/>
              </w:rPr>
              <w:t xml:space="preserve">Immunoassay for infectious agent </w:t>
            </w:r>
            <w:proofErr w:type="gramStart"/>
            <w:r>
              <w:rPr>
                <w:color w:val="000000"/>
                <w:sz w:val="22"/>
                <w:szCs w:val="22"/>
              </w:rPr>
              <w:t>antibody(</w:t>
            </w:r>
            <w:proofErr w:type="spellStart"/>
            <w:proofErr w:type="gramEnd"/>
            <w:r>
              <w:rPr>
                <w:color w:val="000000"/>
                <w:sz w:val="22"/>
                <w:szCs w:val="22"/>
              </w:rPr>
              <w:t>ies</w:t>
            </w:r>
            <w:proofErr w:type="spellEnd"/>
            <w:r>
              <w:rPr>
                <w:color w:val="000000"/>
                <w:sz w:val="22"/>
                <w:szCs w:val="22"/>
              </w:rPr>
              <w:t xml:space="preserve">), qualitative or </w:t>
            </w:r>
            <w:proofErr w:type="spellStart"/>
            <w:r>
              <w:rPr>
                <w:color w:val="000000"/>
                <w:sz w:val="22"/>
                <w:szCs w:val="22"/>
              </w:rPr>
              <w:t>semiquantitative</w:t>
            </w:r>
            <w:proofErr w:type="spellEnd"/>
            <w:r>
              <w:rPr>
                <w:color w:val="000000"/>
                <w:sz w:val="22"/>
                <w:szCs w:val="22"/>
              </w:rPr>
              <w:t>, single step method (e.g., reagent strip); severe acute respiratory syndrome coronavirus 2 (SARS-CoV-2) (Coronavirus disease [COVID-19]).</w:t>
            </w:r>
          </w:p>
        </w:tc>
      </w:tr>
      <w:tr w:rsidR="00722016" w14:paraId="7A0CCB4E" w14:textId="77777777" w:rsidTr="0037039C">
        <w:trPr>
          <w:trHeight w:val="1196"/>
        </w:trPr>
        <w:tc>
          <w:tcPr>
            <w:tcW w:w="1116" w:type="dxa"/>
            <w:vMerge/>
            <w:tcBorders>
              <w:left w:val="single" w:sz="4" w:space="0" w:color="auto"/>
              <w:bottom w:val="single" w:sz="4" w:space="0" w:color="auto"/>
              <w:right w:val="single" w:sz="4" w:space="0" w:color="auto"/>
            </w:tcBorders>
            <w:vAlign w:val="center"/>
          </w:tcPr>
          <w:p w14:paraId="529B7AA6" w14:textId="77777777" w:rsidR="00722016" w:rsidRDefault="00722016" w:rsidP="00383F1D">
            <w:pPr>
              <w:tabs>
                <w:tab w:val="left" w:pos="1256"/>
                <w:tab w:val="left" w:pos="3330"/>
                <w:tab w:val="center" w:pos="4925"/>
              </w:tabs>
              <w:ind w:left="144" w:right="78"/>
              <w:rPr>
                <w:bCs/>
                <w:sz w:val="22"/>
                <w:szCs w:val="22"/>
              </w:rPr>
            </w:pPr>
          </w:p>
        </w:tc>
        <w:tc>
          <w:tcPr>
            <w:tcW w:w="1446" w:type="dxa"/>
            <w:tcBorders>
              <w:top w:val="single" w:sz="4" w:space="0" w:color="auto"/>
              <w:left w:val="single" w:sz="4" w:space="0" w:color="auto"/>
              <w:bottom w:val="single" w:sz="4" w:space="0" w:color="auto"/>
              <w:right w:val="single" w:sz="4" w:space="0" w:color="auto"/>
            </w:tcBorders>
            <w:vAlign w:val="center"/>
          </w:tcPr>
          <w:p w14:paraId="31BD1C08" w14:textId="11D64C5D" w:rsidR="00722016" w:rsidRDefault="00722016" w:rsidP="00383F1D">
            <w:pPr>
              <w:tabs>
                <w:tab w:val="left" w:pos="1256"/>
                <w:tab w:val="left" w:pos="3330"/>
              </w:tabs>
              <w:ind w:left="182" w:right="198"/>
              <w:rPr>
                <w:color w:val="000000"/>
                <w:sz w:val="22"/>
                <w:szCs w:val="22"/>
              </w:rPr>
            </w:pPr>
            <w:r>
              <w:rPr>
                <w:color w:val="333333"/>
                <w:sz w:val="22"/>
                <w:szCs w:val="22"/>
                <w:shd w:val="clear" w:color="auto" w:fill="FFFFFF"/>
              </w:rPr>
              <w:t>$</w:t>
            </w:r>
            <w:r w:rsidRPr="00037863">
              <w:rPr>
                <w:color w:val="333333"/>
                <w:sz w:val="22"/>
                <w:szCs w:val="22"/>
                <w:shd w:val="clear" w:color="auto" w:fill="FFFFFF"/>
              </w:rPr>
              <w:t>45.23</w:t>
            </w:r>
          </w:p>
        </w:tc>
        <w:tc>
          <w:tcPr>
            <w:tcW w:w="2028" w:type="dxa"/>
            <w:tcBorders>
              <w:left w:val="single" w:sz="4" w:space="0" w:color="auto"/>
              <w:bottom w:val="single" w:sz="4" w:space="0" w:color="auto"/>
              <w:right w:val="single" w:sz="4" w:space="0" w:color="auto"/>
            </w:tcBorders>
            <w:vAlign w:val="center"/>
          </w:tcPr>
          <w:p w14:paraId="3EE91DB2" w14:textId="3825C30A" w:rsidR="00722016" w:rsidRPr="00383F1D" w:rsidRDefault="00722016" w:rsidP="00097AD3">
            <w:pPr>
              <w:tabs>
                <w:tab w:val="left" w:pos="1256"/>
                <w:tab w:val="center" w:pos="4925"/>
              </w:tabs>
              <w:ind w:left="144" w:right="78"/>
              <w:rPr>
                <w:sz w:val="22"/>
                <w:szCs w:val="22"/>
              </w:rPr>
            </w:pPr>
            <w:r>
              <w:rPr>
                <w:sz w:val="22"/>
                <w:szCs w:val="22"/>
              </w:rPr>
              <w:t>August 1, 2020</w:t>
            </w:r>
          </w:p>
        </w:tc>
        <w:tc>
          <w:tcPr>
            <w:tcW w:w="4428" w:type="dxa"/>
            <w:vMerge/>
            <w:tcBorders>
              <w:left w:val="single" w:sz="4" w:space="0" w:color="auto"/>
              <w:bottom w:val="single" w:sz="4" w:space="0" w:color="auto"/>
              <w:right w:val="single" w:sz="4" w:space="0" w:color="auto"/>
            </w:tcBorders>
            <w:vAlign w:val="center"/>
          </w:tcPr>
          <w:p w14:paraId="102517C0" w14:textId="77777777" w:rsidR="00722016" w:rsidRDefault="00722016" w:rsidP="0037039C">
            <w:pPr>
              <w:tabs>
                <w:tab w:val="left" w:pos="1256"/>
                <w:tab w:val="left" w:pos="3330"/>
              </w:tabs>
              <w:autoSpaceDE w:val="0"/>
              <w:autoSpaceDN w:val="0"/>
              <w:adjustRightInd w:val="0"/>
              <w:ind w:left="72" w:right="270"/>
              <w:rPr>
                <w:color w:val="000000"/>
                <w:sz w:val="22"/>
                <w:szCs w:val="22"/>
              </w:rPr>
            </w:pPr>
          </w:p>
        </w:tc>
      </w:tr>
      <w:tr w:rsidR="00722016" w14:paraId="0DEDE784" w14:textId="77777777" w:rsidTr="0037039C">
        <w:trPr>
          <w:trHeight w:val="713"/>
        </w:trPr>
        <w:tc>
          <w:tcPr>
            <w:tcW w:w="1116" w:type="dxa"/>
            <w:vMerge w:val="restart"/>
            <w:tcBorders>
              <w:top w:val="single" w:sz="4" w:space="0" w:color="auto"/>
              <w:left w:val="single" w:sz="4" w:space="0" w:color="auto"/>
              <w:right w:val="single" w:sz="4" w:space="0" w:color="auto"/>
            </w:tcBorders>
            <w:vAlign w:val="center"/>
          </w:tcPr>
          <w:p w14:paraId="0B2204FF" w14:textId="69C56337" w:rsidR="00722016" w:rsidRDefault="00722016" w:rsidP="00383F1D">
            <w:pPr>
              <w:tabs>
                <w:tab w:val="left" w:pos="1256"/>
                <w:tab w:val="left" w:pos="3330"/>
                <w:tab w:val="center" w:pos="4925"/>
              </w:tabs>
              <w:ind w:left="144" w:right="78"/>
              <w:rPr>
                <w:sz w:val="22"/>
                <w:szCs w:val="22"/>
              </w:rPr>
            </w:pPr>
            <w:r>
              <w:rPr>
                <w:bCs/>
                <w:sz w:val="22"/>
                <w:szCs w:val="22"/>
              </w:rPr>
              <w:t>86769</w:t>
            </w:r>
          </w:p>
        </w:tc>
        <w:tc>
          <w:tcPr>
            <w:tcW w:w="1446" w:type="dxa"/>
            <w:tcBorders>
              <w:top w:val="single" w:sz="4" w:space="0" w:color="auto"/>
              <w:left w:val="single" w:sz="4" w:space="0" w:color="auto"/>
              <w:bottom w:val="single" w:sz="4" w:space="0" w:color="auto"/>
              <w:right w:val="single" w:sz="4" w:space="0" w:color="auto"/>
            </w:tcBorders>
            <w:vAlign w:val="center"/>
          </w:tcPr>
          <w:p w14:paraId="33265738" w14:textId="3CC4A220" w:rsidR="00722016" w:rsidRDefault="00722016" w:rsidP="009F5032">
            <w:pPr>
              <w:tabs>
                <w:tab w:val="left" w:pos="1256"/>
                <w:tab w:val="left" w:pos="3330"/>
              </w:tabs>
              <w:ind w:left="182" w:right="198"/>
              <w:rPr>
                <w:color w:val="000000"/>
                <w:sz w:val="22"/>
                <w:szCs w:val="22"/>
              </w:rPr>
            </w:pPr>
            <w:r>
              <w:rPr>
                <w:color w:val="000000"/>
                <w:sz w:val="22"/>
                <w:szCs w:val="22"/>
              </w:rPr>
              <w:t>I.C.</w:t>
            </w:r>
          </w:p>
        </w:tc>
        <w:tc>
          <w:tcPr>
            <w:tcW w:w="2028" w:type="dxa"/>
            <w:tcBorders>
              <w:top w:val="single" w:sz="4" w:space="0" w:color="auto"/>
              <w:left w:val="single" w:sz="4" w:space="0" w:color="auto"/>
              <w:right w:val="single" w:sz="4" w:space="0" w:color="auto"/>
            </w:tcBorders>
            <w:vAlign w:val="center"/>
          </w:tcPr>
          <w:p w14:paraId="60ECDC1A" w14:textId="339EF5D2" w:rsidR="00722016" w:rsidRPr="00383F1D" w:rsidRDefault="00722016">
            <w:pPr>
              <w:tabs>
                <w:tab w:val="left" w:pos="1256"/>
                <w:tab w:val="center" w:pos="4925"/>
              </w:tabs>
              <w:ind w:left="144" w:right="78"/>
              <w:rPr>
                <w:sz w:val="22"/>
                <w:szCs w:val="22"/>
              </w:rPr>
            </w:pPr>
            <w:r w:rsidRPr="00383F1D">
              <w:rPr>
                <w:sz w:val="22"/>
                <w:szCs w:val="22"/>
              </w:rPr>
              <w:t>April 10, 2020</w:t>
            </w:r>
          </w:p>
        </w:tc>
        <w:tc>
          <w:tcPr>
            <w:tcW w:w="4428" w:type="dxa"/>
            <w:vMerge w:val="restart"/>
            <w:tcBorders>
              <w:top w:val="single" w:sz="4" w:space="0" w:color="auto"/>
              <w:left w:val="single" w:sz="4" w:space="0" w:color="auto"/>
              <w:right w:val="single" w:sz="4" w:space="0" w:color="auto"/>
            </w:tcBorders>
            <w:vAlign w:val="center"/>
          </w:tcPr>
          <w:p w14:paraId="79C4CCB3" w14:textId="1DA238F8" w:rsidR="00722016" w:rsidRDefault="00722016" w:rsidP="0037039C">
            <w:pPr>
              <w:tabs>
                <w:tab w:val="left" w:pos="1256"/>
                <w:tab w:val="left" w:pos="3330"/>
              </w:tabs>
              <w:autoSpaceDE w:val="0"/>
              <w:autoSpaceDN w:val="0"/>
              <w:adjustRightInd w:val="0"/>
              <w:ind w:left="72" w:right="270"/>
              <w:rPr>
                <w:color w:val="000000"/>
                <w:sz w:val="22"/>
                <w:szCs w:val="22"/>
              </w:rPr>
            </w:pPr>
            <w:r>
              <w:rPr>
                <w:color w:val="000000"/>
                <w:sz w:val="22"/>
                <w:szCs w:val="22"/>
              </w:rPr>
              <w:t>Antibody; severe acute respiratory syndrome coronavirus 2 (SARS-CoV-2) (Coronavirus disease [COVID-19]).</w:t>
            </w:r>
          </w:p>
        </w:tc>
      </w:tr>
      <w:tr w:rsidR="00722016" w14:paraId="0FDD2951" w14:textId="77777777" w:rsidTr="0037039C">
        <w:trPr>
          <w:trHeight w:val="712"/>
        </w:trPr>
        <w:tc>
          <w:tcPr>
            <w:tcW w:w="1116" w:type="dxa"/>
            <w:vMerge/>
            <w:tcBorders>
              <w:left w:val="single" w:sz="4" w:space="0" w:color="auto"/>
              <w:bottom w:val="single" w:sz="4" w:space="0" w:color="auto"/>
              <w:right w:val="single" w:sz="4" w:space="0" w:color="auto"/>
            </w:tcBorders>
            <w:vAlign w:val="center"/>
          </w:tcPr>
          <w:p w14:paraId="704B6869" w14:textId="77777777" w:rsidR="00722016" w:rsidRDefault="00722016" w:rsidP="00383F1D">
            <w:pPr>
              <w:tabs>
                <w:tab w:val="left" w:pos="1256"/>
                <w:tab w:val="left" w:pos="3330"/>
                <w:tab w:val="center" w:pos="4925"/>
              </w:tabs>
              <w:ind w:left="144" w:right="78"/>
              <w:rPr>
                <w:bCs/>
                <w:sz w:val="22"/>
                <w:szCs w:val="22"/>
              </w:rPr>
            </w:pPr>
          </w:p>
        </w:tc>
        <w:tc>
          <w:tcPr>
            <w:tcW w:w="1446" w:type="dxa"/>
            <w:tcBorders>
              <w:top w:val="single" w:sz="4" w:space="0" w:color="auto"/>
              <w:left w:val="single" w:sz="4" w:space="0" w:color="auto"/>
              <w:bottom w:val="single" w:sz="4" w:space="0" w:color="auto"/>
              <w:right w:val="single" w:sz="4" w:space="0" w:color="auto"/>
            </w:tcBorders>
            <w:vAlign w:val="center"/>
          </w:tcPr>
          <w:p w14:paraId="17F18699" w14:textId="41219F7A" w:rsidR="00722016" w:rsidRDefault="00722016" w:rsidP="00722016">
            <w:pPr>
              <w:tabs>
                <w:tab w:val="left" w:pos="1256"/>
                <w:tab w:val="left" w:pos="3330"/>
              </w:tabs>
              <w:ind w:left="182" w:right="198"/>
              <w:rPr>
                <w:color w:val="000000"/>
                <w:sz w:val="22"/>
                <w:szCs w:val="22"/>
              </w:rPr>
            </w:pPr>
            <w:r w:rsidRPr="00037863">
              <w:rPr>
                <w:sz w:val="22"/>
                <w:szCs w:val="22"/>
              </w:rPr>
              <w:t>$</w:t>
            </w:r>
            <w:r w:rsidRPr="00037863">
              <w:rPr>
                <w:color w:val="333333"/>
                <w:sz w:val="22"/>
                <w:szCs w:val="22"/>
                <w:shd w:val="clear" w:color="auto" w:fill="FFFFFF"/>
              </w:rPr>
              <w:t>42.13</w:t>
            </w:r>
          </w:p>
        </w:tc>
        <w:tc>
          <w:tcPr>
            <w:tcW w:w="2028" w:type="dxa"/>
            <w:tcBorders>
              <w:left w:val="single" w:sz="4" w:space="0" w:color="auto"/>
              <w:bottom w:val="single" w:sz="4" w:space="0" w:color="auto"/>
              <w:right w:val="single" w:sz="4" w:space="0" w:color="auto"/>
            </w:tcBorders>
            <w:vAlign w:val="center"/>
          </w:tcPr>
          <w:p w14:paraId="27C55833" w14:textId="6FA2B4FF" w:rsidR="00722016" w:rsidRPr="0037039C" w:rsidRDefault="00722016" w:rsidP="00383F1D">
            <w:pPr>
              <w:tabs>
                <w:tab w:val="left" w:pos="1256"/>
                <w:tab w:val="center" w:pos="4925"/>
              </w:tabs>
              <w:ind w:left="144" w:right="78"/>
              <w:rPr>
                <w:b/>
                <w:sz w:val="22"/>
                <w:szCs w:val="22"/>
              </w:rPr>
            </w:pPr>
            <w:r>
              <w:rPr>
                <w:sz w:val="22"/>
                <w:szCs w:val="22"/>
              </w:rPr>
              <w:t>August 1, 2020</w:t>
            </w:r>
          </w:p>
        </w:tc>
        <w:tc>
          <w:tcPr>
            <w:tcW w:w="4428" w:type="dxa"/>
            <w:vMerge/>
            <w:tcBorders>
              <w:left w:val="single" w:sz="4" w:space="0" w:color="auto"/>
              <w:bottom w:val="single" w:sz="4" w:space="0" w:color="auto"/>
              <w:right w:val="single" w:sz="4" w:space="0" w:color="auto"/>
            </w:tcBorders>
            <w:vAlign w:val="center"/>
          </w:tcPr>
          <w:p w14:paraId="58D57458" w14:textId="77777777" w:rsidR="00722016" w:rsidRDefault="00722016" w:rsidP="00383F1D">
            <w:pPr>
              <w:tabs>
                <w:tab w:val="left" w:pos="1256"/>
                <w:tab w:val="left" w:pos="3330"/>
              </w:tabs>
              <w:autoSpaceDE w:val="0"/>
              <w:autoSpaceDN w:val="0"/>
              <w:adjustRightInd w:val="0"/>
              <w:ind w:left="72"/>
              <w:rPr>
                <w:color w:val="000000"/>
                <w:sz w:val="22"/>
                <w:szCs w:val="22"/>
              </w:rPr>
            </w:pPr>
          </w:p>
        </w:tc>
      </w:tr>
    </w:tbl>
    <w:p w14:paraId="34E598B4" w14:textId="77777777" w:rsidR="00383F1D" w:rsidRDefault="00383F1D" w:rsidP="00383F1D">
      <w:pPr>
        <w:tabs>
          <w:tab w:val="left" w:pos="3330"/>
        </w:tabs>
        <w:autoSpaceDE w:val="0"/>
        <w:autoSpaceDN w:val="0"/>
        <w:adjustRightInd w:val="0"/>
        <w:ind w:right="198"/>
        <w:rPr>
          <w:sz w:val="11"/>
          <w:szCs w:val="11"/>
        </w:rPr>
      </w:pPr>
    </w:p>
    <w:p w14:paraId="23134178" w14:textId="77777777" w:rsidR="00B83579" w:rsidRDefault="00B83579" w:rsidP="006F58F5">
      <w:pPr>
        <w:pStyle w:val="Heading1"/>
        <w:spacing w:before="120" w:after="0"/>
        <w:ind w:left="0"/>
      </w:pPr>
    </w:p>
    <w:p w14:paraId="59980019" w14:textId="77777777" w:rsidR="006F58F5" w:rsidRDefault="006F58F5" w:rsidP="006F58F5">
      <w:pPr>
        <w:pStyle w:val="Heading1"/>
        <w:spacing w:before="120" w:after="0"/>
      </w:pPr>
    </w:p>
    <w:p w14:paraId="67DA87D6" w14:textId="77777777" w:rsidR="0037039C" w:rsidRPr="009901A7" w:rsidRDefault="0037039C" w:rsidP="00B83579">
      <w:pPr>
        <w:pStyle w:val="Heading1"/>
        <w:spacing w:before="240"/>
      </w:pPr>
      <w:r w:rsidRPr="009901A7">
        <w:t>MassHealth Website</w:t>
      </w:r>
    </w:p>
    <w:p w14:paraId="459A1826" w14:textId="77777777" w:rsidR="0037039C" w:rsidRPr="009901A7" w:rsidRDefault="0037039C" w:rsidP="0037039C">
      <w:pPr>
        <w:pStyle w:val="BodyTextIndent"/>
        <w:spacing w:after="120" w:afterAutospacing="0"/>
      </w:pPr>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2C6CE002" w14:textId="042777E2" w:rsidR="0037039C" w:rsidRDefault="0037039C" w:rsidP="0037039C">
      <w:pPr>
        <w:pStyle w:val="BodyTextIndent"/>
      </w:pPr>
      <w:r w:rsidRPr="009901A7">
        <w:t>To sign up to receive email alerts when MassHealth issues new bulletins and transmittal letters, send a blank email to </w:t>
      </w:r>
      <w:hyperlink r:id="rId17" w:history="1">
        <w:r w:rsidRPr="009901A7">
          <w:rPr>
            <w:rStyle w:val="Hyperlink"/>
          </w:rPr>
          <w:t>join-masshealth-provider-pubs@listserv.state.ma.us</w:t>
        </w:r>
      </w:hyperlink>
      <w:r w:rsidRPr="009901A7">
        <w:t>. No text in the body or subject line is needed.</w:t>
      </w:r>
    </w:p>
    <w:p w14:paraId="72705C13" w14:textId="77777777" w:rsidR="00ED5D38" w:rsidRPr="009901A7" w:rsidRDefault="00ED5D38" w:rsidP="00ED5D38">
      <w:pPr>
        <w:pStyle w:val="Heading1"/>
      </w:pPr>
      <w:r w:rsidRPr="009901A7">
        <w:t>Questions</w:t>
      </w:r>
    </w:p>
    <w:p w14:paraId="5B894CBF" w14:textId="3B7BE49B" w:rsidR="00ED5D38" w:rsidRDefault="00ED5D38" w:rsidP="00ED5D38">
      <w:pPr>
        <w:pStyle w:val="BodyTextIndent"/>
        <w:sectPr w:rsidR="00ED5D38" w:rsidSect="00737933">
          <w:type w:val="continuous"/>
          <w:pgSz w:w="12240" w:h="15840"/>
          <w:pgMar w:top="1440" w:right="1440" w:bottom="1260" w:left="1170" w:header="711"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9901A7">
        <w:t xml:space="preserve">If you have any questions about the information in this bulletin, please contact the MassHealth Customer Service Center at (800) 841-2900, email your inquiry to </w:t>
      </w:r>
      <w:hyperlink r:id="rId18" w:history="1">
        <w:r w:rsidRPr="009901A7">
          <w:rPr>
            <w:rStyle w:val="Hyperlink"/>
          </w:rPr>
          <w:t>providersupport@mahealth.net</w:t>
        </w:r>
      </w:hyperlink>
      <w:r w:rsidRPr="009901A7">
        <w:t>, or fax your inquiry to (617) 988</w:t>
      </w:r>
      <w:r w:rsidRPr="009901A7">
        <w:noBreakHyphen/>
        <w:t>897</w:t>
      </w:r>
      <w:r w:rsidR="0079569A">
        <w:t>4</w:t>
      </w:r>
    </w:p>
    <w:p w14:paraId="498E9A7F" w14:textId="32B16E35" w:rsidR="007C52A2" w:rsidRPr="0096307D" w:rsidRDefault="007C52A2" w:rsidP="00B83579">
      <w:pPr>
        <w:pStyle w:val="BodyTextIndent"/>
        <w:ind w:left="0"/>
        <w:rPr>
          <w:rFonts w:ascii="Calibri" w:hAnsi="Calibri"/>
        </w:rPr>
      </w:pPr>
    </w:p>
    <w:sectPr w:rsidR="007C52A2" w:rsidRPr="0096307D" w:rsidSect="00925EB9">
      <w:headerReference w:type="default" r:id="rId19"/>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65D5" w16cex:dateUtc="2020-05-22T18:5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D2AB3" w14:textId="77777777" w:rsidR="00EA4C60" w:rsidRDefault="00EA4C60" w:rsidP="00CC1E11">
      <w:r>
        <w:separator/>
      </w:r>
    </w:p>
  </w:endnote>
  <w:endnote w:type="continuationSeparator" w:id="0">
    <w:p w14:paraId="4248E06D" w14:textId="77777777" w:rsidR="00EA4C60" w:rsidRDefault="00EA4C60"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7AC4" w14:textId="69F1A4F5" w:rsidR="00232638" w:rsidRPr="00886222" w:rsidRDefault="00232638" w:rsidP="00886222">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371F9" w14:textId="77777777" w:rsidR="00EA4C60" w:rsidRDefault="00EA4C60" w:rsidP="00CC1E11">
      <w:r>
        <w:separator/>
      </w:r>
    </w:p>
  </w:footnote>
  <w:footnote w:type="continuationSeparator" w:id="0">
    <w:p w14:paraId="5466896D" w14:textId="77777777" w:rsidR="00EA4C60" w:rsidRDefault="00EA4C60"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C6E1" w14:textId="77777777" w:rsidR="00232638" w:rsidRPr="00150BCC" w:rsidRDefault="00232638" w:rsidP="007D1F33">
    <w:pPr>
      <w:pStyle w:val="BullsHeading"/>
      <w:spacing w:before="240"/>
    </w:pPr>
    <w:r w:rsidRPr="00150BCC">
      <w:t>MassHealth</w:t>
    </w:r>
  </w:p>
  <w:p w14:paraId="78A98173" w14:textId="507F6997" w:rsidR="00232638" w:rsidRPr="00150BCC" w:rsidRDefault="00232638" w:rsidP="00F6547F">
    <w:pPr>
      <w:pStyle w:val="BullsHeading"/>
    </w:pPr>
    <w:r>
      <w:t>Managed Care Entity</w:t>
    </w:r>
    <w:r w:rsidRPr="00150BCC">
      <w:t xml:space="preserve"> Bulletin </w:t>
    </w:r>
    <w:r w:rsidR="006F58F5">
      <w:t>40</w:t>
    </w:r>
  </w:p>
  <w:p w14:paraId="19D7FF35" w14:textId="02B2DEA0" w:rsidR="00232638" w:rsidRDefault="00B83579" w:rsidP="00F6547F">
    <w:pPr>
      <w:pStyle w:val="BullsHeading"/>
    </w:pPr>
    <w:r>
      <w:t>August</w:t>
    </w:r>
    <w:r w:rsidR="00232638">
      <w:t xml:space="preserve"> 2020</w:t>
    </w:r>
  </w:p>
  <w:p w14:paraId="2D93628D" w14:textId="5A7B06EC" w:rsidR="00232638" w:rsidRDefault="00232638" w:rsidP="00F6547F">
    <w:pPr>
      <w:pStyle w:val="BullsHeading"/>
    </w:pPr>
    <w:r>
      <w:t xml:space="preserve">Page </w:t>
    </w:r>
    <w:r>
      <w:fldChar w:fldCharType="begin"/>
    </w:r>
    <w:r>
      <w:instrText xml:space="preserve"> PAGE  \* Arabic  \* MERGEFORMAT </w:instrText>
    </w:r>
    <w:r>
      <w:fldChar w:fldCharType="separate"/>
    </w:r>
    <w:r w:rsidR="005C37DB">
      <w:rPr>
        <w:noProof/>
      </w:rPr>
      <w:t>4</w:t>
    </w:r>
    <w:r>
      <w:fldChar w:fldCharType="end"/>
    </w:r>
    <w:r>
      <w:t xml:space="preserve"> of 5</w:t>
    </w:r>
  </w:p>
  <w:p w14:paraId="57CC0D3A" w14:textId="77777777" w:rsidR="00232638" w:rsidRDefault="00232638">
    <w:pPr>
      <w:pStyle w:val="Header"/>
    </w:pPr>
  </w:p>
  <w:p w14:paraId="4302B2F4" w14:textId="77777777" w:rsidR="006F58F5" w:rsidRDefault="006F5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29BC" w14:textId="77777777" w:rsidR="00232638" w:rsidRPr="00150BCC" w:rsidRDefault="00232638" w:rsidP="00F6547F">
    <w:pPr>
      <w:pStyle w:val="BullsHeading"/>
      <w:spacing w:before="480"/>
    </w:pPr>
    <w:r w:rsidRPr="00150BCC">
      <w:t>MassHealth</w:t>
    </w:r>
  </w:p>
  <w:p w14:paraId="6161BFFA" w14:textId="761ACBCB" w:rsidR="00232638" w:rsidRPr="00150BCC" w:rsidRDefault="00232638" w:rsidP="00F6547F">
    <w:pPr>
      <w:pStyle w:val="BullsHeading"/>
    </w:pPr>
    <w:r>
      <w:t>Managed Care Entity</w:t>
    </w:r>
    <w:r w:rsidRPr="00150BCC">
      <w:t xml:space="preserve"> Bulletin </w:t>
    </w:r>
    <w:r>
      <w:t>24</w:t>
    </w:r>
  </w:p>
  <w:p w14:paraId="7E0EB9E0" w14:textId="77777777" w:rsidR="00232638" w:rsidRDefault="00232638" w:rsidP="00F6547F">
    <w:pPr>
      <w:pStyle w:val="BullsHeading"/>
    </w:pPr>
    <w:r>
      <w:t>April 2020</w:t>
    </w:r>
  </w:p>
  <w:p w14:paraId="15FDC156" w14:textId="2AAA3830" w:rsidR="00232638" w:rsidRDefault="00232638" w:rsidP="00F6547F">
    <w:pPr>
      <w:pStyle w:val="BullsHeading"/>
    </w:pPr>
    <w:r>
      <w:t>Appendix F</w:t>
    </w:r>
  </w:p>
  <w:p w14:paraId="42EEB691" w14:textId="77777777" w:rsidR="00232638" w:rsidRDefault="00232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3005715"/>
    <w:multiLevelType w:val="hybridMultilevel"/>
    <w:tmpl w:val="AA506B92"/>
    <w:lvl w:ilvl="0" w:tplc="470029A8">
      <w:start w:val="1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0C55388F"/>
    <w:multiLevelType w:val="hybridMultilevel"/>
    <w:tmpl w:val="29B46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F31021"/>
    <w:multiLevelType w:val="hybridMultilevel"/>
    <w:tmpl w:val="B8DA0DF8"/>
    <w:lvl w:ilvl="0" w:tplc="9354A670">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40D132F"/>
    <w:multiLevelType w:val="hybridMultilevel"/>
    <w:tmpl w:val="69B25604"/>
    <w:lvl w:ilvl="0" w:tplc="68CCE1D6">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39744C2C"/>
    <w:multiLevelType w:val="hybridMultilevel"/>
    <w:tmpl w:val="9A7AD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474522"/>
    <w:multiLevelType w:val="hybridMultilevel"/>
    <w:tmpl w:val="E58EF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3550A3"/>
    <w:multiLevelType w:val="hybridMultilevel"/>
    <w:tmpl w:val="210E5DBC"/>
    <w:lvl w:ilvl="0" w:tplc="DC265DAC">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6"/>
  </w:num>
  <w:num w:numId="14">
    <w:abstractNumId w:val="10"/>
  </w:num>
  <w:num w:numId="15">
    <w:abstractNumId w:val="12"/>
  </w:num>
  <w:num w:numId="16">
    <w:abstractNumId w:val="11"/>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itink, Timothy S. (EHS)">
    <w15:presenceInfo w15:providerId="AD" w15:userId="S::Timothy.Hoitink@massmail.state.ma.us::c406f9b2-c0e0-42ee-a5f4-65d42b4e8e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61B4"/>
    <w:rsid w:val="0000745C"/>
    <w:rsid w:val="00016475"/>
    <w:rsid w:val="00023B0C"/>
    <w:rsid w:val="000256EB"/>
    <w:rsid w:val="000262BD"/>
    <w:rsid w:val="0004505E"/>
    <w:rsid w:val="00056A84"/>
    <w:rsid w:val="00075A44"/>
    <w:rsid w:val="00087E1A"/>
    <w:rsid w:val="00090490"/>
    <w:rsid w:val="00091225"/>
    <w:rsid w:val="00097AD3"/>
    <w:rsid w:val="000A4199"/>
    <w:rsid w:val="000A69B1"/>
    <w:rsid w:val="000C53E9"/>
    <w:rsid w:val="000C7A08"/>
    <w:rsid w:val="000D3DB5"/>
    <w:rsid w:val="00117169"/>
    <w:rsid w:val="00150BCC"/>
    <w:rsid w:val="00154645"/>
    <w:rsid w:val="0015774F"/>
    <w:rsid w:val="00165D87"/>
    <w:rsid w:val="001720BF"/>
    <w:rsid w:val="00183362"/>
    <w:rsid w:val="001843DD"/>
    <w:rsid w:val="00190B4F"/>
    <w:rsid w:val="001945FB"/>
    <w:rsid w:val="001979FD"/>
    <w:rsid w:val="001B7AA2"/>
    <w:rsid w:val="001B7E57"/>
    <w:rsid w:val="001C0670"/>
    <w:rsid w:val="001C2FFC"/>
    <w:rsid w:val="001F48BE"/>
    <w:rsid w:val="0020786A"/>
    <w:rsid w:val="00216659"/>
    <w:rsid w:val="002172D2"/>
    <w:rsid w:val="00223865"/>
    <w:rsid w:val="00225492"/>
    <w:rsid w:val="00232638"/>
    <w:rsid w:val="00232E64"/>
    <w:rsid w:val="00237D02"/>
    <w:rsid w:val="00266102"/>
    <w:rsid w:val="002663F1"/>
    <w:rsid w:val="002A0675"/>
    <w:rsid w:val="002B2E17"/>
    <w:rsid w:val="002B47DF"/>
    <w:rsid w:val="002C4149"/>
    <w:rsid w:val="002D1FDF"/>
    <w:rsid w:val="002E541A"/>
    <w:rsid w:val="002F2993"/>
    <w:rsid w:val="002F593C"/>
    <w:rsid w:val="002F5F26"/>
    <w:rsid w:val="0034578D"/>
    <w:rsid w:val="00356050"/>
    <w:rsid w:val="00363983"/>
    <w:rsid w:val="0037039C"/>
    <w:rsid w:val="00373605"/>
    <w:rsid w:val="00381746"/>
    <w:rsid w:val="00383F1D"/>
    <w:rsid w:val="003A7588"/>
    <w:rsid w:val="003C5205"/>
    <w:rsid w:val="00411693"/>
    <w:rsid w:val="0041704B"/>
    <w:rsid w:val="004175C7"/>
    <w:rsid w:val="00433C4E"/>
    <w:rsid w:val="00440C51"/>
    <w:rsid w:val="004504D0"/>
    <w:rsid w:val="00454A57"/>
    <w:rsid w:val="00462015"/>
    <w:rsid w:val="00466854"/>
    <w:rsid w:val="0047150E"/>
    <w:rsid w:val="00482BF2"/>
    <w:rsid w:val="004978CF"/>
    <w:rsid w:val="004A0D4B"/>
    <w:rsid w:val="004A7718"/>
    <w:rsid w:val="004B6234"/>
    <w:rsid w:val="004C14D7"/>
    <w:rsid w:val="004D205F"/>
    <w:rsid w:val="004D4FD2"/>
    <w:rsid w:val="004D5306"/>
    <w:rsid w:val="004F0C0C"/>
    <w:rsid w:val="004F4301"/>
    <w:rsid w:val="004F4B9A"/>
    <w:rsid w:val="004F607D"/>
    <w:rsid w:val="00503254"/>
    <w:rsid w:val="005068BD"/>
    <w:rsid w:val="00507CFF"/>
    <w:rsid w:val="005168B7"/>
    <w:rsid w:val="00526E39"/>
    <w:rsid w:val="0053795F"/>
    <w:rsid w:val="0054299F"/>
    <w:rsid w:val="005515D3"/>
    <w:rsid w:val="00564F69"/>
    <w:rsid w:val="00572C89"/>
    <w:rsid w:val="00576DF7"/>
    <w:rsid w:val="00595E5F"/>
    <w:rsid w:val="005A6E69"/>
    <w:rsid w:val="005C25D9"/>
    <w:rsid w:val="005C37DB"/>
    <w:rsid w:val="005C677C"/>
    <w:rsid w:val="005D4FE8"/>
    <w:rsid w:val="005E4B62"/>
    <w:rsid w:val="005F2804"/>
    <w:rsid w:val="005F2B69"/>
    <w:rsid w:val="006048C4"/>
    <w:rsid w:val="00613F7C"/>
    <w:rsid w:val="00621150"/>
    <w:rsid w:val="00621DFD"/>
    <w:rsid w:val="0063216A"/>
    <w:rsid w:val="0064728A"/>
    <w:rsid w:val="00650589"/>
    <w:rsid w:val="00660938"/>
    <w:rsid w:val="00673CB5"/>
    <w:rsid w:val="00682871"/>
    <w:rsid w:val="00693948"/>
    <w:rsid w:val="006A23AC"/>
    <w:rsid w:val="006A647B"/>
    <w:rsid w:val="006C275D"/>
    <w:rsid w:val="006C70F9"/>
    <w:rsid w:val="006D3F15"/>
    <w:rsid w:val="006D41FA"/>
    <w:rsid w:val="006F3EF8"/>
    <w:rsid w:val="006F58F5"/>
    <w:rsid w:val="00706438"/>
    <w:rsid w:val="00722016"/>
    <w:rsid w:val="00737933"/>
    <w:rsid w:val="0074210F"/>
    <w:rsid w:val="00752FD1"/>
    <w:rsid w:val="00754B9F"/>
    <w:rsid w:val="00762CA0"/>
    <w:rsid w:val="00777A22"/>
    <w:rsid w:val="0079569A"/>
    <w:rsid w:val="007A07DE"/>
    <w:rsid w:val="007B237A"/>
    <w:rsid w:val="007C0D7E"/>
    <w:rsid w:val="007C52A2"/>
    <w:rsid w:val="007D1F33"/>
    <w:rsid w:val="007E2B9C"/>
    <w:rsid w:val="007E4591"/>
    <w:rsid w:val="007F07F2"/>
    <w:rsid w:val="007F4225"/>
    <w:rsid w:val="008257F0"/>
    <w:rsid w:val="00826DF2"/>
    <w:rsid w:val="00832255"/>
    <w:rsid w:val="00847AA6"/>
    <w:rsid w:val="00857CB9"/>
    <w:rsid w:val="00863041"/>
    <w:rsid w:val="00865ECD"/>
    <w:rsid w:val="00872F3A"/>
    <w:rsid w:val="00886222"/>
    <w:rsid w:val="00896470"/>
    <w:rsid w:val="008A4BED"/>
    <w:rsid w:val="008B6E51"/>
    <w:rsid w:val="008E2585"/>
    <w:rsid w:val="008E614C"/>
    <w:rsid w:val="0091028C"/>
    <w:rsid w:val="00914588"/>
    <w:rsid w:val="009236D2"/>
    <w:rsid w:val="00925EB9"/>
    <w:rsid w:val="00947DF5"/>
    <w:rsid w:val="00982839"/>
    <w:rsid w:val="009A1E7A"/>
    <w:rsid w:val="009F5032"/>
    <w:rsid w:val="00A02247"/>
    <w:rsid w:val="00A23340"/>
    <w:rsid w:val="00A334A0"/>
    <w:rsid w:val="00A51B29"/>
    <w:rsid w:val="00A560F3"/>
    <w:rsid w:val="00A56111"/>
    <w:rsid w:val="00A75188"/>
    <w:rsid w:val="00A772C1"/>
    <w:rsid w:val="00A82642"/>
    <w:rsid w:val="00A9441F"/>
    <w:rsid w:val="00A95FC1"/>
    <w:rsid w:val="00AA37CE"/>
    <w:rsid w:val="00AC1286"/>
    <w:rsid w:val="00AC6097"/>
    <w:rsid w:val="00AC750F"/>
    <w:rsid w:val="00AD10A1"/>
    <w:rsid w:val="00AD16DC"/>
    <w:rsid w:val="00AD2F5D"/>
    <w:rsid w:val="00AD4F91"/>
    <w:rsid w:val="00AD6899"/>
    <w:rsid w:val="00B05F37"/>
    <w:rsid w:val="00B071D3"/>
    <w:rsid w:val="00B30D33"/>
    <w:rsid w:val="00B31E4D"/>
    <w:rsid w:val="00B45F0D"/>
    <w:rsid w:val="00B563F3"/>
    <w:rsid w:val="00B63C70"/>
    <w:rsid w:val="00B73653"/>
    <w:rsid w:val="00B83579"/>
    <w:rsid w:val="00BC13EE"/>
    <w:rsid w:val="00BC3755"/>
    <w:rsid w:val="00BC443A"/>
    <w:rsid w:val="00BD2DAF"/>
    <w:rsid w:val="00BE2E0C"/>
    <w:rsid w:val="00BE3ED7"/>
    <w:rsid w:val="00BE66D7"/>
    <w:rsid w:val="00BF67A8"/>
    <w:rsid w:val="00C024A2"/>
    <w:rsid w:val="00C04767"/>
    <w:rsid w:val="00C541B5"/>
    <w:rsid w:val="00C621C6"/>
    <w:rsid w:val="00C870A6"/>
    <w:rsid w:val="00CB60F1"/>
    <w:rsid w:val="00CC1E11"/>
    <w:rsid w:val="00CE6FA0"/>
    <w:rsid w:val="00D06C57"/>
    <w:rsid w:val="00D2281F"/>
    <w:rsid w:val="00D62587"/>
    <w:rsid w:val="00D8329A"/>
    <w:rsid w:val="00D97ADF"/>
    <w:rsid w:val="00DA0F35"/>
    <w:rsid w:val="00DB1B74"/>
    <w:rsid w:val="00DD25EF"/>
    <w:rsid w:val="00DD35B1"/>
    <w:rsid w:val="00DE33C1"/>
    <w:rsid w:val="00DF1B82"/>
    <w:rsid w:val="00DF6807"/>
    <w:rsid w:val="00E118FE"/>
    <w:rsid w:val="00E275D6"/>
    <w:rsid w:val="00E27D2F"/>
    <w:rsid w:val="00E4376C"/>
    <w:rsid w:val="00E54737"/>
    <w:rsid w:val="00E84457"/>
    <w:rsid w:val="00EA0660"/>
    <w:rsid w:val="00EA4C60"/>
    <w:rsid w:val="00EA5CD8"/>
    <w:rsid w:val="00EB14BF"/>
    <w:rsid w:val="00EB397A"/>
    <w:rsid w:val="00EB3D79"/>
    <w:rsid w:val="00EB6B3A"/>
    <w:rsid w:val="00EB7494"/>
    <w:rsid w:val="00EB7A9F"/>
    <w:rsid w:val="00EC0E38"/>
    <w:rsid w:val="00EC2010"/>
    <w:rsid w:val="00ED497C"/>
    <w:rsid w:val="00ED5D38"/>
    <w:rsid w:val="00EE04F0"/>
    <w:rsid w:val="00F0208F"/>
    <w:rsid w:val="00F2636F"/>
    <w:rsid w:val="00F43BD2"/>
    <w:rsid w:val="00F47E95"/>
    <w:rsid w:val="00F52E76"/>
    <w:rsid w:val="00F6547F"/>
    <w:rsid w:val="00F664CC"/>
    <w:rsid w:val="00F71400"/>
    <w:rsid w:val="00F73D6F"/>
    <w:rsid w:val="00F74F30"/>
    <w:rsid w:val="00F940F1"/>
    <w:rsid w:val="00FA3753"/>
    <w:rsid w:val="00FC029F"/>
    <w:rsid w:val="00FC2D25"/>
    <w:rsid w:val="00FC5E5F"/>
    <w:rsid w:val="00FD4CD7"/>
    <w:rsid w:val="00FD521E"/>
    <w:rsid w:val="00FE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EB4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1720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1720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596">
      <w:bodyDiv w:val="1"/>
      <w:marLeft w:val="0"/>
      <w:marRight w:val="0"/>
      <w:marTop w:val="0"/>
      <w:marBottom w:val="0"/>
      <w:divBdr>
        <w:top w:val="none" w:sz="0" w:space="0" w:color="auto"/>
        <w:left w:val="none" w:sz="0" w:space="0" w:color="auto"/>
        <w:bottom w:val="none" w:sz="0" w:space="0" w:color="auto"/>
        <w:right w:val="none" w:sz="0" w:space="0" w:color="auto"/>
      </w:divBdr>
    </w:div>
    <w:div w:id="599488691">
      <w:bodyDiv w:val="1"/>
      <w:marLeft w:val="0"/>
      <w:marRight w:val="0"/>
      <w:marTop w:val="0"/>
      <w:marBottom w:val="0"/>
      <w:divBdr>
        <w:top w:val="none" w:sz="0" w:space="0" w:color="auto"/>
        <w:left w:val="none" w:sz="0" w:space="0" w:color="auto"/>
        <w:bottom w:val="none" w:sz="0" w:space="0" w:color="auto"/>
        <w:right w:val="none" w:sz="0" w:space="0" w:color="auto"/>
      </w:divBdr>
    </w:div>
    <w:div w:id="1599216725">
      <w:bodyDiv w:val="1"/>
      <w:marLeft w:val="0"/>
      <w:marRight w:val="0"/>
      <w:marTop w:val="0"/>
      <w:marBottom w:val="0"/>
      <w:divBdr>
        <w:top w:val="none" w:sz="0" w:space="0" w:color="auto"/>
        <w:left w:val="none" w:sz="0" w:space="0" w:color="auto"/>
        <w:bottom w:val="none" w:sz="0" w:space="0" w:color="auto"/>
        <w:right w:val="none" w:sz="0" w:space="0" w:color="auto"/>
      </w:divBdr>
    </w:div>
    <w:div w:id="1692102778">
      <w:bodyDiv w:val="1"/>
      <w:marLeft w:val="0"/>
      <w:marRight w:val="0"/>
      <w:marTop w:val="0"/>
      <w:marBottom w:val="0"/>
      <w:divBdr>
        <w:top w:val="none" w:sz="0" w:space="0" w:color="auto"/>
        <w:left w:val="none" w:sz="0" w:space="0" w:color="auto"/>
        <w:bottom w:val="none" w:sz="0" w:space="0" w:color="auto"/>
        <w:right w:val="none" w:sz="0" w:space="0" w:color="auto"/>
      </w:divBdr>
    </w:div>
    <w:div w:id="2002149945">
      <w:bodyDiv w:val="1"/>
      <w:marLeft w:val="0"/>
      <w:marRight w:val="0"/>
      <w:marTop w:val="0"/>
      <w:marBottom w:val="0"/>
      <w:divBdr>
        <w:top w:val="none" w:sz="0" w:space="0" w:color="auto"/>
        <w:left w:val="none" w:sz="0" w:space="0" w:color="auto"/>
        <w:bottom w:val="none" w:sz="0" w:space="0" w:color="auto"/>
        <w:right w:val="none" w:sz="0" w:space="0" w:color="auto"/>
      </w:divBdr>
    </w:div>
    <w:div w:id="20893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mce-29-add-telehealth-guidance-temporary-cpt-for-aba-coverage-of-preventive-telehealth-visits-0/download" TargetMode="External"/><Relationship Id="rId18" Type="http://schemas.openxmlformats.org/officeDocument/2006/relationships/hyperlink" Target="mailto:providersupport@mahealth.ne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join-masshealth-provider-pubs@listserv.state.ma.us"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ass.gov/doc/all-provider-bulletin-296-masshealth-payment-for-covid-19-specimen-collection-and-testing-0/download" TargetMode="External"/><Relationship Id="rId10" Type="http://schemas.openxmlformats.org/officeDocument/2006/relationships/hyperlink" Target="http://www.mass.gov/masshealth"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doc/all-provider-bulletin-294-masshealth-coverage-flexibilities-for-services-related-to-coronavirus/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A637-BDAF-4A7A-B909-8C78C461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5</Pages>
  <Words>1389</Words>
  <Characters>8199</Characters>
  <Application>Microsoft Office Word</Application>
  <DocSecurity>0</DocSecurity>
  <Lines>221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Peter Lee</cp:lastModifiedBy>
  <cp:revision>2</cp:revision>
  <cp:lastPrinted>2020-05-28T15:28:00Z</cp:lastPrinted>
  <dcterms:created xsi:type="dcterms:W3CDTF">2020-08-14T12:57:00Z</dcterms:created>
  <dcterms:modified xsi:type="dcterms:W3CDTF">2020-08-14T12:57:00Z</dcterms:modified>
</cp:coreProperties>
</file>