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6F7AC9" wp14:editId="36C6398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D9AA977" wp14:editId="616432D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00330E" wp14:editId="0EB39A1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:rsidR="006D3F15" w:rsidRPr="00777A22" w:rsidRDefault="00F211F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:rsidR="00F664CC" w:rsidRPr="005B27F1" w:rsidRDefault="003054DE" w:rsidP="005B27F1">
      <w:pPr>
        <w:pStyle w:val="Heading1"/>
      </w:pPr>
      <w:r>
        <w:t>Managed Care Entity</w:t>
      </w:r>
      <w:r w:rsidR="00F664CC" w:rsidRPr="005B27F1">
        <w:t xml:space="preserve"> Bulletin </w:t>
      </w:r>
      <w:r w:rsidR="00E56720">
        <w:t>53</w:t>
      </w:r>
    </w:p>
    <w:p w:rsidR="00F664CC" w:rsidRPr="00150BCC" w:rsidRDefault="003D4AAB" w:rsidP="00150BCC">
      <w:pPr>
        <w:pStyle w:val="BullsHeading"/>
      </w:pPr>
      <w:r>
        <w:t>January</w:t>
      </w:r>
      <w:r w:rsidR="003054DE">
        <w:t xml:space="preserve"> 2021</w:t>
      </w:r>
    </w:p>
    <w:p w:rsidR="00F664CC" w:rsidRDefault="00F664CC" w:rsidP="00E27CD8"/>
    <w:p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71390C">
        <w:t>One Care Plans and Senior Care Organizations (SCO)</w:t>
      </w:r>
      <w:r w:rsidRPr="00F664CC">
        <w:t xml:space="preserve"> Participating in MassHealth</w:t>
      </w:r>
    </w:p>
    <w:p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2F08FB">
        <w:t xml:space="preserve"> </w:t>
      </w:r>
      <w:r w:rsidR="00B04E10">
        <w:t>[Signature of Dan Tsai]</w:t>
      </w:r>
    </w:p>
    <w:p w:rsidR="00F664CC" w:rsidRPr="0071390C" w:rsidRDefault="00F664CC" w:rsidP="0071390C">
      <w:pPr>
        <w:ind w:left="1440" w:hanging="1080"/>
        <w:rPr>
          <w:rFonts w:ascii="Times New Roman" w:hAnsi="Times New Roman"/>
          <w:sz w:val="20"/>
          <w:szCs w:val="20"/>
        </w:rPr>
      </w:pPr>
      <w:r w:rsidRPr="00E56720">
        <w:rPr>
          <w:b/>
        </w:rPr>
        <w:t>RE:</w:t>
      </w:r>
      <w:r w:rsidR="00BD2DAF">
        <w:tab/>
      </w:r>
      <w:r w:rsidR="0071390C" w:rsidRPr="0071390C">
        <w:rPr>
          <w:b/>
        </w:rPr>
        <w:t>Enhanced Rates for Adult Day Health Services</w:t>
      </w:r>
      <w:r w:rsidR="0071390C" w:rsidRPr="0071390C">
        <w:rPr>
          <w:rFonts w:cs="Arial"/>
          <w:b/>
        </w:rPr>
        <w:t xml:space="preserve"> for Dates of Service December 1, 2020 through May 31, 2021.</w:t>
      </w:r>
    </w:p>
    <w:p w:rsidR="00636084" w:rsidRDefault="00636084" w:rsidP="00636084">
      <w:pPr>
        <w:pStyle w:val="Heading2"/>
      </w:pPr>
      <w:r>
        <w:t>Applicable Managed Care Entities and PACE Organizations</w:t>
      </w:r>
    </w:p>
    <w:p w:rsidR="00636084" w:rsidRDefault="00F211F7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390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390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:rsidR="00835A4D" w:rsidRDefault="00835A4D" w:rsidP="0071390C">
      <w:pPr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71390C" w:rsidRPr="0071390C" w:rsidRDefault="0071390C" w:rsidP="0071390C">
      <w:pPr>
        <w:spacing w:before="0" w:after="0" w:afterAutospacing="0"/>
        <w:rPr>
          <w:b/>
          <w:color w:val="1F497D" w:themeColor="text2"/>
          <w:sz w:val="24"/>
          <w:szCs w:val="24"/>
        </w:rPr>
      </w:pPr>
      <w:r w:rsidRPr="0071390C">
        <w:rPr>
          <w:b/>
          <w:color w:val="1F497D" w:themeColor="text2"/>
          <w:sz w:val="24"/>
          <w:szCs w:val="24"/>
        </w:rPr>
        <w:t xml:space="preserve">Background </w:t>
      </w:r>
    </w:p>
    <w:p w:rsidR="0071390C" w:rsidRPr="0071390C" w:rsidRDefault="0071390C" w:rsidP="0071390C">
      <w:pPr>
        <w:spacing w:before="0" w:after="0" w:afterAutospacing="0"/>
        <w:ind w:left="0" w:right="576"/>
        <w:rPr>
          <w:rFonts w:cs="Arial"/>
        </w:rPr>
      </w:pPr>
    </w:p>
    <w:p w:rsidR="0071390C" w:rsidRPr="0071390C" w:rsidRDefault="0071390C" w:rsidP="0071390C">
      <w:pPr>
        <w:spacing w:before="0" w:after="0" w:afterAutospacing="0"/>
      </w:pPr>
      <w:r w:rsidRPr="0071390C">
        <w:t>In light of the state of emergency declared in the Commonwealth due to COVID-19, the Executive Office of Health and Human Services (EOHHS), which administers the Massachus</w:t>
      </w:r>
      <w:r>
        <w:t xml:space="preserve">etts Medicaid program known as </w:t>
      </w:r>
      <w:r w:rsidRPr="0071390C">
        <w:t>MassHealth, is disbursing critical stabilization funding to support health care providers impacted by and responding to COVID-19. These enhanced rates have been established to address reduced member utilization of day program services occurring as day programs operate during the Public Health Emergency.</w:t>
      </w:r>
    </w:p>
    <w:p w:rsidR="0071390C" w:rsidRPr="0071390C" w:rsidRDefault="0071390C" w:rsidP="0071390C">
      <w:pPr>
        <w:spacing w:before="0" w:after="0" w:afterAutospacing="0"/>
        <w:ind w:left="0"/>
        <w:rPr>
          <w:bCs/>
          <w:kern w:val="36"/>
        </w:rPr>
      </w:pPr>
    </w:p>
    <w:p w:rsidR="0071390C" w:rsidRPr="0071390C" w:rsidRDefault="003054DE" w:rsidP="003054DE">
      <w:pPr>
        <w:spacing w:before="0" w:after="0" w:afterAutospacing="0"/>
        <w:rPr>
          <w:rFonts w:cs="Arial"/>
        </w:rPr>
      </w:pPr>
      <w:r>
        <w:rPr>
          <w:rFonts w:cs="Arial"/>
        </w:rPr>
        <w:t>EOHHS</w:t>
      </w:r>
      <w:r w:rsidR="00D423CC">
        <w:rPr>
          <w:rFonts w:cs="Arial"/>
        </w:rPr>
        <w:t xml:space="preserve"> </w:t>
      </w:r>
      <w:r w:rsidR="0071390C" w:rsidRPr="0071390C">
        <w:rPr>
          <w:rFonts w:cs="Arial"/>
        </w:rPr>
        <w:t>direct</w:t>
      </w:r>
      <w:r w:rsidR="00D423CC">
        <w:rPr>
          <w:rFonts w:cs="Arial"/>
        </w:rPr>
        <w:t>s</w:t>
      </w:r>
      <w:r w:rsidR="0071390C" w:rsidRPr="0071390C">
        <w:rPr>
          <w:rFonts w:cs="Arial"/>
        </w:rPr>
        <w:t xml:space="preserve"> One Care Plans and SCOs (referred to herein</w:t>
      </w:r>
      <w:r>
        <w:rPr>
          <w:rFonts w:cs="Arial"/>
        </w:rPr>
        <w:t xml:space="preserve"> </w:t>
      </w:r>
      <w:r w:rsidR="0071390C" w:rsidRPr="0071390C">
        <w:rPr>
          <w:rFonts w:cs="Arial"/>
        </w:rPr>
        <w:t xml:space="preserve">collectively as “integrated care plans” or “plans”) to institute temporary rate increases as set forth in this bulletin. </w:t>
      </w:r>
    </w:p>
    <w:p w:rsidR="0071390C" w:rsidRPr="0071390C" w:rsidRDefault="0071390C" w:rsidP="0071390C">
      <w:pPr>
        <w:spacing w:before="0" w:after="0" w:afterAutospacing="0"/>
        <w:rPr>
          <w:rFonts w:cs="Arial"/>
        </w:rPr>
      </w:pPr>
    </w:p>
    <w:p w:rsidR="0071390C" w:rsidRPr="0071390C" w:rsidRDefault="003054DE" w:rsidP="0071390C">
      <w:pPr>
        <w:spacing w:before="0" w:after="0" w:afterAutospacing="0"/>
        <w:rPr>
          <w:rFonts w:cs="Arial"/>
        </w:rPr>
      </w:pPr>
      <w:r>
        <w:rPr>
          <w:rFonts w:cs="Arial"/>
        </w:rPr>
        <w:t>EOHHS</w:t>
      </w:r>
      <w:r w:rsidR="0071390C" w:rsidRPr="0071390C">
        <w:rPr>
          <w:rFonts w:cs="Arial"/>
        </w:rPr>
        <w:t xml:space="preserve"> will amend the integrated care plans’ contracts as needed to reflect the requirements</w:t>
      </w:r>
    </w:p>
    <w:p w:rsidR="0071390C" w:rsidRPr="0071390C" w:rsidRDefault="0071390C" w:rsidP="0071390C">
      <w:pPr>
        <w:spacing w:before="0" w:after="0" w:afterAutospacing="0"/>
        <w:rPr>
          <w:rFonts w:cs="Arial"/>
        </w:rPr>
      </w:pPr>
      <w:proofErr w:type="gramStart"/>
      <w:r w:rsidRPr="0071390C">
        <w:rPr>
          <w:rFonts w:cs="Arial"/>
        </w:rPr>
        <w:t>set</w:t>
      </w:r>
      <w:proofErr w:type="gramEnd"/>
      <w:r w:rsidRPr="0071390C">
        <w:rPr>
          <w:rFonts w:cs="Arial"/>
        </w:rPr>
        <w:t xml:space="preserve"> forth in this bulletin.</w:t>
      </w:r>
    </w:p>
    <w:p w:rsidR="0071390C" w:rsidRPr="0071390C" w:rsidRDefault="0071390C" w:rsidP="0071390C">
      <w:pPr>
        <w:spacing w:before="0" w:after="0" w:afterAutospacing="0"/>
        <w:rPr>
          <w:rFonts w:cs="Arial"/>
        </w:rPr>
      </w:pPr>
    </w:p>
    <w:p w:rsidR="0071390C" w:rsidRPr="0071390C" w:rsidRDefault="0071390C" w:rsidP="0071390C">
      <w:pPr>
        <w:spacing w:before="0" w:after="0" w:afterAutospacing="0"/>
        <w:rPr>
          <w:rFonts w:cs="Arial"/>
        </w:rPr>
      </w:pPr>
      <w:r w:rsidRPr="0071390C">
        <w:rPr>
          <w:rFonts w:cs="Arial"/>
        </w:rPr>
        <w:t xml:space="preserve">This bulletin </w:t>
      </w:r>
      <w:r w:rsidR="006B01C5">
        <w:rPr>
          <w:rFonts w:cs="Arial"/>
        </w:rPr>
        <w:t>does not apply</w:t>
      </w:r>
      <w:r w:rsidRPr="0071390C">
        <w:rPr>
          <w:rFonts w:cs="Arial"/>
        </w:rPr>
        <w:t xml:space="preserve"> to Program of All-Inclusive Care for the Elderly (PACE) organizations.</w:t>
      </w:r>
    </w:p>
    <w:p w:rsidR="0071390C" w:rsidRDefault="0071390C" w:rsidP="0071390C">
      <w:pPr>
        <w:spacing w:before="0" w:after="0" w:afterAutospacing="0"/>
        <w:rPr>
          <w:bCs/>
          <w:kern w:val="36"/>
        </w:rPr>
      </w:pPr>
    </w:p>
    <w:p w:rsidR="00835A4D" w:rsidRPr="0071390C" w:rsidRDefault="00835A4D" w:rsidP="0071390C">
      <w:pPr>
        <w:spacing w:before="0" w:after="0" w:afterAutospacing="0"/>
        <w:rPr>
          <w:bCs/>
          <w:kern w:val="36"/>
        </w:rPr>
      </w:pPr>
    </w:p>
    <w:p w:rsidR="0071390C" w:rsidRDefault="0071390C" w:rsidP="0071390C">
      <w:pPr>
        <w:spacing w:before="0" w:after="0" w:afterAutospacing="0"/>
        <w:rPr>
          <w:b/>
          <w:color w:val="1F497D" w:themeColor="text2"/>
          <w:sz w:val="24"/>
          <w:szCs w:val="24"/>
        </w:rPr>
      </w:pPr>
      <w:r w:rsidRPr="0071390C">
        <w:rPr>
          <w:b/>
          <w:color w:val="1F497D" w:themeColor="text2"/>
          <w:sz w:val="24"/>
          <w:szCs w:val="24"/>
        </w:rPr>
        <w:t>Enhanced Adult Day Health (ADH) Rates for Date</w:t>
      </w:r>
      <w:r w:rsidR="00B30F4C">
        <w:rPr>
          <w:b/>
          <w:color w:val="1F497D" w:themeColor="text2"/>
          <w:sz w:val="24"/>
          <w:szCs w:val="24"/>
        </w:rPr>
        <w:t>s</w:t>
      </w:r>
      <w:r w:rsidRPr="0071390C">
        <w:rPr>
          <w:b/>
          <w:color w:val="1F497D" w:themeColor="text2"/>
          <w:sz w:val="24"/>
          <w:szCs w:val="24"/>
        </w:rPr>
        <w:t xml:space="preserve"> of Service December 1, 2020, through February 28, 2021</w:t>
      </w:r>
    </w:p>
    <w:p w:rsidR="003054DE" w:rsidRDefault="003054DE" w:rsidP="0071390C">
      <w:pPr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B30F4C" w:rsidRDefault="003054DE" w:rsidP="003054DE">
      <w:pPr>
        <w:spacing w:before="0" w:after="0" w:afterAutospacing="0"/>
      </w:pPr>
      <w:r w:rsidRPr="003054DE">
        <w:t xml:space="preserve">For dates of service </w:t>
      </w:r>
      <w:r w:rsidR="00B30F4C">
        <w:t xml:space="preserve">from </w:t>
      </w:r>
      <w:r w:rsidRPr="003054DE">
        <w:t>December 1, 2020</w:t>
      </w:r>
      <w:r w:rsidR="00B30F4C">
        <w:t>,</w:t>
      </w:r>
      <w:r w:rsidRPr="003054DE">
        <w:t xml:space="preserve"> through February 28, 2021, integrated care plans are directed to increase the following ADH payment rates by 40% over the plan’s contracted rates in effect as of February 29, 2020.  </w:t>
      </w:r>
    </w:p>
    <w:p w:rsidR="003054DE" w:rsidRPr="00B30F4C" w:rsidRDefault="00B30F4C" w:rsidP="00B30F4C">
      <w:pPr>
        <w:spacing w:before="0" w:after="200" w:afterAutospacing="0" w:line="276" w:lineRule="auto"/>
        <w:ind w:left="0"/>
      </w:pPr>
      <w:r>
        <w:br w:type="page"/>
      </w:r>
    </w:p>
    <w:tbl>
      <w:tblPr>
        <w:tblW w:w="9547" w:type="dxa"/>
        <w:tblInd w:w="468" w:type="dxa"/>
        <w:tblLook w:val="04A0" w:firstRow="1" w:lastRow="0" w:firstColumn="1" w:lastColumn="0" w:noHBand="0" w:noVBand="1"/>
      </w:tblPr>
      <w:tblGrid>
        <w:gridCol w:w="4410"/>
        <w:gridCol w:w="1350"/>
        <w:gridCol w:w="1350"/>
        <w:gridCol w:w="2437"/>
      </w:tblGrid>
      <w:tr w:rsidR="003054DE" w:rsidRPr="003054DE" w:rsidTr="00B30F4C">
        <w:trPr>
          <w:trHeight w:val="300"/>
          <w:tblHeader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b/>
                <w:color w:val="000000"/>
                <w:szCs w:val="20"/>
              </w:rPr>
            </w:pPr>
            <w:r w:rsidRPr="003054DE">
              <w:rPr>
                <w:b/>
                <w:color w:val="000000"/>
                <w:szCs w:val="20"/>
              </w:rPr>
              <w:lastRenderedPageBreak/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b/>
                <w:color w:val="000000"/>
                <w:szCs w:val="20"/>
              </w:rPr>
            </w:pPr>
            <w:r w:rsidRPr="003054DE">
              <w:rPr>
                <w:b/>
                <w:color w:val="000000"/>
                <w:szCs w:val="20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b/>
                <w:color w:val="000000"/>
                <w:szCs w:val="20"/>
              </w:rPr>
            </w:pPr>
            <w:r w:rsidRPr="003054DE">
              <w:rPr>
                <w:b/>
                <w:color w:val="000000"/>
                <w:szCs w:val="20"/>
              </w:rPr>
              <w:t>Unit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b/>
                <w:color w:val="000000"/>
                <w:szCs w:val="20"/>
              </w:rPr>
            </w:pPr>
            <w:r w:rsidRPr="003054DE">
              <w:rPr>
                <w:b/>
                <w:color w:val="000000"/>
                <w:szCs w:val="20"/>
              </w:rPr>
              <w:t>Rate Increase</w:t>
            </w:r>
          </w:p>
        </w:tc>
      </w:tr>
      <w:tr w:rsidR="003054DE" w:rsidRPr="003054DE" w:rsidTr="00B30F4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rPr>
                <w:color w:val="000000"/>
              </w:rPr>
            </w:pPr>
            <w:r w:rsidRPr="003054DE">
              <w:rPr>
                <w:color w:val="00000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S5102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Per Diem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 xml:space="preserve">40% </w:t>
            </w:r>
          </w:p>
        </w:tc>
      </w:tr>
      <w:tr w:rsidR="003054DE" w:rsidRPr="003054DE" w:rsidTr="00B30F4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rPr>
                <w:color w:val="000000"/>
              </w:rPr>
            </w:pPr>
            <w:r w:rsidRPr="003054DE">
              <w:rPr>
                <w:color w:val="00000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S5102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Per Diem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 xml:space="preserve">40% </w:t>
            </w:r>
          </w:p>
        </w:tc>
      </w:tr>
      <w:tr w:rsidR="003054DE" w:rsidRPr="003054DE" w:rsidTr="00B30F4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rPr>
                <w:color w:val="000000"/>
              </w:rPr>
            </w:pPr>
            <w:r w:rsidRPr="003054DE">
              <w:rPr>
                <w:color w:val="00000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S5100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 xml:space="preserve">40% </w:t>
            </w:r>
          </w:p>
        </w:tc>
      </w:tr>
      <w:tr w:rsidR="003054DE" w:rsidRPr="003054DE" w:rsidTr="00B30F4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rPr>
                <w:color w:val="000000"/>
              </w:rPr>
            </w:pPr>
            <w:r w:rsidRPr="003054DE">
              <w:rPr>
                <w:color w:val="00000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S5101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Per 3 hours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 xml:space="preserve">40% </w:t>
            </w:r>
          </w:p>
        </w:tc>
      </w:tr>
      <w:tr w:rsidR="003054DE" w:rsidRPr="003054DE" w:rsidTr="00B30F4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rPr>
                <w:color w:val="000000"/>
              </w:rPr>
            </w:pPr>
            <w:r w:rsidRPr="003054DE">
              <w:rPr>
                <w:color w:val="00000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S5100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 xml:space="preserve">40% </w:t>
            </w:r>
          </w:p>
        </w:tc>
      </w:tr>
      <w:tr w:rsidR="003054DE" w:rsidRPr="003054DE" w:rsidTr="00B30F4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rPr>
                <w:color w:val="000000"/>
              </w:rPr>
            </w:pPr>
            <w:r w:rsidRPr="003054DE">
              <w:rPr>
                <w:color w:val="00000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S5101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>Per 3 hours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54DE" w:rsidRPr="003054DE" w:rsidRDefault="003054DE" w:rsidP="00B30F4C">
            <w:pPr>
              <w:spacing w:before="0" w:after="0" w:afterAutospacing="0"/>
              <w:ind w:left="10"/>
              <w:jc w:val="center"/>
              <w:rPr>
                <w:color w:val="000000"/>
              </w:rPr>
            </w:pPr>
            <w:r w:rsidRPr="003054DE">
              <w:rPr>
                <w:color w:val="000000"/>
              </w:rPr>
              <w:t xml:space="preserve">40% </w:t>
            </w:r>
          </w:p>
        </w:tc>
      </w:tr>
    </w:tbl>
    <w:p w:rsidR="003054DE" w:rsidRPr="0071390C" w:rsidRDefault="003054DE" w:rsidP="0071390C">
      <w:pPr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B30F4C" w:rsidRDefault="00B30F4C" w:rsidP="00B30F4C">
      <w:pPr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B30F4C" w:rsidRPr="00B30F4C" w:rsidRDefault="00B30F4C" w:rsidP="00B30F4C">
      <w:pPr>
        <w:spacing w:before="0" w:after="0" w:afterAutospacing="0"/>
        <w:rPr>
          <w:b/>
          <w:color w:val="1F497D" w:themeColor="text2"/>
          <w:sz w:val="24"/>
          <w:szCs w:val="24"/>
        </w:rPr>
      </w:pPr>
      <w:r w:rsidRPr="00B30F4C">
        <w:rPr>
          <w:b/>
          <w:color w:val="1F497D" w:themeColor="text2"/>
          <w:sz w:val="24"/>
          <w:szCs w:val="24"/>
        </w:rPr>
        <w:t>Enhanced ADH Rates for Date of Service March 1, 2021, through May 31, 2021</w:t>
      </w:r>
    </w:p>
    <w:p w:rsidR="00B30F4C" w:rsidRPr="00B30F4C" w:rsidRDefault="00B30F4C" w:rsidP="00B30F4C">
      <w:pPr>
        <w:tabs>
          <w:tab w:val="left" w:pos="3846"/>
        </w:tabs>
        <w:spacing w:before="0" w:after="0" w:afterAutospacing="0" w:line="259" w:lineRule="auto"/>
        <w:contextualSpacing/>
        <w:rPr>
          <w:rFonts w:ascii="Times New Roman" w:hAnsi="Times New Roman"/>
          <w:sz w:val="24"/>
          <w:szCs w:val="20"/>
        </w:rPr>
      </w:pPr>
    </w:p>
    <w:p w:rsidR="00B30F4C" w:rsidRDefault="00B30F4C" w:rsidP="00B30F4C">
      <w:pPr>
        <w:tabs>
          <w:tab w:val="left" w:pos="3846"/>
        </w:tabs>
        <w:spacing w:before="0" w:after="0" w:afterAutospacing="0" w:line="259" w:lineRule="auto"/>
        <w:contextualSpacing/>
      </w:pPr>
      <w:r w:rsidRPr="00B30F4C">
        <w:t xml:space="preserve">For dates of service </w:t>
      </w:r>
      <w:r>
        <w:t xml:space="preserve">from </w:t>
      </w:r>
      <w:r w:rsidRPr="00B30F4C">
        <w:t>March 1, 2021</w:t>
      </w:r>
      <w:r>
        <w:t>,</w:t>
      </w:r>
      <w:r w:rsidRPr="00B30F4C">
        <w:t xml:space="preserve"> through May 31, 2021, integrated care plans are directed to increase the following ADH payment rates by 25% over the plan’s contracted rates in effect as of February 29, 2020. </w:t>
      </w:r>
    </w:p>
    <w:p w:rsidR="00B30F4C" w:rsidRPr="00B30F4C" w:rsidRDefault="00B30F4C" w:rsidP="00B30F4C">
      <w:pPr>
        <w:tabs>
          <w:tab w:val="left" w:pos="3846"/>
        </w:tabs>
        <w:spacing w:before="0" w:after="0" w:afterAutospacing="0" w:line="259" w:lineRule="auto"/>
        <w:contextualSpacing/>
        <w:rPr>
          <w:rFonts w:ascii="Times New Roman" w:hAnsi="Times New Roman"/>
          <w:sz w:val="24"/>
          <w:szCs w:val="20"/>
        </w:rPr>
      </w:pPr>
    </w:p>
    <w:tbl>
      <w:tblPr>
        <w:tblW w:w="9512" w:type="dxa"/>
        <w:tblInd w:w="468" w:type="dxa"/>
        <w:tblLook w:val="04A0" w:firstRow="1" w:lastRow="0" w:firstColumn="1" w:lastColumn="0" w:noHBand="0" w:noVBand="1"/>
      </w:tblPr>
      <w:tblGrid>
        <w:gridCol w:w="4410"/>
        <w:gridCol w:w="1350"/>
        <w:gridCol w:w="1350"/>
        <w:gridCol w:w="2402"/>
      </w:tblGrid>
      <w:tr w:rsidR="00B30F4C" w:rsidRPr="00B30F4C" w:rsidTr="00B9509B">
        <w:trPr>
          <w:trHeight w:val="300"/>
          <w:tblHeader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b/>
                <w:color w:val="000000"/>
                <w:szCs w:val="20"/>
              </w:rPr>
            </w:pPr>
            <w:r w:rsidRPr="00B30F4C">
              <w:rPr>
                <w:b/>
                <w:color w:val="000000"/>
                <w:szCs w:val="20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b/>
                <w:color w:val="000000"/>
                <w:szCs w:val="20"/>
              </w:rPr>
            </w:pPr>
            <w:r w:rsidRPr="00B30F4C">
              <w:rPr>
                <w:b/>
                <w:color w:val="000000"/>
                <w:szCs w:val="20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b/>
                <w:color w:val="000000"/>
                <w:szCs w:val="20"/>
              </w:rPr>
            </w:pPr>
            <w:r w:rsidRPr="00B30F4C">
              <w:rPr>
                <w:b/>
                <w:color w:val="000000"/>
                <w:szCs w:val="20"/>
              </w:rPr>
              <w:t>Unit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b/>
                <w:color w:val="000000"/>
                <w:szCs w:val="20"/>
              </w:rPr>
            </w:pPr>
            <w:r w:rsidRPr="00B30F4C">
              <w:rPr>
                <w:b/>
                <w:color w:val="000000"/>
                <w:szCs w:val="20"/>
              </w:rPr>
              <w:t>Rate Increase</w:t>
            </w:r>
          </w:p>
        </w:tc>
      </w:tr>
      <w:tr w:rsidR="00B30F4C" w:rsidRPr="00B30F4C" w:rsidTr="00B9509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rPr>
                <w:color w:val="000000"/>
              </w:rPr>
            </w:pPr>
            <w:r w:rsidRPr="00B30F4C">
              <w:rPr>
                <w:color w:val="00000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S5102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Per Diem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 xml:space="preserve">25% </w:t>
            </w:r>
          </w:p>
        </w:tc>
      </w:tr>
      <w:tr w:rsidR="00B30F4C" w:rsidRPr="00B30F4C" w:rsidTr="00B9509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rPr>
                <w:color w:val="000000"/>
              </w:rPr>
            </w:pPr>
            <w:r w:rsidRPr="00B30F4C">
              <w:rPr>
                <w:color w:val="00000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S5102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Per Diem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 xml:space="preserve">25% </w:t>
            </w:r>
          </w:p>
        </w:tc>
      </w:tr>
      <w:tr w:rsidR="00B30F4C" w:rsidRPr="00B30F4C" w:rsidTr="00B9509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rPr>
                <w:color w:val="000000"/>
              </w:rPr>
            </w:pPr>
            <w:r w:rsidRPr="00B30F4C">
              <w:rPr>
                <w:color w:val="00000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S5100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Per 15 Min.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 xml:space="preserve">25% </w:t>
            </w:r>
          </w:p>
        </w:tc>
      </w:tr>
      <w:tr w:rsidR="00B30F4C" w:rsidRPr="00B30F4C" w:rsidTr="00B9509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rPr>
                <w:color w:val="000000"/>
              </w:rPr>
            </w:pPr>
            <w:r w:rsidRPr="00B30F4C">
              <w:rPr>
                <w:color w:val="00000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S5101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Per 3 Hours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 xml:space="preserve">25% </w:t>
            </w:r>
          </w:p>
        </w:tc>
      </w:tr>
      <w:tr w:rsidR="00B30F4C" w:rsidRPr="00B30F4C" w:rsidTr="00B9509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rPr>
                <w:color w:val="000000"/>
              </w:rPr>
            </w:pPr>
            <w:r w:rsidRPr="00B30F4C">
              <w:rPr>
                <w:color w:val="00000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S5100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Per 15 Min.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 xml:space="preserve">25% </w:t>
            </w:r>
          </w:p>
        </w:tc>
      </w:tr>
      <w:tr w:rsidR="00B30F4C" w:rsidRPr="00B30F4C" w:rsidTr="00B9509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rPr>
                <w:color w:val="000000"/>
              </w:rPr>
            </w:pPr>
            <w:r w:rsidRPr="00B30F4C">
              <w:rPr>
                <w:color w:val="00000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S5101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>Per 3 Hours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F4C" w:rsidRPr="00B30F4C" w:rsidRDefault="00B30F4C" w:rsidP="00B30F4C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B30F4C">
              <w:rPr>
                <w:color w:val="000000"/>
              </w:rPr>
              <w:t xml:space="preserve">25% </w:t>
            </w:r>
          </w:p>
        </w:tc>
      </w:tr>
    </w:tbl>
    <w:p w:rsidR="00B30F4C" w:rsidRPr="00B30F4C" w:rsidRDefault="00B30F4C" w:rsidP="00B30F4C">
      <w:pPr>
        <w:tabs>
          <w:tab w:val="left" w:pos="3846"/>
        </w:tabs>
        <w:spacing w:before="0" w:after="0" w:afterAutospacing="0" w:line="259" w:lineRule="auto"/>
        <w:contextualSpacing/>
        <w:rPr>
          <w:rFonts w:ascii="Times New Roman" w:hAnsi="Times New Roman"/>
          <w:sz w:val="24"/>
          <w:szCs w:val="20"/>
        </w:rPr>
      </w:pPr>
    </w:p>
    <w:p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Pr="009901A7" w:rsidRDefault="00F664CC" w:rsidP="00E27CD8"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:rsidR="00CC1E11" w:rsidRPr="00F664CC" w:rsidRDefault="00F664CC" w:rsidP="00E27CD8">
      <w:r w:rsidRPr="009901A7">
        <w:t xml:space="preserve">If you have any questions 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835A4D">
      <w:type w:val="continuous"/>
      <w:pgSz w:w="12240" w:h="15840" w:code="1"/>
      <w:pgMar w:top="144" w:right="1080" w:bottom="810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F7" w:rsidRDefault="00F211F7" w:rsidP="00E27CD8">
      <w:r>
        <w:separator/>
      </w:r>
    </w:p>
  </w:endnote>
  <w:endnote w:type="continuationSeparator" w:id="0">
    <w:p w:rsidR="00F211F7" w:rsidRDefault="00F211F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E56720">
    <w:pPr>
      <w:ind w:left="6120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F7" w:rsidRDefault="00F211F7" w:rsidP="00E27CD8">
      <w:r>
        <w:separator/>
      </w:r>
    </w:p>
  </w:footnote>
  <w:footnote w:type="continuationSeparator" w:id="0">
    <w:p w:rsidR="00F211F7" w:rsidRDefault="00F211F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CC" w:rsidRDefault="00D423CC" w:rsidP="003E2878">
    <w:pPr>
      <w:pStyle w:val="BullsHeading"/>
      <w:spacing w:before="720"/>
    </w:pPr>
  </w:p>
  <w:p w:rsidR="00AD204A" w:rsidRPr="00F664CC" w:rsidRDefault="00AD204A" w:rsidP="00D423CC">
    <w:pPr>
      <w:pStyle w:val="BullsHeading"/>
      <w:spacing w:line="240" w:lineRule="auto"/>
    </w:pPr>
    <w:r w:rsidRPr="00F664CC">
      <w:t>MassHealth</w:t>
    </w:r>
  </w:p>
  <w:p w:rsidR="00E56720" w:rsidRPr="00F664CC" w:rsidRDefault="00B30F4C" w:rsidP="00E56720">
    <w:pPr>
      <w:pStyle w:val="BullsHeading"/>
    </w:pPr>
    <w:r>
      <w:t>Managed Care Entity</w:t>
    </w:r>
    <w:r w:rsidR="00E56720">
      <w:t xml:space="preserve"> Bulletin 53</w:t>
    </w:r>
  </w:p>
  <w:p w:rsidR="00AD204A" w:rsidRDefault="00C05178" w:rsidP="00AD204A">
    <w:pPr>
      <w:pStyle w:val="BullsHeading"/>
    </w:pPr>
    <w:r>
      <w:t xml:space="preserve">January </w:t>
    </w:r>
    <w:r w:rsidR="00B30F4C">
      <w:t>2021</w:t>
    </w:r>
  </w:p>
  <w:p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F1B30">
      <w:rPr>
        <w:noProof/>
      </w:rPr>
      <w:t>2</w:t>
    </w:r>
    <w:r>
      <w:fldChar w:fldCharType="end"/>
    </w:r>
    <w:r>
      <w:t xml:space="preserve"> of </w:t>
    </w:r>
    <w:r w:rsidR="00F211F7">
      <w:fldChar w:fldCharType="begin"/>
    </w:r>
    <w:r w:rsidR="00F211F7">
      <w:instrText xml:space="preserve"> NUMPAGES  \* Arabic  \* MERGEFORMAT </w:instrText>
    </w:r>
    <w:r w:rsidR="00F211F7">
      <w:fldChar w:fldCharType="separate"/>
    </w:r>
    <w:r w:rsidR="006F1B30">
      <w:rPr>
        <w:noProof/>
      </w:rPr>
      <w:t>2</w:t>
    </w:r>
    <w:r w:rsidR="00F211F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35483"/>
    <w:rsid w:val="000D3DB5"/>
    <w:rsid w:val="00131562"/>
    <w:rsid w:val="00150BCC"/>
    <w:rsid w:val="001554E7"/>
    <w:rsid w:val="001634DD"/>
    <w:rsid w:val="00195FA1"/>
    <w:rsid w:val="00221556"/>
    <w:rsid w:val="0028720F"/>
    <w:rsid w:val="002F08FB"/>
    <w:rsid w:val="002F2993"/>
    <w:rsid w:val="003054DE"/>
    <w:rsid w:val="003A53C8"/>
    <w:rsid w:val="003A7588"/>
    <w:rsid w:val="003D4AAB"/>
    <w:rsid w:val="003E2878"/>
    <w:rsid w:val="003F216F"/>
    <w:rsid w:val="00423741"/>
    <w:rsid w:val="004A7718"/>
    <w:rsid w:val="004F4B9A"/>
    <w:rsid w:val="005068BD"/>
    <w:rsid w:val="00507CFF"/>
    <w:rsid w:val="00513E39"/>
    <w:rsid w:val="0058634E"/>
    <w:rsid w:val="0059142C"/>
    <w:rsid w:val="005B27F1"/>
    <w:rsid w:val="005B580E"/>
    <w:rsid w:val="005C6224"/>
    <w:rsid w:val="005D5F05"/>
    <w:rsid w:val="005E4B62"/>
    <w:rsid w:val="005F2B69"/>
    <w:rsid w:val="00630A36"/>
    <w:rsid w:val="00636084"/>
    <w:rsid w:val="006746B1"/>
    <w:rsid w:val="006941BF"/>
    <w:rsid w:val="006B01C5"/>
    <w:rsid w:val="006C70F9"/>
    <w:rsid w:val="006D3F15"/>
    <w:rsid w:val="006F1B30"/>
    <w:rsid w:val="00706438"/>
    <w:rsid w:val="0071390C"/>
    <w:rsid w:val="00777A22"/>
    <w:rsid w:val="00795E06"/>
    <w:rsid w:val="007F75F3"/>
    <w:rsid w:val="007F7DBF"/>
    <w:rsid w:val="008201CC"/>
    <w:rsid w:val="00835A4D"/>
    <w:rsid w:val="00863041"/>
    <w:rsid w:val="008B6E51"/>
    <w:rsid w:val="00914588"/>
    <w:rsid w:val="00922F04"/>
    <w:rsid w:val="00935E8B"/>
    <w:rsid w:val="00982839"/>
    <w:rsid w:val="00A32E33"/>
    <w:rsid w:val="00A772C1"/>
    <w:rsid w:val="00A95FC1"/>
    <w:rsid w:val="00AA6085"/>
    <w:rsid w:val="00AD204A"/>
    <w:rsid w:val="00AD6899"/>
    <w:rsid w:val="00AF224D"/>
    <w:rsid w:val="00B04E10"/>
    <w:rsid w:val="00B24F24"/>
    <w:rsid w:val="00B30F4C"/>
    <w:rsid w:val="00B37BE5"/>
    <w:rsid w:val="00B57941"/>
    <w:rsid w:val="00B73653"/>
    <w:rsid w:val="00BC3755"/>
    <w:rsid w:val="00BD2DAF"/>
    <w:rsid w:val="00C024A2"/>
    <w:rsid w:val="00C05178"/>
    <w:rsid w:val="00CC10D1"/>
    <w:rsid w:val="00CC1E11"/>
    <w:rsid w:val="00CD456D"/>
    <w:rsid w:val="00D35FDE"/>
    <w:rsid w:val="00D423CC"/>
    <w:rsid w:val="00D8586B"/>
    <w:rsid w:val="00DE090F"/>
    <w:rsid w:val="00E01D80"/>
    <w:rsid w:val="00E27CD8"/>
    <w:rsid w:val="00E56720"/>
    <w:rsid w:val="00E56B65"/>
    <w:rsid w:val="00ED497C"/>
    <w:rsid w:val="00F211F7"/>
    <w:rsid w:val="00F60574"/>
    <w:rsid w:val="00F664CC"/>
    <w:rsid w:val="00F73D6F"/>
    <w:rsid w:val="00F74F30"/>
    <w:rsid w:val="00FC3904"/>
    <w:rsid w:val="00FD4847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in-masshealth-provider-pubs@listserv.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657</Words>
  <Characters>3377</Characters>
  <Application>Microsoft Office Word</Application>
  <DocSecurity>0</DocSecurity>
  <Lines>135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Peter Lee</cp:lastModifiedBy>
  <cp:revision>2</cp:revision>
  <dcterms:created xsi:type="dcterms:W3CDTF">2021-01-28T21:50:00Z</dcterms:created>
  <dcterms:modified xsi:type="dcterms:W3CDTF">2021-01-28T21:50:00Z</dcterms:modified>
</cp:coreProperties>
</file>