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5A08A2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777503" wp14:editId="5FD0ED9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79282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A0C3D33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777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6879282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A0C3D33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D38DE93" wp14:editId="39BFAA3C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8F28AF4" wp14:editId="5BC96D3C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20A027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050DAAB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85AB7FE" w14:textId="77777777" w:rsidR="006D3F15" w:rsidRPr="00777A22" w:rsidRDefault="007D7E9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4B518E19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12C5349E" w14:textId="06A7C451" w:rsidR="00F664CC" w:rsidRPr="005B27F1" w:rsidRDefault="00234F76" w:rsidP="005B27F1">
      <w:pPr>
        <w:pStyle w:val="Heading1"/>
      </w:pPr>
      <w:r>
        <w:t xml:space="preserve">Managed Care Entity </w:t>
      </w:r>
      <w:r w:rsidR="00F664CC" w:rsidRPr="005B27F1">
        <w:t xml:space="preserve">Bulletin </w:t>
      </w:r>
      <w:r w:rsidR="00332039">
        <w:t>63</w:t>
      </w:r>
    </w:p>
    <w:p w14:paraId="32805B94" w14:textId="4F3C16D8" w:rsidR="00F664CC" w:rsidRPr="00150BCC" w:rsidRDefault="00D17215" w:rsidP="00150BCC">
      <w:pPr>
        <w:pStyle w:val="BullsHeading"/>
      </w:pPr>
      <w:r>
        <w:t>June</w:t>
      </w:r>
      <w:r w:rsidR="00234F76">
        <w:t xml:space="preserve"> 2021</w:t>
      </w:r>
    </w:p>
    <w:p w14:paraId="01460FDE" w14:textId="77777777" w:rsidR="00F664CC" w:rsidRDefault="00F664CC" w:rsidP="00E27CD8"/>
    <w:p w14:paraId="77DB559E" w14:textId="77777777" w:rsidR="00F664CC" w:rsidRDefault="00F664CC" w:rsidP="00E27CD8">
      <w:pPr>
        <w:sectPr w:rsidR="00F664CC" w:rsidSect="0059142C">
          <w:headerReference w:type="default" r:id="rId11"/>
          <w:footerReference w:type="default" r:id="rId12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470816A" w14:textId="09306F70" w:rsidR="00F664CC" w:rsidRPr="00F664CC" w:rsidRDefault="00F664CC" w:rsidP="00FA408C">
      <w:pPr>
        <w:ind w:left="1440" w:hanging="108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FA408C" w:rsidRPr="00FA408C">
        <w:t>Accountable Care Partnership Plans and Managed Care Organizations Participating in MassHealth and the MassHealth Behavioral Health Vendor</w:t>
      </w:r>
      <w:r w:rsidRPr="00F664CC">
        <w:t xml:space="preserve"> </w:t>
      </w:r>
    </w:p>
    <w:p w14:paraId="5B219DFE" w14:textId="222FCB6B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332039">
        <w:t xml:space="preserve"> [signature of Daniel Tsai]</w:t>
      </w:r>
    </w:p>
    <w:p w14:paraId="33B6F4FD" w14:textId="5A87E091" w:rsidR="00F664CC" w:rsidRPr="00F664CC" w:rsidRDefault="00F664CC" w:rsidP="00FA408C">
      <w:pPr>
        <w:pStyle w:val="SubjectLine"/>
        <w:ind w:left="1440" w:hanging="1080"/>
      </w:pPr>
      <w:r w:rsidRPr="00F664CC">
        <w:t>RE:</w:t>
      </w:r>
      <w:r w:rsidR="00BD2DAF">
        <w:tab/>
      </w:r>
      <w:r w:rsidR="00FA408C" w:rsidRPr="00FA408C">
        <w:t>MassHealth Rate Floor Enhancements for Acute Treatment Services, Clinical Stabilization Services</w:t>
      </w:r>
      <w:r w:rsidR="001E4C08">
        <w:t>,</w:t>
      </w:r>
      <w:r w:rsidR="00FA408C" w:rsidRPr="00FA408C">
        <w:t xml:space="preserve"> and Residential Rehabilitation Services</w:t>
      </w:r>
    </w:p>
    <w:p w14:paraId="0CE14DFA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3A792EE9" w14:textId="23ADF2F3" w:rsidR="00636084" w:rsidRDefault="007D7E9B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43E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43E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43E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5609783C" w14:textId="77777777" w:rsidR="00F664CC" w:rsidRPr="005B27F1" w:rsidRDefault="00FA408C" w:rsidP="00636084">
      <w:pPr>
        <w:pStyle w:val="Heading2"/>
      </w:pPr>
      <w:r>
        <w:t>Background</w:t>
      </w:r>
      <w:r w:rsidR="001554E7" w:rsidRPr="005B27F1">
        <w:t xml:space="preserve"> </w:t>
      </w:r>
    </w:p>
    <w:p w14:paraId="44567C99" w14:textId="5780B408" w:rsidR="00FA408C" w:rsidRPr="00FA408C" w:rsidRDefault="00FA408C" w:rsidP="00FA408C">
      <w:pPr>
        <w:pStyle w:val="Heading3"/>
        <w:tabs>
          <w:tab w:val="center" w:pos="5083"/>
        </w:tabs>
        <w:rPr>
          <w:b w:val="0"/>
        </w:rPr>
      </w:pPr>
      <w:r w:rsidRPr="00FA408C">
        <w:rPr>
          <w:b w:val="0"/>
        </w:rPr>
        <w:t xml:space="preserve">MassHealth is temporarily increasing its </w:t>
      </w:r>
      <w:r w:rsidR="00BB44AA">
        <w:rPr>
          <w:b w:val="0"/>
        </w:rPr>
        <w:t>managed care rate floors</w:t>
      </w:r>
      <w:r w:rsidRPr="00FA408C">
        <w:rPr>
          <w:b w:val="0"/>
        </w:rPr>
        <w:t xml:space="preserve"> for Acute Treatment Services (ATS</w:t>
      </w:r>
      <w:r w:rsidR="00BE7FE3" w:rsidRPr="00FA408C">
        <w:rPr>
          <w:b w:val="0"/>
        </w:rPr>
        <w:t>)</w:t>
      </w:r>
      <w:r w:rsidR="00BE7FE3">
        <w:rPr>
          <w:b w:val="0"/>
        </w:rPr>
        <w:t>,</w:t>
      </w:r>
      <w:r w:rsidR="00BE7FE3" w:rsidRPr="00FA408C">
        <w:rPr>
          <w:b w:val="0"/>
        </w:rPr>
        <w:t xml:space="preserve"> </w:t>
      </w:r>
      <w:r w:rsidRPr="00FA408C">
        <w:rPr>
          <w:b w:val="0"/>
        </w:rPr>
        <w:t>Clinical Stabilization Services (CSS</w:t>
      </w:r>
      <w:r w:rsidR="00BE7FE3" w:rsidRPr="00FA408C">
        <w:rPr>
          <w:b w:val="0"/>
        </w:rPr>
        <w:t>)</w:t>
      </w:r>
      <w:r w:rsidR="00BE7FE3">
        <w:rPr>
          <w:b w:val="0"/>
        </w:rPr>
        <w:t>,</w:t>
      </w:r>
      <w:r w:rsidR="00BE7FE3" w:rsidRPr="00FA408C">
        <w:rPr>
          <w:b w:val="0"/>
        </w:rPr>
        <w:t xml:space="preserve"> </w:t>
      </w:r>
      <w:r w:rsidRPr="00FA408C">
        <w:rPr>
          <w:b w:val="0"/>
        </w:rPr>
        <w:t>and Residential Rehabilitation Services (RRS) for dates of service effective April 1</w:t>
      </w:r>
      <w:r w:rsidR="00BE7FE3">
        <w:rPr>
          <w:b w:val="0"/>
        </w:rPr>
        <w:t>, 2021,</w:t>
      </w:r>
      <w:r w:rsidRPr="00FA408C">
        <w:rPr>
          <w:b w:val="0"/>
        </w:rPr>
        <w:t xml:space="preserve"> through June 30, 2021. These temporary rate </w:t>
      </w:r>
      <w:r w:rsidR="00FC3B11">
        <w:rPr>
          <w:b w:val="0"/>
        </w:rPr>
        <w:t xml:space="preserve">floor </w:t>
      </w:r>
      <w:r w:rsidRPr="00FA408C">
        <w:rPr>
          <w:b w:val="0"/>
        </w:rPr>
        <w:t xml:space="preserve">enhancements are in response to the significant challenges ATS, CSS, and RRS providers continue to face </w:t>
      </w:r>
      <w:r w:rsidR="00BB44AA">
        <w:rPr>
          <w:b w:val="0"/>
        </w:rPr>
        <w:t>as a result of</w:t>
      </w:r>
      <w:r w:rsidR="00BB44AA" w:rsidRPr="00FA408C">
        <w:rPr>
          <w:b w:val="0"/>
        </w:rPr>
        <w:t xml:space="preserve"> </w:t>
      </w:r>
      <w:r w:rsidRPr="00FA408C">
        <w:rPr>
          <w:b w:val="0"/>
        </w:rPr>
        <w:t>the COVID-19 pandemic and are intended to preserve memb</w:t>
      </w:r>
      <w:r>
        <w:rPr>
          <w:b w:val="0"/>
        </w:rPr>
        <w:t xml:space="preserve">er access to these services.  </w:t>
      </w:r>
    </w:p>
    <w:p w14:paraId="44F6DB83" w14:textId="2D629DCD" w:rsidR="00FA408C" w:rsidRPr="00FA408C" w:rsidRDefault="00FA408C" w:rsidP="00FA408C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FA408C">
        <w:rPr>
          <w:b w:val="0"/>
        </w:rPr>
        <w:t>Through this bulletin, MassHealth is directing Accountable Care Partnership Plans (ACPPs), Managed Care Organizations (MCOs)</w:t>
      </w:r>
      <w:r w:rsidR="00BE7FE3">
        <w:rPr>
          <w:b w:val="0"/>
        </w:rPr>
        <w:t>,</w:t>
      </w:r>
      <w:r w:rsidRPr="00FA408C">
        <w:rPr>
          <w:b w:val="0"/>
        </w:rPr>
        <w:t xml:space="preserve"> and the MassHealth behavioral health vendor (together “managed care plans”) to pay at least the rates set forth below for ATS, CSS</w:t>
      </w:r>
      <w:r w:rsidR="00BE7FE3">
        <w:rPr>
          <w:b w:val="0"/>
        </w:rPr>
        <w:t>,</w:t>
      </w:r>
      <w:r w:rsidRPr="00FA408C">
        <w:rPr>
          <w:b w:val="0"/>
        </w:rPr>
        <w:t xml:space="preserve"> and RRS for dates of service effective April 1</w:t>
      </w:r>
      <w:r w:rsidR="0037016A">
        <w:rPr>
          <w:b w:val="0"/>
        </w:rPr>
        <w:t>, 2021</w:t>
      </w:r>
      <w:r w:rsidR="00B40B30">
        <w:rPr>
          <w:b w:val="0"/>
        </w:rPr>
        <w:t xml:space="preserve">, through June 30, 2021. </w:t>
      </w:r>
      <w:r w:rsidRPr="00FA408C">
        <w:rPr>
          <w:b w:val="0"/>
        </w:rPr>
        <w:t>The rate floor increases are accounted for in the managed care plans’ capita</w:t>
      </w:r>
      <w:r>
        <w:rPr>
          <w:b w:val="0"/>
        </w:rPr>
        <w:t xml:space="preserve">tion rates for rate year 2021. </w:t>
      </w:r>
    </w:p>
    <w:p w14:paraId="4D5019F0" w14:textId="77777777" w:rsidR="00FA408C" w:rsidRDefault="00FA408C" w:rsidP="00FA408C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FA408C">
        <w:rPr>
          <w:b w:val="0"/>
        </w:rPr>
        <w:t xml:space="preserve">These directed payments will ensure that providers receive this crucial stabilization funding for serving members enrolled in managed care. </w:t>
      </w:r>
    </w:p>
    <w:p w14:paraId="14FFF4DE" w14:textId="77777777" w:rsidR="00FA408C" w:rsidRDefault="00FA408C" w:rsidP="00FA408C">
      <w:r>
        <w:br w:type="page"/>
      </w:r>
    </w:p>
    <w:p w14:paraId="3A61929C" w14:textId="77777777" w:rsidR="00F664CC" w:rsidRDefault="00FA408C" w:rsidP="00FA408C">
      <w:pPr>
        <w:pStyle w:val="Heading2"/>
      </w:pPr>
      <w:r>
        <w:lastRenderedPageBreak/>
        <w:t>Temporary Rate Floor Enhancements by Service</w:t>
      </w:r>
      <w:r w:rsidR="001554E7" w:rsidRPr="005B27F1">
        <w:t xml:space="preserve"> </w:t>
      </w:r>
      <w:r w:rsidR="00F60574">
        <w:tab/>
      </w:r>
    </w:p>
    <w:tbl>
      <w:tblPr>
        <w:tblW w:w="4884" w:type="pct"/>
        <w:tblCellSpacing w:w="0" w:type="dxa"/>
        <w:tblInd w:w="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790"/>
        <w:gridCol w:w="2992"/>
        <w:gridCol w:w="3128"/>
      </w:tblGrid>
      <w:tr w:rsidR="00FC3B11" w:rsidRPr="00FA408C" w14:paraId="5A0ACCF6" w14:textId="7252B98D" w:rsidTr="00AD685C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239B9" w14:textId="77777777" w:rsidR="00FC3B11" w:rsidRPr="00FA408C" w:rsidRDefault="00FC3B11" w:rsidP="00FA408C">
            <w:pPr>
              <w:spacing w:before="0" w:after="0" w:afterAutospacing="0"/>
              <w:ind w:left="0"/>
              <w:rPr>
                <w:rFonts w:cs="Segoe UI"/>
                <w:color w:val="212121"/>
                <w:sz w:val="23"/>
                <w:szCs w:val="23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D39E3" w14:textId="13F1E234" w:rsidR="00FC3B11" w:rsidRPr="00FA408C" w:rsidRDefault="00FC3B11" w:rsidP="00FC3B11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 xml:space="preserve">Rate Floor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for Dates of Service </w:t>
            </w:r>
            <w:r w:rsidRPr="00FA408C">
              <w:rPr>
                <w:rFonts w:cs="Calibri"/>
                <w:color w:val="000000"/>
                <w:sz w:val="20"/>
                <w:szCs w:val="20"/>
              </w:rPr>
              <w:t>1/1/21-3/31/21</w:t>
            </w:r>
          </w:p>
        </w:tc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27E79" w14:textId="3985DBC2" w:rsidR="00FC3B11" w:rsidRPr="00FA408C" w:rsidRDefault="00FC3B11" w:rsidP="00FC3B11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 xml:space="preserve">Rate Floor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for Dates of Service </w:t>
            </w:r>
            <w:r w:rsidRPr="00FA408C">
              <w:rPr>
                <w:rFonts w:cs="Calibri"/>
                <w:color w:val="000000"/>
                <w:sz w:val="20"/>
                <w:szCs w:val="20"/>
              </w:rPr>
              <w:t>4/1/21-6/30/21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A53BE6" w14:textId="6E0745CD" w:rsidR="00FC3B11" w:rsidRPr="00FA408C" w:rsidRDefault="00FC3B11" w:rsidP="00FC3B11">
            <w:pPr>
              <w:spacing w:before="0" w:after="0" w:afterAutospacing="0"/>
              <w:ind w:left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C3B11">
              <w:rPr>
                <w:rFonts w:cs="Calibri"/>
                <w:color w:val="000000"/>
                <w:sz w:val="20"/>
                <w:szCs w:val="20"/>
              </w:rPr>
              <w:t>Rate Floor Anticipated for Dates of Service on and after 7/1/21</w:t>
            </w:r>
          </w:p>
        </w:tc>
      </w:tr>
      <w:tr w:rsidR="00FC3B11" w:rsidRPr="00FA408C" w14:paraId="1238B3F8" w14:textId="5FF7D320" w:rsidTr="00AD685C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5CD82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ATS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9F3C1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$348.04</w:t>
            </w:r>
          </w:p>
        </w:tc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912F3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$504.66</w:t>
            </w:r>
          </w:p>
        </w:tc>
        <w:tc>
          <w:tcPr>
            <w:tcW w:w="3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16B5408" w14:textId="53815CDE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C3B11">
              <w:rPr>
                <w:rFonts w:cs="Calibri"/>
                <w:color w:val="000000"/>
                <w:sz w:val="20"/>
                <w:szCs w:val="20"/>
              </w:rPr>
              <w:t>Updated rates specified in 101 CMR 346.00</w:t>
            </w:r>
          </w:p>
        </w:tc>
      </w:tr>
      <w:tr w:rsidR="00FC3B11" w:rsidRPr="00FA408C" w14:paraId="751D0B68" w14:textId="4D8395D7" w:rsidTr="00AD685C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CF3B5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CSS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E2C97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$253.28</w:t>
            </w:r>
          </w:p>
        </w:tc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15B6B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$367.26</w:t>
            </w:r>
          </w:p>
        </w:tc>
        <w:tc>
          <w:tcPr>
            <w:tcW w:w="31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183844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C3B11" w:rsidRPr="00FA408C" w14:paraId="53BFB79C" w14:textId="58335667" w:rsidTr="00AD685C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B986D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RRS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39358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$100.57</w:t>
            </w:r>
          </w:p>
        </w:tc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879A6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Segoe UI"/>
                <w:color w:val="212121"/>
                <w:sz w:val="23"/>
                <w:szCs w:val="23"/>
              </w:rPr>
            </w:pPr>
            <w:r w:rsidRPr="00FA408C">
              <w:rPr>
                <w:rFonts w:cs="Calibri"/>
                <w:color w:val="000000"/>
                <w:sz w:val="20"/>
                <w:szCs w:val="20"/>
              </w:rPr>
              <w:t>$145.83</w:t>
            </w:r>
          </w:p>
        </w:tc>
        <w:tc>
          <w:tcPr>
            <w:tcW w:w="3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86951E" w14:textId="77777777" w:rsidR="00FC3B11" w:rsidRPr="00FA408C" w:rsidRDefault="00FC3B11" w:rsidP="00AD685C">
            <w:pPr>
              <w:spacing w:before="0" w:after="0" w:afterAutospacing="0"/>
              <w:ind w:left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7CF3C17F" w14:textId="77777777" w:rsidR="00F664CC" w:rsidRPr="005B27F1" w:rsidRDefault="00FA408C" w:rsidP="00FA408C">
      <w:pPr>
        <w:pStyle w:val="Heading3"/>
      </w:pPr>
      <w:r>
        <w:t>Provider Engagement</w:t>
      </w:r>
    </w:p>
    <w:p w14:paraId="2E531F92" w14:textId="77777777" w:rsidR="00FA408C" w:rsidRDefault="00FA408C" w:rsidP="00FA408C">
      <w:r w:rsidRPr="00FA408C">
        <w:t>Managed care plans should work with their provider networks to ensure claims for dates of service effective April 1, 2021</w:t>
      </w:r>
      <w:r w:rsidR="00BE7FE3">
        <w:t>,</w:t>
      </w:r>
      <w:r w:rsidRPr="00FA408C">
        <w:t xml:space="preserve"> are reprocessed to reflect the temporary rate floor enhancements as applicable.</w:t>
      </w:r>
    </w:p>
    <w:p w14:paraId="45EEF663" w14:textId="2E7ABBF5" w:rsidR="00FA408C" w:rsidRDefault="00FA408C" w:rsidP="00FA408C">
      <w:pPr>
        <w:pStyle w:val="Heading3"/>
      </w:pPr>
      <w:r>
        <w:t>Future Rates</w:t>
      </w:r>
      <w:r w:rsidR="00BB44AA">
        <w:t xml:space="preserve"> for ATS, CSS</w:t>
      </w:r>
      <w:r w:rsidR="00B15089">
        <w:t>,</w:t>
      </w:r>
      <w:r w:rsidR="00BB44AA">
        <w:t xml:space="preserve"> and RRS</w:t>
      </w:r>
    </w:p>
    <w:p w14:paraId="34A7863B" w14:textId="77777777" w:rsidR="00FC3B11" w:rsidRPr="00FA408C" w:rsidRDefault="00FA408C" w:rsidP="00FC3B11">
      <w:r w:rsidRPr="00FA408C">
        <w:t xml:space="preserve">MassHealth anticipates promulgating updated rates for ATS, CSS, and RRS effective July 1, 2021. Plans may find additional information </w:t>
      </w:r>
      <w:r w:rsidR="00BE7FE3">
        <w:t>about</w:t>
      </w:r>
      <w:r w:rsidR="00BE7FE3" w:rsidRPr="00FA408C">
        <w:t xml:space="preserve"> </w:t>
      </w:r>
      <w:r w:rsidRPr="00FA408C">
        <w:t>the proposed regulation at </w:t>
      </w:r>
      <w:hyperlink r:id="rId13" w:tgtFrame="_blank" w:history="1">
        <w:r w:rsidRPr="00FA408C">
          <w:rPr>
            <w:rStyle w:val="Hyperlink"/>
          </w:rPr>
          <w:t>www.mass.gov/regulations/101-CMR-34600-rates-for-certain-substance-related-and-addictive-disorders-programs</w:t>
        </w:r>
      </w:hyperlink>
      <w:r w:rsidRPr="00FA408C">
        <w:t>. </w:t>
      </w:r>
      <w:r w:rsidR="00FC3B11">
        <w:t>For dates of service on or after July 1, 2021, managed care plans will be required to pay at least these updated rates.</w:t>
      </w:r>
    </w:p>
    <w:p w14:paraId="6C46A277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6CD3A4CA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5107C2AD" w14:textId="77777777" w:rsidR="00755F83" w:rsidRPr="009901A7" w:rsidRDefault="007D7E9B" w:rsidP="00755F83">
      <w:hyperlink r:id="rId15" w:history="1">
        <w:r w:rsidR="00755F83" w:rsidRPr="0059659B">
          <w:rPr>
            <w:rStyle w:val="Hyperlink"/>
          </w:rPr>
          <w:t>Sign up</w:t>
        </w:r>
      </w:hyperlink>
      <w:r w:rsidR="00755F83" w:rsidRPr="009901A7">
        <w:t xml:space="preserve"> to receive email alerts when MassHealth issues new bulletins and transmittal letters.</w:t>
      </w:r>
    </w:p>
    <w:p w14:paraId="7453617F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DD02DBD" w14:textId="77777777" w:rsidR="00CC1E11" w:rsidRPr="00F664CC" w:rsidRDefault="00F664CC" w:rsidP="00E27CD8">
      <w:r w:rsidRPr="009901A7">
        <w:t xml:space="preserve">If you have any questions about the information in this bulletin, please contact the MassHealth Customer Service Center at (800) 841-2900, email your inquiry to </w:t>
      </w:r>
      <w:hyperlink r:id="rId16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122C0" w16cex:dateUtc="2021-05-20T22:0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51F09" w14:textId="77777777" w:rsidR="00B24CE0" w:rsidRDefault="00B24CE0" w:rsidP="00E27CD8">
      <w:r>
        <w:separator/>
      </w:r>
    </w:p>
  </w:endnote>
  <w:endnote w:type="continuationSeparator" w:id="0">
    <w:p w14:paraId="307BA3A8" w14:textId="77777777" w:rsidR="00B24CE0" w:rsidRDefault="00B24CE0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74E4F" w14:textId="77777777" w:rsidR="00CC1E11" w:rsidRPr="00CC1E11" w:rsidRDefault="00CC1E11" w:rsidP="00755F83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BB213" w14:textId="77777777" w:rsidR="00B24CE0" w:rsidRDefault="00B24CE0" w:rsidP="00E27CD8">
      <w:r>
        <w:separator/>
      </w:r>
    </w:p>
  </w:footnote>
  <w:footnote w:type="continuationSeparator" w:id="0">
    <w:p w14:paraId="33A1CB80" w14:textId="77777777" w:rsidR="00B24CE0" w:rsidRDefault="00B24CE0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DDCD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C6D80E3" w14:textId="21A13335" w:rsidR="00AD204A" w:rsidRPr="00F664CC" w:rsidRDefault="00234F76" w:rsidP="00AD204A">
    <w:pPr>
      <w:pStyle w:val="BullsHeading"/>
    </w:pPr>
    <w:r>
      <w:t>Managed Care Entity</w:t>
    </w:r>
    <w:r w:rsidR="00AD204A" w:rsidRPr="00F664CC">
      <w:t xml:space="preserve"> Bulletin </w:t>
    </w:r>
    <w:r w:rsidR="00332039">
      <w:t>63</w:t>
    </w:r>
  </w:p>
  <w:p w14:paraId="0FF6766F" w14:textId="274B272F" w:rsidR="00AD204A" w:rsidRDefault="00D17215" w:rsidP="00AD204A">
    <w:pPr>
      <w:pStyle w:val="BullsHeading"/>
    </w:pPr>
    <w:r>
      <w:t>June</w:t>
    </w:r>
    <w:r w:rsidR="00234F76">
      <w:t xml:space="preserve"> 2021</w:t>
    </w:r>
  </w:p>
  <w:p w14:paraId="7D2A3E70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D7E9B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7D7E9B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a Cassel Kraft">
    <w15:presenceInfo w15:providerId="None" w15:userId="Amanda Cassel Kra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2D5E"/>
    <w:rsid w:val="000049D1"/>
    <w:rsid w:val="000D3DB5"/>
    <w:rsid w:val="00150BCC"/>
    <w:rsid w:val="001554E7"/>
    <w:rsid w:val="001634DD"/>
    <w:rsid w:val="00180F7D"/>
    <w:rsid w:val="001B2B5A"/>
    <w:rsid w:val="001E4C08"/>
    <w:rsid w:val="00221556"/>
    <w:rsid w:val="00234F76"/>
    <w:rsid w:val="0028720F"/>
    <w:rsid w:val="002F2993"/>
    <w:rsid w:val="00332039"/>
    <w:rsid w:val="0033550B"/>
    <w:rsid w:val="0037016A"/>
    <w:rsid w:val="003A6CE3"/>
    <w:rsid w:val="003A7588"/>
    <w:rsid w:val="003E2878"/>
    <w:rsid w:val="003F216F"/>
    <w:rsid w:val="00493EE3"/>
    <w:rsid w:val="004A7718"/>
    <w:rsid w:val="004F4B9A"/>
    <w:rsid w:val="005068BD"/>
    <w:rsid w:val="00507CFF"/>
    <w:rsid w:val="0058634E"/>
    <w:rsid w:val="0059142C"/>
    <w:rsid w:val="005B27F1"/>
    <w:rsid w:val="005C6224"/>
    <w:rsid w:val="005E4B62"/>
    <w:rsid w:val="005F2B69"/>
    <w:rsid w:val="00636084"/>
    <w:rsid w:val="006941BF"/>
    <w:rsid w:val="006C70F9"/>
    <w:rsid w:val="006D3F15"/>
    <w:rsid w:val="00706438"/>
    <w:rsid w:val="00755F83"/>
    <w:rsid w:val="00777A22"/>
    <w:rsid w:val="00795E06"/>
    <w:rsid w:val="007D6AF3"/>
    <w:rsid w:val="007D7E9B"/>
    <w:rsid w:val="007F7DBF"/>
    <w:rsid w:val="008201CC"/>
    <w:rsid w:val="00847198"/>
    <w:rsid w:val="00863041"/>
    <w:rsid w:val="008B6E51"/>
    <w:rsid w:val="00914588"/>
    <w:rsid w:val="00922F04"/>
    <w:rsid w:val="0096325E"/>
    <w:rsid w:val="00982839"/>
    <w:rsid w:val="00A772C1"/>
    <w:rsid w:val="00A95FC1"/>
    <w:rsid w:val="00AA6085"/>
    <w:rsid w:val="00AD204A"/>
    <w:rsid w:val="00AD685C"/>
    <w:rsid w:val="00AD6899"/>
    <w:rsid w:val="00B15089"/>
    <w:rsid w:val="00B24CE0"/>
    <w:rsid w:val="00B40B30"/>
    <w:rsid w:val="00B73653"/>
    <w:rsid w:val="00BB44AA"/>
    <w:rsid w:val="00BC3755"/>
    <w:rsid w:val="00BD2DAF"/>
    <w:rsid w:val="00BE7FE3"/>
    <w:rsid w:val="00C024A2"/>
    <w:rsid w:val="00C16600"/>
    <w:rsid w:val="00CC1E11"/>
    <w:rsid w:val="00CD456D"/>
    <w:rsid w:val="00D17215"/>
    <w:rsid w:val="00D476B7"/>
    <w:rsid w:val="00DC43E4"/>
    <w:rsid w:val="00E01D80"/>
    <w:rsid w:val="00E27CD8"/>
    <w:rsid w:val="00E759F7"/>
    <w:rsid w:val="00EB31B1"/>
    <w:rsid w:val="00ED497C"/>
    <w:rsid w:val="00F60574"/>
    <w:rsid w:val="00F664CC"/>
    <w:rsid w:val="00F73D6F"/>
    <w:rsid w:val="00F74F30"/>
    <w:rsid w:val="00FA408C"/>
    <w:rsid w:val="00FC3B11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D519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E7F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2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5E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5E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E7F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2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5E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5E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regulations/101-CMR-34600-rates-for-certain-substance-related-and-addictive-disorders-progra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E2CA-B6BB-42B6-9DDD-85CA8C13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466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cp:lastPrinted>2021-06-09T15:24:00Z</cp:lastPrinted>
  <dcterms:created xsi:type="dcterms:W3CDTF">2021-06-09T17:08:00Z</dcterms:created>
  <dcterms:modified xsi:type="dcterms:W3CDTF">2021-06-09T17:08:00Z</dcterms:modified>
</cp:coreProperties>
</file>