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501D6F46" wp14:editId="1442A7F3">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D7729B" w:rsidP="004A642D">
      <w:pPr>
        <w:tabs>
          <w:tab w:val="left" w:pos="5040"/>
        </w:tabs>
        <w:suppressAutoHyphens/>
        <w:ind w:left="5040"/>
        <w:rPr>
          <w:rFonts w:ascii="Georgia" w:hAnsi="Georgia" w:cs="Arial"/>
          <w:b/>
          <w:color w:val="1F497D"/>
          <w:sz w:val="24"/>
          <w:szCs w:val="24"/>
        </w:rPr>
      </w:pPr>
      <w:r w:rsidRPr="00D7729B">
        <w:rPr>
          <w:rFonts w:ascii="Georgia" w:hAnsi="Georgia" w:cs="Arial"/>
          <w:b/>
          <w:color w:val="1F497D"/>
          <w:sz w:val="24"/>
          <w:szCs w:val="24"/>
        </w:rPr>
        <w:t>Managed Care Entity</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 xml:space="preserve">Bulletin </w:t>
      </w:r>
      <w:r w:rsidR="00FD1A55">
        <w:rPr>
          <w:rFonts w:ascii="Georgia" w:hAnsi="Georgia" w:cs="Arial"/>
          <w:b/>
          <w:color w:val="1F497D"/>
          <w:sz w:val="24"/>
          <w:szCs w:val="24"/>
        </w:rPr>
        <w:t>8</w:t>
      </w:r>
    </w:p>
    <w:p w:rsidR="00D65B5E" w:rsidRPr="00D7729B" w:rsidRDefault="00C42996"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July</w:t>
      </w:r>
      <w:r w:rsidR="00D7729B" w:rsidRPr="00D7729B">
        <w:rPr>
          <w:rFonts w:ascii="Georgia" w:hAnsi="Georgia" w:cs="Arial"/>
          <w:b/>
          <w:color w:val="1F497D"/>
          <w:sz w:val="24"/>
          <w:szCs w:val="24"/>
        </w:rPr>
        <w:t xml:space="preserve"> 2018</w:t>
      </w:r>
    </w:p>
    <w:p w:rsidR="00D65B5E" w:rsidRPr="001B792F" w:rsidRDefault="00D65B5E">
      <w:pPr>
        <w:tabs>
          <w:tab w:val="left" w:pos="5040"/>
        </w:tabs>
        <w:suppressAutoHyphens/>
        <w:rPr>
          <w:rFonts w:ascii="Georgia" w:hAnsi="Georgia" w:cs="Arial"/>
          <w:sz w:val="22"/>
          <w:szCs w:val="22"/>
        </w:rPr>
      </w:pPr>
    </w:p>
    <w:p w:rsidR="00D65B5E" w:rsidRPr="001B792F" w:rsidRDefault="00914E01">
      <w:pPr>
        <w:tabs>
          <w:tab w:val="left" w:pos="5040"/>
        </w:tabs>
        <w:suppressAutoHyphens/>
        <w:rPr>
          <w:rFonts w:ascii="Georgia" w:hAnsi="Georgia"/>
          <w:sz w:val="22"/>
          <w:szCs w:val="22"/>
        </w:rPr>
      </w:pPr>
      <w:r>
        <w:rPr>
          <w:rFonts w:ascii="Georgia" w:hAnsi="Georgia" w:cs="Arial"/>
          <w:noProof/>
          <w:sz w:val="22"/>
          <w:szCs w:val="22"/>
        </w:rPr>
        <w:drawing>
          <wp:anchor distT="0" distB="0" distL="114300" distR="114300" simplePos="0" relativeHeight="251658752" behindDoc="0" locked="0" layoutInCell="1" allowOverlap="1" wp14:anchorId="245B8FC8" wp14:editId="67A7AA12">
            <wp:simplePos x="0" y="0"/>
            <wp:positionH relativeFrom="column">
              <wp:posOffset>4445000</wp:posOffset>
            </wp:positionH>
            <wp:positionV relativeFrom="paragraph">
              <wp:posOffset>12700</wp:posOffset>
            </wp:positionV>
            <wp:extent cx="1390650" cy="730250"/>
            <wp:effectExtent l="0" t="0" r="0" b="0"/>
            <wp:wrapNone/>
            <wp:docPr id="1" name="Picture 1" descr="W:\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EEDED SIGS\Tsai, Da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10"/>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364D12" w:rsidRPr="000439B4">
        <w:rPr>
          <w:rFonts w:ascii="Georgia" w:hAnsi="Georgia" w:cs="Arial"/>
          <w:sz w:val="22"/>
          <w:szCs w:val="22"/>
        </w:rPr>
        <w:t xml:space="preserve">Senior </w:t>
      </w:r>
      <w:r w:rsidR="00F13BBF" w:rsidRPr="00D416A5">
        <w:rPr>
          <w:rFonts w:ascii="Georgia" w:hAnsi="Georgia" w:cs="Arial"/>
          <w:sz w:val="22"/>
          <w:szCs w:val="22"/>
        </w:rPr>
        <w:t xml:space="preserve">Care Options </w:t>
      </w:r>
      <w:r w:rsidR="000439B4">
        <w:rPr>
          <w:rFonts w:ascii="Georgia" w:hAnsi="Georgia" w:cs="Arial"/>
          <w:sz w:val="22"/>
          <w:szCs w:val="22"/>
        </w:rPr>
        <w:t>(SCO) P</w:t>
      </w:r>
      <w:r w:rsidR="00F13BBF" w:rsidRPr="00D416A5">
        <w:rPr>
          <w:rFonts w:ascii="Georgia" w:hAnsi="Georgia" w:cs="Arial"/>
          <w:sz w:val="22"/>
          <w:szCs w:val="22"/>
        </w:rPr>
        <w:t>lans</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3B414F" w:rsidRDefault="0069586B" w:rsidP="00F7118D">
      <w:pPr>
        <w:tabs>
          <w:tab w:val="right" w:pos="720"/>
          <w:tab w:val="left" w:pos="1152"/>
          <w:tab w:val="left" w:pos="5184"/>
        </w:tabs>
        <w:suppressAutoHyphens/>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F13BBF" w:rsidRPr="00B07698">
        <w:rPr>
          <w:rFonts w:ascii="Georgia" w:hAnsi="Georgia" w:cs="Arial"/>
          <w:sz w:val="22"/>
          <w:szCs w:val="22"/>
        </w:rPr>
        <w:t>Housing</w:t>
      </w:r>
      <w:r w:rsidR="00A7318D">
        <w:rPr>
          <w:rFonts w:ascii="Georgia" w:hAnsi="Georgia" w:cs="Arial"/>
          <w:sz w:val="22"/>
          <w:szCs w:val="22"/>
        </w:rPr>
        <w:t>-</w:t>
      </w:r>
      <w:r w:rsidR="00F13BBF" w:rsidRPr="00B07698">
        <w:rPr>
          <w:rFonts w:ascii="Georgia" w:hAnsi="Georgia" w:cs="Arial"/>
          <w:sz w:val="22"/>
          <w:szCs w:val="22"/>
        </w:rPr>
        <w:t>Related Activities and the MLR</w:t>
      </w:r>
    </w:p>
    <w:p w:rsidR="00DC292A" w:rsidRDefault="00DC292A" w:rsidP="00287894">
      <w:pPr>
        <w:ind w:left="576" w:right="576" w:hanging="2880"/>
        <w:rPr>
          <w:rFonts w:ascii="Georgia" w:hAnsi="Georgia" w:cs="Arial"/>
          <w:b/>
          <w:i/>
          <w:sz w:val="22"/>
          <w:szCs w:val="22"/>
        </w:rPr>
      </w:pPr>
    </w:p>
    <w:p w:rsidR="00947F45" w:rsidRDefault="00947F45" w:rsidP="00287894">
      <w:pPr>
        <w:ind w:left="3456" w:right="576" w:hanging="2880"/>
        <w:rPr>
          <w:rFonts w:ascii="Georgia" w:hAnsi="Georgia" w:cs="Arial"/>
          <w:b/>
          <w:i/>
          <w:sz w:val="22"/>
          <w:szCs w:val="22"/>
        </w:rPr>
      </w:pPr>
    </w:p>
    <w:p w:rsidR="00BF51AA" w:rsidRDefault="00947F45" w:rsidP="00C42996">
      <w:pPr>
        <w:ind w:left="3456" w:right="576" w:hanging="2880"/>
        <w:rPr>
          <w:rFonts w:ascii="Georgia" w:hAnsi="Georgia" w:cs="Arial"/>
          <w:b/>
          <w:color w:val="1F497D"/>
          <w:sz w:val="24"/>
          <w:szCs w:val="24"/>
        </w:rPr>
      </w:pPr>
      <w:r w:rsidRPr="00947F45">
        <w:rPr>
          <w:rFonts w:ascii="Georgia" w:hAnsi="Georgia" w:cs="Arial"/>
          <w:b/>
          <w:color w:val="1F497D"/>
          <w:sz w:val="24"/>
          <w:szCs w:val="24"/>
        </w:rPr>
        <w:t>Housing</w:t>
      </w:r>
      <w:r w:rsidR="00A7318D">
        <w:rPr>
          <w:rFonts w:ascii="Georgia" w:hAnsi="Georgia" w:cs="Arial"/>
          <w:b/>
          <w:color w:val="1F497D"/>
          <w:sz w:val="24"/>
          <w:szCs w:val="24"/>
        </w:rPr>
        <w:t>-</w:t>
      </w:r>
      <w:r w:rsidR="00BF51AA">
        <w:rPr>
          <w:rFonts w:ascii="Georgia" w:hAnsi="Georgia" w:cs="Arial"/>
          <w:b/>
          <w:color w:val="1F497D"/>
          <w:sz w:val="24"/>
          <w:szCs w:val="24"/>
        </w:rPr>
        <w:t>Related Activities and the Medical Loss Ratio (MLR)</w:t>
      </w:r>
      <w:r w:rsidRPr="00947F45">
        <w:rPr>
          <w:rFonts w:ascii="Georgia" w:hAnsi="Georgia" w:cs="Arial"/>
          <w:b/>
          <w:color w:val="1F497D"/>
          <w:sz w:val="24"/>
          <w:szCs w:val="24"/>
        </w:rPr>
        <w:t xml:space="preserve">: </w:t>
      </w:r>
    </w:p>
    <w:p w:rsidR="001B792F" w:rsidRPr="00C66371" w:rsidRDefault="00947F45" w:rsidP="00C42996">
      <w:pPr>
        <w:ind w:left="3456" w:right="576" w:hanging="2880"/>
        <w:rPr>
          <w:rFonts w:ascii="Georgia" w:hAnsi="Georgia" w:cs="Arial"/>
          <w:color w:val="1F497D"/>
          <w:sz w:val="24"/>
          <w:szCs w:val="24"/>
        </w:rPr>
      </w:pPr>
      <w:r w:rsidRPr="00947F45">
        <w:rPr>
          <w:rFonts w:ascii="Georgia" w:hAnsi="Georgia" w:cs="Arial"/>
          <w:b/>
          <w:color w:val="1F497D"/>
          <w:sz w:val="24"/>
          <w:szCs w:val="24"/>
        </w:rPr>
        <w:t xml:space="preserve">Guidance for SCO </w:t>
      </w:r>
      <w:r w:rsidR="00A7318D">
        <w:rPr>
          <w:rFonts w:ascii="Georgia" w:hAnsi="Georgia" w:cs="Arial"/>
          <w:b/>
          <w:color w:val="1F497D"/>
          <w:sz w:val="24"/>
          <w:szCs w:val="24"/>
        </w:rPr>
        <w:t>P</w:t>
      </w:r>
      <w:r w:rsidR="00A7318D" w:rsidRPr="00947F45">
        <w:rPr>
          <w:rFonts w:ascii="Georgia" w:hAnsi="Georgia" w:cs="Arial"/>
          <w:b/>
          <w:color w:val="1F497D"/>
          <w:sz w:val="24"/>
          <w:szCs w:val="24"/>
        </w:rPr>
        <w:t>lans</w:t>
      </w:r>
    </w:p>
    <w:p w:rsidR="00947F45" w:rsidRDefault="00947F45" w:rsidP="00947F45">
      <w:pPr>
        <w:ind w:left="576" w:right="576"/>
        <w:rPr>
          <w:rFonts w:ascii="Georgia" w:hAnsi="Georgia" w:cs="Arial"/>
          <w:sz w:val="22"/>
          <w:szCs w:val="22"/>
        </w:rPr>
      </w:pPr>
    </w:p>
    <w:p w:rsidR="00947F45" w:rsidRPr="00947F45" w:rsidRDefault="00D81DC9" w:rsidP="00947F45">
      <w:pPr>
        <w:ind w:left="576" w:right="576"/>
        <w:rPr>
          <w:rFonts w:ascii="Georgia" w:hAnsi="Georgia" w:cs="Arial"/>
          <w:sz w:val="22"/>
          <w:szCs w:val="22"/>
        </w:rPr>
      </w:pPr>
      <w:r>
        <w:rPr>
          <w:rFonts w:ascii="Georgia" w:hAnsi="Georgia" w:cs="Arial"/>
          <w:sz w:val="22"/>
          <w:szCs w:val="22"/>
        </w:rPr>
        <w:t>With</w:t>
      </w:r>
      <w:r w:rsidR="00947F45" w:rsidRPr="00947F45">
        <w:rPr>
          <w:rFonts w:ascii="Georgia" w:hAnsi="Georgia" w:cs="Arial"/>
          <w:sz w:val="22"/>
          <w:szCs w:val="22"/>
        </w:rPr>
        <w:t xml:space="preserve"> the goal of improving health and patient care for </w:t>
      </w:r>
      <w:r w:rsidR="00A7318D">
        <w:rPr>
          <w:rFonts w:ascii="Georgia" w:hAnsi="Georgia" w:cs="Arial"/>
          <w:sz w:val="22"/>
          <w:szCs w:val="22"/>
        </w:rPr>
        <w:t xml:space="preserve">its </w:t>
      </w:r>
      <w:r w:rsidR="00947F45" w:rsidRPr="00947F45">
        <w:rPr>
          <w:rFonts w:ascii="Georgia" w:hAnsi="Georgia" w:cs="Arial"/>
          <w:sz w:val="22"/>
          <w:szCs w:val="22"/>
        </w:rPr>
        <w:t xml:space="preserve">members, MassHealth </w:t>
      </w:r>
      <w:r w:rsidR="00A7318D">
        <w:rPr>
          <w:rFonts w:ascii="Georgia" w:hAnsi="Georgia" w:cs="Arial"/>
          <w:sz w:val="22"/>
          <w:szCs w:val="22"/>
        </w:rPr>
        <w:t>understands</w:t>
      </w:r>
      <w:r w:rsidR="00A7318D" w:rsidRPr="00947F45">
        <w:rPr>
          <w:rFonts w:ascii="Georgia" w:hAnsi="Georgia" w:cs="Arial"/>
          <w:sz w:val="22"/>
          <w:szCs w:val="22"/>
        </w:rPr>
        <w:t xml:space="preserve"> </w:t>
      </w:r>
      <w:r w:rsidR="00947F45" w:rsidRPr="00947F45">
        <w:rPr>
          <w:rFonts w:ascii="Georgia" w:hAnsi="Georgia" w:cs="Arial"/>
          <w:sz w:val="22"/>
          <w:szCs w:val="22"/>
        </w:rPr>
        <w:t xml:space="preserve">the importance of addressing </w:t>
      </w:r>
      <w:r w:rsidR="00A7318D">
        <w:rPr>
          <w:rFonts w:ascii="Georgia" w:hAnsi="Georgia" w:cs="Arial"/>
          <w:sz w:val="22"/>
          <w:szCs w:val="22"/>
        </w:rPr>
        <w:t xml:space="preserve">the social determinants of </w:t>
      </w:r>
      <w:r w:rsidR="00947F45" w:rsidRPr="00947F45">
        <w:rPr>
          <w:rFonts w:ascii="Georgia" w:hAnsi="Georgia" w:cs="Arial"/>
          <w:sz w:val="22"/>
          <w:szCs w:val="22"/>
        </w:rPr>
        <w:t>members’ health, such as housing. Through care coordination and interactions with members, managed care plans have an opportunity to positively affect the housing situation of members, which in turn is expected to improve member</w:t>
      </w:r>
      <w:r w:rsidR="00DC61C9">
        <w:rPr>
          <w:rFonts w:ascii="Georgia" w:hAnsi="Georgia" w:cs="Arial"/>
          <w:sz w:val="22"/>
          <w:szCs w:val="22"/>
        </w:rPr>
        <w:t>s’</w:t>
      </w:r>
      <w:r w:rsidR="00947F45" w:rsidRPr="00947F45">
        <w:rPr>
          <w:rFonts w:ascii="Georgia" w:hAnsi="Georgia" w:cs="Arial"/>
          <w:sz w:val="22"/>
          <w:szCs w:val="22"/>
        </w:rPr>
        <w:t xml:space="preserve"> quality of life, reduce medical utilization, and have financial benefit for payers. </w:t>
      </w:r>
    </w:p>
    <w:p w:rsidR="00947F45" w:rsidRPr="00947F45" w:rsidRDefault="00947F45" w:rsidP="00947F45">
      <w:pPr>
        <w:ind w:left="576" w:right="576"/>
        <w:rPr>
          <w:rFonts w:ascii="Georgia" w:hAnsi="Georgia" w:cs="Arial"/>
          <w:sz w:val="22"/>
          <w:szCs w:val="22"/>
        </w:rPr>
      </w:pPr>
    </w:p>
    <w:p w:rsidR="00DC61C9" w:rsidRDefault="00947F45" w:rsidP="00947F45">
      <w:pPr>
        <w:ind w:left="576" w:right="576"/>
        <w:rPr>
          <w:rFonts w:ascii="Georgia" w:hAnsi="Georgia" w:cs="Arial"/>
          <w:sz w:val="22"/>
          <w:szCs w:val="22"/>
        </w:rPr>
      </w:pPr>
      <w:r w:rsidRPr="00947F45">
        <w:rPr>
          <w:rFonts w:ascii="Georgia" w:hAnsi="Georgia" w:cs="Arial"/>
          <w:sz w:val="22"/>
          <w:szCs w:val="22"/>
        </w:rPr>
        <w:t xml:space="preserve">While MassHealth does not require </w:t>
      </w:r>
      <w:r w:rsidR="00DC61C9">
        <w:rPr>
          <w:rFonts w:ascii="Georgia" w:hAnsi="Georgia" w:cs="Arial"/>
          <w:sz w:val="22"/>
          <w:szCs w:val="22"/>
        </w:rPr>
        <w:t>Senior Care Options (</w:t>
      </w:r>
      <w:r w:rsidRPr="00947F45">
        <w:rPr>
          <w:rFonts w:ascii="Georgia" w:hAnsi="Georgia" w:cs="Arial"/>
          <w:sz w:val="22"/>
          <w:szCs w:val="22"/>
        </w:rPr>
        <w:t>SCO</w:t>
      </w:r>
      <w:r w:rsidR="00DC61C9">
        <w:rPr>
          <w:rFonts w:ascii="Georgia" w:hAnsi="Georgia" w:cs="Arial"/>
          <w:sz w:val="22"/>
          <w:szCs w:val="22"/>
        </w:rPr>
        <w:t>)</w:t>
      </w:r>
      <w:r w:rsidRPr="00947F45">
        <w:rPr>
          <w:rFonts w:ascii="Georgia" w:hAnsi="Georgia" w:cs="Arial"/>
          <w:sz w:val="22"/>
          <w:szCs w:val="22"/>
        </w:rPr>
        <w:t xml:space="preserve"> plans to conduct housing</w:t>
      </w:r>
      <w:r w:rsidR="00DC61C9">
        <w:rPr>
          <w:rFonts w:ascii="Georgia" w:hAnsi="Georgia" w:cs="Arial"/>
          <w:sz w:val="22"/>
          <w:szCs w:val="22"/>
        </w:rPr>
        <w:t>-</w:t>
      </w:r>
      <w:r w:rsidRPr="00947F45">
        <w:rPr>
          <w:rFonts w:ascii="Georgia" w:hAnsi="Georgia" w:cs="Arial"/>
          <w:sz w:val="22"/>
          <w:szCs w:val="22"/>
        </w:rPr>
        <w:t xml:space="preserve"> related activities or provide housing</w:t>
      </w:r>
      <w:r w:rsidR="00601BE7">
        <w:rPr>
          <w:rFonts w:ascii="Georgia" w:hAnsi="Georgia" w:cs="Arial"/>
          <w:sz w:val="22"/>
          <w:szCs w:val="22"/>
        </w:rPr>
        <w:t>-</w:t>
      </w:r>
      <w:r w:rsidRPr="00947F45">
        <w:rPr>
          <w:rFonts w:ascii="Georgia" w:hAnsi="Georgia" w:cs="Arial"/>
          <w:sz w:val="22"/>
          <w:szCs w:val="22"/>
        </w:rPr>
        <w:t xml:space="preserve">related services outside of </w:t>
      </w:r>
      <w:r w:rsidR="00364D12">
        <w:rPr>
          <w:rFonts w:ascii="Georgia" w:hAnsi="Georgia" w:cs="Arial"/>
          <w:sz w:val="22"/>
          <w:szCs w:val="22"/>
        </w:rPr>
        <w:t>Community Support Program</w:t>
      </w:r>
      <w:r w:rsidR="00104000">
        <w:rPr>
          <w:rFonts w:ascii="Georgia" w:hAnsi="Georgia" w:cs="Arial"/>
          <w:sz w:val="22"/>
          <w:szCs w:val="22"/>
        </w:rPr>
        <w:t xml:space="preserve"> (CSP</w:t>
      </w:r>
      <w:r w:rsidR="00364D12">
        <w:rPr>
          <w:rFonts w:ascii="Georgia" w:hAnsi="Georgia" w:cs="Arial"/>
          <w:sz w:val="22"/>
          <w:szCs w:val="22"/>
        </w:rPr>
        <w:t>)</w:t>
      </w:r>
      <w:r w:rsidR="00364D12">
        <w:rPr>
          <w:rStyle w:val="CommentReference"/>
        </w:rPr>
        <w:t xml:space="preserve"> </w:t>
      </w:r>
      <w:r w:rsidRPr="00947F45">
        <w:rPr>
          <w:rFonts w:ascii="Georgia" w:hAnsi="Georgia" w:cs="Arial"/>
          <w:sz w:val="22"/>
          <w:szCs w:val="22"/>
        </w:rPr>
        <w:t xml:space="preserve">services, plans may voluntarily choose to do so per 42 CFR 438.3(e)(1)(i), though the cost of these services will not be included when determining payment rates.  </w:t>
      </w:r>
    </w:p>
    <w:p w:rsidR="00DC61C9" w:rsidRDefault="00DC61C9" w:rsidP="00947F45">
      <w:pPr>
        <w:ind w:left="576" w:right="576"/>
        <w:rPr>
          <w:rFonts w:ascii="Georgia" w:hAnsi="Georgia" w:cs="Arial"/>
          <w:sz w:val="22"/>
          <w:szCs w:val="22"/>
        </w:rPr>
      </w:pPr>
    </w:p>
    <w:p w:rsidR="00601BE7" w:rsidRDefault="00601BE7" w:rsidP="00947F45">
      <w:pPr>
        <w:ind w:left="576" w:right="576"/>
        <w:rPr>
          <w:rFonts w:ascii="Georgia" w:hAnsi="Georgia" w:cs="Arial"/>
          <w:sz w:val="22"/>
          <w:szCs w:val="22"/>
        </w:rPr>
      </w:pPr>
      <w:r>
        <w:rPr>
          <w:rFonts w:ascii="Georgia" w:hAnsi="Georgia" w:cs="Arial"/>
          <w:sz w:val="22"/>
          <w:szCs w:val="22"/>
        </w:rPr>
        <w:t>A p</w:t>
      </w:r>
      <w:r w:rsidR="00947F45" w:rsidRPr="00947F45">
        <w:rPr>
          <w:rFonts w:ascii="Georgia" w:hAnsi="Georgia" w:cs="Arial"/>
          <w:sz w:val="22"/>
          <w:szCs w:val="22"/>
        </w:rPr>
        <w:t xml:space="preserve">lan </w:t>
      </w:r>
      <w:r>
        <w:rPr>
          <w:rFonts w:ascii="Georgia" w:hAnsi="Georgia" w:cs="Arial"/>
          <w:sz w:val="22"/>
          <w:szCs w:val="22"/>
        </w:rPr>
        <w:t xml:space="preserve">that </w:t>
      </w:r>
      <w:r w:rsidR="00947F45" w:rsidRPr="00947F45">
        <w:rPr>
          <w:rFonts w:ascii="Georgia" w:hAnsi="Georgia" w:cs="Arial"/>
          <w:sz w:val="22"/>
          <w:szCs w:val="22"/>
        </w:rPr>
        <w:t>elect</w:t>
      </w:r>
      <w:r>
        <w:rPr>
          <w:rFonts w:ascii="Georgia" w:hAnsi="Georgia" w:cs="Arial"/>
          <w:sz w:val="22"/>
          <w:szCs w:val="22"/>
        </w:rPr>
        <w:t>s</w:t>
      </w:r>
      <w:r w:rsidR="00947F45" w:rsidRPr="00947F45">
        <w:rPr>
          <w:rFonts w:ascii="Georgia" w:hAnsi="Georgia" w:cs="Arial"/>
          <w:sz w:val="22"/>
          <w:szCs w:val="22"/>
        </w:rPr>
        <w:t xml:space="preserve"> to provide such additional benefits, pursuant to 42 CFR 438.8(e)(2)(A) and 42 CFR 438.3(e)(1)(i), may include the cost of any op</w:t>
      </w:r>
      <w:r w:rsidR="00DC61C9">
        <w:rPr>
          <w:rFonts w:ascii="Georgia" w:hAnsi="Georgia" w:cs="Arial"/>
          <w:sz w:val="22"/>
          <w:szCs w:val="22"/>
        </w:rPr>
        <w:t>tional housing-related services</w:t>
      </w:r>
      <w:r w:rsidR="00947F45" w:rsidRPr="00947F45">
        <w:rPr>
          <w:rFonts w:ascii="Georgia" w:hAnsi="Georgia" w:cs="Arial"/>
          <w:sz w:val="22"/>
          <w:szCs w:val="22"/>
        </w:rPr>
        <w:t xml:space="preserve"> that it voluntarily provides to an enrollee when calculating its “incurred claims</w:t>
      </w:r>
      <w:r w:rsidR="00592BDA">
        <w:rPr>
          <w:rFonts w:ascii="Georgia" w:hAnsi="Georgia" w:cs="Arial"/>
          <w:sz w:val="22"/>
          <w:szCs w:val="22"/>
        </w:rPr>
        <w:t>.</w:t>
      </w:r>
      <w:r w:rsidR="00947F45" w:rsidRPr="00947F45">
        <w:rPr>
          <w:rFonts w:ascii="Georgia" w:hAnsi="Georgia" w:cs="Arial"/>
          <w:sz w:val="22"/>
          <w:szCs w:val="22"/>
        </w:rPr>
        <w:t xml:space="preserve">” </w:t>
      </w:r>
      <w:r w:rsidR="00592BDA">
        <w:rPr>
          <w:rFonts w:ascii="Georgia" w:hAnsi="Georgia" w:cs="Arial"/>
          <w:sz w:val="22"/>
          <w:szCs w:val="22"/>
        </w:rPr>
        <w:t>Incurred claims are a</w:t>
      </w:r>
      <w:r w:rsidR="00947F45" w:rsidRPr="00947F45">
        <w:rPr>
          <w:rFonts w:ascii="Georgia" w:hAnsi="Georgia" w:cs="Arial"/>
          <w:sz w:val="22"/>
          <w:szCs w:val="22"/>
        </w:rPr>
        <w:t xml:space="preserve"> component of the numerator of the plan’s Medicaid-only MLR, as defined in </w:t>
      </w:r>
      <w:bookmarkStart w:id="0" w:name="_GoBack"/>
      <w:bookmarkEnd w:id="0"/>
      <w:r w:rsidR="00947F45" w:rsidRPr="00947F45">
        <w:rPr>
          <w:rFonts w:ascii="Georgia" w:hAnsi="Georgia" w:cs="Arial"/>
          <w:sz w:val="22"/>
          <w:szCs w:val="22"/>
        </w:rPr>
        <w:t xml:space="preserve">Section 2.13.Q.1 of the First Amended and Restated Contract between Senior Care Organizations and the Executive Office of Health and Human Services, effective January 1, 2018. </w:t>
      </w:r>
    </w:p>
    <w:p w:rsidR="00601BE7" w:rsidRDefault="00601BE7" w:rsidP="00947F45">
      <w:pPr>
        <w:ind w:left="576" w:right="576"/>
        <w:rPr>
          <w:rFonts w:ascii="Georgia" w:hAnsi="Georgia" w:cs="Arial"/>
          <w:sz w:val="22"/>
          <w:szCs w:val="22"/>
        </w:rPr>
      </w:pPr>
    </w:p>
    <w:p w:rsidR="00601BE7" w:rsidRDefault="00474B28" w:rsidP="00947F45">
      <w:pPr>
        <w:ind w:left="576" w:right="576"/>
        <w:rPr>
          <w:rFonts w:ascii="Georgia" w:hAnsi="Georgia" w:cs="Arial"/>
          <w:sz w:val="22"/>
          <w:szCs w:val="22"/>
        </w:rPr>
      </w:pPr>
      <w:r>
        <w:rPr>
          <w:rFonts w:ascii="Georgia" w:hAnsi="Georgia" w:cs="Arial"/>
          <w:sz w:val="22"/>
          <w:szCs w:val="22"/>
        </w:rPr>
        <w:t>Stated more simply</w:t>
      </w:r>
      <w:r w:rsidR="00947F45" w:rsidRPr="00947F45">
        <w:rPr>
          <w:rFonts w:ascii="Georgia" w:hAnsi="Georgia" w:cs="Arial"/>
          <w:sz w:val="22"/>
          <w:szCs w:val="22"/>
        </w:rPr>
        <w:t xml:space="preserve">, plans </w:t>
      </w:r>
      <w:r w:rsidR="00601BE7">
        <w:rPr>
          <w:rFonts w:ascii="Georgia" w:hAnsi="Georgia" w:cs="Arial"/>
          <w:sz w:val="22"/>
          <w:szCs w:val="22"/>
        </w:rPr>
        <w:t xml:space="preserve">that </w:t>
      </w:r>
      <w:r w:rsidR="00947F45" w:rsidRPr="00947F45">
        <w:rPr>
          <w:rFonts w:ascii="Georgia" w:hAnsi="Georgia" w:cs="Arial"/>
          <w:sz w:val="22"/>
          <w:szCs w:val="22"/>
        </w:rPr>
        <w:t>provid</w:t>
      </w:r>
      <w:r w:rsidR="00601BE7">
        <w:rPr>
          <w:rFonts w:ascii="Georgia" w:hAnsi="Georgia" w:cs="Arial"/>
          <w:sz w:val="22"/>
          <w:szCs w:val="22"/>
        </w:rPr>
        <w:t>e</w:t>
      </w:r>
      <w:r w:rsidR="00947F45" w:rsidRPr="00947F45">
        <w:rPr>
          <w:rFonts w:ascii="Georgia" w:hAnsi="Georgia" w:cs="Arial"/>
          <w:sz w:val="22"/>
          <w:szCs w:val="22"/>
        </w:rPr>
        <w:t xml:space="preserve"> optional housing services may treat the costs of providing such services as countable expenses for purposes of its Medicaid-only MLR calculation.  </w:t>
      </w:r>
    </w:p>
    <w:p w:rsidR="00601BE7" w:rsidRDefault="00601BE7" w:rsidP="00947F45">
      <w:pPr>
        <w:ind w:left="576" w:right="576"/>
        <w:rPr>
          <w:rFonts w:ascii="Georgia" w:hAnsi="Georgia" w:cs="Arial"/>
          <w:sz w:val="22"/>
          <w:szCs w:val="22"/>
        </w:rPr>
      </w:pPr>
    </w:p>
    <w:p w:rsidR="00947F45" w:rsidRPr="00947F45" w:rsidRDefault="00947F45" w:rsidP="00947F45">
      <w:pPr>
        <w:ind w:left="576" w:right="576"/>
        <w:rPr>
          <w:rFonts w:ascii="Georgia" w:hAnsi="Georgia" w:cs="Arial"/>
          <w:sz w:val="22"/>
          <w:szCs w:val="22"/>
        </w:rPr>
      </w:pPr>
      <w:r w:rsidRPr="00947F45">
        <w:rPr>
          <w:rFonts w:ascii="Georgia" w:hAnsi="Georgia" w:cs="Arial"/>
          <w:sz w:val="22"/>
          <w:szCs w:val="22"/>
        </w:rPr>
        <w:t>Such housing</w:t>
      </w:r>
      <w:r w:rsidR="00240E14">
        <w:rPr>
          <w:rFonts w:ascii="Georgia" w:hAnsi="Georgia" w:cs="Arial"/>
          <w:sz w:val="22"/>
          <w:szCs w:val="22"/>
        </w:rPr>
        <w:t>-</w:t>
      </w:r>
      <w:r w:rsidRPr="00947F45">
        <w:rPr>
          <w:rFonts w:ascii="Georgia" w:hAnsi="Georgia" w:cs="Arial"/>
          <w:sz w:val="22"/>
          <w:szCs w:val="22"/>
        </w:rPr>
        <w:t>related services may include</w:t>
      </w:r>
      <w:r w:rsidR="00601BE7">
        <w:rPr>
          <w:rFonts w:ascii="Georgia" w:hAnsi="Georgia" w:cs="Arial"/>
          <w:sz w:val="22"/>
          <w:szCs w:val="22"/>
        </w:rPr>
        <w:t xml:space="preserve"> the following</w:t>
      </w:r>
      <w:r w:rsidR="00474B28">
        <w:rPr>
          <w:rFonts w:ascii="Georgia" w:hAnsi="Georgia" w:cs="Arial"/>
          <w:sz w:val="22"/>
          <w:szCs w:val="22"/>
        </w:rPr>
        <w:t>.</w:t>
      </w:r>
    </w:p>
    <w:p w:rsidR="00947F45" w:rsidRPr="00947F45" w:rsidRDefault="00947F45" w:rsidP="00947F45">
      <w:pPr>
        <w:ind w:left="576" w:right="576"/>
        <w:rPr>
          <w:rFonts w:ascii="Georgia" w:hAnsi="Georgia" w:cs="Arial"/>
          <w:sz w:val="22"/>
          <w:szCs w:val="22"/>
        </w:rPr>
      </w:pPr>
    </w:p>
    <w:p w:rsidR="00947F45" w:rsidRDefault="00947F45" w:rsidP="00C42996">
      <w:pPr>
        <w:ind w:left="1152" w:right="576"/>
        <w:rPr>
          <w:rFonts w:ascii="Georgia" w:hAnsi="Georgia" w:cs="Arial"/>
          <w:sz w:val="22"/>
          <w:szCs w:val="22"/>
        </w:rPr>
      </w:pPr>
      <w:r w:rsidRPr="00947F45">
        <w:rPr>
          <w:rFonts w:ascii="Georgia" w:hAnsi="Georgia" w:cs="Arial"/>
          <w:sz w:val="22"/>
          <w:szCs w:val="22"/>
        </w:rPr>
        <w:t>•</w:t>
      </w:r>
      <w:r w:rsidRPr="00947F45">
        <w:rPr>
          <w:rFonts w:ascii="Georgia" w:hAnsi="Georgia" w:cs="Arial"/>
          <w:sz w:val="22"/>
          <w:szCs w:val="22"/>
        </w:rPr>
        <w:tab/>
      </w:r>
      <w:r w:rsidRPr="00BF51AA">
        <w:rPr>
          <w:rFonts w:ascii="Georgia" w:hAnsi="Georgia" w:cs="Arial"/>
          <w:b/>
          <w:sz w:val="22"/>
          <w:szCs w:val="22"/>
        </w:rPr>
        <w:t>Assisting a member with housing search activities</w:t>
      </w:r>
      <w:r w:rsidRPr="00947F45">
        <w:rPr>
          <w:rFonts w:ascii="Georgia" w:hAnsi="Georgia" w:cs="Arial"/>
          <w:sz w:val="22"/>
          <w:szCs w:val="22"/>
        </w:rPr>
        <w:t>. These activities could include such things as helping member</w:t>
      </w:r>
      <w:r w:rsidR="00474B28">
        <w:rPr>
          <w:rFonts w:ascii="Georgia" w:hAnsi="Georgia" w:cs="Arial"/>
          <w:sz w:val="22"/>
          <w:szCs w:val="22"/>
        </w:rPr>
        <w:t>s</w:t>
      </w:r>
      <w:r w:rsidRPr="00947F45">
        <w:rPr>
          <w:rFonts w:ascii="Georgia" w:hAnsi="Georgia" w:cs="Arial"/>
          <w:sz w:val="22"/>
          <w:szCs w:val="22"/>
        </w:rPr>
        <w:t xml:space="preserve"> to overcome barriers to housing related to criminal history or errors in their criminal record</w:t>
      </w:r>
      <w:r w:rsidR="00474B28">
        <w:rPr>
          <w:rFonts w:ascii="Georgia" w:hAnsi="Georgia" w:cs="Arial"/>
          <w:sz w:val="22"/>
          <w:szCs w:val="22"/>
        </w:rPr>
        <w:t>;</w:t>
      </w:r>
      <w:r w:rsidR="00474B28" w:rsidRPr="00947F45">
        <w:rPr>
          <w:rFonts w:ascii="Georgia" w:hAnsi="Georgia" w:cs="Arial"/>
          <w:sz w:val="22"/>
          <w:szCs w:val="22"/>
        </w:rPr>
        <w:t xml:space="preserve"> </w:t>
      </w:r>
      <w:r w:rsidR="00592BDA">
        <w:rPr>
          <w:rFonts w:ascii="Georgia" w:hAnsi="Georgia" w:cs="Arial"/>
          <w:sz w:val="22"/>
          <w:szCs w:val="22"/>
        </w:rPr>
        <w:t xml:space="preserve">helping members overcome </w:t>
      </w:r>
      <w:r w:rsidRPr="00947F45">
        <w:rPr>
          <w:rFonts w:ascii="Georgia" w:hAnsi="Georgia" w:cs="Arial"/>
          <w:sz w:val="22"/>
          <w:szCs w:val="22"/>
        </w:rPr>
        <w:t>poor credit and/or housing histories</w:t>
      </w:r>
      <w:r w:rsidR="00474B28">
        <w:rPr>
          <w:rFonts w:ascii="Georgia" w:hAnsi="Georgia" w:cs="Arial"/>
          <w:sz w:val="22"/>
          <w:szCs w:val="22"/>
        </w:rPr>
        <w:t>;</w:t>
      </w:r>
      <w:r w:rsidR="00474B28" w:rsidRPr="00947F45">
        <w:rPr>
          <w:rFonts w:ascii="Georgia" w:hAnsi="Georgia" w:cs="Arial"/>
          <w:sz w:val="22"/>
          <w:szCs w:val="22"/>
        </w:rPr>
        <w:t xml:space="preserve"> </w:t>
      </w:r>
      <w:r w:rsidRPr="00947F45">
        <w:rPr>
          <w:rFonts w:ascii="Georgia" w:hAnsi="Georgia" w:cs="Arial"/>
          <w:sz w:val="22"/>
          <w:szCs w:val="22"/>
        </w:rPr>
        <w:t>securing required documentation</w:t>
      </w:r>
      <w:r w:rsidR="00474B28">
        <w:rPr>
          <w:rFonts w:ascii="Georgia" w:hAnsi="Georgia" w:cs="Arial"/>
          <w:sz w:val="22"/>
          <w:szCs w:val="22"/>
        </w:rPr>
        <w:t>;</w:t>
      </w:r>
      <w:r w:rsidR="00474B28" w:rsidRPr="00947F45">
        <w:rPr>
          <w:rFonts w:ascii="Georgia" w:hAnsi="Georgia" w:cs="Arial"/>
          <w:sz w:val="22"/>
          <w:szCs w:val="22"/>
        </w:rPr>
        <w:t xml:space="preserve"> </w:t>
      </w:r>
      <w:r w:rsidRPr="00947F45">
        <w:rPr>
          <w:rFonts w:ascii="Georgia" w:hAnsi="Georgia" w:cs="Arial"/>
          <w:sz w:val="22"/>
          <w:szCs w:val="22"/>
        </w:rPr>
        <w:t>visiting potential housing units</w:t>
      </w:r>
      <w:r w:rsidR="00474B28">
        <w:rPr>
          <w:rFonts w:ascii="Georgia" w:hAnsi="Georgia" w:cs="Arial"/>
          <w:sz w:val="22"/>
          <w:szCs w:val="22"/>
        </w:rPr>
        <w:t>;</w:t>
      </w:r>
      <w:r w:rsidRPr="00947F45">
        <w:rPr>
          <w:rFonts w:ascii="Georgia" w:hAnsi="Georgia" w:cs="Arial"/>
          <w:sz w:val="22"/>
          <w:szCs w:val="22"/>
        </w:rPr>
        <w:t xml:space="preserve"> and communicating with landlords.</w:t>
      </w:r>
    </w:p>
    <w:p w:rsidR="00DC61C9" w:rsidRDefault="00DC61C9" w:rsidP="00947F45">
      <w:pPr>
        <w:ind w:left="576" w:right="576"/>
        <w:rPr>
          <w:rFonts w:ascii="Georgia" w:hAnsi="Georgia" w:cs="Arial"/>
          <w:sz w:val="22"/>
          <w:szCs w:val="22"/>
        </w:rPr>
      </w:pPr>
    </w:p>
    <w:p w:rsidR="00B07698" w:rsidRDefault="00B07698" w:rsidP="00601BE7">
      <w:pPr>
        <w:tabs>
          <w:tab w:val="left" w:pos="2880"/>
          <w:tab w:val="left" w:pos="10080"/>
        </w:tabs>
        <w:suppressAutoHyphens/>
        <w:spacing w:line="260" w:lineRule="exact"/>
        <w:ind w:left="2880"/>
        <w:jc w:val="right"/>
        <w:rPr>
          <w:rFonts w:ascii="Georgia" w:hAnsi="Georgia" w:cs="Arial"/>
          <w:i/>
          <w:sz w:val="22"/>
          <w:szCs w:val="22"/>
        </w:rPr>
      </w:pPr>
    </w:p>
    <w:p w:rsidR="00B07698" w:rsidRDefault="00B07698" w:rsidP="00601BE7">
      <w:pPr>
        <w:tabs>
          <w:tab w:val="left" w:pos="2880"/>
          <w:tab w:val="left" w:pos="10080"/>
        </w:tabs>
        <w:suppressAutoHyphens/>
        <w:spacing w:line="260" w:lineRule="exact"/>
        <w:ind w:left="2880"/>
        <w:jc w:val="right"/>
        <w:rPr>
          <w:rFonts w:ascii="Georgia" w:hAnsi="Georgia" w:cs="Arial"/>
          <w:i/>
          <w:sz w:val="22"/>
          <w:szCs w:val="22"/>
        </w:rPr>
      </w:pPr>
    </w:p>
    <w:p w:rsidR="00601BE7" w:rsidRPr="003F56EC" w:rsidRDefault="00601BE7" w:rsidP="00601BE7">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p w:rsidR="00601BE7" w:rsidRDefault="00601BE7" w:rsidP="00947F45">
      <w:pPr>
        <w:ind w:left="576" w:right="576"/>
        <w:rPr>
          <w:rFonts w:ascii="Georgia" w:hAnsi="Georgia" w:cs="Arial"/>
          <w:sz w:val="22"/>
          <w:szCs w:val="22"/>
        </w:rPr>
      </w:pPr>
    </w:p>
    <w:p w:rsidR="007D1E59" w:rsidRDefault="007D1E59" w:rsidP="00601BE7">
      <w:pPr>
        <w:pStyle w:val="Heading1"/>
        <w:tabs>
          <w:tab w:val="clear" w:pos="6426"/>
          <w:tab w:val="left" w:pos="5760"/>
        </w:tabs>
        <w:ind w:left="5040"/>
        <w:rPr>
          <w:rFonts w:ascii="Georgia" w:hAnsi="Georgia" w:cs="Arial"/>
          <w:color w:val="1F497D"/>
          <w:szCs w:val="22"/>
        </w:rPr>
      </w:pPr>
    </w:p>
    <w:p w:rsidR="00601BE7" w:rsidRPr="001433E7" w:rsidRDefault="00601BE7" w:rsidP="00601BE7">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601BE7" w:rsidRPr="001433E7" w:rsidRDefault="007B7CB7" w:rsidP="00601BE7">
      <w:pPr>
        <w:pStyle w:val="Heading1"/>
        <w:tabs>
          <w:tab w:val="clear" w:pos="6426"/>
          <w:tab w:val="left" w:pos="5760"/>
        </w:tabs>
        <w:ind w:left="5040"/>
        <w:rPr>
          <w:rFonts w:ascii="Georgia" w:hAnsi="Georgia" w:cs="Arial"/>
          <w:color w:val="1F497D"/>
          <w:szCs w:val="22"/>
        </w:rPr>
      </w:pPr>
      <w:r w:rsidRPr="007B7CB7">
        <w:rPr>
          <w:rFonts w:ascii="Georgia" w:hAnsi="Georgia" w:cs="Arial"/>
          <w:color w:val="1F497D"/>
          <w:szCs w:val="22"/>
        </w:rPr>
        <w:t>Managed Care Entity</w:t>
      </w:r>
      <w:r w:rsidR="00FD1A55">
        <w:rPr>
          <w:rFonts w:ascii="Georgia" w:hAnsi="Georgia" w:cs="Arial"/>
          <w:color w:val="1F497D"/>
          <w:szCs w:val="22"/>
        </w:rPr>
        <w:t xml:space="preserve"> Bulletin 8</w:t>
      </w:r>
    </w:p>
    <w:p w:rsidR="00601BE7" w:rsidRPr="001433E7" w:rsidRDefault="00457189" w:rsidP="00601BE7">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July</w:t>
      </w:r>
      <w:r w:rsidR="007B7CB7" w:rsidRPr="007B7CB7">
        <w:rPr>
          <w:rFonts w:ascii="Georgia" w:hAnsi="Georgia" w:cs="Arial"/>
          <w:color w:val="1F497D"/>
          <w:szCs w:val="22"/>
        </w:rPr>
        <w:t xml:space="preserve"> 2018</w:t>
      </w:r>
    </w:p>
    <w:p w:rsidR="00601BE7" w:rsidRPr="001433E7" w:rsidRDefault="00601BE7" w:rsidP="00601BE7">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6D4406">
        <w:rPr>
          <w:rFonts w:ascii="Georgia" w:hAnsi="Georgia" w:cs="Arial"/>
          <w:noProof/>
          <w:color w:val="1F497D"/>
          <w:szCs w:val="22"/>
        </w:rPr>
        <w:t>2</w:t>
      </w:r>
      <w:r w:rsidRPr="001433E7">
        <w:rPr>
          <w:rFonts w:ascii="Georgia" w:hAnsi="Georgia" w:cs="Arial"/>
          <w:color w:val="1F497D"/>
          <w:szCs w:val="22"/>
        </w:rPr>
        <w:fldChar w:fldCharType="end"/>
      </w:r>
    </w:p>
    <w:p w:rsidR="00601BE7" w:rsidRDefault="00601BE7" w:rsidP="00601BE7">
      <w:pPr>
        <w:ind w:left="576" w:right="576"/>
        <w:rPr>
          <w:rFonts w:ascii="Georgia" w:hAnsi="Georgia" w:cs="Arial"/>
          <w:b/>
          <w:color w:val="1F497D"/>
          <w:sz w:val="24"/>
          <w:szCs w:val="24"/>
        </w:rPr>
      </w:pPr>
    </w:p>
    <w:p w:rsidR="00601BE7" w:rsidRDefault="00687543" w:rsidP="00601BE7">
      <w:pPr>
        <w:ind w:left="576" w:right="576"/>
        <w:rPr>
          <w:rFonts w:ascii="Georgia" w:hAnsi="Georgia" w:cs="Arial"/>
          <w:sz w:val="22"/>
          <w:szCs w:val="22"/>
        </w:rPr>
      </w:pPr>
      <w:r>
        <w:rPr>
          <w:rFonts w:ascii="Georgia" w:hAnsi="Georgia" w:cs="Arial"/>
          <w:b/>
          <w:color w:val="1F497D"/>
          <w:sz w:val="24"/>
          <w:szCs w:val="24"/>
        </w:rPr>
        <w:t>Housing-</w:t>
      </w:r>
      <w:r w:rsidR="00601BE7" w:rsidRPr="00947F45">
        <w:rPr>
          <w:rFonts w:ascii="Georgia" w:hAnsi="Georgia" w:cs="Arial"/>
          <w:b/>
          <w:color w:val="1F497D"/>
          <w:sz w:val="24"/>
          <w:szCs w:val="24"/>
        </w:rPr>
        <w:t>Related Activities and the MLR: Guidance for SCO plan</w:t>
      </w:r>
      <w:r w:rsidR="00601BE7">
        <w:rPr>
          <w:rFonts w:ascii="Georgia" w:hAnsi="Georgia" w:cs="Arial"/>
          <w:b/>
          <w:color w:val="1F497D"/>
          <w:sz w:val="24"/>
          <w:szCs w:val="24"/>
        </w:rPr>
        <w:t xml:space="preserve">s </w:t>
      </w:r>
      <w:r w:rsidR="00601BE7" w:rsidRPr="00947F45">
        <w:rPr>
          <w:rFonts w:ascii="Georgia" w:hAnsi="Georgia" w:cs="Arial"/>
          <w:b/>
          <w:i/>
          <w:color w:val="1F497D"/>
          <w:sz w:val="24"/>
          <w:szCs w:val="24"/>
        </w:rPr>
        <w:t>(cont.)</w:t>
      </w:r>
    </w:p>
    <w:p w:rsidR="00601BE7" w:rsidRPr="00947F45" w:rsidRDefault="00601BE7" w:rsidP="00947F45">
      <w:pPr>
        <w:ind w:left="576" w:right="576"/>
        <w:rPr>
          <w:rFonts w:ascii="Georgia" w:hAnsi="Georgia" w:cs="Arial"/>
          <w:sz w:val="22"/>
          <w:szCs w:val="22"/>
        </w:rPr>
      </w:pPr>
    </w:p>
    <w:p w:rsidR="00947F45" w:rsidRDefault="00947F45" w:rsidP="00C42996">
      <w:pPr>
        <w:ind w:left="1152" w:right="576"/>
        <w:rPr>
          <w:rFonts w:ascii="Georgia" w:hAnsi="Georgia" w:cs="Arial"/>
          <w:sz w:val="22"/>
          <w:szCs w:val="22"/>
        </w:rPr>
      </w:pPr>
      <w:r w:rsidRPr="00947F45">
        <w:rPr>
          <w:rFonts w:ascii="Georgia" w:hAnsi="Georgia" w:cs="Arial"/>
          <w:sz w:val="22"/>
          <w:szCs w:val="22"/>
        </w:rPr>
        <w:t>•</w:t>
      </w:r>
      <w:r w:rsidRPr="00947F45">
        <w:rPr>
          <w:rFonts w:ascii="Georgia" w:hAnsi="Georgia" w:cs="Arial"/>
          <w:sz w:val="22"/>
          <w:szCs w:val="22"/>
        </w:rPr>
        <w:tab/>
      </w:r>
      <w:r w:rsidRPr="00C42996">
        <w:rPr>
          <w:rFonts w:ascii="Georgia" w:hAnsi="Georgia" w:cs="Arial"/>
          <w:sz w:val="22"/>
          <w:szCs w:val="22"/>
        </w:rPr>
        <w:t>Paying for costs related to a member’s transition into housing from institutionalization or homelessness</w:t>
      </w:r>
      <w:r w:rsidRPr="00947F45">
        <w:rPr>
          <w:rFonts w:ascii="Georgia" w:hAnsi="Georgia" w:cs="Arial"/>
          <w:sz w:val="22"/>
          <w:szCs w:val="22"/>
        </w:rPr>
        <w:t>. These costs could include such things as first month’s rent</w:t>
      </w:r>
      <w:r w:rsidR="00474B28">
        <w:rPr>
          <w:rFonts w:ascii="Georgia" w:hAnsi="Georgia" w:cs="Arial"/>
          <w:sz w:val="22"/>
          <w:szCs w:val="22"/>
        </w:rPr>
        <w:t xml:space="preserve"> or</w:t>
      </w:r>
      <w:r w:rsidRPr="00947F45">
        <w:rPr>
          <w:rFonts w:ascii="Georgia" w:hAnsi="Georgia" w:cs="Arial"/>
          <w:sz w:val="22"/>
          <w:szCs w:val="22"/>
        </w:rPr>
        <w:t xml:space="preserve"> security deposit</w:t>
      </w:r>
      <w:r w:rsidR="00474B28">
        <w:rPr>
          <w:rFonts w:ascii="Georgia" w:hAnsi="Georgia" w:cs="Arial"/>
          <w:sz w:val="22"/>
          <w:szCs w:val="22"/>
        </w:rPr>
        <w:t>;</w:t>
      </w:r>
      <w:r w:rsidR="00474B28" w:rsidRPr="00947F45">
        <w:rPr>
          <w:rFonts w:ascii="Georgia" w:hAnsi="Georgia" w:cs="Arial"/>
          <w:sz w:val="22"/>
          <w:szCs w:val="22"/>
        </w:rPr>
        <w:t xml:space="preserve"> </w:t>
      </w:r>
      <w:r w:rsidRPr="00947F45">
        <w:rPr>
          <w:rFonts w:ascii="Georgia" w:hAnsi="Georgia" w:cs="Arial"/>
          <w:sz w:val="22"/>
          <w:szCs w:val="22"/>
        </w:rPr>
        <w:t>costs for filing applications and obtaining and correcting needed documentation</w:t>
      </w:r>
      <w:r w:rsidR="00474B28">
        <w:rPr>
          <w:rFonts w:ascii="Georgia" w:hAnsi="Georgia" w:cs="Arial"/>
          <w:sz w:val="22"/>
          <w:szCs w:val="22"/>
        </w:rPr>
        <w:t>;</w:t>
      </w:r>
      <w:r w:rsidR="00474B28" w:rsidRPr="00947F45">
        <w:rPr>
          <w:rFonts w:ascii="Georgia" w:hAnsi="Georgia" w:cs="Arial"/>
          <w:sz w:val="22"/>
          <w:szCs w:val="22"/>
        </w:rPr>
        <w:t xml:space="preserve"> </w:t>
      </w:r>
      <w:r w:rsidRPr="00947F45">
        <w:rPr>
          <w:rFonts w:ascii="Georgia" w:hAnsi="Georgia" w:cs="Arial"/>
          <w:sz w:val="22"/>
          <w:szCs w:val="22"/>
        </w:rPr>
        <w:t>and/or purchase of household furnishings needed to establish community-based tenancy.</w:t>
      </w:r>
    </w:p>
    <w:p w:rsidR="00DC61C9" w:rsidRPr="00947F45" w:rsidRDefault="00DC61C9" w:rsidP="00947F45">
      <w:pPr>
        <w:ind w:left="576" w:right="576"/>
        <w:rPr>
          <w:rFonts w:ascii="Georgia" w:hAnsi="Georgia" w:cs="Arial"/>
          <w:sz w:val="22"/>
          <w:szCs w:val="22"/>
        </w:rPr>
      </w:pPr>
    </w:p>
    <w:p w:rsidR="00947F45" w:rsidRDefault="00947F45" w:rsidP="00C42996">
      <w:pPr>
        <w:ind w:left="1152" w:right="576"/>
        <w:rPr>
          <w:rFonts w:ascii="Georgia" w:hAnsi="Georgia" w:cs="Arial"/>
          <w:sz w:val="22"/>
          <w:szCs w:val="22"/>
        </w:rPr>
      </w:pPr>
      <w:r w:rsidRPr="00947F45">
        <w:rPr>
          <w:rFonts w:ascii="Georgia" w:hAnsi="Georgia" w:cs="Arial"/>
          <w:sz w:val="22"/>
          <w:szCs w:val="22"/>
        </w:rPr>
        <w:t>•</w:t>
      </w:r>
      <w:r w:rsidRPr="00947F45">
        <w:rPr>
          <w:rFonts w:ascii="Georgia" w:hAnsi="Georgia" w:cs="Arial"/>
          <w:sz w:val="22"/>
          <w:szCs w:val="22"/>
        </w:rPr>
        <w:tab/>
      </w:r>
      <w:r w:rsidRPr="00C42996">
        <w:rPr>
          <w:rFonts w:ascii="Georgia" w:hAnsi="Georgia" w:cs="Arial"/>
          <w:sz w:val="22"/>
          <w:szCs w:val="22"/>
        </w:rPr>
        <w:t>Ensuring a member’s housing stability</w:t>
      </w:r>
      <w:r w:rsidRPr="00947F45">
        <w:rPr>
          <w:rFonts w:ascii="Georgia" w:hAnsi="Georgia" w:cs="Arial"/>
          <w:sz w:val="22"/>
          <w:szCs w:val="22"/>
        </w:rPr>
        <w:t>. This could include activities such as helping to apply for benefits</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assisting with the housing recertification process</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educating and training the member on how to be a responsible tenant</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educating the member on money management and budgeting</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assisting the member in resolving disputes with landlords and other tenants</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and communicating and coordinating with onsite housing staff to identify and intervene when a member’s behavior may jeopardize housing. This could also include the use and implementation of proven housing-related Evidenced Based Practices to support members to maintain tenancy.</w:t>
      </w:r>
    </w:p>
    <w:p w:rsidR="00DC61C9" w:rsidRPr="00947F45" w:rsidRDefault="00DC61C9" w:rsidP="00947F45">
      <w:pPr>
        <w:ind w:left="576" w:right="576"/>
        <w:rPr>
          <w:rFonts w:ascii="Georgia" w:hAnsi="Georgia" w:cs="Arial"/>
          <w:sz w:val="22"/>
          <w:szCs w:val="22"/>
        </w:rPr>
      </w:pPr>
    </w:p>
    <w:p w:rsidR="00947F45" w:rsidRDefault="00947F45" w:rsidP="00C42996">
      <w:pPr>
        <w:ind w:left="1152" w:right="576"/>
        <w:rPr>
          <w:rFonts w:ascii="Georgia" w:hAnsi="Georgia" w:cs="Arial"/>
          <w:sz w:val="22"/>
          <w:szCs w:val="22"/>
        </w:rPr>
      </w:pPr>
      <w:r w:rsidRPr="00947F45">
        <w:rPr>
          <w:rFonts w:ascii="Georgia" w:hAnsi="Georgia" w:cs="Arial"/>
          <w:sz w:val="22"/>
          <w:szCs w:val="22"/>
        </w:rPr>
        <w:t>•</w:t>
      </w:r>
      <w:r w:rsidRPr="00947F45">
        <w:rPr>
          <w:rFonts w:ascii="Georgia" w:hAnsi="Georgia" w:cs="Arial"/>
          <w:sz w:val="22"/>
          <w:szCs w:val="22"/>
        </w:rPr>
        <w:tab/>
      </w:r>
      <w:r w:rsidRPr="00C42996">
        <w:rPr>
          <w:rFonts w:ascii="Georgia" w:hAnsi="Georgia" w:cs="Arial"/>
          <w:sz w:val="22"/>
          <w:szCs w:val="22"/>
        </w:rPr>
        <w:t>Home modifications for a member to obtain or maintain housing</w:t>
      </w:r>
      <w:r w:rsidR="00E51FEB" w:rsidRPr="00C42996">
        <w:rPr>
          <w:rFonts w:ascii="Georgia" w:hAnsi="Georgia" w:cs="Arial"/>
          <w:sz w:val="22"/>
          <w:szCs w:val="22"/>
        </w:rPr>
        <w:t xml:space="preserve"> or l</w:t>
      </w:r>
      <w:r w:rsidRPr="00C42996">
        <w:rPr>
          <w:rFonts w:ascii="Georgia" w:hAnsi="Georgia" w:cs="Arial"/>
          <w:sz w:val="22"/>
          <w:szCs w:val="22"/>
        </w:rPr>
        <w:t>imited physical adaptations to the member’s community-based dwelling, when necessary to ensure the member’s health, welfare, and safety, or to enable the member to function independently in a community-based setting</w:t>
      </w:r>
      <w:r w:rsidRPr="00947F45">
        <w:rPr>
          <w:rFonts w:ascii="Georgia" w:hAnsi="Georgia" w:cs="Arial"/>
          <w:sz w:val="22"/>
          <w:szCs w:val="22"/>
        </w:rPr>
        <w:t>. This could include costs related to such things as</w:t>
      </w:r>
      <w:r w:rsidR="00E51FEB">
        <w:rPr>
          <w:rFonts w:ascii="Georgia" w:hAnsi="Georgia" w:cs="Arial"/>
          <w:sz w:val="22"/>
          <w:szCs w:val="22"/>
        </w:rPr>
        <w:t xml:space="preserve"> the</w:t>
      </w:r>
      <w:r w:rsidRPr="00947F45">
        <w:rPr>
          <w:rFonts w:ascii="Georgia" w:hAnsi="Georgia" w:cs="Arial"/>
          <w:sz w:val="22"/>
          <w:szCs w:val="22"/>
        </w:rPr>
        <w:t xml:space="preserve"> installation of grab bars and hand showers</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doorway modifications</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in-home environmental risk assessments</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refrigerators for medicine such as insulin</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HEPA vacuum cleaners</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pest management</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air conditioners</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traction or non-skid strips</w:t>
      </w:r>
      <w:r w:rsidR="00E51FEB">
        <w:rPr>
          <w:rFonts w:ascii="Georgia" w:hAnsi="Georgia" w:cs="Arial"/>
          <w:sz w:val="22"/>
          <w:szCs w:val="22"/>
        </w:rPr>
        <w:t>;</w:t>
      </w:r>
      <w:r w:rsidR="00E51FEB" w:rsidRPr="00947F45">
        <w:rPr>
          <w:rFonts w:ascii="Georgia" w:hAnsi="Georgia" w:cs="Arial"/>
          <w:sz w:val="22"/>
          <w:szCs w:val="22"/>
        </w:rPr>
        <w:t xml:space="preserve"> </w:t>
      </w:r>
      <w:r w:rsidRPr="00947F45">
        <w:rPr>
          <w:rFonts w:ascii="Georgia" w:hAnsi="Georgia" w:cs="Arial"/>
          <w:sz w:val="22"/>
          <w:szCs w:val="22"/>
        </w:rPr>
        <w:t xml:space="preserve">and night lights. </w:t>
      </w:r>
    </w:p>
    <w:p w:rsidR="00DC61C9" w:rsidRPr="00947F45" w:rsidRDefault="00DC61C9" w:rsidP="00947F45">
      <w:pPr>
        <w:ind w:left="576" w:right="576"/>
        <w:rPr>
          <w:rFonts w:ascii="Georgia" w:hAnsi="Georgia" w:cs="Arial"/>
          <w:sz w:val="22"/>
          <w:szCs w:val="22"/>
        </w:rPr>
      </w:pPr>
    </w:p>
    <w:p w:rsidR="00947F45" w:rsidRDefault="00947F45" w:rsidP="00C42996">
      <w:pPr>
        <w:ind w:left="1152" w:right="576"/>
        <w:rPr>
          <w:rFonts w:ascii="Georgia" w:hAnsi="Georgia" w:cs="Arial"/>
          <w:sz w:val="22"/>
          <w:szCs w:val="22"/>
        </w:rPr>
      </w:pPr>
      <w:r w:rsidRPr="00947F45">
        <w:rPr>
          <w:rFonts w:ascii="Georgia" w:hAnsi="Georgia" w:cs="Arial"/>
          <w:sz w:val="22"/>
          <w:szCs w:val="22"/>
        </w:rPr>
        <w:t>•</w:t>
      </w:r>
      <w:r w:rsidRPr="00947F45">
        <w:rPr>
          <w:rFonts w:ascii="Georgia" w:hAnsi="Georgia" w:cs="Arial"/>
          <w:sz w:val="22"/>
          <w:szCs w:val="22"/>
        </w:rPr>
        <w:tab/>
      </w:r>
      <w:r w:rsidRPr="00C42996">
        <w:rPr>
          <w:rFonts w:ascii="Georgia" w:hAnsi="Georgia" w:cs="Arial"/>
          <w:sz w:val="22"/>
          <w:szCs w:val="22"/>
        </w:rPr>
        <w:t>Identifying other community resources to assist members with housing</w:t>
      </w:r>
      <w:r w:rsidRPr="00947F45">
        <w:rPr>
          <w:rFonts w:ascii="Georgia" w:hAnsi="Georgia" w:cs="Arial"/>
          <w:sz w:val="22"/>
          <w:szCs w:val="22"/>
        </w:rPr>
        <w:t>. This may include developing a process to identify outside resources and making referrals for members.</w:t>
      </w:r>
    </w:p>
    <w:p w:rsidR="00DC61C9" w:rsidRPr="00947F45" w:rsidRDefault="00DC61C9" w:rsidP="00947F45">
      <w:pPr>
        <w:ind w:left="576" w:right="576"/>
        <w:rPr>
          <w:rFonts w:ascii="Georgia" w:hAnsi="Georgia" w:cs="Arial"/>
          <w:sz w:val="22"/>
          <w:szCs w:val="22"/>
        </w:rPr>
      </w:pPr>
    </w:p>
    <w:p w:rsidR="00947F45" w:rsidRPr="00165D0F" w:rsidRDefault="00947F45" w:rsidP="00C42996">
      <w:pPr>
        <w:ind w:left="1152" w:right="576"/>
        <w:rPr>
          <w:rFonts w:ascii="Georgia" w:hAnsi="Georgia" w:cs="Arial"/>
          <w:sz w:val="22"/>
          <w:szCs w:val="22"/>
        </w:rPr>
      </w:pPr>
      <w:r w:rsidRPr="00947F45">
        <w:rPr>
          <w:rFonts w:ascii="Georgia" w:hAnsi="Georgia" w:cs="Arial"/>
          <w:sz w:val="22"/>
          <w:szCs w:val="22"/>
        </w:rPr>
        <w:t>•</w:t>
      </w:r>
      <w:r w:rsidRPr="00947F45">
        <w:rPr>
          <w:rFonts w:ascii="Georgia" w:hAnsi="Georgia" w:cs="Arial"/>
          <w:sz w:val="22"/>
          <w:szCs w:val="22"/>
        </w:rPr>
        <w:tab/>
      </w:r>
      <w:r w:rsidRPr="00C42996">
        <w:rPr>
          <w:rFonts w:ascii="Georgia" w:hAnsi="Georgia" w:cs="Arial"/>
          <w:sz w:val="22"/>
          <w:szCs w:val="22"/>
        </w:rPr>
        <w:t>Supporting staff embedded onsite at housing properties to provide nonduplicative services to residents</w:t>
      </w:r>
      <w:r w:rsidRPr="00947F45">
        <w:rPr>
          <w:rFonts w:ascii="Georgia" w:hAnsi="Georgia" w:cs="Arial"/>
          <w:sz w:val="22"/>
          <w:szCs w:val="22"/>
        </w:rPr>
        <w:t>. This could include funding for housing staff located onsite in senior housing properties that provide resident service coordination</w:t>
      </w:r>
      <w:r w:rsidR="00364D12">
        <w:rPr>
          <w:rFonts w:ascii="Georgia" w:hAnsi="Georgia" w:cs="Arial"/>
          <w:sz w:val="22"/>
          <w:szCs w:val="22"/>
        </w:rPr>
        <w:t xml:space="preserve">; </w:t>
      </w:r>
      <w:r w:rsidRPr="00947F45">
        <w:rPr>
          <w:rFonts w:ascii="Georgia" w:hAnsi="Georgia" w:cs="Arial"/>
          <w:sz w:val="22"/>
          <w:szCs w:val="22"/>
        </w:rPr>
        <w:t>wellness programming activities</w:t>
      </w:r>
      <w:r w:rsidR="00E51FEB">
        <w:rPr>
          <w:rFonts w:ascii="Georgia" w:hAnsi="Georgia" w:cs="Arial"/>
          <w:sz w:val="22"/>
          <w:szCs w:val="22"/>
        </w:rPr>
        <w:t>;</w:t>
      </w:r>
      <w:r w:rsidR="00E51FEB" w:rsidRPr="00947F45">
        <w:rPr>
          <w:rFonts w:ascii="Georgia" w:hAnsi="Georgia" w:cs="Arial"/>
          <w:sz w:val="22"/>
          <w:szCs w:val="22"/>
        </w:rPr>
        <w:t xml:space="preserve"> </w:t>
      </w:r>
      <w:r w:rsidR="00E51FEB">
        <w:rPr>
          <w:rFonts w:ascii="Georgia" w:hAnsi="Georgia" w:cs="Arial"/>
          <w:sz w:val="22"/>
          <w:szCs w:val="22"/>
        </w:rPr>
        <w:t xml:space="preserve">or providing </w:t>
      </w:r>
      <w:r w:rsidRPr="00947F45">
        <w:rPr>
          <w:rFonts w:ascii="Georgia" w:hAnsi="Georgia" w:cs="Arial"/>
          <w:sz w:val="22"/>
          <w:szCs w:val="22"/>
        </w:rPr>
        <w:t>medical support</w:t>
      </w:r>
      <w:r w:rsidR="00E51FEB">
        <w:rPr>
          <w:rFonts w:ascii="Georgia" w:hAnsi="Georgia" w:cs="Arial"/>
          <w:sz w:val="22"/>
          <w:szCs w:val="22"/>
        </w:rPr>
        <w:t>,</w:t>
      </w:r>
      <w:r w:rsidRPr="00947F45">
        <w:rPr>
          <w:rFonts w:ascii="Georgia" w:hAnsi="Georgia" w:cs="Arial"/>
          <w:sz w:val="22"/>
          <w:szCs w:val="22"/>
        </w:rPr>
        <w:t xml:space="preserve"> such as through a nurse or social worker.</w:t>
      </w:r>
    </w:p>
    <w:p w:rsidR="00165D0F" w:rsidRPr="00165D0F" w:rsidRDefault="00165D0F" w:rsidP="00287894">
      <w:pPr>
        <w:ind w:left="576" w:right="576"/>
        <w:rPr>
          <w:rFonts w:ascii="Georgia" w:hAnsi="Georgia" w:cs="Arial"/>
          <w:sz w:val="22"/>
          <w:szCs w:val="22"/>
        </w:rPr>
      </w:pPr>
    </w:p>
    <w:p w:rsidR="003904A6" w:rsidRPr="00A27473" w:rsidRDefault="003904A6" w:rsidP="00C42996">
      <w:pPr>
        <w:tabs>
          <w:tab w:val="left" w:pos="10080"/>
        </w:tabs>
        <w:suppressAutoHyphens/>
        <w:spacing w:after="120" w:line="24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3904A6" w:rsidRPr="00A27473" w:rsidRDefault="003904A6" w:rsidP="00364D12">
      <w:pPr>
        <w:widowControl w:val="0"/>
        <w:spacing w:line="240" w:lineRule="exact"/>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1"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3904A6" w:rsidRDefault="003904A6" w:rsidP="00364D12">
      <w:pPr>
        <w:widowControl w:val="0"/>
        <w:spacing w:line="240" w:lineRule="exact"/>
        <w:ind w:left="576"/>
        <w:rPr>
          <w:rFonts w:ascii="Arial" w:hAnsi="Arial" w:cs="Arial"/>
          <w:sz w:val="22"/>
        </w:rPr>
      </w:pPr>
    </w:p>
    <w:p w:rsidR="003904A6" w:rsidRPr="00283142" w:rsidRDefault="003904A6" w:rsidP="00364D12">
      <w:pPr>
        <w:spacing w:line="240" w:lineRule="exact"/>
        <w:ind w:left="576"/>
        <w:rPr>
          <w:rFonts w:ascii="Georgia" w:hAnsi="Georgia" w:cs="Arial"/>
          <w:sz w:val="22"/>
          <w:szCs w:val="22"/>
        </w:rPr>
      </w:pPr>
      <w:r w:rsidRPr="00283142">
        <w:rPr>
          <w:rFonts w:ascii="Georgia" w:hAnsi="Georgia" w:cs="Arial"/>
          <w:sz w:val="22"/>
          <w:szCs w:val="22"/>
        </w:rPr>
        <w:t xml:space="preserve">To </w:t>
      </w:r>
      <w:r w:rsidRPr="00C42996">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2"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Default="00772D2E" w:rsidP="00364D12">
      <w:pPr>
        <w:spacing w:line="240" w:lineRule="exact"/>
        <w:ind w:left="576" w:right="576"/>
        <w:rPr>
          <w:rFonts w:ascii="Georgia" w:hAnsi="Georgia" w:cs="Arial"/>
          <w:sz w:val="22"/>
          <w:szCs w:val="22"/>
        </w:rPr>
      </w:pPr>
    </w:p>
    <w:p w:rsidR="00836D22" w:rsidRDefault="009E0CA2" w:rsidP="00914E01">
      <w:pPr>
        <w:spacing w:after="120" w:line="240" w:lineRule="exact"/>
        <w:ind w:left="3456" w:right="576" w:hanging="2880"/>
        <w:rPr>
          <w:rFonts w:ascii="Georgia" w:hAnsi="Georgia" w:cs="Arial"/>
          <w:sz w:val="22"/>
          <w:szCs w:val="22"/>
        </w:rPr>
      </w:pPr>
      <w:r>
        <w:rPr>
          <w:rFonts w:ascii="Georgia" w:hAnsi="Georgia" w:cs="Arial"/>
          <w:b/>
          <w:color w:val="1F497D"/>
          <w:sz w:val="24"/>
          <w:szCs w:val="24"/>
        </w:rPr>
        <w:t>Q</w:t>
      </w:r>
      <w:r w:rsidR="00836D22" w:rsidRPr="00C66371">
        <w:rPr>
          <w:rFonts w:ascii="Georgia" w:hAnsi="Georgia" w:cs="Arial"/>
          <w:b/>
          <w:color w:val="1F497D"/>
          <w:sz w:val="24"/>
          <w:szCs w:val="24"/>
        </w:rPr>
        <w:t>uestions</w:t>
      </w:r>
    </w:p>
    <w:p w:rsidR="00D65B5E" w:rsidRPr="003F56EC" w:rsidRDefault="00836D22" w:rsidP="00364D12">
      <w:pPr>
        <w:spacing w:line="240" w:lineRule="exact"/>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Pr="001B792F">
        <w:rPr>
          <w:rFonts w:ascii="Georgia" w:hAnsi="Georgia" w:cs="Arial"/>
          <w:sz w:val="22"/>
          <w:szCs w:val="22"/>
        </w:rPr>
        <w:t xml:space="preserve"> at 1-800-841-2900,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3"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or fax your inquiry to 617</w:t>
      </w:r>
      <w:r w:rsidRPr="001B792F">
        <w:rPr>
          <w:rFonts w:ascii="Georgia" w:hAnsi="Georgia" w:cs="Arial"/>
          <w:sz w:val="22"/>
          <w:szCs w:val="22"/>
        </w:rPr>
        <w:noBreakHyphen/>
        <w:t>988</w:t>
      </w:r>
      <w:r w:rsidRPr="001B792F">
        <w:rPr>
          <w:rFonts w:ascii="Georgia" w:hAnsi="Georgia" w:cs="Arial"/>
          <w:sz w:val="22"/>
          <w:szCs w:val="22"/>
        </w:rPr>
        <w:noBreakHyphen/>
        <w:t>8974.</w:t>
      </w:r>
    </w:p>
    <w:sectPr w:rsidR="00D65B5E" w:rsidRPr="003F56EC" w:rsidSect="005C64CA">
      <w:headerReference w:type="default" r:id="rId14"/>
      <w:type w:val="continuous"/>
      <w:pgSz w:w="12240" w:h="15840" w:code="1"/>
      <w:pgMar w:top="720" w:right="1080" w:bottom="432" w:left="1080" w:header="0" w:footer="45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505" w:rsidRDefault="00DA2505" w:rsidP="00D65B5E">
      <w:r>
        <w:separator/>
      </w:r>
    </w:p>
  </w:endnote>
  <w:endnote w:type="continuationSeparator" w:id="0">
    <w:p w:rsidR="00DA2505" w:rsidRDefault="00DA2505"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Pr="005C64CA"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5C64CA">
      <w:rPr>
        <w:rStyle w:val="Hyperlink"/>
        <w:rFonts w:ascii="Bookman Old Style" w:hAnsi="Bookman Old Style"/>
        <w:i/>
        <w:color w:val="auto"/>
        <w:u w:val="none"/>
      </w:rPr>
      <w:t xml:space="preserve">Follow us on Twitter </w:t>
    </w:r>
    <w:hyperlink r:id="rId1" w:history="1">
      <w:r w:rsidRPr="005C64CA">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505" w:rsidRDefault="00DA2505" w:rsidP="00D65B5E">
      <w:r>
        <w:separator/>
      </w:r>
    </w:p>
  </w:footnote>
  <w:footnote w:type="continuationSeparator" w:id="0">
    <w:p w:rsidR="00DA2505" w:rsidRDefault="00DA2505"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39B4"/>
    <w:rsid w:val="00046D73"/>
    <w:rsid w:val="00051A74"/>
    <w:rsid w:val="00051CB0"/>
    <w:rsid w:val="0005607C"/>
    <w:rsid w:val="000561F1"/>
    <w:rsid w:val="00081D68"/>
    <w:rsid w:val="0008203E"/>
    <w:rsid w:val="000A0245"/>
    <w:rsid w:val="000A0662"/>
    <w:rsid w:val="000B6C3A"/>
    <w:rsid w:val="000C085A"/>
    <w:rsid w:val="000F3698"/>
    <w:rsid w:val="000F5EDD"/>
    <w:rsid w:val="00104000"/>
    <w:rsid w:val="0010460D"/>
    <w:rsid w:val="001100D4"/>
    <w:rsid w:val="00122FC2"/>
    <w:rsid w:val="001341D1"/>
    <w:rsid w:val="001433E7"/>
    <w:rsid w:val="00144477"/>
    <w:rsid w:val="0015177D"/>
    <w:rsid w:val="00153CFF"/>
    <w:rsid w:val="00163194"/>
    <w:rsid w:val="00165D0F"/>
    <w:rsid w:val="00173613"/>
    <w:rsid w:val="0019295A"/>
    <w:rsid w:val="001954D2"/>
    <w:rsid w:val="0019652F"/>
    <w:rsid w:val="001A369C"/>
    <w:rsid w:val="001B792F"/>
    <w:rsid w:val="001D63E2"/>
    <w:rsid w:val="00200097"/>
    <w:rsid w:val="00204BAE"/>
    <w:rsid w:val="00240E14"/>
    <w:rsid w:val="00241C06"/>
    <w:rsid w:val="00253ED3"/>
    <w:rsid w:val="00277E30"/>
    <w:rsid w:val="00286E7B"/>
    <w:rsid w:val="00287894"/>
    <w:rsid w:val="002B3CFE"/>
    <w:rsid w:val="002B5624"/>
    <w:rsid w:val="002B5B63"/>
    <w:rsid w:val="002C4BD7"/>
    <w:rsid w:val="002F0836"/>
    <w:rsid w:val="00300B78"/>
    <w:rsid w:val="003056C3"/>
    <w:rsid w:val="00331AAC"/>
    <w:rsid w:val="003456F5"/>
    <w:rsid w:val="00346BC5"/>
    <w:rsid w:val="00346CA3"/>
    <w:rsid w:val="003528DF"/>
    <w:rsid w:val="00355078"/>
    <w:rsid w:val="0035533A"/>
    <w:rsid w:val="003560CD"/>
    <w:rsid w:val="00364D12"/>
    <w:rsid w:val="00367D15"/>
    <w:rsid w:val="00376B20"/>
    <w:rsid w:val="00386528"/>
    <w:rsid w:val="003904A6"/>
    <w:rsid w:val="00392917"/>
    <w:rsid w:val="00396FB3"/>
    <w:rsid w:val="003A0EBE"/>
    <w:rsid w:val="003A1405"/>
    <w:rsid w:val="003A2475"/>
    <w:rsid w:val="003B0AD6"/>
    <w:rsid w:val="003B3AED"/>
    <w:rsid w:val="003C1569"/>
    <w:rsid w:val="003C68B0"/>
    <w:rsid w:val="003D415C"/>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54919"/>
    <w:rsid w:val="00457189"/>
    <w:rsid w:val="0046223D"/>
    <w:rsid w:val="0046348B"/>
    <w:rsid w:val="00472BF9"/>
    <w:rsid w:val="00474B28"/>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15A07"/>
    <w:rsid w:val="00530C00"/>
    <w:rsid w:val="00540E00"/>
    <w:rsid w:val="00544D3B"/>
    <w:rsid w:val="005475A4"/>
    <w:rsid w:val="00566F08"/>
    <w:rsid w:val="00590CCB"/>
    <w:rsid w:val="00592BDA"/>
    <w:rsid w:val="005A5D1C"/>
    <w:rsid w:val="005B1886"/>
    <w:rsid w:val="005B5B80"/>
    <w:rsid w:val="005C0B08"/>
    <w:rsid w:val="005C179E"/>
    <w:rsid w:val="005C64CA"/>
    <w:rsid w:val="005C760F"/>
    <w:rsid w:val="005D1075"/>
    <w:rsid w:val="005D24AD"/>
    <w:rsid w:val="005E124D"/>
    <w:rsid w:val="005E4CC2"/>
    <w:rsid w:val="005F06C2"/>
    <w:rsid w:val="005F4949"/>
    <w:rsid w:val="00600EF8"/>
    <w:rsid w:val="00601BE7"/>
    <w:rsid w:val="00617D15"/>
    <w:rsid w:val="00620A4F"/>
    <w:rsid w:val="00621F13"/>
    <w:rsid w:val="00640A54"/>
    <w:rsid w:val="00656CD5"/>
    <w:rsid w:val="00661476"/>
    <w:rsid w:val="006621A1"/>
    <w:rsid w:val="00684368"/>
    <w:rsid w:val="00687543"/>
    <w:rsid w:val="0069586B"/>
    <w:rsid w:val="00695CC0"/>
    <w:rsid w:val="006A6120"/>
    <w:rsid w:val="006B046C"/>
    <w:rsid w:val="006B22E3"/>
    <w:rsid w:val="006D3F3E"/>
    <w:rsid w:val="006D4406"/>
    <w:rsid w:val="006D63AE"/>
    <w:rsid w:val="006E3443"/>
    <w:rsid w:val="00701802"/>
    <w:rsid w:val="00706585"/>
    <w:rsid w:val="00715ADA"/>
    <w:rsid w:val="00736364"/>
    <w:rsid w:val="00746065"/>
    <w:rsid w:val="0075470C"/>
    <w:rsid w:val="00762517"/>
    <w:rsid w:val="00772D2E"/>
    <w:rsid w:val="00793652"/>
    <w:rsid w:val="007B7CB7"/>
    <w:rsid w:val="007D1E59"/>
    <w:rsid w:val="007D602F"/>
    <w:rsid w:val="007E5047"/>
    <w:rsid w:val="007F085D"/>
    <w:rsid w:val="00814EEC"/>
    <w:rsid w:val="008163A0"/>
    <w:rsid w:val="00817AED"/>
    <w:rsid w:val="008300C9"/>
    <w:rsid w:val="0083595D"/>
    <w:rsid w:val="00836D22"/>
    <w:rsid w:val="00842213"/>
    <w:rsid w:val="00853580"/>
    <w:rsid w:val="008556C1"/>
    <w:rsid w:val="008638E0"/>
    <w:rsid w:val="0087427D"/>
    <w:rsid w:val="00882865"/>
    <w:rsid w:val="00884B8D"/>
    <w:rsid w:val="008A0DD5"/>
    <w:rsid w:val="008A2757"/>
    <w:rsid w:val="008A5E41"/>
    <w:rsid w:val="008B6990"/>
    <w:rsid w:val="008C3BDF"/>
    <w:rsid w:val="0090478E"/>
    <w:rsid w:val="00905BB5"/>
    <w:rsid w:val="0091250B"/>
    <w:rsid w:val="00914E01"/>
    <w:rsid w:val="00930A2B"/>
    <w:rsid w:val="0093403A"/>
    <w:rsid w:val="009478C1"/>
    <w:rsid w:val="00947F45"/>
    <w:rsid w:val="00957B5D"/>
    <w:rsid w:val="00967E33"/>
    <w:rsid w:val="009A494A"/>
    <w:rsid w:val="009A7D2E"/>
    <w:rsid w:val="009C3053"/>
    <w:rsid w:val="009C37D5"/>
    <w:rsid w:val="009D1F5C"/>
    <w:rsid w:val="009E0CA2"/>
    <w:rsid w:val="009E157D"/>
    <w:rsid w:val="00A010D1"/>
    <w:rsid w:val="00A45AAC"/>
    <w:rsid w:val="00A61095"/>
    <w:rsid w:val="00A63B71"/>
    <w:rsid w:val="00A7318D"/>
    <w:rsid w:val="00A7476F"/>
    <w:rsid w:val="00A91FB2"/>
    <w:rsid w:val="00A9437D"/>
    <w:rsid w:val="00A973B4"/>
    <w:rsid w:val="00AA1074"/>
    <w:rsid w:val="00AA5839"/>
    <w:rsid w:val="00AA5EED"/>
    <w:rsid w:val="00AB0550"/>
    <w:rsid w:val="00AB1C1F"/>
    <w:rsid w:val="00AD41AD"/>
    <w:rsid w:val="00AD6B24"/>
    <w:rsid w:val="00AE4810"/>
    <w:rsid w:val="00AF7CB8"/>
    <w:rsid w:val="00B02284"/>
    <w:rsid w:val="00B07698"/>
    <w:rsid w:val="00B23AA2"/>
    <w:rsid w:val="00B35F51"/>
    <w:rsid w:val="00B36452"/>
    <w:rsid w:val="00B441C4"/>
    <w:rsid w:val="00B52456"/>
    <w:rsid w:val="00B61CF5"/>
    <w:rsid w:val="00B85308"/>
    <w:rsid w:val="00B877BE"/>
    <w:rsid w:val="00B93E59"/>
    <w:rsid w:val="00B9734C"/>
    <w:rsid w:val="00B97812"/>
    <w:rsid w:val="00B97DEF"/>
    <w:rsid w:val="00BC0557"/>
    <w:rsid w:val="00BC677C"/>
    <w:rsid w:val="00BE52FC"/>
    <w:rsid w:val="00BF51AA"/>
    <w:rsid w:val="00BF5AA4"/>
    <w:rsid w:val="00C03F85"/>
    <w:rsid w:val="00C26155"/>
    <w:rsid w:val="00C42996"/>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75E5"/>
    <w:rsid w:val="00D34ADE"/>
    <w:rsid w:val="00D416A5"/>
    <w:rsid w:val="00D421CC"/>
    <w:rsid w:val="00D64B09"/>
    <w:rsid w:val="00D657CA"/>
    <w:rsid w:val="00D65B5E"/>
    <w:rsid w:val="00D66920"/>
    <w:rsid w:val="00D7729B"/>
    <w:rsid w:val="00D81DC9"/>
    <w:rsid w:val="00D840C5"/>
    <w:rsid w:val="00D96485"/>
    <w:rsid w:val="00D97760"/>
    <w:rsid w:val="00DA2505"/>
    <w:rsid w:val="00DA2F9E"/>
    <w:rsid w:val="00DA3E13"/>
    <w:rsid w:val="00DB2672"/>
    <w:rsid w:val="00DC292A"/>
    <w:rsid w:val="00DC61C9"/>
    <w:rsid w:val="00DE46E6"/>
    <w:rsid w:val="00E024B7"/>
    <w:rsid w:val="00E26B81"/>
    <w:rsid w:val="00E273F8"/>
    <w:rsid w:val="00E308C6"/>
    <w:rsid w:val="00E3459A"/>
    <w:rsid w:val="00E46BE7"/>
    <w:rsid w:val="00E51FEB"/>
    <w:rsid w:val="00E63572"/>
    <w:rsid w:val="00E715FE"/>
    <w:rsid w:val="00E837E7"/>
    <w:rsid w:val="00E84B1B"/>
    <w:rsid w:val="00EA1D60"/>
    <w:rsid w:val="00EA35AA"/>
    <w:rsid w:val="00EA562B"/>
    <w:rsid w:val="00ED115A"/>
    <w:rsid w:val="00F12C1E"/>
    <w:rsid w:val="00F13BBF"/>
    <w:rsid w:val="00F21012"/>
    <w:rsid w:val="00F3021E"/>
    <w:rsid w:val="00F346A4"/>
    <w:rsid w:val="00F34D50"/>
    <w:rsid w:val="00F559B6"/>
    <w:rsid w:val="00F66A36"/>
    <w:rsid w:val="00F7118D"/>
    <w:rsid w:val="00F81EF5"/>
    <w:rsid w:val="00F950C5"/>
    <w:rsid w:val="00FA7458"/>
    <w:rsid w:val="00FB0941"/>
    <w:rsid w:val="00FD1A55"/>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592BDA"/>
    <w:rPr>
      <w:sz w:val="16"/>
      <w:szCs w:val="16"/>
    </w:rPr>
  </w:style>
  <w:style w:type="paragraph" w:styleId="CommentText">
    <w:name w:val="annotation text"/>
    <w:basedOn w:val="Normal"/>
    <w:link w:val="CommentTextChar"/>
    <w:rsid w:val="00592BDA"/>
  </w:style>
  <w:style w:type="character" w:customStyle="1" w:styleId="CommentTextChar">
    <w:name w:val="Comment Text Char"/>
    <w:basedOn w:val="DefaultParagraphFont"/>
    <w:link w:val="CommentText"/>
    <w:rsid w:val="00592BDA"/>
  </w:style>
  <w:style w:type="paragraph" w:styleId="CommentSubject">
    <w:name w:val="annotation subject"/>
    <w:basedOn w:val="CommentText"/>
    <w:next w:val="CommentText"/>
    <w:link w:val="CommentSubjectChar"/>
    <w:rsid w:val="00592BDA"/>
    <w:rPr>
      <w:b/>
      <w:bCs/>
    </w:rPr>
  </w:style>
  <w:style w:type="character" w:customStyle="1" w:styleId="CommentSubjectChar">
    <w:name w:val="Comment Subject Char"/>
    <w:basedOn w:val="CommentTextChar"/>
    <w:link w:val="CommentSubject"/>
    <w:rsid w:val="00592BDA"/>
    <w:rPr>
      <w:b/>
      <w:bCs/>
    </w:rPr>
  </w:style>
  <w:style w:type="paragraph" w:styleId="Revision">
    <w:name w:val="Revision"/>
    <w:hidden/>
    <w:uiPriority w:val="99"/>
    <w:semiHidden/>
    <w:rsid w:val="00592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592BDA"/>
    <w:rPr>
      <w:sz w:val="16"/>
      <w:szCs w:val="16"/>
    </w:rPr>
  </w:style>
  <w:style w:type="paragraph" w:styleId="CommentText">
    <w:name w:val="annotation text"/>
    <w:basedOn w:val="Normal"/>
    <w:link w:val="CommentTextChar"/>
    <w:rsid w:val="00592BDA"/>
  </w:style>
  <w:style w:type="character" w:customStyle="1" w:styleId="CommentTextChar">
    <w:name w:val="Comment Text Char"/>
    <w:basedOn w:val="DefaultParagraphFont"/>
    <w:link w:val="CommentText"/>
    <w:rsid w:val="00592BDA"/>
  </w:style>
  <w:style w:type="paragraph" w:styleId="CommentSubject">
    <w:name w:val="annotation subject"/>
    <w:basedOn w:val="CommentText"/>
    <w:next w:val="CommentText"/>
    <w:link w:val="CommentSubjectChar"/>
    <w:rsid w:val="00592BDA"/>
    <w:rPr>
      <w:b/>
      <w:bCs/>
    </w:rPr>
  </w:style>
  <w:style w:type="character" w:customStyle="1" w:styleId="CommentSubjectChar">
    <w:name w:val="Comment Subject Char"/>
    <w:basedOn w:val="CommentTextChar"/>
    <w:link w:val="CommentSubject"/>
    <w:rsid w:val="00592BDA"/>
    <w:rPr>
      <w:b/>
      <w:bCs/>
    </w:rPr>
  </w:style>
  <w:style w:type="paragraph" w:styleId="Revision">
    <w:name w:val="Revision"/>
    <w:hidden/>
    <w:uiPriority w:val="99"/>
    <w:semiHidden/>
    <w:rsid w:val="0059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idersupport@maheal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729</Words>
  <Characters>4713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5432</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Dan Deleo</cp:lastModifiedBy>
  <cp:revision>6</cp:revision>
  <cp:lastPrinted>2018-07-23T16:30:00Z</cp:lastPrinted>
  <dcterms:created xsi:type="dcterms:W3CDTF">2018-07-23T13:40:00Z</dcterms:created>
  <dcterms:modified xsi:type="dcterms:W3CDTF">2018-07-23T16:34:00Z</dcterms:modified>
</cp:coreProperties>
</file>