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57D3418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B0E83C1">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title="MassHeal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BA0435"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4915BA73" w:rsidR="00F664CC" w:rsidRPr="005B27F1" w:rsidRDefault="005015C0" w:rsidP="005B27F1">
      <w:pPr>
        <w:pStyle w:val="Heading1"/>
      </w:pPr>
      <w:r>
        <w:t xml:space="preserve">Managed Care Entity </w:t>
      </w:r>
      <w:r w:rsidR="00F664CC" w:rsidRPr="005B27F1">
        <w:t xml:space="preserve">Bulletin </w:t>
      </w:r>
      <w:r w:rsidR="000C205F">
        <w:t>84</w:t>
      </w:r>
    </w:p>
    <w:p w14:paraId="44DBB4CA" w14:textId="2F2289CA" w:rsidR="00F664CC" w:rsidRPr="00150BCC" w:rsidRDefault="006010EE" w:rsidP="00150BCC">
      <w:pPr>
        <w:pStyle w:val="BullsHeading"/>
      </w:pPr>
      <w:r>
        <w:t>March</w:t>
      </w:r>
      <w:r w:rsidR="005015C0">
        <w:t xml:space="preserve"> 2022</w:t>
      </w:r>
    </w:p>
    <w:p w14:paraId="3BB386D2" w14:textId="0843F709" w:rsidR="00F664CC" w:rsidRDefault="00F664CC" w:rsidP="00E27CD8"/>
    <w:p w14:paraId="7147ED2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6BCC86A4" w:rsidR="00F664CC" w:rsidRPr="00F664CC" w:rsidRDefault="00F664CC" w:rsidP="00E27CD8">
      <w:r w:rsidRPr="00F664CC">
        <w:rPr>
          <w:b/>
        </w:rPr>
        <w:t>TO</w:t>
      </w:r>
      <w:r w:rsidRPr="00F664CC">
        <w:t>:</w:t>
      </w:r>
      <w:r>
        <w:tab/>
      </w:r>
      <w:r w:rsidR="005015C0">
        <w:t xml:space="preserve">Managed Care Entities </w:t>
      </w:r>
      <w:r w:rsidRPr="00F664CC">
        <w:t>Participating in MassHealth</w:t>
      </w:r>
    </w:p>
    <w:p w14:paraId="317D5D86" w14:textId="023ADFC7" w:rsidR="00F664CC" w:rsidRPr="00F664CC" w:rsidRDefault="00F664CC" w:rsidP="005015C0">
      <w:pPr>
        <w:ind w:left="1440" w:hanging="1080"/>
      </w:pPr>
      <w:r w:rsidRPr="00F664CC">
        <w:rPr>
          <w:b/>
        </w:rPr>
        <w:t>FROM</w:t>
      </w:r>
      <w:r w:rsidRPr="00F664CC">
        <w:t>:</w:t>
      </w:r>
      <w:r>
        <w:tab/>
      </w:r>
      <w:r w:rsidR="008E1C38">
        <w:t>Amanda Cassel Kraft</w:t>
      </w:r>
      <w:r w:rsidR="00AA6085">
        <w:t>, Assistant Secretary for MassHealt</w:t>
      </w:r>
      <w:r w:rsidR="000A06F2">
        <w:t xml:space="preserve">h </w:t>
      </w:r>
      <w:r w:rsidR="00F75E74">
        <w:t>[signature of Amanda Cassel Kraft]</w:t>
      </w:r>
    </w:p>
    <w:p w14:paraId="3179A0E4" w14:textId="33BD2792" w:rsidR="00F664CC" w:rsidRPr="005015C0" w:rsidRDefault="00F664CC" w:rsidP="005015C0">
      <w:pPr>
        <w:pStyle w:val="SubjectLine"/>
        <w:spacing w:after="100"/>
        <w:ind w:left="1440" w:hanging="1080"/>
        <w:rPr>
          <w:b w:val="0"/>
          <w:bCs/>
        </w:rPr>
      </w:pPr>
      <w:r w:rsidRPr="00F664CC">
        <w:t>RE:</w:t>
      </w:r>
      <w:r w:rsidR="00BD2DAF">
        <w:tab/>
      </w:r>
      <w:r w:rsidR="005015C0" w:rsidRPr="005015C0">
        <w:t>Payment, Coverage</w:t>
      </w:r>
      <w:r w:rsidR="00481FFA">
        <w:t>,</w:t>
      </w:r>
      <w:r w:rsidR="005015C0" w:rsidRPr="005015C0">
        <w:t xml:space="preserve"> and Reporting Requirements related to </w:t>
      </w:r>
      <w:r w:rsidR="005015C0" w:rsidRPr="005015C0">
        <w:rPr>
          <w:rStyle w:val="SubjectLineChar"/>
          <w:rFonts w:eastAsiaTheme="majorEastAsia"/>
          <w:b/>
          <w:bCs/>
        </w:rPr>
        <w:t>Community Health Centers</w:t>
      </w:r>
    </w:p>
    <w:p w14:paraId="221E220C" w14:textId="77777777" w:rsidR="00636084" w:rsidRDefault="00636084" w:rsidP="001C0CCC">
      <w:pPr>
        <w:pStyle w:val="Heading2"/>
      </w:pPr>
      <w:r>
        <w:t>Applicable Managed Care Entities and PACE Organizations</w:t>
      </w:r>
    </w:p>
    <w:p w14:paraId="790CEA51" w14:textId="6AB17EE4" w:rsidR="00636084" w:rsidRDefault="00BA0435"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5015C0">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5015C0">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5015C0">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5015C0">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5015C0">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4CDF6A79" w:rsidR="00F664CC" w:rsidRPr="005B27F1" w:rsidRDefault="005015C0" w:rsidP="001C0CCC">
      <w:pPr>
        <w:pStyle w:val="Heading2"/>
      </w:pPr>
      <w:r>
        <w:t>Background</w:t>
      </w:r>
    </w:p>
    <w:p w14:paraId="0EABD87E" w14:textId="619EBB05" w:rsidR="005015C0" w:rsidRDefault="005015C0" w:rsidP="005015C0">
      <w:pPr>
        <w:spacing w:after="120" w:afterAutospacing="0"/>
      </w:pPr>
      <w:r>
        <w:t xml:space="preserve">Effective January 1, 2022, MassHealth is investing in federally qualified health centers (FQHCs) enrolled in the MassHealth program as community health centers (CHCs) through amendments to the MassHealth rate structure for CHCs. The new rate structure includes an updated prospective payment system (PPS) rate methodology to set a new individual PPS rate for each FQHC that is a CHC. Additionally, MassHealth is increasing rates as part of an alternative payment methodology (APM) that requires payment at or above the individual PPS rates, pursuant to the federal Medicare, Medicaid, and SCHIP Benefits Improvement and Protection Act of 2000 (BIPA). These investments in CHCs are consistent with MassHealth’s commitment to invest in </w:t>
      </w:r>
      <w:r w:rsidR="00802603">
        <w:t xml:space="preserve">primary </w:t>
      </w:r>
      <w:r>
        <w:t xml:space="preserve">care and behavioral health treatment.  </w:t>
      </w:r>
    </w:p>
    <w:p w14:paraId="719D08D3" w14:textId="77777777" w:rsidR="005015C0" w:rsidRDefault="005015C0" w:rsidP="005015C0">
      <w:pPr>
        <w:spacing w:after="120" w:afterAutospacing="0"/>
      </w:pPr>
      <w:r>
        <w:t>Specifically, MassHealth is taking the following actions through rate regulation amendments to 101 CMR 304.00:</w:t>
      </w:r>
    </w:p>
    <w:p w14:paraId="3068898E" w14:textId="60498306" w:rsidR="005015C0" w:rsidRDefault="005015C0" w:rsidP="005015C0">
      <w:pPr>
        <w:pStyle w:val="ListParagraph"/>
        <w:numPr>
          <w:ilvl w:val="0"/>
          <w:numId w:val="11"/>
        </w:numPr>
      </w:pPr>
      <w:r>
        <w:t xml:space="preserve">Increasing rates for individual medical visits, group medical visits, individual mental health visits, group mental health visits, nurse midwife visits, and early and periodic screening, diagnostic and treatment services (EPSDT) visits, as such terms are defined in 101 CMR 304.02, as listed in the table </w:t>
      </w:r>
      <w:proofErr w:type="gramStart"/>
      <w:r>
        <w:t>below</w:t>
      </w:r>
      <w:r w:rsidR="008D0ED5">
        <w:t>;</w:t>
      </w:r>
      <w:proofErr w:type="gramEnd"/>
      <w:r>
        <w:t xml:space="preserve"> </w:t>
      </w:r>
    </w:p>
    <w:p w14:paraId="3571CCA7" w14:textId="169C2540" w:rsidR="005015C0" w:rsidRDefault="005015C0" w:rsidP="005015C0">
      <w:pPr>
        <w:pStyle w:val="ListParagraph"/>
        <w:numPr>
          <w:ilvl w:val="0"/>
          <w:numId w:val="11"/>
        </w:numPr>
      </w:pPr>
      <w:r>
        <w:t xml:space="preserve">Establishing new rates and codes for individual behavioral health visits and group behavioral health visits, as defined in 101 CMR </w:t>
      </w:r>
      <w:proofErr w:type="gramStart"/>
      <w:r>
        <w:t>304.02</w:t>
      </w:r>
      <w:r w:rsidR="008D0ED5">
        <w:t>;</w:t>
      </w:r>
      <w:proofErr w:type="gramEnd"/>
      <w:r>
        <w:t xml:space="preserve"> </w:t>
      </w:r>
    </w:p>
    <w:p w14:paraId="69C4E1C1" w14:textId="65267A77" w:rsidR="005015C0" w:rsidRDefault="005015C0" w:rsidP="005015C0">
      <w:pPr>
        <w:pStyle w:val="ListParagraph"/>
        <w:numPr>
          <w:ilvl w:val="0"/>
          <w:numId w:val="11"/>
        </w:numPr>
      </w:pPr>
      <w:r>
        <w:t>Implementing four new CHC services</w:t>
      </w:r>
      <w:r w:rsidR="005D136A">
        <w:t>:</w:t>
      </w:r>
      <w:r>
        <w:t xml:space="preserve"> medication therapy management (MTM), collaborative drug therapy management (CDTM), behavioral health integration (BHI), and collaborative care management (</w:t>
      </w:r>
      <w:proofErr w:type="spellStart"/>
      <w:r>
        <w:t>CoCM</w:t>
      </w:r>
      <w:proofErr w:type="spellEnd"/>
      <w:r>
        <w:t xml:space="preserve">) services. </w:t>
      </w:r>
    </w:p>
    <w:p w14:paraId="4115A711" w14:textId="36C794FC" w:rsidR="005015C0" w:rsidRDefault="005015C0" w:rsidP="005015C0">
      <w:pPr>
        <w:spacing w:after="120" w:afterAutospacing="0"/>
      </w:pPr>
      <w:r>
        <w:t xml:space="preserve">The table below sets forth the MassHealth </w:t>
      </w:r>
      <w:r w:rsidR="005D136A">
        <w:t>f</w:t>
      </w:r>
      <w:r>
        <w:t>ee</w:t>
      </w:r>
      <w:r w:rsidR="005D136A">
        <w:t>-</w:t>
      </w:r>
      <w:r w:rsidR="008A67E1">
        <w:t>for-s</w:t>
      </w:r>
      <w:r>
        <w:t>ervice (FFS) rates available to CHCs for the services and visits described in the bullets above.</w:t>
      </w:r>
    </w:p>
    <w:p w14:paraId="299330F8" w14:textId="77777777" w:rsidR="005D136A" w:rsidRDefault="005D136A" w:rsidP="005015C0">
      <w:pPr>
        <w:spacing w:after="120" w:afterAutospacing="0"/>
        <w:rPr>
          <w:color w:val="000000"/>
        </w:rPr>
      </w:pPr>
      <w:bookmarkStart w:id="0" w:name="_Hlk59694669"/>
      <w:r>
        <w:rPr>
          <w:color w:val="000000"/>
        </w:rPr>
        <w:br w:type="page"/>
      </w:r>
    </w:p>
    <w:p w14:paraId="4E7F7431" w14:textId="59CB6EDC" w:rsidR="005015C0" w:rsidRDefault="005015C0" w:rsidP="005015C0">
      <w:pPr>
        <w:spacing w:after="120" w:afterAutospacing="0"/>
        <w:rPr>
          <w:color w:val="000000"/>
        </w:rPr>
      </w:pPr>
      <w:bookmarkStart w:id="1" w:name="_Hlk98225557"/>
      <w:r>
        <w:rPr>
          <w:color w:val="000000"/>
        </w:rPr>
        <w:lastRenderedPageBreak/>
        <w:t xml:space="preserve">Through this bulletin, MassHealth is directing accountable care partnership plans (ACPPs), managed care organizations (MCOs), senior care organizations (SCOs), </w:t>
      </w:r>
      <w:r>
        <w:t>the state’s managed behavioral health vendor</w:t>
      </w:r>
      <w:r w:rsidR="008A67E1">
        <w:t>,</w:t>
      </w:r>
      <w:r>
        <w:rPr>
          <w:color w:val="000000"/>
        </w:rPr>
        <w:t xml:space="preserve"> and One Care plans (referred to collectively here as “managed care entities” or “MCEs”) to </w:t>
      </w:r>
      <w:bookmarkEnd w:id="0"/>
      <w:r>
        <w:rPr>
          <w:color w:val="000000"/>
        </w:rPr>
        <w:t xml:space="preserve">institute certain policies to align with MassHealth. One Care Plans and SCOs should first follow guidance provided by Medicare on these topics for enrollees with Medicare, including billing and coding instructions. SCOs must follow the requirements in this bulletin for Medicaid-only enrollees. </w:t>
      </w:r>
    </w:p>
    <w:bookmarkEnd w:id="1"/>
    <w:p w14:paraId="0A994FE0" w14:textId="7B4F6465" w:rsidR="005015C0" w:rsidRDefault="005015C0" w:rsidP="008A67E1">
      <w:pPr>
        <w:pStyle w:val="Heading2"/>
        <w:ind w:right="0"/>
      </w:pPr>
      <w:r>
        <w:t>Minimum Payment Rates, Billing</w:t>
      </w:r>
      <w:r w:rsidR="007B613F">
        <w:t>,</w:t>
      </w:r>
      <w:r>
        <w:t xml:space="preserve"> and Out</w:t>
      </w:r>
      <w:r w:rsidR="008D0ED5">
        <w:t>-</w:t>
      </w:r>
      <w:r>
        <w:t>of</w:t>
      </w:r>
      <w:r w:rsidR="008D0ED5">
        <w:t>-N</w:t>
      </w:r>
      <w:r>
        <w:t xml:space="preserve">etwork Claims for CHC Services </w:t>
      </w:r>
    </w:p>
    <w:p w14:paraId="3699F035" w14:textId="77777777" w:rsidR="005015C0" w:rsidRDefault="005015C0" w:rsidP="005015C0">
      <w:pPr>
        <w:spacing w:after="120" w:afterAutospacing="0"/>
      </w:pPr>
      <w:r>
        <w:t>Effective for dates of service beginning January 1, 2022, MCEs must:</w:t>
      </w:r>
    </w:p>
    <w:p w14:paraId="4AA1050F" w14:textId="21AB5028" w:rsidR="005015C0" w:rsidRDefault="005015C0" w:rsidP="005015C0">
      <w:pPr>
        <w:pStyle w:val="ListParagraph"/>
        <w:numPr>
          <w:ilvl w:val="0"/>
          <w:numId w:val="12"/>
        </w:numPr>
      </w:pPr>
      <w:r>
        <w:t>Conform their coverage policies with respect to medication therapy management (MTM), collaborative drug therapy management (CDTM), behavioral health integration (BHI), and collaborative care management (</w:t>
      </w:r>
      <w:proofErr w:type="spellStart"/>
      <w:r>
        <w:t>CoCM</w:t>
      </w:r>
      <w:proofErr w:type="spellEnd"/>
      <w:r>
        <w:t>) services to align with MassHealth’s coverage policies.</w:t>
      </w:r>
    </w:p>
    <w:p w14:paraId="1E4BE831" w14:textId="50E3F7C0" w:rsidR="005015C0" w:rsidRDefault="005015C0" w:rsidP="005015C0">
      <w:pPr>
        <w:pStyle w:val="ListParagraph"/>
        <w:numPr>
          <w:ilvl w:val="0"/>
          <w:numId w:val="12"/>
        </w:numPr>
      </w:pPr>
      <w:r>
        <w:t xml:space="preserve">Require CHCs to bill for services and visits listed </w:t>
      </w:r>
      <w:r w:rsidR="008A67E1">
        <w:t xml:space="preserve">in this bulletin </w:t>
      </w:r>
      <w:r>
        <w:t xml:space="preserve">using the codes </w:t>
      </w:r>
      <w:r w:rsidR="008A67E1">
        <w:t xml:space="preserve">in Table 1, </w:t>
      </w:r>
      <w:r>
        <w:t>below.</w:t>
      </w:r>
    </w:p>
    <w:p w14:paraId="61176E2D" w14:textId="54A46BE6" w:rsidR="005015C0" w:rsidRDefault="005015C0" w:rsidP="005015C0">
      <w:pPr>
        <w:pStyle w:val="ListParagraph"/>
        <w:numPr>
          <w:ilvl w:val="0"/>
          <w:numId w:val="12"/>
        </w:numPr>
      </w:pPr>
      <w:r>
        <w:t xml:space="preserve">Pay claims submitted by CHCs for the codes listed below at a rate equal to or above the MassHealth FFS rate </w:t>
      </w:r>
      <w:r w:rsidR="008A67E1">
        <w:t xml:space="preserve">in Table 1, </w:t>
      </w:r>
      <w:r>
        <w:t>below.</w:t>
      </w:r>
    </w:p>
    <w:p w14:paraId="5AEA8E09" w14:textId="42CC26A7" w:rsidR="005015C0" w:rsidRDefault="005015C0" w:rsidP="005015C0">
      <w:pPr>
        <w:pStyle w:val="ListParagraph"/>
        <w:numPr>
          <w:ilvl w:val="0"/>
          <w:numId w:val="12"/>
        </w:numPr>
        <w:spacing w:after="120" w:afterAutospacing="0"/>
      </w:pPr>
      <w:r>
        <w:t xml:space="preserve">Pay for out-of-network CHC claims submitted by CHCs for the codes set forth below at a rate equal to or above the MassHealth FFS rate </w:t>
      </w:r>
      <w:r w:rsidR="008A67E1">
        <w:t xml:space="preserve">in Table 1, </w:t>
      </w:r>
      <w:r>
        <w:t xml:space="preserve">below. </w:t>
      </w:r>
    </w:p>
    <w:p w14:paraId="7357D95D" w14:textId="4F749F56" w:rsidR="005015C0" w:rsidRDefault="005015C0" w:rsidP="001C0CCC">
      <w:pPr>
        <w:spacing w:after="240" w:afterAutospacing="0"/>
      </w:pPr>
      <w:r>
        <w:t xml:space="preserve">Nothing in this bulletin should be construed to prevent MCEs from rejecting claims in accordance with their claims review processes or conducting standard program integrity assessments or claims reviews, such as reviews to monitor for medical necessity, billing errors, or fraud. </w:t>
      </w:r>
    </w:p>
    <w:p w14:paraId="48118DB8" w14:textId="6E8B1A21" w:rsidR="008A67E1" w:rsidRDefault="008A67E1" w:rsidP="008A67E1">
      <w:pPr>
        <w:pStyle w:val="Heading2"/>
      </w:pPr>
      <w:r>
        <w:t>Table 1</w:t>
      </w:r>
    </w:p>
    <w:tbl>
      <w:tblPr>
        <w:tblStyle w:val="TableGrid"/>
        <w:tblW w:w="9175" w:type="dxa"/>
        <w:jc w:val="center"/>
        <w:tblLayout w:type="fixed"/>
        <w:tblCellMar>
          <w:bottom w:w="86" w:type="dxa"/>
        </w:tblCellMar>
        <w:tblLook w:val="04A0" w:firstRow="1" w:lastRow="0" w:firstColumn="1" w:lastColumn="0" w:noHBand="0" w:noVBand="1"/>
      </w:tblPr>
      <w:tblGrid>
        <w:gridCol w:w="2425"/>
        <w:gridCol w:w="2520"/>
        <w:gridCol w:w="4230"/>
      </w:tblGrid>
      <w:tr w:rsidR="005015C0" w:rsidRPr="00F24DFF" w14:paraId="32D610D8" w14:textId="77777777" w:rsidTr="001F5A8A">
        <w:trPr>
          <w:tblHeader/>
          <w:jc w:val="center"/>
        </w:trPr>
        <w:tc>
          <w:tcPr>
            <w:tcW w:w="2425" w:type="dxa"/>
            <w:vAlign w:val="center"/>
          </w:tcPr>
          <w:p w14:paraId="5CAA9421" w14:textId="4DE2D932" w:rsidR="005015C0" w:rsidRPr="00726506" w:rsidRDefault="005015C0" w:rsidP="00481FFA">
            <w:pPr>
              <w:tabs>
                <w:tab w:val="left" w:pos="1800"/>
              </w:tabs>
              <w:spacing w:after="80" w:afterAutospacing="0"/>
              <w:jc w:val="center"/>
              <w:rPr>
                <w:b/>
                <w:bCs/>
              </w:rPr>
            </w:pPr>
            <w:bookmarkStart w:id="2" w:name="_Hlk98225561"/>
            <w:bookmarkStart w:id="3" w:name="_Hlk98225511"/>
            <w:r w:rsidRPr="00726506">
              <w:rPr>
                <w:b/>
                <w:bCs/>
              </w:rPr>
              <w:t>Code</w:t>
            </w:r>
            <w:r>
              <w:rPr>
                <w:b/>
                <w:bCs/>
              </w:rPr>
              <w:t xml:space="preserve"> in </w:t>
            </w:r>
            <w:r w:rsidR="005D136A">
              <w:rPr>
                <w:b/>
                <w:bCs/>
              </w:rPr>
              <w:br/>
            </w:r>
            <w:r>
              <w:rPr>
                <w:b/>
                <w:bCs/>
              </w:rPr>
              <w:t>101 CMR 304.00</w:t>
            </w:r>
          </w:p>
        </w:tc>
        <w:tc>
          <w:tcPr>
            <w:tcW w:w="2520" w:type="dxa"/>
            <w:vAlign w:val="center"/>
          </w:tcPr>
          <w:p w14:paraId="1701AF00" w14:textId="2CF3B52D" w:rsidR="005015C0" w:rsidRPr="00726506" w:rsidRDefault="005015C0" w:rsidP="00481FFA">
            <w:pPr>
              <w:tabs>
                <w:tab w:val="left" w:pos="1800"/>
              </w:tabs>
              <w:spacing w:after="80" w:afterAutospacing="0"/>
              <w:jc w:val="center"/>
            </w:pPr>
            <w:r w:rsidRPr="00726506">
              <w:rPr>
                <w:b/>
                <w:bCs/>
              </w:rPr>
              <w:t xml:space="preserve">2022 </w:t>
            </w:r>
            <w:r w:rsidR="008A67E1">
              <w:rPr>
                <w:b/>
                <w:bCs/>
              </w:rPr>
              <w:t>R</w:t>
            </w:r>
            <w:r w:rsidRPr="00726506">
              <w:rPr>
                <w:b/>
                <w:bCs/>
              </w:rPr>
              <w:t>ate</w:t>
            </w:r>
            <w:r>
              <w:rPr>
                <w:b/>
                <w:bCs/>
              </w:rPr>
              <w:t xml:space="preserve"> in </w:t>
            </w:r>
            <w:r w:rsidR="005D136A">
              <w:rPr>
                <w:b/>
                <w:bCs/>
              </w:rPr>
              <w:br/>
            </w:r>
            <w:r>
              <w:rPr>
                <w:b/>
                <w:bCs/>
              </w:rPr>
              <w:t>101 CMR 304.00</w:t>
            </w:r>
          </w:p>
        </w:tc>
        <w:tc>
          <w:tcPr>
            <w:tcW w:w="4230" w:type="dxa"/>
            <w:vAlign w:val="center"/>
          </w:tcPr>
          <w:p w14:paraId="36A353E4" w14:textId="1C7A5764" w:rsidR="005015C0" w:rsidRPr="00726506" w:rsidRDefault="005015C0" w:rsidP="00481FFA">
            <w:pPr>
              <w:tabs>
                <w:tab w:val="left" w:pos="1800"/>
              </w:tabs>
              <w:spacing w:after="80" w:afterAutospacing="0"/>
              <w:jc w:val="center"/>
              <w:rPr>
                <w:b/>
                <w:bCs/>
              </w:rPr>
            </w:pPr>
            <w:r>
              <w:rPr>
                <w:b/>
                <w:bCs/>
              </w:rPr>
              <w:t xml:space="preserve">Corresponding </w:t>
            </w:r>
            <w:r w:rsidRPr="00726506">
              <w:rPr>
                <w:b/>
                <w:bCs/>
              </w:rPr>
              <w:t>Service</w:t>
            </w:r>
            <w:r w:rsidR="002E76A0">
              <w:rPr>
                <w:b/>
                <w:bCs/>
              </w:rPr>
              <w:t xml:space="preserve"> or </w:t>
            </w:r>
            <w:r w:rsidRPr="00726506">
              <w:rPr>
                <w:b/>
                <w:bCs/>
              </w:rPr>
              <w:t xml:space="preserve">Visit </w:t>
            </w:r>
            <w:r>
              <w:rPr>
                <w:b/>
                <w:bCs/>
              </w:rPr>
              <w:t>as described in 101 CMR 304.00</w:t>
            </w:r>
          </w:p>
        </w:tc>
      </w:tr>
      <w:bookmarkEnd w:id="2"/>
      <w:tr w:rsidR="005015C0" w14:paraId="5AB29434" w14:textId="77777777" w:rsidTr="001F5A8A">
        <w:trPr>
          <w:jc w:val="center"/>
        </w:trPr>
        <w:tc>
          <w:tcPr>
            <w:tcW w:w="2425" w:type="dxa"/>
          </w:tcPr>
          <w:p w14:paraId="5950FF17" w14:textId="77777777" w:rsidR="005015C0" w:rsidRPr="005D136A" w:rsidRDefault="005015C0" w:rsidP="00481FFA">
            <w:pPr>
              <w:tabs>
                <w:tab w:val="left" w:pos="1800"/>
              </w:tabs>
              <w:spacing w:after="80" w:afterAutospacing="0"/>
              <w:jc w:val="center"/>
            </w:pPr>
            <w:r w:rsidRPr="005D136A">
              <w:t>T1015</w:t>
            </w:r>
          </w:p>
        </w:tc>
        <w:tc>
          <w:tcPr>
            <w:tcW w:w="2520" w:type="dxa"/>
          </w:tcPr>
          <w:p w14:paraId="13570048" w14:textId="77777777" w:rsidR="005015C0" w:rsidRPr="00726506" w:rsidRDefault="005015C0" w:rsidP="00481FFA">
            <w:pPr>
              <w:tabs>
                <w:tab w:val="left" w:pos="1800"/>
              </w:tabs>
              <w:spacing w:after="80" w:afterAutospacing="0"/>
              <w:jc w:val="center"/>
            </w:pPr>
            <w:r w:rsidRPr="00726506">
              <w:t>$216</w:t>
            </w:r>
            <w:r>
              <w:t>.00</w:t>
            </w:r>
          </w:p>
        </w:tc>
        <w:tc>
          <w:tcPr>
            <w:tcW w:w="4230" w:type="dxa"/>
          </w:tcPr>
          <w:p w14:paraId="0BB2855A" w14:textId="77777777" w:rsidR="005015C0" w:rsidRPr="00726506" w:rsidRDefault="005015C0" w:rsidP="00481FFA">
            <w:pPr>
              <w:tabs>
                <w:tab w:val="left" w:pos="1800"/>
              </w:tabs>
              <w:spacing w:after="80" w:afterAutospacing="0"/>
              <w:jc w:val="center"/>
            </w:pPr>
            <w:r w:rsidRPr="00726506">
              <w:t>Individual medical visit</w:t>
            </w:r>
          </w:p>
        </w:tc>
      </w:tr>
      <w:tr w:rsidR="005015C0" w14:paraId="6D1E277E" w14:textId="77777777" w:rsidTr="001F5A8A">
        <w:trPr>
          <w:jc w:val="center"/>
        </w:trPr>
        <w:tc>
          <w:tcPr>
            <w:tcW w:w="2425" w:type="dxa"/>
          </w:tcPr>
          <w:p w14:paraId="0FEC65D0" w14:textId="77777777" w:rsidR="005015C0" w:rsidRPr="005D136A" w:rsidRDefault="005015C0" w:rsidP="00481FFA">
            <w:pPr>
              <w:tabs>
                <w:tab w:val="left" w:pos="1800"/>
              </w:tabs>
              <w:spacing w:after="80" w:afterAutospacing="0"/>
              <w:jc w:val="center"/>
            </w:pPr>
            <w:r w:rsidRPr="005D136A">
              <w:t>T1015 - HQ</w:t>
            </w:r>
          </w:p>
        </w:tc>
        <w:tc>
          <w:tcPr>
            <w:tcW w:w="2520" w:type="dxa"/>
          </w:tcPr>
          <w:p w14:paraId="7B0A84A5" w14:textId="77777777" w:rsidR="005015C0" w:rsidRPr="00726506" w:rsidRDefault="005015C0" w:rsidP="00481FFA">
            <w:pPr>
              <w:tabs>
                <w:tab w:val="left" w:pos="1800"/>
              </w:tabs>
              <w:spacing w:after="80" w:afterAutospacing="0"/>
              <w:jc w:val="center"/>
            </w:pPr>
            <w:r w:rsidRPr="00726506">
              <w:t>$43.20</w:t>
            </w:r>
          </w:p>
        </w:tc>
        <w:tc>
          <w:tcPr>
            <w:tcW w:w="4230" w:type="dxa"/>
          </w:tcPr>
          <w:p w14:paraId="5D8FB4F6" w14:textId="77777777" w:rsidR="005015C0" w:rsidRPr="00726506" w:rsidRDefault="005015C0" w:rsidP="00481FFA">
            <w:pPr>
              <w:tabs>
                <w:tab w:val="left" w:pos="1800"/>
              </w:tabs>
              <w:spacing w:after="80" w:afterAutospacing="0"/>
              <w:jc w:val="center"/>
            </w:pPr>
            <w:r>
              <w:t>G</w:t>
            </w:r>
            <w:r w:rsidRPr="00726506">
              <w:t>roup medical visit</w:t>
            </w:r>
          </w:p>
        </w:tc>
      </w:tr>
      <w:tr w:rsidR="005015C0" w14:paraId="6791A443" w14:textId="77777777" w:rsidTr="001F5A8A">
        <w:trPr>
          <w:jc w:val="center"/>
        </w:trPr>
        <w:tc>
          <w:tcPr>
            <w:tcW w:w="2425" w:type="dxa"/>
          </w:tcPr>
          <w:p w14:paraId="38DDFCB8" w14:textId="77777777" w:rsidR="005015C0" w:rsidRPr="005D136A" w:rsidRDefault="005015C0" w:rsidP="00481FFA">
            <w:pPr>
              <w:tabs>
                <w:tab w:val="left" w:pos="1800"/>
              </w:tabs>
              <w:spacing w:after="80" w:afterAutospacing="0"/>
              <w:jc w:val="center"/>
            </w:pPr>
            <w:r w:rsidRPr="005D136A">
              <w:t>T1015 - TH</w:t>
            </w:r>
          </w:p>
        </w:tc>
        <w:tc>
          <w:tcPr>
            <w:tcW w:w="2520" w:type="dxa"/>
          </w:tcPr>
          <w:p w14:paraId="3734E0B5" w14:textId="77777777" w:rsidR="005015C0" w:rsidRPr="00726506" w:rsidRDefault="005015C0" w:rsidP="00481FFA">
            <w:pPr>
              <w:tabs>
                <w:tab w:val="left" w:pos="1800"/>
              </w:tabs>
              <w:spacing w:after="80" w:afterAutospacing="0"/>
              <w:jc w:val="center"/>
            </w:pPr>
            <w:r w:rsidRPr="00726506">
              <w:t>$216</w:t>
            </w:r>
            <w:r>
              <w:t>.00</w:t>
            </w:r>
          </w:p>
        </w:tc>
        <w:tc>
          <w:tcPr>
            <w:tcW w:w="4230" w:type="dxa"/>
          </w:tcPr>
          <w:p w14:paraId="029D4CA2" w14:textId="77777777" w:rsidR="005015C0" w:rsidRPr="00726506" w:rsidRDefault="005015C0" w:rsidP="00481FFA">
            <w:pPr>
              <w:tabs>
                <w:tab w:val="left" w:pos="1800"/>
              </w:tabs>
              <w:spacing w:after="80" w:afterAutospacing="0"/>
              <w:jc w:val="center"/>
            </w:pPr>
            <w:r w:rsidRPr="00726506">
              <w:t>Nurse midwife visit</w:t>
            </w:r>
          </w:p>
        </w:tc>
      </w:tr>
      <w:tr w:rsidR="005015C0" w14:paraId="25794C58" w14:textId="77777777" w:rsidTr="001F5A8A">
        <w:trPr>
          <w:jc w:val="center"/>
        </w:trPr>
        <w:tc>
          <w:tcPr>
            <w:tcW w:w="2425" w:type="dxa"/>
          </w:tcPr>
          <w:p w14:paraId="59578E22" w14:textId="77777777" w:rsidR="005015C0" w:rsidRPr="005D136A" w:rsidRDefault="005015C0" w:rsidP="00481FFA">
            <w:pPr>
              <w:tabs>
                <w:tab w:val="left" w:pos="1800"/>
              </w:tabs>
              <w:spacing w:after="80" w:afterAutospacing="0"/>
              <w:jc w:val="center"/>
            </w:pPr>
            <w:r w:rsidRPr="005D136A">
              <w:t>T1040</w:t>
            </w:r>
          </w:p>
        </w:tc>
        <w:tc>
          <w:tcPr>
            <w:tcW w:w="2520" w:type="dxa"/>
          </w:tcPr>
          <w:p w14:paraId="0EF49F7F" w14:textId="77777777" w:rsidR="005015C0" w:rsidRPr="00726506" w:rsidRDefault="005015C0" w:rsidP="00481FFA">
            <w:pPr>
              <w:tabs>
                <w:tab w:val="left" w:pos="1800"/>
              </w:tabs>
              <w:spacing w:after="80" w:afterAutospacing="0"/>
              <w:jc w:val="center"/>
            </w:pPr>
            <w:r w:rsidRPr="00726506">
              <w:t>$140</w:t>
            </w:r>
            <w:r>
              <w:t>.00</w:t>
            </w:r>
          </w:p>
        </w:tc>
        <w:tc>
          <w:tcPr>
            <w:tcW w:w="4230" w:type="dxa"/>
          </w:tcPr>
          <w:p w14:paraId="59978940" w14:textId="77777777" w:rsidR="005015C0" w:rsidRPr="00726506" w:rsidRDefault="005015C0" w:rsidP="00481FFA">
            <w:pPr>
              <w:tabs>
                <w:tab w:val="left" w:pos="1800"/>
              </w:tabs>
              <w:spacing w:after="80" w:afterAutospacing="0"/>
              <w:jc w:val="center"/>
            </w:pPr>
            <w:r w:rsidRPr="00726506">
              <w:t>Individual behavioral health visit</w:t>
            </w:r>
          </w:p>
        </w:tc>
      </w:tr>
      <w:tr w:rsidR="005015C0" w14:paraId="24069525" w14:textId="77777777" w:rsidTr="001F5A8A">
        <w:trPr>
          <w:jc w:val="center"/>
        </w:trPr>
        <w:tc>
          <w:tcPr>
            <w:tcW w:w="2425" w:type="dxa"/>
          </w:tcPr>
          <w:p w14:paraId="39729B9E" w14:textId="77777777" w:rsidR="005015C0" w:rsidRPr="005D136A" w:rsidRDefault="005015C0" w:rsidP="00481FFA">
            <w:pPr>
              <w:tabs>
                <w:tab w:val="left" w:pos="1800"/>
              </w:tabs>
              <w:spacing w:after="80" w:afterAutospacing="0"/>
              <w:jc w:val="center"/>
            </w:pPr>
            <w:r w:rsidRPr="005D136A">
              <w:t>T1040 - HQ</w:t>
            </w:r>
          </w:p>
        </w:tc>
        <w:tc>
          <w:tcPr>
            <w:tcW w:w="2520" w:type="dxa"/>
          </w:tcPr>
          <w:p w14:paraId="7CC8D975" w14:textId="77777777" w:rsidR="005015C0" w:rsidRPr="00726506" w:rsidRDefault="005015C0" w:rsidP="00481FFA">
            <w:pPr>
              <w:tabs>
                <w:tab w:val="left" w:pos="1800"/>
              </w:tabs>
              <w:spacing w:after="80" w:afterAutospacing="0"/>
              <w:jc w:val="center"/>
            </w:pPr>
            <w:r w:rsidRPr="00726506">
              <w:t>$28.00</w:t>
            </w:r>
          </w:p>
        </w:tc>
        <w:tc>
          <w:tcPr>
            <w:tcW w:w="4230" w:type="dxa"/>
          </w:tcPr>
          <w:p w14:paraId="404B4E45" w14:textId="77777777" w:rsidR="005015C0" w:rsidRPr="00726506" w:rsidRDefault="005015C0" w:rsidP="00481FFA">
            <w:pPr>
              <w:tabs>
                <w:tab w:val="left" w:pos="1800"/>
              </w:tabs>
              <w:spacing w:after="80" w:afterAutospacing="0"/>
              <w:jc w:val="center"/>
            </w:pPr>
            <w:r w:rsidRPr="00726506">
              <w:t>Group behavioral health visit</w:t>
            </w:r>
          </w:p>
        </w:tc>
      </w:tr>
      <w:tr w:rsidR="005015C0" w14:paraId="264FA25D" w14:textId="77777777" w:rsidTr="001F5A8A">
        <w:trPr>
          <w:jc w:val="center"/>
        </w:trPr>
        <w:tc>
          <w:tcPr>
            <w:tcW w:w="2425" w:type="dxa"/>
          </w:tcPr>
          <w:p w14:paraId="2B946B62" w14:textId="77777777" w:rsidR="005015C0" w:rsidRPr="005D136A" w:rsidRDefault="005015C0" w:rsidP="00481FFA">
            <w:pPr>
              <w:tabs>
                <w:tab w:val="left" w:pos="1800"/>
              </w:tabs>
              <w:spacing w:after="80" w:afterAutospacing="0"/>
              <w:jc w:val="center"/>
            </w:pPr>
            <w:r w:rsidRPr="005D136A">
              <w:t>G0469</w:t>
            </w:r>
          </w:p>
        </w:tc>
        <w:tc>
          <w:tcPr>
            <w:tcW w:w="2520" w:type="dxa"/>
          </w:tcPr>
          <w:p w14:paraId="77E85841" w14:textId="77777777" w:rsidR="005015C0" w:rsidRPr="00726506" w:rsidRDefault="005015C0" w:rsidP="00481FFA">
            <w:pPr>
              <w:tabs>
                <w:tab w:val="left" w:pos="1800"/>
              </w:tabs>
              <w:spacing w:after="80" w:afterAutospacing="0"/>
              <w:jc w:val="center"/>
            </w:pPr>
            <w:r w:rsidRPr="00726506">
              <w:t>$216</w:t>
            </w:r>
            <w:r>
              <w:t>.00</w:t>
            </w:r>
          </w:p>
        </w:tc>
        <w:tc>
          <w:tcPr>
            <w:tcW w:w="4230" w:type="dxa"/>
          </w:tcPr>
          <w:p w14:paraId="278EA4A9" w14:textId="77777777" w:rsidR="005015C0" w:rsidRPr="00726506" w:rsidRDefault="005015C0" w:rsidP="00481FFA">
            <w:pPr>
              <w:tabs>
                <w:tab w:val="left" w:pos="1800"/>
              </w:tabs>
              <w:spacing w:after="80" w:afterAutospacing="0"/>
              <w:jc w:val="center"/>
            </w:pPr>
            <w:r w:rsidRPr="00726506">
              <w:t>Individual mental health visit – new patient</w:t>
            </w:r>
          </w:p>
        </w:tc>
      </w:tr>
      <w:tr w:rsidR="005015C0" w14:paraId="38D598A8" w14:textId="77777777" w:rsidTr="001F5A8A">
        <w:trPr>
          <w:jc w:val="center"/>
        </w:trPr>
        <w:tc>
          <w:tcPr>
            <w:tcW w:w="2425" w:type="dxa"/>
          </w:tcPr>
          <w:p w14:paraId="5814A1C0" w14:textId="77777777" w:rsidR="005015C0" w:rsidRPr="00726506" w:rsidRDefault="005015C0" w:rsidP="00481FFA">
            <w:pPr>
              <w:tabs>
                <w:tab w:val="left" w:pos="1800"/>
              </w:tabs>
              <w:spacing w:after="80" w:afterAutospacing="0"/>
              <w:jc w:val="center"/>
            </w:pPr>
            <w:r w:rsidRPr="00726506">
              <w:t>G0470</w:t>
            </w:r>
          </w:p>
        </w:tc>
        <w:tc>
          <w:tcPr>
            <w:tcW w:w="2520" w:type="dxa"/>
          </w:tcPr>
          <w:p w14:paraId="2A8E2608" w14:textId="77777777" w:rsidR="005015C0" w:rsidRPr="00726506" w:rsidRDefault="005015C0" w:rsidP="00481FFA">
            <w:pPr>
              <w:tabs>
                <w:tab w:val="left" w:pos="1800"/>
              </w:tabs>
              <w:spacing w:after="80" w:afterAutospacing="0"/>
              <w:jc w:val="center"/>
            </w:pPr>
            <w:r w:rsidRPr="00726506">
              <w:t>$216</w:t>
            </w:r>
            <w:r>
              <w:t>.00</w:t>
            </w:r>
          </w:p>
        </w:tc>
        <w:tc>
          <w:tcPr>
            <w:tcW w:w="4230" w:type="dxa"/>
          </w:tcPr>
          <w:p w14:paraId="2A55CE3C" w14:textId="77777777" w:rsidR="005015C0" w:rsidRPr="00726506" w:rsidRDefault="005015C0" w:rsidP="00481FFA">
            <w:pPr>
              <w:tabs>
                <w:tab w:val="left" w:pos="1800"/>
              </w:tabs>
              <w:spacing w:after="80" w:afterAutospacing="0"/>
              <w:jc w:val="center"/>
            </w:pPr>
            <w:r w:rsidRPr="00726506">
              <w:t>Individual mental health visit – existing patient</w:t>
            </w:r>
          </w:p>
        </w:tc>
      </w:tr>
      <w:tr w:rsidR="005015C0" w14:paraId="34646B74" w14:textId="77777777" w:rsidTr="001F5A8A">
        <w:trPr>
          <w:jc w:val="center"/>
        </w:trPr>
        <w:tc>
          <w:tcPr>
            <w:tcW w:w="2425" w:type="dxa"/>
          </w:tcPr>
          <w:p w14:paraId="0CE8A4FF" w14:textId="77777777" w:rsidR="005015C0" w:rsidRPr="00726506" w:rsidRDefault="005015C0" w:rsidP="00481FFA">
            <w:pPr>
              <w:tabs>
                <w:tab w:val="left" w:pos="1800"/>
              </w:tabs>
              <w:spacing w:after="80" w:afterAutospacing="0"/>
              <w:jc w:val="center"/>
            </w:pPr>
            <w:r w:rsidRPr="00726506">
              <w:t>99381</w:t>
            </w:r>
          </w:p>
        </w:tc>
        <w:tc>
          <w:tcPr>
            <w:tcW w:w="2520" w:type="dxa"/>
          </w:tcPr>
          <w:p w14:paraId="540E921E"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4E086DAD"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276A5252" w14:textId="77777777" w:rsidTr="001F5A8A">
        <w:trPr>
          <w:jc w:val="center"/>
        </w:trPr>
        <w:tc>
          <w:tcPr>
            <w:tcW w:w="2425" w:type="dxa"/>
          </w:tcPr>
          <w:p w14:paraId="0B7B004F" w14:textId="77777777" w:rsidR="005015C0" w:rsidRPr="00726506" w:rsidRDefault="005015C0" w:rsidP="00481FFA">
            <w:pPr>
              <w:tabs>
                <w:tab w:val="left" w:pos="1800"/>
              </w:tabs>
              <w:spacing w:after="80" w:afterAutospacing="0"/>
              <w:jc w:val="center"/>
            </w:pPr>
            <w:r w:rsidRPr="00726506">
              <w:lastRenderedPageBreak/>
              <w:t>99382</w:t>
            </w:r>
          </w:p>
        </w:tc>
        <w:tc>
          <w:tcPr>
            <w:tcW w:w="2520" w:type="dxa"/>
          </w:tcPr>
          <w:p w14:paraId="08C78EE6"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6AC1C9DF"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17106060" w14:textId="77777777" w:rsidTr="001F5A8A">
        <w:trPr>
          <w:jc w:val="center"/>
        </w:trPr>
        <w:tc>
          <w:tcPr>
            <w:tcW w:w="2425" w:type="dxa"/>
          </w:tcPr>
          <w:p w14:paraId="34E4D341" w14:textId="77777777" w:rsidR="005015C0" w:rsidRPr="00726506" w:rsidRDefault="005015C0" w:rsidP="00481FFA">
            <w:pPr>
              <w:tabs>
                <w:tab w:val="left" w:pos="1800"/>
              </w:tabs>
              <w:spacing w:after="80" w:afterAutospacing="0"/>
              <w:jc w:val="center"/>
            </w:pPr>
            <w:r w:rsidRPr="00726506">
              <w:t>99383</w:t>
            </w:r>
          </w:p>
        </w:tc>
        <w:tc>
          <w:tcPr>
            <w:tcW w:w="2520" w:type="dxa"/>
          </w:tcPr>
          <w:p w14:paraId="498938AF"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305063C6"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39FE95AE" w14:textId="77777777" w:rsidTr="001F5A8A">
        <w:trPr>
          <w:jc w:val="center"/>
        </w:trPr>
        <w:tc>
          <w:tcPr>
            <w:tcW w:w="2425" w:type="dxa"/>
          </w:tcPr>
          <w:p w14:paraId="6A4DF440" w14:textId="77777777" w:rsidR="005015C0" w:rsidRPr="00726506" w:rsidRDefault="005015C0" w:rsidP="00481FFA">
            <w:pPr>
              <w:tabs>
                <w:tab w:val="left" w:pos="1800"/>
              </w:tabs>
              <w:spacing w:after="80" w:afterAutospacing="0"/>
              <w:jc w:val="center"/>
            </w:pPr>
            <w:r w:rsidRPr="00726506">
              <w:t>99384</w:t>
            </w:r>
          </w:p>
        </w:tc>
        <w:tc>
          <w:tcPr>
            <w:tcW w:w="2520" w:type="dxa"/>
          </w:tcPr>
          <w:p w14:paraId="4BA02FFD"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5B5DD699"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02A9FEB0" w14:textId="77777777" w:rsidTr="001F5A8A">
        <w:trPr>
          <w:jc w:val="center"/>
        </w:trPr>
        <w:tc>
          <w:tcPr>
            <w:tcW w:w="2425" w:type="dxa"/>
          </w:tcPr>
          <w:p w14:paraId="76C115D7" w14:textId="77777777" w:rsidR="005015C0" w:rsidRPr="00726506" w:rsidRDefault="005015C0" w:rsidP="00481FFA">
            <w:pPr>
              <w:tabs>
                <w:tab w:val="left" w:pos="1800"/>
              </w:tabs>
              <w:spacing w:after="80" w:afterAutospacing="0"/>
              <w:jc w:val="center"/>
            </w:pPr>
            <w:r w:rsidRPr="00726506">
              <w:t>99385</w:t>
            </w:r>
          </w:p>
        </w:tc>
        <w:tc>
          <w:tcPr>
            <w:tcW w:w="2520" w:type="dxa"/>
          </w:tcPr>
          <w:p w14:paraId="686FCCF1"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241632DD"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59399595" w14:textId="77777777" w:rsidTr="001F5A8A">
        <w:trPr>
          <w:jc w:val="center"/>
        </w:trPr>
        <w:tc>
          <w:tcPr>
            <w:tcW w:w="2425" w:type="dxa"/>
          </w:tcPr>
          <w:p w14:paraId="4E9C5478" w14:textId="77777777" w:rsidR="005015C0" w:rsidRPr="00726506" w:rsidRDefault="005015C0" w:rsidP="00481FFA">
            <w:pPr>
              <w:tabs>
                <w:tab w:val="left" w:pos="1800"/>
              </w:tabs>
              <w:spacing w:after="80" w:afterAutospacing="0"/>
              <w:jc w:val="center"/>
            </w:pPr>
            <w:r w:rsidRPr="00726506">
              <w:t>99391</w:t>
            </w:r>
          </w:p>
        </w:tc>
        <w:tc>
          <w:tcPr>
            <w:tcW w:w="2520" w:type="dxa"/>
          </w:tcPr>
          <w:p w14:paraId="5E6151B7"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5688CD52"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33F2E09B" w14:textId="77777777" w:rsidTr="001F5A8A">
        <w:trPr>
          <w:jc w:val="center"/>
        </w:trPr>
        <w:tc>
          <w:tcPr>
            <w:tcW w:w="2425" w:type="dxa"/>
          </w:tcPr>
          <w:p w14:paraId="112C6A52" w14:textId="77777777" w:rsidR="005015C0" w:rsidRPr="00726506" w:rsidRDefault="005015C0" w:rsidP="00481FFA">
            <w:pPr>
              <w:tabs>
                <w:tab w:val="left" w:pos="1800"/>
              </w:tabs>
              <w:spacing w:after="80" w:afterAutospacing="0"/>
              <w:jc w:val="center"/>
            </w:pPr>
            <w:r w:rsidRPr="00726506">
              <w:t>99392</w:t>
            </w:r>
          </w:p>
        </w:tc>
        <w:tc>
          <w:tcPr>
            <w:tcW w:w="2520" w:type="dxa"/>
          </w:tcPr>
          <w:p w14:paraId="6FF7828F"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05589FB0"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358C6B6C" w14:textId="77777777" w:rsidTr="001F5A8A">
        <w:trPr>
          <w:jc w:val="center"/>
        </w:trPr>
        <w:tc>
          <w:tcPr>
            <w:tcW w:w="2425" w:type="dxa"/>
          </w:tcPr>
          <w:p w14:paraId="079F6098" w14:textId="77777777" w:rsidR="005015C0" w:rsidRPr="00726506" w:rsidRDefault="005015C0" w:rsidP="00481FFA">
            <w:pPr>
              <w:tabs>
                <w:tab w:val="left" w:pos="1800"/>
              </w:tabs>
              <w:spacing w:after="80" w:afterAutospacing="0"/>
              <w:jc w:val="center"/>
            </w:pPr>
            <w:r w:rsidRPr="00726506">
              <w:t>99393</w:t>
            </w:r>
          </w:p>
        </w:tc>
        <w:tc>
          <w:tcPr>
            <w:tcW w:w="2520" w:type="dxa"/>
          </w:tcPr>
          <w:p w14:paraId="0849693C"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0356D740"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50E12198" w14:textId="77777777" w:rsidTr="001F5A8A">
        <w:trPr>
          <w:jc w:val="center"/>
        </w:trPr>
        <w:tc>
          <w:tcPr>
            <w:tcW w:w="2425" w:type="dxa"/>
          </w:tcPr>
          <w:p w14:paraId="6701D869" w14:textId="77777777" w:rsidR="005015C0" w:rsidRPr="00726506" w:rsidRDefault="005015C0" w:rsidP="00481FFA">
            <w:pPr>
              <w:tabs>
                <w:tab w:val="left" w:pos="1800"/>
              </w:tabs>
              <w:spacing w:after="80" w:afterAutospacing="0"/>
              <w:jc w:val="center"/>
            </w:pPr>
            <w:r w:rsidRPr="00726506">
              <w:t>99394</w:t>
            </w:r>
          </w:p>
        </w:tc>
        <w:tc>
          <w:tcPr>
            <w:tcW w:w="2520" w:type="dxa"/>
          </w:tcPr>
          <w:p w14:paraId="4CD82D9A"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1C5A57A5"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3069E709" w14:textId="77777777" w:rsidTr="001F5A8A">
        <w:trPr>
          <w:jc w:val="center"/>
        </w:trPr>
        <w:tc>
          <w:tcPr>
            <w:tcW w:w="2425" w:type="dxa"/>
          </w:tcPr>
          <w:p w14:paraId="67D29716" w14:textId="77777777" w:rsidR="005015C0" w:rsidRPr="00726506" w:rsidRDefault="005015C0" w:rsidP="00481FFA">
            <w:pPr>
              <w:tabs>
                <w:tab w:val="left" w:pos="1800"/>
              </w:tabs>
              <w:spacing w:after="80" w:afterAutospacing="0"/>
              <w:jc w:val="center"/>
            </w:pPr>
            <w:r w:rsidRPr="00726506">
              <w:t>99395</w:t>
            </w:r>
          </w:p>
        </w:tc>
        <w:tc>
          <w:tcPr>
            <w:tcW w:w="2520" w:type="dxa"/>
          </w:tcPr>
          <w:p w14:paraId="14FB2327" w14:textId="77777777" w:rsidR="005015C0" w:rsidRPr="00726506" w:rsidRDefault="005015C0" w:rsidP="00481FFA">
            <w:pPr>
              <w:tabs>
                <w:tab w:val="left" w:pos="1800"/>
              </w:tabs>
              <w:spacing w:after="80" w:afterAutospacing="0"/>
              <w:jc w:val="center"/>
            </w:pPr>
            <w:r w:rsidRPr="00726506">
              <w:t>$222</w:t>
            </w:r>
            <w:r>
              <w:t>.00</w:t>
            </w:r>
          </w:p>
        </w:tc>
        <w:tc>
          <w:tcPr>
            <w:tcW w:w="4230" w:type="dxa"/>
          </w:tcPr>
          <w:p w14:paraId="018041D3" w14:textId="77777777" w:rsidR="005015C0" w:rsidRPr="00726506" w:rsidRDefault="005015C0" w:rsidP="00481FFA">
            <w:pPr>
              <w:tabs>
                <w:tab w:val="left" w:pos="1800"/>
              </w:tabs>
              <w:spacing w:after="80" w:afterAutospacing="0"/>
              <w:jc w:val="center"/>
            </w:pPr>
            <w:r w:rsidRPr="00726506">
              <w:t>EPSDT</w:t>
            </w:r>
            <w:r>
              <w:t xml:space="preserve"> visit</w:t>
            </w:r>
          </w:p>
        </w:tc>
      </w:tr>
      <w:tr w:rsidR="005015C0" w14:paraId="2605E1F1" w14:textId="77777777" w:rsidTr="001F5A8A">
        <w:trPr>
          <w:jc w:val="center"/>
        </w:trPr>
        <w:tc>
          <w:tcPr>
            <w:tcW w:w="2425" w:type="dxa"/>
          </w:tcPr>
          <w:p w14:paraId="69D124A0" w14:textId="77777777" w:rsidR="005015C0" w:rsidRPr="00726506" w:rsidRDefault="005015C0" w:rsidP="00481FFA">
            <w:pPr>
              <w:tabs>
                <w:tab w:val="left" w:pos="1800"/>
              </w:tabs>
              <w:spacing w:after="80" w:afterAutospacing="0"/>
              <w:jc w:val="center"/>
            </w:pPr>
            <w:r w:rsidRPr="00726506">
              <w:t>99605</w:t>
            </w:r>
          </w:p>
        </w:tc>
        <w:tc>
          <w:tcPr>
            <w:tcW w:w="2520" w:type="dxa"/>
          </w:tcPr>
          <w:p w14:paraId="17770A19" w14:textId="77777777" w:rsidR="005015C0" w:rsidRPr="00726506" w:rsidRDefault="005015C0" w:rsidP="00481FFA">
            <w:pPr>
              <w:tabs>
                <w:tab w:val="left" w:pos="1800"/>
              </w:tabs>
              <w:spacing w:after="80" w:afterAutospacing="0"/>
              <w:jc w:val="center"/>
            </w:pPr>
            <w:r w:rsidRPr="00726506">
              <w:t>$52.00</w:t>
            </w:r>
          </w:p>
        </w:tc>
        <w:tc>
          <w:tcPr>
            <w:tcW w:w="4230" w:type="dxa"/>
          </w:tcPr>
          <w:p w14:paraId="4CCB1588" w14:textId="77777777" w:rsidR="005015C0" w:rsidRPr="00726506" w:rsidRDefault="005015C0" w:rsidP="00481FFA">
            <w:pPr>
              <w:tabs>
                <w:tab w:val="left" w:pos="1800"/>
              </w:tabs>
              <w:spacing w:after="80" w:afterAutospacing="0"/>
              <w:jc w:val="center"/>
            </w:pPr>
            <w:r>
              <w:t>MTM or CDTM service</w:t>
            </w:r>
          </w:p>
        </w:tc>
      </w:tr>
      <w:tr w:rsidR="005015C0" w14:paraId="0DDA672E" w14:textId="77777777" w:rsidTr="001F5A8A">
        <w:trPr>
          <w:jc w:val="center"/>
        </w:trPr>
        <w:tc>
          <w:tcPr>
            <w:tcW w:w="2425" w:type="dxa"/>
          </w:tcPr>
          <w:p w14:paraId="4AB9A4BB" w14:textId="77777777" w:rsidR="005015C0" w:rsidRPr="00726506" w:rsidRDefault="005015C0" w:rsidP="00481FFA">
            <w:pPr>
              <w:tabs>
                <w:tab w:val="left" w:pos="1800"/>
              </w:tabs>
              <w:spacing w:after="80" w:afterAutospacing="0"/>
              <w:jc w:val="center"/>
            </w:pPr>
            <w:r w:rsidRPr="00726506">
              <w:t>99606</w:t>
            </w:r>
          </w:p>
        </w:tc>
        <w:tc>
          <w:tcPr>
            <w:tcW w:w="2520" w:type="dxa"/>
          </w:tcPr>
          <w:p w14:paraId="4EF16D07" w14:textId="77777777" w:rsidR="005015C0" w:rsidRPr="00726506" w:rsidRDefault="005015C0" w:rsidP="00481FFA">
            <w:pPr>
              <w:tabs>
                <w:tab w:val="left" w:pos="1800"/>
              </w:tabs>
              <w:spacing w:after="80" w:afterAutospacing="0"/>
              <w:jc w:val="center"/>
            </w:pPr>
            <w:r w:rsidRPr="00726506">
              <w:t>$34.00</w:t>
            </w:r>
          </w:p>
        </w:tc>
        <w:tc>
          <w:tcPr>
            <w:tcW w:w="4230" w:type="dxa"/>
          </w:tcPr>
          <w:p w14:paraId="1EF0903E" w14:textId="77777777" w:rsidR="005015C0" w:rsidRPr="00726506" w:rsidRDefault="005015C0" w:rsidP="00481FFA">
            <w:pPr>
              <w:tabs>
                <w:tab w:val="left" w:pos="1800"/>
              </w:tabs>
              <w:spacing w:after="80" w:afterAutospacing="0"/>
              <w:jc w:val="center"/>
            </w:pPr>
            <w:r w:rsidRPr="00726506">
              <w:t>MTM</w:t>
            </w:r>
            <w:r>
              <w:t xml:space="preserve"> or </w:t>
            </w:r>
            <w:r w:rsidRPr="00726506">
              <w:t>CDTM</w:t>
            </w:r>
            <w:r>
              <w:t xml:space="preserve"> service</w:t>
            </w:r>
          </w:p>
        </w:tc>
      </w:tr>
      <w:tr w:rsidR="005015C0" w14:paraId="380AA8AE" w14:textId="77777777" w:rsidTr="001F5A8A">
        <w:trPr>
          <w:jc w:val="center"/>
        </w:trPr>
        <w:tc>
          <w:tcPr>
            <w:tcW w:w="2425" w:type="dxa"/>
          </w:tcPr>
          <w:p w14:paraId="0EB4FC39" w14:textId="77777777" w:rsidR="005015C0" w:rsidRPr="00726506" w:rsidRDefault="005015C0" w:rsidP="00481FFA">
            <w:pPr>
              <w:tabs>
                <w:tab w:val="left" w:pos="1800"/>
              </w:tabs>
              <w:spacing w:after="80" w:afterAutospacing="0"/>
              <w:jc w:val="center"/>
            </w:pPr>
            <w:r w:rsidRPr="00726506">
              <w:t>99607</w:t>
            </w:r>
          </w:p>
        </w:tc>
        <w:tc>
          <w:tcPr>
            <w:tcW w:w="2520" w:type="dxa"/>
          </w:tcPr>
          <w:p w14:paraId="503CC623" w14:textId="77777777" w:rsidR="005015C0" w:rsidRPr="00726506" w:rsidRDefault="005015C0" w:rsidP="00481FFA">
            <w:pPr>
              <w:tabs>
                <w:tab w:val="left" w:pos="1800"/>
              </w:tabs>
              <w:spacing w:after="80" w:afterAutospacing="0"/>
              <w:jc w:val="center"/>
            </w:pPr>
            <w:r w:rsidRPr="00726506">
              <w:t>$24.00</w:t>
            </w:r>
          </w:p>
        </w:tc>
        <w:tc>
          <w:tcPr>
            <w:tcW w:w="4230" w:type="dxa"/>
          </w:tcPr>
          <w:p w14:paraId="468A05BB" w14:textId="77777777" w:rsidR="005015C0" w:rsidRPr="00726506" w:rsidRDefault="005015C0" w:rsidP="00481FFA">
            <w:pPr>
              <w:tabs>
                <w:tab w:val="left" w:pos="1800"/>
              </w:tabs>
              <w:spacing w:after="80" w:afterAutospacing="0"/>
              <w:jc w:val="center"/>
            </w:pPr>
            <w:r w:rsidRPr="00726506">
              <w:t>MTM</w:t>
            </w:r>
            <w:r>
              <w:t xml:space="preserve"> or </w:t>
            </w:r>
            <w:r w:rsidRPr="00726506">
              <w:t>CDTM</w:t>
            </w:r>
            <w:r>
              <w:t xml:space="preserve"> service</w:t>
            </w:r>
          </w:p>
        </w:tc>
      </w:tr>
      <w:tr w:rsidR="005015C0" w14:paraId="6E136E7E" w14:textId="77777777" w:rsidTr="001F5A8A">
        <w:trPr>
          <w:jc w:val="center"/>
        </w:trPr>
        <w:tc>
          <w:tcPr>
            <w:tcW w:w="2425" w:type="dxa"/>
          </w:tcPr>
          <w:p w14:paraId="0BF5FB92" w14:textId="77777777" w:rsidR="005015C0" w:rsidRPr="00726506" w:rsidRDefault="005015C0" w:rsidP="00481FFA">
            <w:pPr>
              <w:tabs>
                <w:tab w:val="left" w:pos="1800"/>
              </w:tabs>
              <w:spacing w:after="80" w:afterAutospacing="0"/>
              <w:jc w:val="center"/>
            </w:pPr>
            <w:r w:rsidRPr="00726506">
              <w:t>G0511</w:t>
            </w:r>
          </w:p>
        </w:tc>
        <w:tc>
          <w:tcPr>
            <w:tcW w:w="2520" w:type="dxa"/>
          </w:tcPr>
          <w:p w14:paraId="76C0DA24" w14:textId="77777777" w:rsidR="005015C0" w:rsidRPr="00726506" w:rsidRDefault="005015C0" w:rsidP="00481FFA">
            <w:pPr>
              <w:tabs>
                <w:tab w:val="left" w:pos="1800"/>
              </w:tabs>
              <w:spacing w:after="80" w:afterAutospacing="0"/>
              <w:jc w:val="center"/>
            </w:pPr>
            <w:r w:rsidRPr="00726506">
              <w:t>$5</w:t>
            </w:r>
            <w:r>
              <w:t>6.98</w:t>
            </w:r>
          </w:p>
        </w:tc>
        <w:tc>
          <w:tcPr>
            <w:tcW w:w="4230" w:type="dxa"/>
          </w:tcPr>
          <w:p w14:paraId="5F7D8991" w14:textId="77777777" w:rsidR="005015C0" w:rsidRPr="00726506" w:rsidRDefault="005015C0" w:rsidP="00481FFA">
            <w:pPr>
              <w:tabs>
                <w:tab w:val="left" w:pos="1800"/>
              </w:tabs>
              <w:spacing w:after="80" w:afterAutospacing="0"/>
              <w:jc w:val="center"/>
            </w:pPr>
            <w:r>
              <w:t>BHI service</w:t>
            </w:r>
          </w:p>
        </w:tc>
      </w:tr>
      <w:tr w:rsidR="005015C0" w14:paraId="361FC26F" w14:textId="77777777" w:rsidTr="001F5A8A">
        <w:trPr>
          <w:jc w:val="center"/>
        </w:trPr>
        <w:tc>
          <w:tcPr>
            <w:tcW w:w="2425" w:type="dxa"/>
          </w:tcPr>
          <w:p w14:paraId="7A82CA69" w14:textId="77777777" w:rsidR="005015C0" w:rsidRPr="00726506" w:rsidRDefault="005015C0" w:rsidP="00481FFA">
            <w:pPr>
              <w:tabs>
                <w:tab w:val="left" w:pos="1800"/>
              </w:tabs>
              <w:spacing w:after="80" w:afterAutospacing="0"/>
              <w:jc w:val="center"/>
            </w:pPr>
            <w:r w:rsidRPr="00726506">
              <w:t>G0512</w:t>
            </w:r>
          </w:p>
        </w:tc>
        <w:tc>
          <w:tcPr>
            <w:tcW w:w="2520" w:type="dxa"/>
          </w:tcPr>
          <w:p w14:paraId="069C1B0E" w14:textId="77777777" w:rsidR="005015C0" w:rsidRPr="00726506" w:rsidRDefault="005015C0" w:rsidP="00481FFA">
            <w:pPr>
              <w:tabs>
                <w:tab w:val="left" w:pos="1800"/>
              </w:tabs>
              <w:spacing w:after="80" w:afterAutospacing="0"/>
              <w:jc w:val="center"/>
            </w:pPr>
            <w:r w:rsidRPr="00726506">
              <w:t>$124</w:t>
            </w:r>
            <w:r>
              <w:t>.07</w:t>
            </w:r>
          </w:p>
        </w:tc>
        <w:tc>
          <w:tcPr>
            <w:tcW w:w="4230" w:type="dxa"/>
          </w:tcPr>
          <w:p w14:paraId="2DC693C5" w14:textId="77777777" w:rsidR="005015C0" w:rsidRPr="00726506" w:rsidRDefault="005015C0" w:rsidP="00481FFA">
            <w:pPr>
              <w:tabs>
                <w:tab w:val="left" w:pos="1800"/>
              </w:tabs>
              <w:spacing w:after="80" w:afterAutospacing="0"/>
              <w:jc w:val="center"/>
            </w:pPr>
            <w:proofErr w:type="spellStart"/>
            <w:r>
              <w:t>CoCM</w:t>
            </w:r>
            <w:proofErr w:type="spellEnd"/>
            <w:r>
              <w:t xml:space="preserve"> service</w:t>
            </w:r>
          </w:p>
        </w:tc>
      </w:tr>
    </w:tbl>
    <w:bookmarkEnd w:id="3"/>
    <w:p w14:paraId="13FF2966" w14:textId="77777777" w:rsidR="005015C0" w:rsidRPr="00C11D20" w:rsidRDefault="005015C0" w:rsidP="001C0CCC">
      <w:pPr>
        <w:pStyle w:val="Heading2"/>
      </w:pPr>
      <w:r>
        <w:t xml:space="preserve">Payment for Other </w:t>
      </w:r>
      <w:r w:rsidRPr="00C11D20">
        <w:t>Community Health Center Services</w:t>
      </w:r>
    </w:p>
    <w:p w14:paraId="3EE3E008" w14:textId="1C775B37" w:rsidR="005015C0" w:rsidRDefault="005015C0" w:rsidP="005015C0">
      <w:r w:rsidRPr="00E61479">
        <w:t xml:space="preserve">The </w:t>
      </w:r>
      <w:r>
        <w:t xml:space="preserve">rates, codes, billing procedures and coverage for all other services provided by CHCs not listed in </w:t>
      </w:r>
      <w:r w:rsidR="008A67E1">
        <w:t>Table 1</w:t>
      </w:r>
      <w:r>
        <w:t xml:space="preserve"> remain unchanged and are not affected by this bulletin or the amendments to regulation 101 CMR 304.00</w:t>
      </w:r>
      <w:r w:rsidRPr="00E61479">
        <w:t>.</w:t>
      </w:r>
    </w:p>
    <w:p w14:paraId="471672AA" w14:textId="29F31630" w:rsidR="005015C0" w:rsidRPr="003B60B8" w:rsidRDefault="007B613F" w:rsidP="001C0CCC">
      <w:pPr>
        <w:pStyle w:val="Heading2"/>
      </w:pPr>
      <w:r>
        <w:t xml:space="preserve">Review of </w:t>
      </w:r>
      <w:r w:rsidR="005015C0">
        <w:t xml:space="preserve">Encounter Data and Penalties for Noncompliance </w:t>
      </w:r>
    </w:p>
    <w:p w14:paraId="4339C2D8" w14:textId="412D402A" w:rsidR="005015C0" w:rsidRDefault="005015C0" w:rsidP="005015C0">
      <w:r>
        <w:t xml:space="preserve">MassHealth may review MCE encounter data to monitor compliance with the requirements in this bulletin. If MassHealth determines that an MCE failed to pay at or above the MassHealth FFS rates </w:t>
      </w:r>
      <w:r w:rsidR="008A67E1">
        <w:t>in Table 1</w:t>
      </w:r>
      <w:r>
        <w:t xml:space="preserve"> for the visits and services </w:t>
      </w:r>
      <w:r w:rsidR="008A67E1">
        <w:t>in this bulletin</w:t>
      </w:r>
      <w:r>
        <w:t xml:space="preserve"> and in 101 CMR 304</w:t>
      </w:r>
      <w:r w:rsidR="00B925DF">
        <w:t>.00</w:t>
      </w:r>
      <w:r>
        <w:t xml:space="preserve">, </w:t>
      </w:r>
      <w:r w:rsidR="008A67E1">
        <w:t>that</w:t>
      </w:r>
      <w:r>
        <w:t xml:space="preserve"> MCE must reconcile any discrepancy in paid amounts. </w:t>
      </w:r>
      <w:r w:rsidR="008A67E1">
        <w:t>A</w:t>
      </w:r>
      <w:r>
        <w:t xml:space="preserve">n MCE </w:t>
      </w:r>
      <w:r w:rsidR="008A67E1">
        <w:t xml:space="preserve">that fails </w:t>
      </w:r>
      <w:r>
        <w:t>to reconcile a discrepancy identified by MassHealth within a reasonable time as determined by MassHealth may be subject to financial penalty.</w:t>
      </w:r>
    </w:p>
    <w:p w14:paraId="0A021D3A" w14:textId="77777777" w:rsidR="001C0CCC" w:rsidRDefault="001C0CCC" w:rsidP="005015C0">
      <w:pPr>
        <w:sectPr w:rsidR="001C0C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F00290C" w14:textId="2B1ED910" w:rsidR="001C0CCC" w:rsidRDefault="001C0CCC" w:rsidP="005015C0">
      <w:r>
        <w:br w:type="page"/>
      </w:r>
    </w:p>
    <w:p w14:paraId="1A1973FA" w14:textId="77777777" w:rsidR="001C0CCC" w:rsidRPr="008D0ED5" w:rsidRDefault="001C0CCC" w:rsidP="008D0ED5">
      <w:pPr>
        <w:pStyle w:val="Heading2"/>
      </w:pPr>
      <w:bookmarkStart w:id="4" w:name="_Hlk98225565"/>
      <w:r w:rsidRPr="008D0ED5">
        <w:lastRenderedPageBreak/>
        <w:t>MassHealth Compliance with BIPA</w:t>
      </w:r>
    </w:p>
    <w:bookmarkEnd w:id="4"/>
    <w:p w14:paraId="5D82F1BF" w14:textId="0767DD5A" w:rsidR="001C0CCC" w:rsidRDefault="001C0CCC" w:rsidP="001C0CCC">
      <w:r w:rsidRPr="007E75CA">
        <w:t xml:space="preserve">Additionally, MassHealth will review MCEs’ encounter data quarterly or otherwise as necessary to determine the total number of claims submitted to MCEs through the codes listed in </w:t>
      </w:r>
      <w:r w:rsidR="008A67E1">
        <w:t>T</w:t>
      </w:r>
      <w:r w:rsidRPr="007E75CA">
        <w:t xml:space="preserve">able </w:t>
      </w:r>
      <w:r w:rsidR="008A67E1">
        <w:t>1</w:t>
      </w:r>
      <w:r w:rsidR="007B613F">
        <w:t xml:space="preserve"> </w:t>
      </w:r>
      <w:r w:rsidRPr="007E75CA">
        <w:t xml:space="preserve">each quarter, as well as the quarterly total aggregate amounts paid by MCEs for all services and visits listed in </w:t>
      </w:r>
      <w:r w:rsidR="007B613F">
        <w:t>T</w:t>
      </w:r>
      <w:r w:rsidRPr="007E75CA">
        <w:t xml:space="preserve">able </w:t>
      </w:r>
      <w:r w:rsidR="007B613F">
        <w:t>1</w:t>
      </w:r>
      <w:r w:rsidRPr="007E75CA">
        <w:t xml:space="preserve">. This review is necessary for MassHealth’s continued compliance with BIPA, to ensure that, in aggregate, </w:t>
      </w:r>
      <w:r>
        <w:t xml:space="preserve">total payments under the APM, including </w:t>
      </w:r>
      <w:r w:rsidRPr="007E75CA">
        <w:t xml:space="preserve">MCE </w:t>
      </w:r>
      <w:r>
        <w:t xml:space="preserve">and FFS </w:t>
      </w:r>
      <w:r w:rsidRPr="007E75CA">
        <w:t>payments</w:t>
      </w:r>
      <w:r>
        <w:t>,</w:t>
      </w:r>
      <w:r w:rsidRPr="007E75CA">
        <w:t xml:space="preserve"> to CHCs for the service and visits listed in the table above are at or above what MassHealth would have paid under the individual PPS rates for each CHC.</w:t>
      </w:r>
    </w:p>
    <w:p w14:paraId="03810182" w14:textId="77777777" w:rsidR="001C0CCC" w:rsidRPr="00D82264" w:rsidRDefault="001C0CCC" w:rsidP="001C0CCC">
      <w:pPr>
        <w:pStyle w:val="Heading2"/>
      </w:pPr>
      <w:r>
        <w:t xml:space="preserve">Additional </w:t>
      </w:r>
      <w:r w:rsidRPr="00D82264">
        <w:t>Reporting Requirement</w:t>
      </w:r>
    </w:p>
    <w:p w14:paraId="5F8EFB88" w14:textId="01B7FE17" w:rsidR="001C0CCC" w:rsidRPr="003B60B8" w:rsidRDefault="001C0CCC" w:rsidP="001C0CCC">
      <w:pPr>
        <w:rPr>
          <w:b/>
          <w:bCs/>
          <w:color w:val="1F497D"/>
        </w:rPr>
      </w:pPr>
      <w:r>
        <w:t xml:space="preserve">When directed by MassHealth, MCEs must provide, in the form and format specified by MassHealth, any additional information or data requested regarding claims and payments related to the codes for CHC services and visits set forth in </w:t>
      </w:r>
      <w:r w:rsidR="007B613F">
        <w:t>T</w:t>
      </w:r>
      <w:r w:rsidR="008A67E1">
        <w:t>able 1</w:t>
      </w:r>
      <w:r>
        <w:t>.</w:t>
      </w:r>
    </w:p>
    <w:p w14:paraId="11798209" w14:textId="77777777" w:rsidR="00F664CC" w:rsidRPr="001C0CCC" w:rsidRDefault="00F664CC" w:rsidP="001C0CCC">
      <w:pPr>
        <w:pStyle w:val="Heading2"/>
      </w:pPr>
      <w:r w:rsidRPr="001C0CCC">
        <w:t>MassHealth Website</w:t>
      </w:r>
      <w:r w:rsidR="001554E7" w:rsidRPr="001C0CCC">
        <w:t xml:space="preserve"> </w:t>
      </w:r>
    </w:p>
    <w:p w14:paraId="7D7E428C" w14:textId="77777777" w:rsidR="00F664CC" w:rsidRPr="009901A7" w:rsidRDefault="00F664CC" w:rsidP="007B613F">
      <w:pPr>
        <w:spacing w:after="120" w:afterAutospacing="0"/>
      </w:pPr>
      <w:r w:rsidRPr="009901A7">
        <w:t>This bulletin is available</w:t>
      </w:r>
      <w:r w:rsidR="008B6E51">
        <w:t xml:space="preserve"> 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BA0435" w:rsidP="00E27CD8">
      <w:hyperlink r:id="rId11"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9901A7" w:rsidRDefault="00F664CC" w:rsidP="001C0CCC">
      <w:pPr>
        <w:pStyle w:val="Heading2"/>
      </w:pPr>
      <w:r w:rsidRPr="009901A7">
        <w:t>Questions</w:t>
      </w:r>
      <w:r w:rsidR="001554E7">
        <w:t xml:space="preserve"> </w:t>
      </w:r>
    </w:p>
    <w:p w14:paraId="7BAB09CA"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2" w:history="1">
        <w:r w:rsidRPr="009901A7">
          <w:rPr>
            <w:rStyle w:val="Hyperlink"/>
          </w:rPr>
          <w:t>providersupport@mahealth.net</w:t>
        </w:r>
      </w:hyperlink>
      <w:r w:rsidRPr="009901A7">
        <w:t>, or fax your inquiry to (617) 988</w:t>
      </w:r>
      <w:r w:rsidRPr="009901A7">
        <w:noBreakHyphen/>
        <w:t>8974.</w:t>
      </w:r>
    </w:p>
    <w:sectPr w:rsidR="00CC1E11" w:rsidRPr="00F664CC" w:rsidSect="0059142C">
      <w:footerReference w:type="default" r:id="rId13"/>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BE0D" w14:textId="77777777" w:rsidR="00997287" w:rsidRDefault="00997287" w:rsidP="00E27CD8">
      <w:r>
        <w:separator/>
      </w:r>
    </w:p>
  </w:endnote>
  <w:endnote w:type="continuationSeparator" w:id="0">
    <w:p w14:paraId="3951D73E" w14:textId="77777777" w:rsidR="00997287" w:rsidRDefault="0099728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A126" w14:textId="77777777" w:rsidR="001C0CCC" w:rsidRPr="00CC1E11" w:rsidRDefault="001C0CCC"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180E" w14:textId="77777777" w:rsidR="00997287" w:rsidRDefault="00997287" w:rsidP="00E27CD8">
      <w:r>
        <w:separator/>
      </w:r>
    </w:p>
  </w:footnote>
  <w:footnote w:type="continuationSeparator" w:id="0">
    <w:p w14:paraId="7CBDF66F" w14:textId="77777777" w:rsidR="00997287" w:rsidRDefault="0099728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5E58A6C1" w14:textId="33CC2F57" w:rsidR="00AD204A" w:rsidRPr="00F664CC" w:rsidRDefault="001C0CCC" w:rsidP="00AD204A">
    <w:pPr>
      <w:pStyle w:val="BullsHeading"/>
    </w:pPr>
    <w:r>
      <w:t xml:space="preserve">Managed Care Entities </w:t>
    </w:r>
    <w:r w:rsidR="00AD204A" w:rsidRPr="00F664CC">
      <w:t xml:space="preserve">Bulletin </w:t>
    </w:r>
    <w:r w:rsidR="000C205F">
      <w:t>84</w:t>
    </w:r>
  </w:p>
  <w:p w14:paraId="0A02203F" w14:textId="18777508" w:rsidR="00AD204A" w:rsidRDefault="006010EE" w:rsidP="00AD204A">
    <w:pPr>
      <w:pStyle w:val="BullsHeading"/>
    </w:pPr>
    <w:r>
      <w:t>March</w:t>
    </w:r>
    <w:r w:rsidR="001C0CCC">
      <w:t xml:space="preserve"> 2022</w:t>
    </w:r>
  </w:p>
  <w:p w14:paraId="0E9BB41B" w14:textId="77777777" w:rsidR="00AD204A" w:rsidRDefault="00AD204A" w:rsidP="001C0CCC">
    <w:pPr>
      <w:pStyle w:val="BullsHeading"/>
      <w:spacing w:after="24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r w:rsidR="00BA0435">
      <w:fldChar w:fldCharType="begin"/>
    </w:r>
    <w:r w:rsidR="00BA0435">
      <w:instrText xml:space="preserve"> NUMPAGES  \* Arabic  \* MERGEFORMAT </w:instrText>
    </w:r>
    <w:r w:rsidR="00BA0435">
      <w:fldChar w:fldCharType="separate"/>
    </w:r>
    <w:r w:rsidR="0059659B">
      <w:rPr>
        <w:noProof/>
      </w:rPr>
      <w:t>2</w:t>
    </w:r>
    <w:r w:rsidR="00BA043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66574"/>
    <w:multiLevelType w:val="hybridMultilevel"/>
    <w:tmpl w:val="D5C45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F8B7D6D"/>
    <w:multiLevelType w:val="hybridMultilevel"/>
    <w:tmpl w:val="50AA0F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81C4E"/>
    <w:rsid w:val="000A06F2"/>
    <w:rsid w:val="000B17A7"/>
    <w:rsid w:val="000C205F"/>
    <w:rsid w:val="000D3DB5"/>
    <w:rsid w:val="00150BCC"/>
    <w:rsid w:val="001554E7"/>
    <w:rsid w:val="001634DD"/>
    <w:rsid w:val="00194854"/>
    <w:rsid w:val="001C0CCC"/>
    <w:rsid w:val="001F5A8A"/>
    <w:rsid w:val="00221556"/>
    <w:rsid w:val="0028720F"/>
    <w:rsid w:val="002E76A0"/>
    <w:rsid w:val="002F2993"/>
    <w:rsid w:val="003A7588"/>
    <w:rsid w:val="003E2878"/>
    <w:rsid w:val="003F216F"/>
    <w:rsid w:val="003F74C9"/>
    <w:rsid w:val="00481FFA"/>
    <w:rsid w:val="004A054F"/>
    <w:rsid w:val="004A7718"/>
    <w:rsid w:val="004F4B9A"/>
    <w:rsid w:val="005015C0"/>
    <w:rsid w:val="005068BD"/>
    <w:rsid w:val="00507CFF"/>
    <w:rsid w:val="0058634E"/>
    <w:rsid w:val="0059142C"/>
    <w:rsid w:val="0059659B"/>
    <w:rsid w:val="005B1AAB"/>
    <w:rsid w:val="005B27F1"/>
    <w:rsid w:val="005C6224"/>
    <w:rsid w:val="005D136A"/>
    <w:rsid w:val="005E4B62"/>
    <w:rsid w:val="005F2B69"/>
    <w:rsid w:val="006010EE"/>
    <w:rsid w:val="00636084"/>
    <w:rsid w:val="006941BF"/>
    <w:rsid w:val="006C70F9"/>
    <w:rsid w:val="006D3F15"/>
    <w:rsid w:val="00706438"/>
    <w:rsid w:val="00746720"/>
    <w:rsid w:val="00777A22"/>
    <w:rsid w:val="00795E06"/>
    <w:rsid w:val="007B613F"/>
    <w:rsid w:val="007F7DBF"/>
    <w:rsid w:val="007F7E78"/>
    <w:rsid w:val="00802603"/>
    <w:rsid w:val="008201CC"/>
    <w:rsid w:val="00863041"/>
    <w:rsid w:val="008662D0"/>
    <w:rsid w:val="008A67E1"/>
    <w:rsid w:val="008B6E51"/>
    <w:rsid w:val="008D0ED5"/>
    <w:rsid w:val="008E1C38"/>
    <w:rsid w:val="0091287F"/>
    <w:rsid w:val="00914588"/>
    <w:rsid w:val="00922F04"/>
    <w:rsid w:val="00982839"/>
    <w:rsid w:val="00997287"/>
    <w:rsid w:val="00A027C6"/>
    <w:rsid w:val="00A772C1"/>
    <w:rsid w:val="00A95FC1"/>
    <w:rsid w:val="00AA6085"/>
    <w:rsid w:val="00AD204A"/>
    <w:rsid w:val="00AD6899"/>
    <w:rsid w:val="00B73653"/>
    <w:rsid w:val="00B925DF"/>
    <w:rsid w:val="00BA0435"/>
    <w:rsid w:val="00BC3755"/>
    <w:rsid w:val="00BD2DAF"/>
    <w:rsid w:val="00BE41CB"/>
    <w:rsid w:val="00C024A2"/>
    <w:rsid w:val="00CC1E11"/>
    <w:rsid w:val="00CD456D"/>
    <w:rsid w:val="00CE6B8D"/>
    <w:rsid w:val="00D10025"/>
    <w:rsid w:val="00DD156F"/>
    <w:rsid w:val="00E01D80"/>
    <w:rsid w:val="00E27CD8"/>
    <w:rsid w:val="00ED497C"/>
    <w:rsid w:val="00EF1A29"/>
    <w:rsid w:val="00F60574"/>
    <w:rsid w:val="00F664CC"/>
    <w:rsid w:val="00F73D6F"/>
    <w:rsid w:val="00F74F30"/>
    <w:rsid w:val="00F75E74"/>
    <w:rsid w:val="00FD2F6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1C0CCC"/>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C0CCC"/>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5015C0"/>
    <w:pPr>
      <w:ind w:left="720"/>
      <w:contextualSpacing/>
    </w:pPr>
  </w:style>
  <w:style w:type="table" w:styleId="TableGrid">
    <w:name w:val="Table Grid"/>
    <w:basedOn w:val="TableNormal"/>
    <w:uiPriority w:val="39"/>
    <w:rsid w:val="0050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36A"/>
    <w:rPr>
      <w:sz w:val="16"/>
      <w:szCs w:val="16"/>
    </w:rPr>
  </w:style>
  <w:style w:type="paragraph" w:styleId="CommentText">
    <w:name w:val="annotation text"/>
    <w:basedOn w:val="Normal"/>
    <w:link w:val="CommentTextChar"/>
    <w:uiPriority w:val="99"/>
    <w:semiHidden/>
    <w:unhideWhenUsed/>
    <w:rsid w:val="005D136A"/>
    <w:rPr>
      <w:sz w:val="20"/>
      <w:szCs w:val="20"/>
    </w:rPr>
  </w:style>
  <w:style w:type="character" w:customStyle="1" w:styleId="CommentTextChar">
    <w:name w:val="Comment Text Char"/>
    <w:basedOn w:val="DefaultParagraphFont"/>
    <w:link w:val="CommentText"/>
    <w:uiPriority w:val="99"/>
    <w:semiHidden/>
    <w:rsid w:val="005D136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D136A"/>
    <w:rPr>
      <w:b/>
      <w:bCs/>
    </w:rPr>
  </w:style>
  <w:style w:type="character" w:customStyle="1" w:styleId="CommentSubjectChar">
    <w:name w:val="Comment Subject Char"/>
    <w:basedOn w:val="CommentTextChar"/>
    <w:link w:val="CommentSubject"/>
    <w:uiPriority w:val="99"/>
    <w:semiHidden/>
    <w:rsid w:val="005D136A"/>
    <w:rPr>
      <w:rFonts w:ascii="Georgia" w:eastAsia="Times New Roman" w:hAnsi="Georgia" w:cs="Times New Roman"/>
      <w:b/>
      <w:bCs/>
      <w:sz w:val="20"/>
      <w:szCs w:val="20"/>
    </w:rPr>
  </w:style>
  <w:style w:type="paragraph" w:styleId="Revision">
    <w:name w:val="Revision"/>
    <w:hidden/>
    <w:uiPriority w:val="99"/>
    <w:semiHidden/>
    <w:rsid w:val="00802603"/>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5310">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1264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vidersupport@maheal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1072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MCE-84</dc:title>
  <dc:creator>MassHeatlh</dc:creator>
  <cp:lastModifiedBy>Sousa, Pam (EHS)</cp:lastModifiedBy>
  <cp:revision>2</cp:revision>
  <cp:lastPrinted>2022-03-15T12:32:00Z</cp:lastPrinted>
  <dcterms:created xsi:type="dcterms:W3CDTF">2022-03-15T14:14:00Z</dcterms:created>
  <dcterms:modified xsi:type="dcterms:W3CDTF">2022-03-15T14:14:00Z</dcterms:modified>
</cp:coreProperties>
</file>