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50A88A3" w14:textId="0A618621" w:rsidR="004E57ED" w:rsidRPr="00CF5E11" w:rsidRDefault="004E57ED" w:rsidP="00CB44F4">
      <w:pPr>
        <w:pStyle w:val="Heading1"/>
      </w:pPr>
      <w:r w:rsidRPr="00CF5E11">
        <w:t>MassHealth 20</w:t>
      </w:r>
      <w:r w:rsidR="00766800" w:rsidRPr="00CF5E11">
        <w:t>2</w:t>
      </w:r>
      <w:r w:rsidR="00217B7F" w:rsidRPr="00CF5E11">
        <w:t>3</w:t>
      </w:r>
      <w:r w:rsidRPr="00CF5E11">
        <w:t xml:space="preserve"> Managed Care Plan Quality Performance </w:t>
      </w:r>
    </w:p>
    <w:p w14:paraId="272BDA49" w14:textId="58F5BA8A" w:rsidR="00541BD3" w:rsidRPr="00CF5E11" w:rsidRDefault="00541BD3" w:rsidP="00556079">
      <w:pPr>
        <w:spacing w:after="0"/>
        <w:rPr>
          <w:rFonts w:asciiTheme="majorHAnsi" w:hAnsiTheme="majorHAnsi"/>
          <w:i/>
          <w:iCs/>
        </w:rPr>
      </w:pPr>
      <w:r w:rsidRPr="00CF5E11">
        <w:rPr>
          <w:rFonts w:asciiTheme="majorHAnsi" w:hAnsiTheme="majorHAnsi"/>
          <w:i/>
          <w:iCs/>
        </w:rPr>
        <w:t>Louise Bannister</w:t>
      </w:r>
    </w:p>
    <w:p w14:paraId="569FDC75" w14:textId="75CD6689" w:rsidR="00541BD3" w:rsidRPr="00CF5E11" w:rsidRDefault="00541BD3" w:rsidP="00556079">
      <w:pPr>
        <w:spacing w:after="0"/>
        <w:rPr>
          <w:rFonts w:asciiTheme="majorHAnsi" w:hAnsiTheme="majorHAnsi"/>
          <w:i/>
          <w:iCs/>
        </w:rPr>
      </w:pPr>
      <w:r w:rsidRPr="00CF5E11">
        <w:rPr>
          <w:rFonts w:asciiTheme="majorHAnsi" w:hAnsiTheme="majorHAnsi"/>
          <w:i/>
          <w:iCs/>
        </w:rPr>
        <w:t>Paul Kirby</w:t>
      </w:r>
    </w:p>
    <w:p w14:paraId="063A1808" w14:textId="1955B062" w:rsidR="00217B7F" w:rsidRPr="00CF5E11" w:rsidRDefault="00217B7F" w:rsidP="00556079">
      <w:pPr>
        <w:spacing w:after="0"/>
        <w:rPr>
          <w:rFonts w:asciiTheme="majorHAnsi" w:hAnsiTheme="majorHAnsi"/>
          <w:i/>
          <w:iCs/>
        </w:rPr>
      </w:pPr>
      <w:r w:rsidRPr="00CF5E11">
        <w:rPr>
          <w:rFonts w:asciiTheme="majorHAnsi" w:hAnsiTheme="majorHAnsi"/>
          <w:i/>
          <w:iCs/>
        </w:rPr>
        <w:t>Michael Lavin</w:t>
      </w:r>
    </w:p>
    <w:p w14:paraId="7C98702D" w14:textId="0EAF8A5F" w:rsidR="00217B7F" w:rsidRPr="00CF5E11" w:rsidRDefault="00217B7F" w:rsidP="00556079">
      <w:pPr>
        <w:spacing w:after="0"/>
        <w:rPr>
          <w:rFonts w:asciiTheme="majorHAnsi" w:hAnsiTheme="majorHAnsi"/>
          <w:i/>
          <w:iCs/>
        </w:rPr>
      </w:pPr>
      <w:r w:rsidRPr="00CF5E11">
        <w:rPr>
          <w:rFonts w:asciiTheme="majorHAnsi" w:hAnsiTheme="majorHAnsi"/>
          <w:i/>
          <w:iCs/>
        </w:rPr>
        <w:t>Ann Nguyen</w:t>
      </w:r>
    </w:p>
    <w:p w14:paraId="63E3990B" w14:textId="227850B8" w:rsidR="00541BD3" w:rsidRPr="00CF5E11" w:rsidRDefault="00541BD3" w:rsidP="00556079">
      <w:pPr>
        <w:tabs>
          <w:tab w:val="left" w:pos="2595"/>
        </w:tabs>
        <w:spacing w:after="0"/>
        <w:rPr>
          <w:rFonts w:asciiTheme="majorHAnsi" w:hAnsiTheme="majorHAnsi"/>
          <w:i/>
          <w:iCs/>
        </w:rPr>
      </w:pPr>
      <w:r w:rsidRPr="00CF5E11">
        <w:rPr>
          <w:rFonts w:asciiTheme="majorHAnsi" w:hAnsiTheme="majorHAnsi"/>
          <w:i/>
          <w:iCs/>
        </w:rPr>
        <w:t>Jillian Richard-Daniels</w:t>
      </w:r>
      <w:r w:rsidR="00182589" w:rsidRPr="00CF5E11">
        <w:rPr>
          <w:rFonts w:asciiTheme="majorHAnsi" w:hAnsiTheme="majorHAnsi"/>
          <w:i/>
          <w:iCs/>
        </w:rPr>
        <w:tab/>
      </w:r>
    </w:p>
    <w:p w14:paraId="45546572" w14:textId="77777777" w:rsidR="00716501" w:rsidRPr="00CF5E11" w:rsidRDefault="00716501" w:rsidP="00182589">
      <w:pPr>
        <w:tabs>
          <w:tab w:val="left" w:pos="2595"/>
        </w:tabs>
        <w:spacing w:after="120"/>
        <w:rPr>
          <w:rFonts w:asciiTheme="majorHAnsi" w:hAnsiTheme="majorHAnsi"/>
          <w:i/>
          <w:iCs/>
        </w:rPr>
      </w:pPr>
    </w:p>
    <w:p w14:paraId="207E2E9C" w14:textId="17022484" w:rsidR="00182589" w:rsidRPr="00CF5E11" w:rsidRDefault="00182589" w:rsidP="00182589">
      <w:pPr>
        <w:tabs>
          <w:tab w:val="left" w:pos="2595"/>
        </w:tabs>
        <w:spacing w:after="120"/>
        <w:rPr>
          <w:rFonts w:asciiTheme="majorHAnsi" w:hAnsiTheme="majorHAnsi"/>
          <w:i/>
          <w:iCs/>
        </w:rPr>
      </w:pPr>
      <w:r w:rsidRPr="00CF5E11">
        <w:rPr>
          <w:rFonts w:asciiTheme="majorHAnsi" w:hAnsiTheme="majorHAnsi"/>
          <w:i/>
          <w:iCs/>
        </w:rPr>
        <w:t>Published</w:t>
      </w:r>
      <w:r w:rsidR="006E20B8">
        <w:rPr>
          <w:rFonts w:asciiTheme="majorHAnsi" w:hAnsiTheme="majorHAnsi"/>
          <w:i/>
          <w:iCs/>
        </w:rPr>
        <w:t xml:space="preserve"> January 2024</w:t>
      </w:r>
    </w:p>
    <w:p w14:paraId="58790E95" w14:textId="77777777" w:rsidR="00541BD3" w:rsidRPr="00CF5E11" w:rsidRDefault="00541BD3" w:rsidP="00541BD3"/>
    <w:p w14:paraId="210644E3" w14:textId="77777777" w:rsidR="00541BD3" w:rsidRPr="00CF5E11" w:rsidRDefault="00541BD3" w:rsidP="00541BD3">
      <w:pPr>
        <w:rPr>
          <w:rFonts w:asciiTheme="majorHAnsi" w:hAnsiTheme="majorHAnsi"/>
          <w:i/>
          <w:iCs/>
          <w:lang w:eastAsia="ja-JP"/>
        </w:rPr>
      </w:pPr>
    </w:p>
    <w:p w14:paraId="33CCAD07" w14:textId="408245FA" w:rsidR="004E57ED" w:rsidRPr="00CF5E11" w:rsidRDefault="004E57ED" w:rsidP="004E57ED">
      <w:pPr>
        <w:pStyle w:val="Subtitle"/>
      </w:pPr>
    </w:p>
    <w:p w14:paraId="1FBC7633" w14:textId="77777777" w:rsidR="004E57ED" w:rsidRPr="00CF5E11" w:rsidRDefault="004E57ED">
      <w:pPr>
        <w:rPr>
          <w:i/>
        </w:rPr>
      </w:pPr>
      <w:r w:rsidRPr="00CF5E11">
        <w:rPr>
          <w:i/>
        </w:rPr>
        <w:br w:type="page"/>
      </w:r>
    </w:p>
    <w:p w14:paraId="46E5D827" w14:textId="1EC5A7A0" w:rsidR="00172614" w:rsidRPr="00CF5E11" w:rsidRDefault="00172614" w:rsidP="00172614">
      <w:pPr>
        <w:rPr>
          <w:i/>
        </w:rPr>
      </w:pPr>
      <w:bookmarkStart w:id="0" w:name="_Hlk96699709"/>
      <w:r w:rsidRPr="00CF5E11">
        <w:rPr>
          <w:i/>
        </w:rPr>
        <w:lastRenderedPageBreak/>
        <w:t>Background</w:t>
      </w:r>
    </w:p>
    <w:p w14:paraId="7AA22A3B" w14:textId="276355F7" w:rsidR="00172614" w:rsidRPr="00CF5E11" w:rsidRDefault="00C10FDE" w:rsidP="00172614">
      <w:r w:rsidRPr="00CF5E11">
        <w:t xml:space="preserve">In accordance with CFR 438.340, </w:t>
      </w:r>
      <w:r w:rsidR="00172614" w:rsidRPr="00CF5E11">
        <w:t xml:space="preserve">MassHealth </w:t>
      </w:r>
      <w:r w:rsidRPr="00CF5E11">
        <w:t xml:space="preserve">annually reports performance on </w:t>
      </w:r>
      <w:r w:rsidR="00172614" w:rsidRPr="00CF5E11">
        <w:t xml:space="preserve">a slate of </w:t>
      </w:r>
      <w:r w:rsidRPr="00CF5E11">
        <w:t xml:space="preserve">quality </w:t>
      </w:r>
      <w:r w:rsidR="00172614" w:rsidRPr="00CF5E11">
        <w:t>measures</w:t>
      </w:r>
      <w:r w:rsidRPr="00CF5E11">
        <w:t xml:space="preserve"> identified in its managed care plan (MCP) contracts</w:t>
      </w:r>
      <w:r w:rsidR="00D35C1E" w:rsidRPr="00CF5E11">
        <w:t>.</w:t>
      </w:r>
      <w:r w:rsidR="00172614" w:rsidRPr="00CF5E11">
        <w:t xml:space="preserve"> Most </w:t>
      </w:r>
      <w:r w:rsidR="000D1D64" w:rsidRPr="00CF5E11">
        <w:t xml:space="preserve">of the </w:t>
      </w:r>
      <w:r w:rsidR="00172614" w:rsidRPr="00CF5E11">
        <w:t>measures are reported by more than one MassHealth program</w:t>
      </w:r>
      <w:r w:rsidR="000D1D64" w:rsidRPr="00CF5E11">
        <w:t>,</w:t>
      </w:r>
      <w:r w:rsidR="00172614" w:rsidRPr="00CF5E11">
        <w:t xml:space="preserve"> with </w:t>
      </w:r>
      <w:r w:rsidR="00055C55" w:rsidRPr="00CF5E11">
        <w:t>1</w:t>
      </w:r>
      <w:r w:rsidR="00792AFB">
        <w:t>3</w:t>
      </w:r>
      <w:r w:rsidR="00123A15">
        <w:t xml:space="preserve"> </w:t>
      </w:r>
      <w:r w:rsidR="00172614" w:rsidRPr="00CF5E11">
        <w:t xml:space="preserve">measures </w:t>
      </w:r>
      <w:r w:rsidR="005C6F68" w:rsidRPr="00CF5E11">
        <w:t xml:space="preserve">being </w:t>
      </w:r>
      <w:r w:rsidR="00172614" w:rsidRPr="00CF5E11">
        <w:t xml:space="preserve">reported by three or more MassHealth programs. </w:t>
      </w:r>
      <w:r w:rsidR="009627DD" w:rsidRPr="00CF5E11">
        <w:t xml:space="preserve">Measure </w:t>
      </w:r>
      <w:r w:rsidR="00172614" w:rsidRPr="00CF5E11">
        <w:t>rates reflect per</w:t>
      </w:r>
      <w:r w:rsidR="00957660" w:rsidRPr="00CF5E11">
        <w:t xml:space="preserve">formance in </w:t>
      </w:r>
      <w:r w:rsidR="007B3C32" w:rsidRPr="00CF5E11">
        <w:t>c</w:t>
      </w:r>
      <w:r w:rsidR="00957660" w:rsidRPr="00CF5E11">
        <w:t>al</w:t>
      </w:r>
      <w:r w:rsidR="0008787A" w:rsidRPr="00CF5E11">
        <w:t>e</w:t>
      </w:r>
      <w:r w:rsidR="00957660" w:rsidRPr="00CF5E11">
        <w:t xml:space="preserve">ndar </w:t>
      </w:r>
      <w:r w:rsidR="007B3C32" w:rsidRPr="00CF5E11">
        <w:t>y</w:t>
      </w:r>
      <w:r w:rsidR="00957660" w:rsidRPr="00CF5E11">
        <w:t xml:space="preserve">ear </w:t>
      </w:r>
      <w:r w:rsidR="00381294" w:rsidRPr="00CF5E11">
        <w:t>20</w:t>
      </w:r>
      <w:r w:rsidR="009627DD" w:rsidRPr="00CF5E11">
        <w:t>2</w:t>
      </w:r>
      <w:r w:rsidR="001311F3">
        <w:t>2</w:t>
      </w:r>
      <w:r w:rsidR="00A016AB" w:rsidRPr="00CF5E11">
        <w:t xml:space="preserve">, with data collection occurring in </w:t>
      </w:r>
      <w:r w:rsidR="007B3C32" w:rsidRPr="00CF5E11">
        <w:t>c</w:t>
      </w:r>
      <w:r w:rsidR="00A016AB" w:rsidRPr="00CF5E11">
        <w:t xml:space="preserve">alendar </w:t>
      </w:r>
      <w:r w:rsidR="007B3C32" w:rsidRPr="00CF5E11">
        <w:t>y</w:t>
      </w:r>
      <w:r w:rsidR="00A016AB" w:rsidRPr="00CF5E11">
        <w:t xml:space="preserve">ear </w:t>
      </w:r>
      <w:r w:rsidR="003011A0" w:rsidRPr="00CF5E11">
        <w:t>202</w:t>
      </w:r>
      <w:r w:rsidR="00217B7F" w:rsidRPr="00CF5E11">
        <w:t>3</w:t>
      </w:r>
      <w:r w:rsidR="009627DD" w:rsidRPr="00CF5E11">
        <w:t>.</w:t>
      </w:r>
    </w:p>
    <w:bookmarkEnd w:id="0"/>
    <w:p w14:paraId="3A3B0003" w14:textId="77777777" w:rsidR="00172614" w:rsidRPr="00CF5E11" w:rsidRDefault="00172614" w:rsidP="00172614">
      <w:r w:rsidRPr="00CF5E11">
        <w:rPr>
          <w:i/>
        </w:rPr>
        <w:t xml:space="preserve">Data Collection </w:t>
      </w:r>
    </w:p>
    <w:p w14:paraId="4B433604" w14:textId="46F758DC" w:rsidR="005D5F6E" w:rsidRPr="00CF5E11" w:rsidRDefault="0096234D" w:rsidP="00172614">
      <w:bookmarkStart w:id="1" w:name="_Hlk149828898"/>
      <w:r w:rsidRPr="00CF5E11">
        <w:t>MassHealth receives quality measure and survey data either directly from managed care plans</w:t>
      </w:r>
      <w:r w:rsidR="006E20B8">
        <w:t xml:space="preserve"> </w:t>
      </w:r>
      <w:r w:rsidRPr="00CF5E11">
        <w:t>or from analytic vendors who contract with MassHealth to provide data.</w:t>
      </w:r>
    </w:p>
    <w:bookmarkEnd w:id="1"/>
    <w:p w14:paraId="4CF52BC8" w14:textId="508CCFE9" w:rsidR="00DB19CA" w:rsidRPr="00CF5E11" w:rsidRDefault="000D1D64" w:rsidP="00172614">
      <w:pPr>
        <w:pStyle w:val="ListParagraph"/>
        <w:numPr>
          <w:ilvl w:val="0"/>
          <w:numId w:val="13"/>
        </w:numPr>
      </w:pPr>
      <w:r w:rsidRPr="00CF5E11">
        <w:t>Plan-level rate</w:t>
      </w:r>
      <w:r w:rsidR="00172614" w:rsidRPr="00CF5E11">
        <w:t xml:space="preserve">s are presented in tables for each MassHealth managed care program </w:t>
      </w:r>
      <w:r w:rsidR="00DB19CA" w:rsidRPr="00CF5E11">
        <w:t xml:space="preserve">that </w:t>
      </w:r>
      <w:r w:rsidR="00172614" w:rsidRPr="00CF5E11">
        <w:t xml:space="preserve">operated in </w:t>
      </w:r>
      <w:r w:rsidR="006E20B8">
        <w:t xml:space="preserve">CY </w:t>
      </w:r>
      <w:r w:rsidR="00792AFB">
        <w:t>2022</w:t>
      </w:r>
      <w:r w:rsidR="00A038C0" w:rsidRPr="00CF5E11">
        <w:t xml:space="preserve">. </w:t>
      </w:r>
      <w:r w:rsidR="00E56FFD" w:rsidRPr="00CF5E11">
        <w:t>These include</w:t>
      </w:r>
      <w:r w:rsidR="00172614" w:rsidRPr="00CF5E11">
        <w:t xml:space="preserve"> </w:t>
      </w:r>
      <w:r w:rsidR="00AA0E62" w:rsidRPr="00CF5E11">
        <w:t xml:space="preserve">Accountable Care Organizations (ACO), </w:t>
      </w:r>
      <w:r w:rsidR="00172614" w:rsidRPr="00CF5E11">
        <w:t>Managed Care Organizations</w:t>
      </w:r>
      <w:r w:rsidR="00000FA1" w:rsidRPr="00CF5E11">
        <w:t xml:space="preserve"> (MCO)</w:t>
      </w:r>
      <w:r w:rsidR="00172614" w:rsidRPr="00CF5E11">
        <w:t xml:space="preserve">, </w:t>
      </w:r>
      <w:r w:rsidR="005D5F6E" w:rsidRPr="00CF5E11">
        <w:t xml:space="preserve">the Primary Care Clinician (PCC) Plan, </w:t>
      </w:r>
      <w:r w:rsidR="00172614" w:rsidRPr="00CF5E11">
        <w:t>Senior Care Organizations</w:t>
      </w:r>
      <w:r w:rsidR="00000FA1" w:rsidRPr="00CF5E11">
        <w:t xml:space="preserve"> (SCO)</w:t>
      </w:r>
      <w:r w:rsidR="00172614" w:rsidRPr="00CF5E11">
        <w:t>, One Care</w:t>
      </w:r>
      <w:r w:rsidR="006E20B8">
        <w:t xml:space="preserve"> plans</w:t>
      </w:r>
      <w:r w:rsidR="00172614" w:rsidRPr="00CF5E11">
        <w:t xml:space="preserve">, </w:t>
      </w:r>
      <w:r w:rsidR="005D5F6E" w:rsidRPr="00CF5E11">
        <w:t xml:space="preserve">and </w:t>
      </w:r>
      <w:r w:rsidR="00AA0E62" w:rsidRPr="00CF5E11">
        <w:t>the Massachusetts Behavioral Health Partnership (</w:t>
      </w:r>
      <w:r w:rsidR="006344F3" w:rsidRPr="00CF5E11">
        <w:t>BH PI</w:t>
      </w:r>
      <w:r w:rsidR="00B30FB0" w:rsidRPr="00CF5E11">
        <w:t>H</w:t>
      </w:r>
      <w:r w:rsidR="006344F3" w:rsidRPr="00CF5E11">
        <w:t>P</w:t>
      </w:r>
      <w:r w:rsidR="00AA0E62" w:rsidRPr="00CF5E11">
        <w:t>)</w:t>
      </w:r>
      <w:r w:rsidR="005D5F6E" w:rsidRPr="00CF5E11">
        <w:t xml:space="preserve">. </w:t>
      </w:r>
      <w:r w:rsidRPr="00CF5E11">
        <w:t xml:space="preserve">In addition to plan-level </w:t>
      </w:r>
      <w:r w:rsidR="00E56FFD" w:rsidRPr="00CF5E11">
        <w:t>rates</w:t>
      </w:r>
      <w:r w:rsidRPr="00CF5E11">
        <w:t>, t</w:t>
      </w:r>
      <w:r w:rsidR="00172614" w:rsidRPr="00CF5E11">
        <w:t>he tables</w:t>
      </w:r>
      <w:r w:rsidR="00541BD3" w:rsidRPr="00CF5E11">
        <w:t xml:space="preserve"> </w:t>
      </w:r>
      <w:r w:rsidR="00E56FFD" w:rsidRPr="00CF5E11">
        <w:t>also present</w:t>
      </w:r>
      <w:r w:rsidR="00172614" w:rsidRPr="00CF5E11">
        <w:t xml:space="preserve"> a MassHealth Weighted Mean</w:t>
      </w:r>
      <w:r w:rsidRPr="00CF5E11">
        <w:t xml:space="preserve"> (MHWM)</w:t>
      </w:r>
      <w:r w:rsidR="00172614" w:rsidRPr="00CF5E11">
        <w:t xml:space="preserve">, which </w:t>
      </w:r>
      <w:r w:rsidRPr="00CF5E11">
        <w:t>is a weighted a</w:t>
      </w:r>
      <w:r w:rsidR="00C609BE" w:rsidRPr="00CF5E11">
        <w:t>verage and reflects</w:t>
      </w:r>
      <w:r w:rsidRPr="00CF5E11">
        <w:t xml:space="preserve"> </w:t>
      </w:r>
      <w:r w:rsidR="00E805C3" w:rsidRPr="00CF5E11">
        <w:t xml:space="preserve">the </w:t>
      </w:r>
      <w:r w:rsidRPr="00CF5E11">
        <w:t xml:space="preserve">overall performance </w:t>
      </w:r>
      <w:r w:rsidR="00E805C3" w:rsidRPr="00CF5E11">
        <w:t>of</w:t>
      </w:r>
      <w:r w:rsidR="00172614" w:rsidRPr="00CF5E11">
        <w:t xml:space="preserve"> </w:t>
      </w:r>
      <w:r w:rsidRPr="00CF5E11">
        <w:t xml:space="preserve">all plans </w:t>
      </w:r>
      <w:r w:rsidR="00172614" w:rsidRPr="00CF5E11">
        <w:t>rep</w:t>
      </w:r>
      <w:r w:rsidRPr="00CF5E11">
        <w:t>orting data for that measure.</w:t>
      </w:r>
      <w:r w:rsidR="00E805C3" w:rsidRPr="00CF5E11">
        <w:t xml:space="preserve"> For HEDIS measures, </w:t>
      </w:r>
      <w:r w:rsidR="00847EE7" w:rsidRPr="00CF5E11">
        <w:t xml:space="preserve">MHWM rates are compared to national </w:t>
      </w:r>
      <w:r w:rsidR="0022154F" w:rsidRPr="00CF5E11">
        <w:t xml:space="preserve">HEDIS </w:t>
      </w:r>
      <w:r w:rsidR="00847EE7" w:rsidRPr="00CF5E11">
        <w:t xml:space="preserve">benchmarks, </w:t>
      </w:r>
      <w:r w:rsidR="00E15809" w:rsidRPr="00CF5E11">
        <w:t xml:space="preserve">where such benchmarks are available, </w:t>
      </w:r>
      <w:r w:rsidR="00847EE7" w:rsidRPr="00CF5E11">
        <w:t>with arrows representing performance</w:t>
      </w:r>
      <w:r w:rsidR="00E15809" w:rsidRPr="00CF5E11">
        <w:t xml:space="preserve"> relative to the benchmarks</w:t>
      </w:r>
      <w:r w:rsidR="00847EE7" w:rsidRPr="00CF5E11">
        <w:t xml:space="preserve"> (for example</w:t>
      </w:r>
      <w:r w:rsidR="00485038" w:rsidRPr="00CF5E11">
        <w:t>,</w:t>
      </w:r>
      <w:r w:rsidR="00847EE7" w:rsidRPr="00CF5E11">
        <w:t xml:space="preserve"> </w:t>
      </w:r>
      <w:r w:rsidR="00847EE7" w:rsidRPr="00CF5E11">
        <w:rPr>
          <w:rFonts w:cs="Arial"/>
          <w:color w:val="000000"/>
        </w:rPr>
        <w:t xml:space="preserve">↑ </w:t>
      </w:r>
      <w:r w:rsidR="007B3C32" w:rsidRPr="00CF5E11">
        <w:rPr>
          <w:rFonts w:cs="Arial"/>
          <w:color w:val="000000"/>
        </w:rPr>
        <w:t>signifies that</w:t>
      </w:r>
      <w:r w:rsidR="00847EE7" w:rsidRPr="00CF5E11">
        <w:rPr>
          <w:rFonts w:cs="Arial"/>
          <w:color w:val="000000"/>
        </w:rPr>
        <w:t xml:space="preserve"> MHWM performance exceed</w:t>
      </w:r>
      <w:r w:rsidR="00A858AC" w:rsidRPr="00CF5E11">
        <w:rPr>
          <w:rFonts w:cs="Arial"/>
          <w:color w:val="000000"/>
        </w:rPr>
        <w:t>s</w:t>
      </w:r>
      <w:r w:rsidR="00847EE7" w:rsidRPr="00CF5E11">
        <w:rPr>
          <w:rFonts w:cs="Arial"/>
          <w:color w:val="000000"/>
        </w:rPr>
        <w:t xml:space="preserve"> </w:t>
      </w:r>
      <w:r w:rsidR="00485038" w:rsidRPr="00CF5E11">
        <w:rPr>
          <w:rFonts w:cs="Arial"/>
          <w:color w:val="000000"/>
        </w:rPr>
        <w:t xml:space="preserve">a </w:t>
      </w:r>
      <w:r w:rsidR="00847EE7" w:rsidRPr="00CF5E11">
        <w:rPr>
          <w:rFonts w:cs="Arial"/>
          <w:color w:val="000000"/>
        </w:rPr>
        <w:t>benchmark).</w:t>
      </w:r>
      <w:r w:rsidR="00DB19CA" w:rsidRPr="00CF5E11">
        <w:rPr>
          <w:rFonts w:cs="Arial"/>
          <w:color w:val="000000"/>
        </w:rPr>
        <w:t xml:space="preserve"> HEDIS benchmark data were obtained from the NCQA Quality Compass database (Medicaid and Medicare).</w:t>
      </w:r>
    </w:p>
    <w:p w14:paraId="5680FDA2" w14:textId="77777777" w:rsidR="00DB19CA" w:rsidRPr="00CF5E11" w:rsidRDefault="00DB19CA" w:rsidP="00DB19CA">
      <w:pPr>
        <w:pStyle w:val="ListParagraph"/>
      </w:pPr>
    </w:p>
    <w:p w14:paraId="368EB728" w14:textId="6B215D78" w:rsidR="0022154F" w:rsidRDefault="00A75E9B" w:rsidP="00601C6E">
      <w:pPr>
        <w:pStyle w:val="ListParagraph"/>
        <w:numPr>
          <w:ilvl w:val="0"/>
          <w:numId w:val="13"/>
        </w:numPr>
      </w:pPr>
      <w:r>
        <w:rPr>
          <w:rFonts w:cs="Arial"/>
          <w:color w:val="000000"/>
        </w:rPr>
        <w:t xml:space="preserve">For HEDIS measures, </w:t>
      </w:r>
      <w:r w:rsidR="0022154F" w:rsidRPr="00CF5E11">
        <w:rPr>
          <w:rFonts w:cs="Arial"/>
          <w:color w:val="000000"/>
        </w:rPr>
        <w:t>Plan performance is compared to the 90</w:t>
      </w:r>
      <w:r w:rsidR="0022154F" w:rsidRPr="00CF5E11">
        <w:rPr>
          <w:rFonts w:cs="Arial"/>
          <w:color w:val="000000"/>
          <w:vertAlign w:val="superscript"/>
        </w:rPr>
        <w:t>th</w:t>
      </w:r>
      <w:r w:rsidR="0022154F" w:rsidRPr="00CF5E11">
        <w:rPr>
          <w:rFonts w:cs="Arial"/>
          <w:color w:val="000000"/>
        </w:rPr>
        <w:t xml:space="preserve"> and 75</w:t>
      </w:r>
      <w:r w:rsidR="0022154F" w:rsidRPr="00CF5E11">
        <w:rPr>
          <w:rFonts w:cs="Arial"/>
          <w:color w:val="000000"/>
          <w:vertAlign w:val="superscript"/>
        </w:rPr>
        <w:t>th</w:t>
      </w:r>
      <w:r w:rsidR="0022154F" w:rsidRPr="00CF5E11">
        <w:rPr>
          <w:rFonts w:cs="Arial"/>
          <w:color w:val="000000"/>
        </w:rPr>
        <w:t xml:space="preserve"> percentiles for either or both Medicaid and Medicare, as specified below. </w:t>
      </w:r>
      <w:r w:rsidR="0022154F" w:rsidRPr="00CF5E11">
        <w:t>The 90</w:t>
      </w:r>
      <w:r w:rsidR="0022154F" w:rsidRPr="00CF5E11">
        <w:rPr>
          <w:vertAlign w:val="superscript"/>
        </w:rPr>
        <w:t>th</w:t>
      </w:r>
      <w:r w:rsidR="0022154F" w:rsidRPr="00CF5E11">
        <w:t xml:space="preserve"> percentile represents a level of performance that was met or exceeded by the top 10% of Medicaid plans that submitted HEDIS MY 2022 data to NCQA. MassHealth uses the Medicaid 90</w:t>
      </w:r>
      <w:r w:rsidR="0022154F" w:rsidRPr="00CF5E11">
        <w:rPr>
          <w:vertAlign w:val="superscript"/>
        </w:rPr>
        <w:t>th</w:t>
      </w:r>
      <w:r w:rsidR="0022154F" w:rsidRPr="00CF5E11">
        <w:t xml:space="preserve"> percentile as the primary benchmark against which plan performance is compared. The Medicaid 75</w:t>
      </w:r>
      <w:r w:rsidR="0022154F" w:rsidRPr="00CF5E11">
        <w:rPr>
          <w:vertAlign w:val="superscript"/>
        </w:rPr>
        <w:t>th</w:t>
      </w:r>
      <w:r w:rsidR="0022154F" w:rsidRPr="00CF5E11">
        <w:t xml:space="preserve"> percentile is used to reflect a minimum standard of performance.  This percentile represents a level of performance met or exceeded by the top 25% of Medicaid plans that submitted HEDIS</w:t>
      </w:r>
      <w:r w:rsidR="00217B7F" w:rsidRPr="00CF5E11">
        <w:t xml:space="preserve"> MY</w:t>
      </w:r>
      <w:r w:rsidR="0022154F" w:rsidRPr="00CF5E11">
        <w:t xml:space="preserve"> 2022 data to NCQA.</w:t>
      </w:r>
      <w:r w:rsidR="00E805C3" w:rsidRPr="00CF5E11">
        <w:t xml:space="preserve"> </w:t>
      </w:r>
      <w:r w:rsidR="00601C6E" w:rsidRPr="00CF5E11">
        <w:t>For non-HEDIS measures, benchmark comparisons are not available.</w:t>
      </w:r>
    </w:p>
    <w:p w14:paraId="6F54385F" w14:textId="77777777" w:rsidR="00E47CE7" w:rsidRDefault="00E47CE7" w:rsidP="00E47CE7">
      <w:pPr>
        <w:pStyle w:val="ListParagraph"/>
      </w:pPr>
    </w:p>
    <w:p w14:paraId="3DD35442" w14:textId="69E9EAB8" w:rsidR="00E47CE7" w:rsidRPr="00CF5E11" w:rsidRDefault="00E47CE7" w:rsidP="00601C6E">
      <w:pPr>
        <w:pStyle w:val="ListParagraph"/>
        <w:numPr>
          <w:ilvl w:val="0"/>
          <w:numId w:val="13"/>
        </w:numPr>
      </w:pPr>
      <w:r>
        <w:t>For non-HEDIS measures, Plan performance is compared to either state-defined or other national benchmarks and are noted where applicable.</w:t>
      </w:r>
    </w:p>
    <w:p w14:paraId="748DDCF3" w14:textId="77777777" w:rsidR="0022154F" w:rsidRPr="00CF5E11" w:rsidRDefault="0022154F" w:rsidP="00E805C3">
      <w:pPr>
        <w:pStyle w:val="ListParagraph"/>
      </w:pPr>
    </w:p>
    <w:p w14:paraId="13097E8E" w14:textId="56BB229C" w:rsidR="00DB19CA" w:rsidRPr="00CF5E11" w:rsidRDefault="00957660" w:rsidP="00601C6E">
      <w:pPr>
        <w:pStyle w:val="ListParagraph"/>
        <w:numPr>
          <w:ilvl w:val="0"/>
          <w:numId w:val="13"/>
        </w:numPr>
      </w:pPr>
      <w:r w:rsidRPr="00CF5E11">
        <w:t>MCO</w:t>
      </w:r>
      <w:r w:rsidR="00E805C3" w:rsidRPr="00CF5E11">
        <w:t xml:space="preserve">, </w:t>
      </w:r>
      <w:r w:rsidRPr="00CF5E11">
        <w:t>PCC Plan</w:t>
      </w:r>
      <w:r w:rsidR="00E805C3" w:rsidRPr="00CF5E11">
        <w:t>, BH PI</w:t>
      </w:r>
      <w:r w:rsidR="006E20B8">
        <w:t>HP</w:t>
      </w:r>
      <w:r w:rsidR="00E805C3" w:rsidRPr="00CF5E11">
        <w:t>, and ACO</w:t>
      </w:r>
      <w:r w:rsidRPr="00CF5E11">
        <w:t xml:space="preserve"> </w:t>
      </w:r>
      <w:r w:rsidR="001648E7" w:rsidRPr="00CF5E11">
        <w:t xml:space="preserve">weighted mean </w:t>
      </w:r>
      <w:r w:rsidR="00ED4DE3" w:rsidRPr="00CF5E11">
        <w:t>rates</w:t>
      </w:r>
      <w:r w:rsidR="00485038" w:rsidRPr="00CF5E11">
        <w:t xml:space="preserve"> </w:t>
      </w:r>
      <w:r w:rsidRPr="00CF5E11">
        <w:t>are compared to</w:t>
      </w:r>
      <w:r w:rsidR="00172614" w:rsidRPr="00CF5E11">
        <w:t xml:space="preserve"> the </w:t>
      </w:r>
      <w:r w:rsidR="00E56FFD" w:rsidRPr="00CF5E11">
        <w:t xml:space="preserve">national </w:t>
      </w:r>
      <w:r w:rsidR="00172614" w:rsidRPr="00CF5E11">
        <w:t>Medicaid 90</w:t>
      </w:r>
      <w:r w:rsidR="00172614" w:rsidRPr="00CF5E11">
        <w:rPr>
          <w:vertAlign w:val="superscript"/>
        </w:rPr>
        <w:t>th</w:t>
      </w:r>
      <w:r w:rsidR="00172614" w:rsidRPr="00CF5E11">
        <w:t xml:space="preserve"> and 75</w:t>
      </w:r>
      <w:r w:rsidR="00172614" w:rsidRPr="00CF5E11">
        <w:rPr>
          <w:vertAlign w:val="superscript"/>
        </w:rPr>
        <w:t>th</w:t>
      </w:r>
      <w:r w:rsidR="00172614" w:rsidRPr="00CF5E11">
        <w:t xml:space="preserve"> percentiles.</w:t>
      </w:r>
      <w:r w:rsidR="001648E7" w:rsidRPr="00CF5E11">
        <w:t xml:space="preserve"> (MCO and PCC Plan rates are grouped </w:t>
      </w:r>
      <w:r w:rsidR="00DB19CA" w:rsidRPr="00CF5E11">
        <w:t xml:space="preserve">together </w:t>
      </w:r>
      <w:r w:rsidR="001648E7" w:rsidRPr="00CF5E11">
        <w:t>in a</w:t>
      </w:r>
      <w:r w:rsidR="006E20B8">
        <w:t xml:space="preserve"> single</w:t>
      </w:r>
      <w:r w:rsidR="001648E7" w:rsidRPr="00CF5E11">
        <w:t xml:space="preserve"> weighted mean.)</w:t>
      </w:r>
    </w:p>
    <w:p w14:paraId="6E3F721C" w14:textId="77777777" w:rsidR="00DB19CA" w:rsidRPr="00CF5E11" w:rsidRDefault="00DB19CA" w:rsidP="00DB19CA">
      <w:pPr>
        <w:pStyle w:val="ListParagraph"/>
      </w:pPr>
    </w:p>
    <w:p w14:paraId="14EE75C4" w14:textId="563B7D15" w:rsidR="009C0986" w:rsidRDefault="00000FA1" w:rsidP="003B1046">
      <w:pPr>
        <w:pStyle w:val="ListParagraph"/>
        <w:numPr>
          <w:ilvl w:val="0"/>
          <w:numId w:val="13"/>
        </w:numPr>
      </w:pPr>
      <w:r w:rsidRPr="00CF5E11">
        <w:t>SCO</w:t>
      </w:r>
      <w:r w:rsidR="0022154F" w:rsidRPr="00CF5E11">
        <w:t xml:space="preserve"> and One Care</w:t>
      </w:r>
      <w:r w:rsidRPr="00CF5E11">
        <w:t xml:space="preserve"> </w:t>
      </w:r>
      <w:r w:rsidR="001648E7" w:rsidRPr="00CF5E11">
        <w:t>weighted mean rates</w:t>
      </w:r>
      <w:r w:rsidRPr="00CF5E11">
        <w:t xml:space="preserve"> are compared to </w:t>
      </w:r>
      <w:r w:rsidR="00ED4DE3" w:rsidRPr="00CF5E11">
        <w:t xml:space="preserve">both </w:t>
      </w:r>
      <w:r w:rsidRPr="00CF5E11">
        <w:t>the</w:t>
      </w:r>
      <w:r w:rsidR="00847EE7" w:rsidRPr="00CF5E11">
        <w:t xml:space="preserve"> </w:t>
      </w:r>
      <w:r w:rsidR="00E56FFD" w:rsidRPr="00CF5E11">
        <w:t xml:space="preserve">national </w:t>
      </w:r>
      <w:r w:rsidR="00847EE7" w:rsidRPr="00CF5E11">
        <w:t>Medicaid and</w:t>
      </w:r>
      <w:r w:rsidR="00E56FFD" w:rsidRPr="00CF5E11">
        <w:t xml:space="preserve"> the national</w:t>
      </w:r>
      <w:r w:rsidRPr="00CF5E11">
        <w:t xml:space="preserve"> Medicare 90</w:t>
      </w:r>
      <w:r w:rsidRPr="00E47CE7">
        <w:rPr>
          <w:vertAlign w:val="superscript"/>
        </w:rPr>
        <w:t>th</w:t>
      </w:r>
      <w:r w:rsidRPr="00CF5E11">
        <w:t xml:space="preserve"> and 75</w:t>
      </w:r>
      <w:r w:rsidRPr="00E47CE7">
        <w:rPr>
          <w:vertAlign w:val="superscript"/>
        </w:rPr>
        <w:t>th</w:t>
      </w:r>
      <w:r w:rsidRPr="00CF5E11">
        <w:t xml:space="preserve"> percentiles</w:t>
      </w:r>
      <w:r w:rsidR="00485038" w:rsidRPr="00CF5E11">
        <w:t xml:space="preserve"> (where available)</w:t>
      </w:r>
      <w:r w:rsidRPr="00CF5E11">
        <w:t xml:space="preserve">.  </w:t>
      </w:r>
    </w:p>
    <w:p w14:paraId="04A9715D" w14:textId="6B01CF46" w:rsidR="005141AD" w:rsidRPr="005141AD" w:rsidRDefault="009C0986" w:rsidP="005141AD">
      <w:pPr>
        <w:pStyle w:val="Caption"/>
        <w:keepNext/>
        <w:spacing w:after="120"/>
        <w:rPr>
          <w:sz w:val="28"/>
          <w:szCs w:val="28"/>
        </w:rPr>
      </w:pPr>
      <w:r w:rsidRPr="00BC4E29">
        <w:rPr>
          <w:sz w:val="28"/>
          <w:szCs w:val="28"/>
        </w:rPr>
        <w:lastRenderedPageBreak/>
        <w:t xml:space="preserve">Table </w:t>
      </w:r>
      <w:r>
        <w:rPr>
          <w:sz w:val="28"/>
          <w:szCs w:val="28"/>
        </w:rPr>
        <w:t xml:space="preserve">1 </w:t>
      </w:r>
      <w:r w:rsidRPr="009C0986">
        <w:rPr>
          <w:sz w:val="28"/>
          <w:szCs w:val="28"/>
        </w:rPr>
        <w:t>- MassHealth Public Reporting Measures Slate (By Program)</w:t>
      </w:r>
    </w:p>
    <w:tbl>
      <w:tblPr>
        <w:tblStyle w:val="MediumList2-Accent1"/>
        <w:tblW w:w="5547" w:type="pct"/>
        <w:jc w:val="center"/>
        <w:tblLayout w:type="fixed"/>
        <w:tblLook w:val="04A0" w:firstRow="1" w:lastRow="0" w:firstColumn="1" w:lastColumn="0" w:noHBand="0" w:noVBand="1"/>
      </w:tblPr>
      <w:tblGrid>
        <w:gridCol w:w="3983"/>
        <w:gridCol w:w="900"/>
        <w:gridCol w:w="722"/>
        <w:gridCol w:w="633"/>
        <w:gridCol w:w="722"/>
        <w:gridCol w:w="809"/>
        <w:gridCol w:w="720"/>
        <w:gridCol w:w="992"/>
        <w:gridCol w:w="892"/>
      </w:tblGrid>
      <w:tr w:rsidR="005141AD" w:rsidRPr="00CF5E11" w14:paraId="11EBE80D" w14:textId="77777777" w:rsidTr="00E47CE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0"/>
          <w:tblHeader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36EBA73" w14:textId="77777777" w:rsidR="005141AD" w:rsidRPr="00CF5E11" w:rsidRDefault="005141AD" w:rsidP="005141AD">
            <w:pPr>
              <w:jc w:val="center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CF5E11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Measure Name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9F3BA6C" w14:textId="77777777" w:rsidR="005141AD" w:rsidRPr="00CF5E11" w:rsidRDefault="005141AD" w:rsidP="005141A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CF5E11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Steward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1643A9C3" w14:textId="77777777" w:rsidR="005141AD" w:rsidRPr="00CF5E11" w:rsidRDefault="005141AD" w:rsidP="005141A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CF5E11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NQF #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CD4604D" w14:textId="77777777" w:rsidR="005141AD" w:rsidRPr="00CF5E11" w:rsidRDefault="005141AD" w:rsidP="005141A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CF5E11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ACO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A7F483C" w14:textId="77777777" w:rsidR="005141AD" w:rsidRPr="00CF5E11" w:rsidRDefault="005141AD" w:rsidP="005141A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CF5E11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MCO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002EC9B" w14:textId="77777777" w:rsidR="005141AD" w:rsidRPr="00CF5E11" w:rsidRDefault="005141AD" w:rsidP="005141A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CF5E11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PCCP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4B3BC2BC" w14:textId="77777777" w:rsidR="005141AD" w:rsidRPr="00CF5E11" w:rsidRDefault="005141AD" w:rsidP="005141A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CF5E11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SCO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3AB665CF" w14:textId="77777777" w:rsidR="005141AD" w:rsidRDefault="005141AD" w:rsidP="005141A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CF5E11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One Care</w:t>
            </w:r>
          </w:p>
          <w:p w14:paraId="4EAA8AA0" w14:textId="77777777" w:rsidR="005141AD" w:rsidRPr="005141AD" w:rsidRDefault="005141AD" w:rsidP="005141AD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18"/>
                <w:szCs w:val="18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</w:tcPr>
          <w:p w14:paraId="7F94FE47" w14:textId="77777777" w:rsidR="005141AD" w:rsidRPr="00CF5E11" w:rsidRDefault="005141AD" w:rsidP="005141AD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CF5E11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BH PIHP</w:t>
            </w:r>
          </w:p>
        </w:tc>
      </w:tr>
      <w:tr w:rsidR="005141AD" w:rsidRPr="00A56D7B" w14:paraId="01A4D3E7" w14:textId="77777777" w:rsidTr="00E47C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1F0C0" w14:textId="0D19C7B2" w:rsidR="005141AD" w:rsidRPr="00A56D7B" w:rsidDel="002B34D9" w:rsidRDefault="005141AD" w:rsidP="005141AD">
            <w:pP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56D7B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Access to LTS Coordinator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DA7CD" w14:textId="77777777" w:rsidR="005141AD" w:rsidRPr="00A56D7B" w:rsidRDefault="005141AD" w:rsidP="005141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56D7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EHS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B4A32" w14:textId="6F2B9BBD" w:rsidR="005141AD" w:rsidRPr="00A56D7B" w:rsidRDefault="00DB4461" w:rsidP="005141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B446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A6191" w14:textId="77777777" w:rsidR="005141AD" w:rsidRPr="00A56D7B" w:rsidRDefault="005141AD" w:rsidP="005141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DC5C1" w14:textId="77777777" w:rsidR="005141AD" w:rsidRPr="00A56D7B" w:rsidRDefault="005141AD" w:rsidP="005141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83AEF" w14:textId="77777777" w:rsidR="005141AD" w:rsidRPr="00A56D7B" w:rsidRDefault="005141AD" w:rsidP="005141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990AE" w14:textId="77777777" w:rsidR="005141AD" w:rsidRPr="00A56D7B" w:rsidRDefault="005141AD" w:rsidP="005141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C04358" w14:textId="77777777" w:rsidR="005141AD" w:rsidRPr="00A56D7B" w:rsidRDefault="005141AD" w:rsidP="005141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  <w:r w:rsidRPr="00A56D7B"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  <w:t>X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46289" w14:textId="77777777" w:rsidR="005141AD" w:rsidRPr="00A56D7B" w:rsidRDefault="005141AD" w:rsidP="005141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</w:p>
        </w:tc>
      </w:tr>
      <w:tr w:rsidR="005141AD" w:rsidRPr="00A56D7B" w14:paraId="68D127CC" w14:textId="77777777" w:rsidTr="00E47CE7">
        <w:trPr>
          <w:trHeight w:val="25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1E5E3" w14:textId="310EB961" w:rsidR="005141AD" w:rsidRPr="00A56D7B" w:rsidRDefault="005141AD" w:rsidP="005141AD">
            <w:pP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56D7B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Advanced Care Planning (ACP)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D0C4E" w14:textId="77777777" w:rsidR="005141AD" w:rsidRPr="00A56D7B" w:rsidRDefault="005141AD" w:rsidP="005141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56D7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NCQA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E05AF" w14:textId="77777777" w:rsidR="005141AD" w:rsidRPr="00A56D7B" w:rsidRDefault="005141AD" w:rsidP="005141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56D7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0326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CD79B" w14:textId="77777777" w:rsidR="005141AD" w:rsidRPr="00A56D7B" w:rsidRDefault="005141AD" w:rsidP="005141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7FE4B" w14:textId="77777777" w:rsidR="005141AD" w:rsidRPr="00A56D7B" w:rsidRDefault="005141AD" w:rsidP="005141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36ACD" w14:textId="77777777" w:rsidR="005141AD" w:rsidRPr="00A56D7B" w:rsidRDefault="005141AD" w:rsidP="005141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4EF00" w14:textId="77777777" w:rsidR="005141AD" w:rsidRPr="00A56D7B" w:rsidRDefault="005141AD" w:rsidP="005141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  <w:r w:rsidRPr="00A56D7B"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  <w:t>x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19323" w14:textId="77777777" w:rsidR="005141AD" w:rsidRPr="00A56D7B" w:rsidRDefault="005141AD" w:rsidP="005141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69224" w14:textId="77777777" w:rsidR="005141AD" w:rsidRPr="00A56D7B" w:rsidRDefault="005141AD" w:rsidP="005141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</w:p>
        </w:tc>
      </w:tr>
      <w:tr w:rsidR="005141AD" w:rsidRPr="00A56D7B" w14:paraId="1C919783" w14:textId="77777777" w:rsidTr="00E47C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0AA35" w14:textId="77777777" w:rsidR="005141AD" w:rsidRPr="00A56D7B" w:rsidRDefault="005141AD" w:rsidP="005141AD">
            <w:pP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56D7B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Antidepressant Medication Management (AMM)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E78B7" w14:textId="77777777" w:rsidR="005141AD" w:rsidRPr="00A56D7B" w:rsidRDefault="005141AD" w:rsidP="005141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56D7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NCQA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9C691" w14:textId="77777777" w:rsidR="005141AD" w:rsidRPr="00A56D7B" w:rsidRDefault="005141AD" w:rsidP="005141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56D7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0105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38A76" w14:textId="77777777" w:rsidR="005141AD" w:rsidRPr="00A56D7B" w:rsidRDefault="005141AD" w:rsidP="005141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385EA" w14:textId="77777777" w:rsidR="005141AD" w:rsidRPr="00A56D7B" w:rsidRDefault="005141AD" w:rsidP="005141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552ED" w14:textId="77777777" w:rsidR="005141AD" w:rsidRPr="00A56D7B" w:rsidRDefault="005141AD" w:rsidP="005141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B1DAD" w14:textId="77777777" w:rsidR="005141AD" w:rsidRPr="00A56D7B" w:rsidRDefault="005141AD" w:rsidP="005141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  <w:r w:rsidRPr="00A56D7B"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  <w:t>x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E2594" w14:textId="77777777" w:rsidR="005141AD" w:rsidRPr="00A56D7B" w:rsidRDefault="005141AD" w:rsidP="005141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  <w:r w:rsidRPr="00A56D7B"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  <w:t>x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46D4A" w14:textId="77777777" w:rsidR="005141AD" w:rsidRPr="00A56D7B" w:rsidRDefault="005141AD" w:rsidP="005141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  <w:r w:rsidRPr="00A56D7B"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  <w:t>x</w:t>
            </w:r>
          </w:p>
        </w:tc>
      </w:tr>
      <w:tr w:rsidR="005141AD" w:rsidRPr="00A56D7B" w14:paraId="6BCF5BFE" w14:textId="77777777" w:rsidTr="00E47CE7">
        <w:trPr>
          <w:trHeight w:val="20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E3816" w14:textId="77777777" w:rsidR="005141AD" w:rsidRPr="00A56D7B" w:rsidRDefault="005141AD" w:rsidP="005141AD">
            <w:pP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56D7B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Asthma Medication Ratio (AMR)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A6002" w14:textId="77777777" w:rsidR="005141AD" w:rsidRPr="00A56D7B" w:rsidRDefault="005141AD" w:rsidP="005141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56D7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NCQA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21986" w14:textId="77777777" w:rsidR="005141AD" w:rsidRPr="00A56D7B" w:rsidRDefault="005141AD" w:rsidP="005141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56D7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1800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9F9A1" w14:textId="77777777" w:rsidR="005141AD" w:rsidRPr="00A56D7B" w:rsidRDefault="005141AD" w:rsidP="005141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  <w:r w:rsidRPr="00A56D7B"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  <w:t>X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A680F" w14:textId="77777777" w:rsidR="005141AD" w:rsidRPr="00A56D7B" w:rsidRDefault="005141AD" w:rsidP="005141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  <w:r w:rsidRPr="00A56D7B"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  <w:t>x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6E7BC" w14:textId="77777777" w:rsidR="005141AD" w:rsidRPr="00A56D7B" w:rsidRDefault="005141AD" w:rsidP="005141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  <w:r w:rsidRPr="00A56D7B"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  <w:t>x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4DA70" w14:textId="77777777" w:rsidR="005141AD" w:rsidRPr="00A56D7B" w:rsidRDefault="005141AD" w:rsidP="005141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CA492" w14:textId="77777777" w:rsidR="005141AD" w:rsidRPr="00A56D7B" w:rsidRDefault="005141AD" w:rsidP="005141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2637C" w14:textId="77777777" w:rsidR="005141AD" w:rsidRPr="00A56D7B" w:rsidRDefault="005141AD" w:rsidP="005141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</w:p>
        </w:tc>
      </w:tr>
      <w:tr w:rsidR="005141AD" w:rsidRPr="00A56D7B" w14:paraId="307274BA" w14:textId="77777777" w:rsidTr="00E47C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91836" w14:textId="77777777" w:rsidR="005141AD" w:rsidRPr="00A56D7B" w:rsidRDefault="005141AD" w:rsidP="005141AD">
            <w:pP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56D7B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Behavioral Health Community Partners Engagement (BH CPE)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289B0" w14:textId="77777777" w:rsidR="005141AD" w:rsidRPr="00A56D7B" w:rsidRDefault="005141AD" w:rsidP="005141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56D7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EHS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8F602" w14:textId="0BA56C7A" w:rsidR="005141AD" w:rsidRPr="00A56D7B" w:rsidRDefault="00DB4461" w:rsidP="005141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29918" w14:textId="77777777" w:rsidR="005141AD" w:rsidRPr="00A56D7B" w:rsidRDefault="005141AD" w:rsidP="005141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  <w:r w:rsidRPr="00A56D7B"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  <w:t>X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81CEA" w14:textId="77777777" w:rsidR="005141AD" w:rsidRPr="00A56D7B" w:rsidRDefault="005141AD" w:rsidP="005141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  <w:r w:rsidRPr="00A56D7B"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  <w:t>X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A05C4" w14:textId="77777777" w:rsidR="005141AD" w:rsidRPr="00A56D7B" w:rsidRDefault="005141AD" w:rsidP="005141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BF1FD" w14:textId="77777777" w:rsidR="005141AD" w:rsidRPr="00A56D7B" w:rsidRDefault="005141AD" w:rsidP="005141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F632F" w14:textId="77777777" w:rsidR="005141AD" w:rsidRPr="00A56D7B" w:rsidRDefault="005141AD" w:rsidP="005141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CC79B" w14:textId="77777777" w:rsidR="005141AD" w:rsidRPr="00A56D7B" w:rsidRDefault="005141AD" w:rsidP="005141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</w:p>
        </w:tc>
      </w:tr>
      <w:tr w:rsidR="005141AD" w:rsidRPr="00A56D7B" w14:paraId="14F04DD8" w14:textId="77777777" w:rsidTr="00E47CE7">
        <w:trPr>
          <w:trHeight w:val="25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4E13B" w14:textId="77777777" w:rsidR="005141AD" w:rsidRPr="00A56D7B" w:rsidRDefault="005141AD" w:rsidP="005141AD">
            <w:pP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56D7B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Breast Cancer Screening (BCS)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17039" w14:textId="77777777" w:rsidR="005141AD" w:rsidRPr="00A56D7B" w:rsidRDefault="005141AD" w:rsidP="005141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56D7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NQCA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B01BE" w14:textId="77777777" w:rsidR="005141AD" w:rsidRPr="00A56D7B" w:rsidRDefault="005141AD" w:rsidP="005141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56D7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2372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E90FE" w14:textId="77777777" w:rsidR="005141AD" w:rsidRPr="00A56D7B" w:rsidRDefault="005141AD" w:rsidP="005141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D383C" w14:textId="77777777" w:rsidR="005141AD" w:rsidRPr="00A56D7B" w:rsidRDefault="005141AD" w:rsidP="005141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35F72" w14:textId="77777777" w:rsidR="005141AD" w:rsidRPr="00A56D7B" w:rsidRDefault="005141AD" w:rsidP="005141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13F74" w14:textId="77777777" w:rsidR="005141AD" w:rsidRPr="00A56D7B" w:rsidRDefault="005141AD" w:rsidP="005141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C10F8" w14:textId="77777777" w:rsidR="005141AD" w:rsidRPr="00A56D7B" w:rsidRDefault="005141AD" w:rsidP="005141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  <w:r w:rsidRPr="00A56D7B"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  <w:t>x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3E40A" w14:textId="77777777" w:rsidR="005141AD" w:rsidRPr="00A56D7B" w:rsidRDefault="005141AD" w:rsidP="005141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</w:p>
        </w:tc>
      </w:tr>
      <w:tr w:rsidR="005141AD" w:rsidRPr="00A56D7B" w14:paraId="36109BB2" w14:textId="77777777" w:rsidTr="00E47C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714D5" w14:textId="77777777" w:rsidR="005141AD" w:rsidRPr="00A56D7B" w:rsidRDefault="005141AD" w:rsidP="005141AD">
            <w:pP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56D7B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CG- CAHPS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72683" w14:textId="77777777" w:rsidR="005141AD" w:rsidRPr="00A56D7B" w:rsidRDefault="005141AD" w:rsidP="005141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56D7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AHRQ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D6874" w14:textId="52D62337" w:rsidR="005141AD" w:rsidRPr="00A56D7B" w:rsidRDefault="00DB4461" w:rsidP="005141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B446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CDD2B" w14:textId="77777777" w:rsidR="005141AD" w:rsidRPr="00A56D7B" w:rsidRDefault="005141AD" w:rsidP="005141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  <w:r w:rsidRPr="00A56D7B"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  <w:t>X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D88D8" w14:textId="77777777" w:rsidR="005141AD" w:rsidRPr="00A56D7B" w:rsidRDefault="005141AD" w:rsidP="005141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7B895" w14:textId="77777777" w:rsidR="005141AD" w:rsidRPr="00A56D7B" w:rsidRDefault="005141AD" w:rsidP="005141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11E8B" w14:textId="77777777" w:rsidR="005141AD" w:rsidRPr="00A56D7B" w:rsidRDefault="005141AD" w:rsidP="005141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DA259" w14:textId="77777777" w:rsidR="005141AD" w:rsidRPr="00A56D7B" w:rsidRDefault="005141AD" w:rsidP="005141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A00E1" w14:textId="77777777" w:rsidR="005141AD" w:rsidRPr="00A56D7B" w:rsidRDefault="005141AD" w:rsidP="005141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</w:p>
        </w:tc>
      </w:tr>
      <w:tr w:rsidR="005141AD" w:rsidRPr="00A56D7B" w14:paraId="21B603B3" w14:textId="77777777" w:rsidTr="00E47CE7">
        <w:trPr>
          <w:trHeight w:val="25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1BAFB" w14:textId="77777777" w:rsidR="005141AD" w:rsidRPr="00A56D7B" w:rsidRDefault="005141AD" w:rsidP="005141AD">
            <w:pP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56D7B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Community Tenure (CT)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EF551" w14:textId="77777777" w:rsidR="005141AD" w:rsidRPr="00A56D7B" w:rsidRDefault="005141AD" w:rsidP="005141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56D7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EHS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5FEDE" w14:textId="285A6CA6" w:rsidR="005141AD" w:rsidRPr="00A56D7B" w:rsidRDefault="00DB4461" w:rsidP="005141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B446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F4757" w14:textId="77777777" w:rsidR="005141AD" w:rsidRPr="00A56D7B" w:rsidRDefault="005141AD" w:rsidP="005141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  <w:r w:rsidRPr="00A56D7B"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  <w:t>X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0B364" w14:textId="77777777" w:rsidR="005141AD" w:rsidRPr="00A56D7B" w:rsidRDefault="005141AD" w:rsidP="005141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  <w:r w:rsidRPr="00A56D7B"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  <w:t>X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EE003" w14:textId="77777777" w:rsidR="005141AD" w:rsidRPr="00A56D7B" w:rsidRDefault="005141AD" w:rsidP="005141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4C760" w14:textId="77777777" w:rsidR="005141AD" w:rsidRPr="00A56D7B" w:rsidRDefault="005141AD" w:rsidP="005141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1AA7B" w14:textId="77777777" w:rsidR="005141AD" w:rsidRPr="00A56D7B" w:rsidRDefault="005141AD" w:rsidP="005141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60D39" w14:textId="77777777" w:rsidR="005141AD" w:rsidRPr="00A56D7B" w:rsidRDefault="005141AD" w:rsidP="005141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</w:p>
        </w:tc>
      </w:tr>
      <w:tr w:rsidR="005141AD" w:rsidRPr="00A56D7B" w14:paraId="54631A4B" w14:textId="77777777" w:rsidTr="00E47C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8A226" w14:textId="77777777" w:rsidR="005141AD" w:rsidRPr="00A56D7B" w:rsidRDefault="005141AD" w:rsidP="005141AD">
            <w:pP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56D7B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Controlling High Blood Pressure (CBP)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16784" w14:textId="77777777" w:rsidR="005141AD" w:rsidRPr="00A56D7B" w:rsidRDefault="005141AD" w:rsidP="005141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56D7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NCQA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D1961" w14:textId="77777777" w:rsidR="005141AD" w:rsidRPr="00A56D7B" w:rsidRDefault="005141AD" w:rsidP="005141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56D7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0018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383C5" w14:textId="77777777" w:rsidR="005141AD" w:rsidRPr="00A56D7B" w:rsidRDefault="005141AD" w:rsidP="005141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  <w:r w:rsidRPr="00A56D7B"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  <w:t>x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2D4C3" w14:textId="77777777" w:rsidR="005141AD" w:rsidRPr="00A56D7B" w:rsidRDefault="005141AD" w:rsidP="005141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  <w:r w:rsidRPr="00A56D7B">
              <w:rPr>
                <w:rFonts w:asciiTheme="minorHAnsi" w:hAnsiTheme="minorHAnsi" w:cstheme="minorHAnsi"/>
                <w:caps/>
                <w:sz w:val="18"/>
                <w:szCs w:val="18"/>
              </w:rPr>
              <w:t>X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91F85" w14:textId="77777777" w:rsidR="005141AD" w:rsidRPr="00A56D7B" w:rsidRDefault="005141AD" w:rsidP="005141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  <w:r w:rsidRPr="00A56D7B">
              <w:rPr>
                <w:rFonts w:asciiTheme="minorHAnsi" w:hAnsiTheme="minorHAnsi" w:cstheme="minorHAnsi"/>
                <w:caps/>
                <w:sz w:val="18"/>
                <w:szCs w:val="18"/>
              </w:rPr>
              <w:t>X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B139F" w14:textId="77777777" w:rsidR="005141AD" w:rsidRPr="00A56D7B" w:rsidRDefault="005141AD" w:rsidP="005141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  <w:r w:rsidRPr="00A56D7B"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  <w:t>x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CA097" w14:textId="77777777" w:rsidR="005141AD" w:rsidRPr="00A56D7B" w:rsidRDefault="005141AD" w:rsidP="005141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  <w:r w:rsidRPr="00A56D7B"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  <w:t>x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994ED" w14:textId="77777777" w:rsidR="005141AD" w:rsidRPr="00A56D7B" w:rsidRDefault="005141AD" w:rsidP="005141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</w:p>
        </w:tc>
      </w:tr>
      <w:tr w:rsidR="005141AD" w:rsidRPr="00A56D7B" w14:paraId="7C3E13F0" w14:textId="77777777" w:rsidTr="00E47CE7">
        <w:trPr>
          <w:trHeight w:val="25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4930C" w14:textId="77777777" w:rsidR="005141AD" w:rsidRPr="00A56D7B" w:rsidRDefault="005141AD" w:rsidP="005141AD">
            <w:pP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56D7B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Childhood Immunization Status (CIS)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A3176" w14:textId="77777777" w:rsidR="005141AD" w:rsidRPr="00A56D7B" w:rsidRDefault="005141AD" w:rsidP="005141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56D7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NCQA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870AE" w14:textId="77777777" w:rsidR="005141AD" w:rsidRPr="00A56D7B" w:rsidRDefault="005141AD" w:rsidP="005141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56D7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0038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A3DD" w14:textId="77777777" w:rsidR="005141AD" w:rsidRPr="00A56D7B" w:rsidRDefault="005141AD" w:rsidP="005141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  <w:r w:rsidRPr="00A56D7B"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  <w:t>X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661A0" w14:textId="77777777" w:rsidR="005141AD" w:rsidRPr="00A56D7B" w:rsidRDefault="005141AD" w:rsidP="005141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  <w:r w:rsidRPr="00A56D7B"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  <w:t>X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C1935" w14:textId="77777777" w:rsidR="005141AD" w:rsidRPr="00A56D7B" w:rsidRDefault="005141AD" w:rsidP="005141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  <w:r w:rsidRPr="00A56D7B"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  <w:t>X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FD72D" w14:textId="77777777" w:rsidR="005141AD" w:rsidRPr="00A56D7B" w:rsidRDefault="005141AD" w:rsidP="005141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EB9C9" w14:textId="77777777" w:rsidR="005141AD" w:rsidRPr="00A56D7B" w:rsidRDefault="005141AD" w:rsidP="005141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9FEBA" w14:textId="77777777" w:rsidR="005141AD" w:rsidRPr="00A56D7B" w:rsidRDefault="005141AD" w:rsidP="005141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</w:p>
        </w:tc>
      </w:tr>
      <w:tr w:rsidR="005141AD" w:rsidRPr="00A56D7B" w14:paraId="40757B7F" w14:textId="77777777" w:rsidTr="00E47C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5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FE462" w14:textId="77777777" w:rsidR="005141AD" w:rsidRPr="00A56D7B" w:rsidRDefault="005141AD" w:rsidP="005141AD">
            <w:pP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56D7B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Colorectal Cancer Screening (COL)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969BA" w14:textId="77777777" w:rsidR="005141AD" w:rsidRPr="00A56D7B" w:rsidRDefault="005141AD" w:rsidP="005141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56D7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NCQA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9F496" w14:textId="77777777" w:rsidR="005141AD" w:rsidRPr="00A56D7B" w:rsidRDefault="005141AD" w:rsidP="005141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56D7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0034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90D88" w14:textId="77777777" w:rsidR="005141AD" w:rsidRPr="00A56D7B" w:rsidRDefault="005141AD" w:rsidP="005141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921F4" w14:textId="77777777" w:rsidR="005141AD" w:rsidRPr="00A56D7B" w:rsidRDefault="005141AD" w:rsidP="005141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857BF" w14:textId="77777777" w:rsidR="005141AD" w:rsidRPr="00A56D7B" w:rsidRDefault="005141AD" w:rsidP="005141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B0683" w14:textId="77777777" w:rsidR="005141AD" w:rsidRPr="00A56D7B" w:rsidRDefault="005141AD" w:rsidP="005141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  <w:r w:rsidRPr="00A56D7B"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  <w:t>x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5BE69" w14:textId="77777777" w:rsidR="005141AD" w:rsidRPr="00A56D7B" w:rsidRDefault="005141AD" w:rsidP="005141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  <w:r w:rsidRPr="00A56D7B"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  <w:t>x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68E7E" w14:textId="77777777" w:rsidR="005141AD" w:rsidRPr="00A56D7B" w:rsidRDefault="005141AD" w:rsidP="005141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</w:p>
        </w:tc>
      </w:tr>
      <w:tr w:rsidR="005141AD" w:rsidRPr="00A56D7B" w14:paraId="61349E46" w14:textId="77777777" w:rsidTr="00E47CE7">
        <w:trPr>
          <w:trHeight w:val="20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F9D90" w14:textId="77777777" w:rsidR="005141AD" w:rsidRPr="00A56D7B" w:rsidDel="00481896" w:rsidRDefault="005141AD" w:rsidP="005141AD">
            <w:pP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56D7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Depression Remission or Response (DRR)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C82C4" w14:textId="77777777" w:rsidR="005141AD" w:rsidRPr="00A56D7B" w:rsidDel="00481896" w:rsidRDefault="005141AD" w:rsidP="005141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56D7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EHS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170F1" w14:textId="7FB02622" w:rsidR="005141AD" w:rsidRPr="00A56D7B" w:rsidDel="00481896" w:rsidRDefault="00DB4461" w:rsidP="005141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B446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6C24A" w14:textId="77777777" w:rsidR="005141AD" w:rsidRPr="00A56D7B" w:rsidDel="00481896" w:rsidRDefault="005141AD" w:rsidP="005141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  <w:r w:rsidRPr="00A56D7B"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  <w:t>X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86ABA" w14:textId="77777777" w:rsidR="005141AD" w:rsidRPr="00A56D7B" w:rsidDel="00481896" w:rsidRDefault="005141AD" w:rsidP="005141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30CE1" w14:textId="77777777" w:rsidR="005141AD" w:rsidRPr="00A56D7B" w:rsidDel="00481896" w:rsidRDefault="005141AD" w:rsidP="005141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1ED21" w14:textId="77777777" w:rsidR="005141AD" w:rsidRPr="00A56D7B" w:rsidDel="00481896" w:rsidRDefault="005141AD" w:rsidP="005141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2D937" w14:textId="77777777" w:rsidR="005141AD" w:rsidRPr="00A56D7B" w:rsidDel="00481896" w:rsidRDefault="005141AD" w:rsidP="005141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3DEBB" w14:textId="77777777" w:rsidR="005141AD" w:rsidRPr="00A56D7B" w:rsidRDefault="005141AD" w:rsidP="005141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</w:p>
        </w:tc>
      </w:tr>
      <w:tr w:rsidR="005141AD" w:rsidRPr="00A56D7B" w14:paraId="631F0508" w14:textId="77777777" w:rsidTr="00E47C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8C476" w14:textId="77777777" w:rsidR="005141AD" w:rsidRPr="00A56D7B" w:rsidRDefault="005141AD" w:rsidP="005141AD">
            <w:pP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56D7B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Diabetes Screening for People with Schizophrenia or Bipolar Disorder who are using Antipsychotic Medications (SSD)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5C552" w14:textId="77777777" w:rsidR="005141AD" w:rsidRPr="00A56D7B" w:rsidRDefault="005141AD" w:rsidP="005141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56D7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NCQA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FCE8D" w14:textId="77777777" w:rsidR="005141AD" w:rsidRPr="00A56D7B" w:rsidRDefault="005141AD" w:rsidP="005141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56D7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1932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3E97D" w14:textId="77777777" w:rsidR="005141AD" w:rsidRPr="00A56D7B" w:rsidRDefault="005141AD" w:rsidP="005141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sz w:val="18"/>
                <w:szCs w:val="18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13A53" w14:textId="77777777" w:rsidR="005141AD" w:rsidRPr="00A56D7B" w:rsidRDefault="005141AD" w:rsidP="005141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75ACB" w14:textId="77777777" w:rsidR="005141AD" w:rsidRPr="00A56D7B" w:rsidRDefault="005141AD" w:rsidP="005141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2F303" w14:textId="77777777" w:rsidR="005141AD" w:rsidRPr="00A56D7B" w:rsidRDefault="005141AD" w:rsidP="005141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1AF0E" w14:textId="77777777" w:rsidR="005141AD" w:rsidRPr="00A56D7B" w:rsidRDefault="005141AD" w:rsidP="005141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57464" w14:textId="77777777" w:rsidR="005141AD" w:rsidRPr="00A56D7B" w:rsidRDefault="005141AD" w:rsidP="005141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  <w:r w:rsidRPr="00A56D7B"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  <w:t>x</w:t>
            </w:r>
          </w:p>
        </w:tc>
      </w:tr>
      <w:tr w:rsidR="005141AD" w:rsidRPr="00A56D7B" w14:paraId="6180E184" w14:textId="77777777" w:rsidTr="00E47CE7">
        <w:trPr>
          <w:trHeight w:val="20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0E28B" w14:textId="1CEA7D2E" w:rsidR="005141AD" w:rsidRPr="00A56D7B" w:rsidRDefault="005141AD" w:rsidP="005141AD">
            <w:pPr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highlight w:val="yellow"/>
              </w:rPr>
            </w:pPr>
            <w:r w:rsidRPr="00A56D7B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Documentation of Care Plan Goals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FB1C7" w14:textId="77777777" w:rsidR="005141AD" w:rsidRPr="00A56D7B" w:rsidRDefault="005141AD" w:rsidP="005141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56D7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EHS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423D8" w14:textId="6BF50DCC" w:rsidR="005141AD" w:rsidRPr="00A56D7B" w:rsidRDefault="00DB4461" w:rsidP="005141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B446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FD562" w14:textId="77777777" w:rsidR="005141AD" w:rsidRPr="00A56D7B" w:rsidRDefault="005141AD" w:rsidP="005141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sz w:val="18"/>
                <w:szCs w:val="18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9E81E" w14:textId="77777777" w:rsidR="005141AD" w:rsidRPr="00A56D7B" w:rsidRDefault="005141AD" w:rsidP="005141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AA6BB" w14:textId="77777777" w:rsidR="005141AD" w:rsidRPr="00A56D7B" w:rsidRDefault="005141AD" w:rsidP="005141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B39FD" w14:textId="77777777" w:rsidR="005141AD" w:rsidRPr="00A56D7B" w:rsidRDefault="005141AD" w:rsidP="005141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C6185" w14:textId="77777777" w:rsidR="005141AD" w:rsidRPr="00A56D7B" w:rsidRDefault="005141AD" w:rsidP="005141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  <w:r w:rsidRPr="00A56D7B"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  <w:t>X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61784" w14:textId="77777777" w:rsidR="005141AD" w:rsidRPr="00A56D7B" w:rsidRDefault="005141AD" w:rsidP="005141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</w:p>
        </w:tc>
      </w:tr>
      <w:tr w:rsidR="005141AD" w:rsidRPr="00A56D7B" w14:paraId="43051CDD" w14:textId="77777777" w:rsidTr="00E47C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8787F" w14:textId="6AD1175D" w:rsidR="005141AD" w:rsidRPr="00A56D7B" w:rsidRDefault="005141AD" w:rsidP="005141AD">
            <w:pPr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highlight w:val="yellow"/>
              </w:rPr>
            </w:pPr>
            <w:r w:rsidRPr="00A56D7B">
              <w:rPr>
                <w:rFonts w:asciiTheme="minorHAnsi" w:hAnsiTheme="minorHAnsi" w:cstheme="minorHAnsi"/>
                <w:b/>
                <w:sz w:val="18"/>
                <w:szCs w:val="18"/>
              </w:rPr>
              <w:t>ED visits for members 18-65 identified with a diagnosis of serious mental illness, substance addiction, or co-occurring conditions (ED SMI/SUD)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3570F" w14:textId="77777777" w:rsidR="005141AD" w:rsidRPr="00A56D7B" w:rsidRDefault="005141AD" w:rsidP="005141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56D7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EHS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FB9C2" w14:textId="7C3F337B" w:rsidR="005141AD" w:rsidRPr="00A56D7B" w:rsidRDefault="00DB4461" w:rsidP="005141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B446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6231D" w14:textId="77777777" w:rsidR="005141AD" w:rsidRPr="00A56D7B" w:rsidRDefault="005141AD" w:rsidP="005141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sz w:val="18"/>
                <w:szCs w:val="18"/>
              </w:rPr>
            </w:pPr>
            <w:r w:rsidRPr="00A56D7B"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  <w:t>X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DEEFE" w14:textId="77777777" w:rsidR="005141AD" w:rsidRPr="00A56D7B" w:rsidRDefault="005141AD" w:rsidP="005141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sz w:val="18"/>
                <w:szCs w:val="18"/>
              </w:rPr>
            </w:pPr>
            <w:r w:rsidRPr="00A56D7B"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  <w:t>X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6FDA" w14:textId="77777777" w:rsidR="005141AD" w:rsidRPr="00A56D7B" w:rsidRDefault="005141AD" w:rsidP="005141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DAF0C" w14:textId="77777777" w:rsidR="005141AD" w:rsidRPr="00A56D7B" w:rsidRDefault="005141AD" w:rsidP="005141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149AE" w14:textId="77777777" w:rsidR="005141AD" w:rsidRPr="00A56D7B" w:rsidRDefault="005141AD" w:rsidP="005141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48EC0" w14:textId="77777777" w:rsidR="005141AD" w:rsidRPr="00A56D7B" w:rsidRDefault="005141AD" w:rsidP="005141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</w:p>
        </w:tc>
      </w:tr>
      <w:tr w:rsidR="005141AD" w:rsidRPr="00A56D7B" w14:paraId="62A8B2AC" w14:textId="77777777" w:rsidTr="00E47CE7">
        <w:trPr>
          <w:trHeight w:val="20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11E35" w14:textId="77777777" w:rsidR="005141AD" w:rsidRPr="00A56D7B" w:rsidRDefault="005141AD" w:rsidP="005141AD">
            <w:pP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56D7B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Follow-up After Emergency Department Visit for Substance Use (FUA)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09B84" w14:textId="77777777" w:rsidR="005141AD" w:rsidRPr="00A56D7B" w:rsidRDefault="005141AD" w:rsidP="005141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56D7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NCQA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ADCA3" w14:textId="77777777" w:rsidR="005141AD" w:rsidRPr="00A56D7B" w:rsidRDefault="005141AD" w:rsidP="005141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56D7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3489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F3036" w14:textId="77777777" w:rsidR="005141AD" w:rsidRPr="00A56D7B" w:rsidRDefault="005141AD" w:rsidP="005141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936AC" w14:textId="77777777" w:rsidR="005141AD" w:rsidRPr="00A56D7B" w:rsidRDefault="005141AD" w:rsidP="005141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  <w:r w:rsidRPr="00A56D7B"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  <w:t>x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34105" w14:textId="77777777" w:rsidR="005141AD" w:rsidRPr="00A56D7B" w:rsidRDefault="005141AD" w:rsidP="005141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  <w:r w:rsidRPr="00A56D7B"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  <w:t>x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2432C" w14:textId="77777777" w:rsidR="005141AD" w:rsidRPr="00A56D7B" w:rsidRDefault="005141AD" w:rsidP="005141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7A741" w14:textId="77777777" w:rsidR="005141AD" w:rsidRPr="00A56D7B" w:rsidRDefault="005141AD" w:rsidP="005141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  <w:r w:rsidRPr="00A56D7B"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  <w:t>x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85243" w14:textId="77777777" w:rsidR="005141AD" w:rsidRPr="00A56D7B" w:rsidRDefault="005141AD" w:rsidP="005141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  <w:r w:rsidRPr="00A56D7B"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  <w:t>x</w:t>
            </w:r>
          </w:p>
        </w:tc>
      </w:tr>
      <w:tr w:rsidR="005141AD" w:rsidRPr="00A56D7B" w14:paraId="3990EF12" w14:textId="77777777" w:rsidTr="00E47C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0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B649F" w14:textId="77777777" w:rsidR="005141AD" w:rsidRPr="00A56D7B" w:rsidRDefault="005141AD" w:rsidP="005141AD">
            <w:pP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56D7B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Follow-up After Emergency Department Visit for Mental Illness (FUM)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0166F" w14:textId="77777777" w:rsidR="005141AD" w:rsidRPr="00A56D7B" w:rsidRDefault="005141AD" w:rsidP="005141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56D7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NCQA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95EBE" w14:textId="77777777" w:rsidR="005141AD" w:rsidRPr="00A56D7B" w:rsidRDefault="005141AD" w:rsidP="005141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56D7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3488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45E43" w14:textId="77777777" w:rsidR="005141AD" w:rsidRPr="00A56D7B" w:rsidRDefault="005141AD" w:rsidP="005141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  <w:r w:rsidRPr="00A56D7B"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  <w:t>X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115DF" w14:textId="77777777" w:rsidR="005141AD" w:rsidRPr="00A56D7B" w:rsidRDefault="005141AD" w:rsidP="005141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  <w:r w:rsidRPr="00A56D7B"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  <w:t>X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0C435" w14:textId="77777777" w:rsidR="005141AD" w:rsidRPr="00A56D7B" w:rsidRDefault="005141AD" w:rsidP="005141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  <w:r w:rsidRPr="00A56D7B"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  <w:t>X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407F0" w14:textId="77777777" w:rsidR="005141AD" w:rsidRPr="00A56D7B" w:rsidRDefault="005141AD" w:rsidP="005141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13E21" w14:textId="77777777" w:rsidR="005141AD" w:rsidRPr="00A56D7B" w:rsidRDefault="005141AD" w:rsidP="005141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  <w:r w:rsidRPr="00A56D7B"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  <w:t>X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95DD1" w14:textId="77777777" w:rsidR="005141AD" w:rsidRPr="00A56D7B" w:rsidRDefault="005141AD" w:rsidP="005141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  <w:r w:rsidRPr="00A56D7B"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  <w:t>X</w:t>
            </w:r>
          </w:p>
        </w:tc>
      </w:tr>
      <w:tr w:rsidR="005141AD" w:rsidRPr="00A56D7B" w14:paraId="5E8F4EC2" w14:textId="77777777" w:rsidTr="00E47CE7">
        <w:trPr>
          <w:trHeight w:val="20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05EB5" w14:textId="77777777" w:rsidR="005141AD" w:rsidRPr="00A56D7B" w:rsidRDefault="005141AD" w:rsidP="005141AD">
            <w:pP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56D7B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Follow-Up After Hospitalization for Mental Illness (FUH)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DFF13" w14:textId="77777777" w:rsidR="005141AD" w:rsidRPr="00A56D7B" w:rsidRDefault="005141AD" w:rsidP="005141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56D7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NCQA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F5405" w14:textId="77777777" w:rsidR="005141AD" w:rsidRPr="00A56D7B" w:rsidRDefault="005141AD" w:rsidP="005141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56D7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0576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70EAB" w14:textId="77777777" w:rsidR="005141AD" w:rsidRPr="00A56D7B" w:rsidRDefault="005141AD" w:rsidP="005141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  <w:r w:rsidRPr="00A56D7B"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  <w:t>x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AA192" w14:textId="77777777" w:rsidR="005141AD" w:rsidRPr="00A56D7B" w:rsidRDefault="005141AD" w:rsidP="005141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  <w:r w:rsidRPr="00A56D7B"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  <w:t>x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523A5" w14:textId="77777777" w:rsidR="005141AD" w:rsidRPr="00A56D7B" w:rsidRDefault="005141AD" w:rsidP="005141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  <w:r w:rsidRPr="00A56D7B"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  <w:t>x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56754" w14:textId="77777777" w:rsidR="005141AD" w:rsidRPr="00A56D7B" w:rsidRDefault="005141AD" w:rsidP="005141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  <w:r w:rsidRPr="00A56D7B"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  <w:t>x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9DB0F" w14:textId="77777777" w:rsidR="005141AD" w:rsidRPr="00A56D7B" w:rsidRDefault="005141AD" w:rsidP="005141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  <w:r w:rsidRPr="00A56D7B"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  <w:t>x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5843F" w14:textId="77777777" w:rsidR="005141AD" w:rsidRPr="00A56D7B" w:rsidRDefault="005141AD" w:rsidP="005141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  <w:r w:rsidRPr="00A56D7B"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  <w:t>X</w:t>
            </w:r>
          </w:p>
        </w:tc>
      </w:tr>
      <w:tr w:rsidR="005141AD" w:rsidRPr="00A56D7B" w14:paraId="74AC8380" w14:textId="77777777" w:rsidTr="00E47C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D5BA4" w14:textId="77777777" w:rsidR="005141AD" w:rsidRPr="00A56D7B" w:rsidRDefault="005141AD" w:rsidP="005141AD">
            <w:pP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56D7B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Follow-up Care for Children Prescribed ADHD Medication (ADD)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18362" w14:textId="77777777" w:rsidR="005141AD" w:rsidRPr="00A56D7B" w:rsidRDefault="005141AD" w:rsidP="005141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56D7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NCQA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A3A84" w14:textId="77777777" w:rsidR="005141AD" w:rsidRPr="00A56D7B" w:rsidRDefault="005141AD" w:rsidP="005141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56D7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0108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3B3CB" w14:textId="77777777" w:rsidR="005141AD" w:rsidRPr="00A56D7B" w:rsidRDefault="005141AD" w:rsidP="005141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5446C" w14:textId="77777777" w:rsidR="005141AD" w:rsidRPr="00A56D7B" w:rsidRDefault="005141AD" w:rsidP="005141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E9643" w14:textId="77777777" w:rsidR="005141AD" w:rsidRPr="00A56D7B" w:rsidRDefault="005141AD" w:rsidP="005141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75691" w14:textId="77777777" w:rsidR="005141AD" w:rsidRPr="00A56D7B" w:rsidRDefault="005141AD" w:rsidP="005141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0DB6E" w14:textId="77777777" w:rsidR="005141AD" w:rsidRPr="00A56D7B" w:rsidRDefault="005141AD" w:rsidP="005141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EF43C" w14:textId="77777777" w:rsidR="005141AD" w:rsidRPr="00A56D7B" w:rsidRDefault="005141AD" w:rsidP="005141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  <w:r w:rsidRPr="00A56D7B"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  <w:t>x</w:t>
            </w:r>
          </w:p>
        </w:tc>
      </w:tr>
      <w:tr w:rsidR="005141AD" w:rsidRPr="00A56D7B" w14:paraId="0E5D502F" w14:textId="77777777" w:rsidTr="00E47CE7">
        <w:trPr>
          <w:trHeight w:val="23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DC04F" w14:textId="77777777" w:rsidR="005141AD" w:rsidRPr="00A56D7B" w:rsidRDefault="005141AD" w:rsidP="005141AD">
            <w:pP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56D7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Health Related Social Needs Screening (HRSN)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76572" w14:textId="77777777" w:rsidR="005141AD" w:rsidRPr="00A56D7B" w:rsidRDefault="005141AD" w:rsidP="005141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56D7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EHS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BC2F2" w14:textId="16856CF0" w:rsidR="005141AD" w:rsidRPr="00A56D7B" w:rsidRDefault="00DB4461" w:rsidP="005141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B446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2938E" w14:textId="77777777" w:rsidR="005141AD" w:rsidRPr="00A56D7B" w:rsidRDefault="005141AD" w:rsidP="005141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  <w:r w:rsidRPr="00A56D7B"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  <w:t>X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3A007" w14:textId="77777777" w:rsidR="005141AD" w:rsidRPr="00A56D7B" w:rsidRDefault="005141AD" w:rsidP="005141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F06AF" w14:textId="77777777" w:rsidR="005141AD" w:rsidRPr="00A56D7B" w:rsidRDefault="005141AD" w:rsidP="005141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02EC2" w14:textId="77777777" w:rsidR="005141AD" w:rsidRPr="00A56D7B" w:rsidRDefault="005141AD" w:rsidP="005141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E9161" w14:textId="77777777" w:rsidR="005141AD" w:rsidRPr="00A56D7B" w:rsidRDefault="005141AD" w:rsidP="005141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C2C52" w14:textId="77777777" w:rsidR="005141AD" w:rsidRPr="00A56D7B" w:rsidRDefault="005141AD" w:rsidP="005141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</w:p>
        </w:tc>
      </w:tr>
      <w:tr w:rsidR="005141AD" w:rsidRPr="00A56D7B" w14:paraId="68E906B2" w14:textId="77777777" w:rsidTr="00E47C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9E16F" w14:textId="77777777" w:rsidR="005141AD" w:rsidRPr="00A56D7B" w:rsidRDefault="005141AD" w:rsidP="005141AD">
            <w:pP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56D7B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Hemoglobin A1c Control for Patients with Diabetes (HBD)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A284E" w14:textId="77777777" w:rsidR="005141AD" w:rsidRPr="00A56D7B" w:rsidRDefault="005141AD" w:rsidP="005141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56D7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NCQA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90F07" w14:textId="77777777" w:rsidR="005141AD" w:rsidRPr="00A56D7B" w:rsidRDefault="005141AD" w:rsidP="005141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56D7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xxx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25F73" w14:textId="77777777" w:rsidR="005141AD" w:rsidRPr="00A56D7B" w:rsidRDefault="005141AD" w:rsidP="005141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  <w:r w:rsidRPr="00A56D7B"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  <w:t>X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4ABCD" w14:textId="77777777" w:rsidR="005141AD" w:rsidRPr="00A56D7B" w:rsidRDefault="005141AD" w:rsidP="005141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  <w:r w:rsidRPr="00A56D7B"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  <w:t>X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F960A" w14:textId="77777777" w:rsidR="005141AD" w:rsidRPr="00A56D7B" w:rsidRDefault="005141AD" w:rsidP="005141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  <w:r w:rsidRPr="00A56D7B"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  <w:t>X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BCACF" w14:textId="77777777" w:rsidR="005141AD" w:rsidRPr="00A56D7B" w:rsidRDefault="005141AD" w:rsidP="005141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0447C" w14:textId="77777777" w:rsidR="005141AD" w:rsidRPr="00A56D7B" w:rsidRDefault="005141AD" w:rsidP="005141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  <w:r w:rsidRPr="00A56D7B"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  <w:t>X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0285B" w14:textId="77777777" w:rsidR="005141AD" w:rsidRPr="00A56D7B" w:rsidRDefault="005141AD" w:rsidP="005141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</w:p>
        </w:tc>
      </w:tr>
      <w:tr w:rsidR="005141AD" w:rsidRPr="00A56D7B" w14:paraId="133CF753" w14:textId="77777777" w:rsidTr="00E47CE7">
        <w:trPr>
          <w:trHeight w:val="23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2BA1F" w14:textId="727A39D3" w:rsidR="005141AD" w:rsidRPr="00A56D7B" w:rsidRDefault="005141AD" w:rsidP="005141AD">
            <w:pP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56D7B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Immunization for Adolescents (IMA)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B20D6" w14:textId="77777777" w:rsidR="005141AD" w:rsidRPr="00A56D7B" w:rsidRDefault="005141AD" w:rsidP="005141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56D7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NCQA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788F6" w14:textId="77777777" w:rsidR="005141AD" w:rsidRPr="00A56D7B" w:rsidRDefault="005141AD" w:rsidP="005141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56D7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1407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E0954" w14:textId="77777777" w:rsidR="005141AD" w:rsidRPr="00A56D7B" w:rsidRDefault="005141AD" w:rsidP="005141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  <w:r w:rsidRPr="00A56D7B"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  <w:t>X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8ABB1" w14:textId="77777777" w:rsidR="005141AD" w:rsidRPr="00A56D7B" w:rsidRDefault="005141AD" w:rsidP="005141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  <w:r w:rsidRPr="00A56D7B"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  <w:t>X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F666A" w14:textId="77777777" w:rsidR="005141AD" w:rsidRPr="00A56D7B" w:rsidRDefault="005141AD" w:rsidP="005141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  <w:r w:rsidRPr="00A56D7B"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  <w:t>X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8C46E" w14:textId="77777777" w:rsidR="005141AD" w:rsidRPr="00A56D7B" w:rsidRDefault="005141AD" w:rsidP="005141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47438" w14:textId="77777777" w:rsidR="005141AD" w:rsidRPr="00A56D7B" w:rsidRDefault="005141AD" w:rsidP="005141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B7464" w14:textId="77777777" w:rsidR="005141AD" w:rsidRPr="00A56D7B" w:rsidRDefault="005141AD" w:rsidP="005141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</w:p>
        </w:tc>
      </w:tr>
      <w:tr w:rsidR="005141AD" w:rsidRPr="00A56D7B" w14:paraId="1705813E" w14:textId="77777777" w:rsidTr="00E47C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8DA36" w14:textId="77777777" w:rsidR="005141AD" w:rsidRPr="00A56D7B" w:rsidRDefault="005141AD" w:rsidP="005141AD">
            <w:pP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56D7B">
              <w:rPr>
                <w:rFonts w:asciiTheme="minorHAnsi" w:hAnsiTheme="minorHAnsi" w:cstheme="minorHAnsi"/>
                <w:b/>
                <w:sz w:val="18"/>
                <w:szCs w:val="18"/>
              </w:rPr>
              <w:t>Influenza Vaccination (FVO)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7FFCB" w14:textId="77777777" w:rsidR="005141AD" w:rsidRPr="00A56D7B" w:rsidRDefault="005141AD" w:rsidP="005141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56D7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NCQA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CCEBD" w14:textId="77777777" w:rsidR="005141AD" w:rsidRPr="00A56D7B" w:rsidRDefault="005141AD" w:rsidP="005141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3E0C8" w14:textId="77777777" w:rsidR="005141AD" w:rsidRPr="00A56D7B" w:rsidRDefault="005141AD" w:rsidP="005141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3345F" w14:textId="77777777" w:rsidR="005141AD" w:rsidRPr="00A56D7B" w:rsidRDefault="005141AD" w:rsidP="005141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CE094" w14:textId="77777777" w:rsidR="005141AD" w:rsidRPr="00A56D7B" w:rsidRDefault="005141AD" w:rsidP="005141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04CDC" w14:textId="77777777" w:rsidR="005141AD" w:rsidRPr="00A56D7B" w:rsidRDefault="005141AD" w:rsidP="005141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  <w:r w:rsidRPr="00A56D7B"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  <w:t>X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14527" w14:textId="77777777" w:rsidR="005141AD" w:rsidRPr="00A56D7B" w:rsidRDefault="005141AD" w:rsidP="005141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  <w:r w:rsidRPr="00A56D7B"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  <w:t>X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6A99B" w14:textId="77777777" w:rsidR="005141AD" w:rsidRPr="00A56D7B" w:rsidRDefault="005141AD" w:rsidP="005141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</w:p>
        </w:tc>
      </w:tr>
      <w:tr w:rsidR="005141AD" w:rsidRPr="00A56D7B" w14:paraId="258D1262" w14:textId="77777777" w:rsidTr="00E47CE7">
        <w:trPr>
          <w:trHeight w:val="23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BEA82" w14:textId="77777777" w:rsidR="005141AD" w:rsidRPr="00A56D7B" w:rsidRDefault="005141AD" w:rsidP="005141AD">
            <w:pP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56D7B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Initiation and Engagement of Substance Use Disorder Treatment (IET)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065E7" w14:textId="77777777" w:rsidR="005141AD" w:rsidRPr="00A56D7B" w:rsidRDefault="005141AD" w:rsidP="005141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56D7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NCQA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21F3E" w14:textId="77777777" w:rsidR="005141AD" w:rsidRPr="00A56D7B" w:rsidRDefault="005141AD" w:rsidP="005141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56D7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0004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55C93" w14:textId="77777777" w:rsidR="005141AD" w:rsidRPr="00A56D7B" w:rsidRDefault="005141AD" w:rsidP="005141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  <w:r w:rsidRPr="00A56D7B"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  <w:t>x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D3F15" w14:textId="77777777" w:rsidR="005141AD" w:rsidRPr="00A56D7B" w:rsidRDefault="005141AD" w:rsidP="005141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  <w:r w:rsidRPr="00A56D7B"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  <w:t>x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9CDA4" w14:textId="77777777" w:rsidR="005141AD" w:rsidRPr="00A56D7B" w:rsidRDefault="005141AD" w:rsidP="005141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  <w:r w:rsidRPr="00A56D7B"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  <w:t>x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2CB38" w14:textId="77777777" w:rsidR="005141AD" w:rsidRPr="00A56D7B" w:rsidRDefault="005141AD" w:rsidP="005141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AF77F" w14:textId="77777777" w:rsidR="005141AD" w:rsidRPr="00A56D7B" w:rsidRDefault="005141AD" w:rsidP="005141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  <w:r w:rsidRPr="00A56D7B"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  <w:t>x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56694" w14:textId="77777777" w:rsidR="005141AD" w:rsidRPr="00A56D7B" w:rsidRDefault="005141AD" w:rsidP="005141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  <w:r w:rsidRPr="00A56D7B"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  <w:t>x</w:t>
            </w:r>
          </w:p>
        </w:tc>
      </w:tr>
      <w:tr w:rsidR="005141AD" w:rsidRPr="00A56D7B" w14:paraId="410F0C63" w14:textId="77777777" w:rsidTr="00E47C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7128B" w14:textId="77777777" w:rsidR="005141AD" w:rsidRPr="00A56D7B" w:rsidRDefault="005141AD" w:rsidP="005141AD">
            <w:pP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56D7B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Long Term Services and Supports Community Partner Engagement (LTSS CPE)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F2947" w14:textId="77777777" w:rsidR="005141AD" w:rsidRPr="00A56D7B" w:rsidRDefault="005141AD" w:rsidP="005141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56D7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EHS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F46E8" w14:textId="1C0F6089" w:rsidR="005141AD" w:rsidRPr="00A56D7B" w:rsidRDefault="00DB4461" w:rsidP="005141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B446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0225F" w14:textId="77777777" w:rsidR="005141AD" w:rsidRPr="00A56D7B" w:rsidRDefault="005141AD" w:rsidP="005141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  <w:r w:rsidRPr="00A56D7B"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  <w:t>X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38C87" w14:textId="77777777" w:rsidR="005141AD" w:rsidRPr="00A56D7B" w:rsidRDefault="005141AD" w:rsidP="005141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  <w:r w:rsidRPr="00A56D7B"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  <w:t>X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2CDD2" w14:textId="77777777" w:rsidR="005141AD" w:rsidRPr="00A56D7B" w:rsidRDefault="005141AD" w:rsidP="005141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E9C4B" w14:textId="77777777" w:rsidR="005141AD" w:rsidRPr="00A56D7B" w:rsidRDefault="005141AD" w:rsidP="005141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EF37D" w14:textId="77777777" w:rsidR="005141AD" w:rsidRPr="00A56D7B" w:rsidRDefault="005141AD" w:rsidP="005141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FE131" w14:textId="77777777" w:rsidR="005141AD" w:rsidRPr="00A56D7B" w:rsidRDefault="005141AD" w:rsidP="005141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</w:p>
        </w:tc>
      </w:tr>
      <w:tr w:rsidR="005141AD" w:rsidRPr="00A56D7B" w14:paraId="06693964" w14:textId="77777777" w:rsidTr="00E47CE7">
        <w:trPr>
          <w:trHeight w:val="54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B07E8" w14:textId="56095B59" w:rsidR="005141AD" w:rsidRPr="00A56D7B" w:rsidRDefault="005141AD" w:rsidP="005141AD">
            <w:pPr>
              <w:spacing w:before="40" w:after="40"/>
              <w:ind w:right="144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  <w:r w:rsidRPr="00A56D7B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Medicare Advantage Prescription Drug Plan CAHPS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B363C" w14:textId="77777777" w:rsidR="005141AD" w:rsidRPr="00A56D7B" w:rsidRDefault="005141AD" w:rsidP="005141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56D7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CMS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C6574" w14:textId="77777777" w:rsidR="005141AD" w:rsidRPr="00A56D7B" w:rsidRDefault="005141AD" w:rsidP="005141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CDBD3" w14:textId="77777777" w:rsidR="005141AD" w:rsidRPr="00A56D7B" w:rsidRDefault="005141AD" w:rsidP="005141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9E87A" w14:textId="77777777" w:rsidR="005141AD" w:rsidRPr="00A56D7B" w:rsidRDefault="005141AD" w:rsidP="005141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833FD" w14:textId="77777777" w:rsidR="005141AD" w:rsidRPr="00A56D7B" w:rsidRDefault="005141AD" w:rsidP="005141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F3611" w14:textId="495CA593" w:rsidR="005141AD" w:rsidRPr="00A56D7B" w:rsidRDefault="00DB4461" w:rsidP="005141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  <w:t>X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A1D1E" w14:textId="77777777" w:rsidR="005141AD" w:rsidRPr="00A56D7B" w:rsidRDefault="005141AD" w:rsidP="005141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  <w:r w:rsidRPr="00A56D7B"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  <w:t>X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BD3CE" w14:textId="77777777" w:rsidR="005141AD" w:rsidRPr="00A56D7B" w:rsidRDefault="005141AD" w:rsidP="005141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</w:p>
        </w:tc>
      </w:tr>
      <w:tr w:rsidR="005141AD" w:rsidRPr="00A56D7B" w14:paraId="3DE615BB" w14:textId="77777777" w:rsidTr="00E47C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B639C" w14:textId="77777777" w:rsidR="005141AD" w:rsidRPr="00A56D7B" w:rsidRDefault="005141AD" w:rsidP="005141AD">
            <w:pPr>
              <w:spacing w:before="40" w:after="40"/>
              <w:ind w:right="144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  <w:r w:rsidRPr="00A56D7B">
              <w:rPr>
                <w:rFonts w:asciiTheme="minorHAnsi" w:eastAsia="Times New Roman" w:hAnsiTheme="minorHAnsi" w:cstheme="minorHAnsi"/>
                <w:b/>
                <w:bCs/>
                <w:color w:val="auto"/>
                <w:sz w:val="18"/>
                <w:szCs w:val="18"/>
              </w:rPr>
              <w:t>Timely Assessment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90694" w14:textId="77777777" w:rsidR="005141AD" w:rsidRPr="00A56D7B" w:rsidRDefault="005141AD" w:rsidP="005141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56D7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CMS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E2A5E" w14:textId="59FEF100" w:rsidR="005141AD" w:rsidRPr="00A56D7B" w:rsidRDefault="00DB4461" w:rsidP="005141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DB4461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C2062" w14:textId="77777777" w:rsidR="005141AD" w:rsidRPr="00A56D7B" w:rsidRDefault="005141AD" w:rsidP="005141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306FA" w14:textId="77777777" w:rsidR="005141AD" w:rsidRPr="00A56D7B" w:rsidRDefault="005141AD" w:rsidP="005141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F6136" w14:textId="77777777" w:rsidR="005141AD" w:rsidRPr="00A56D7B" w:rsidRDefault="005141AD" w:rsidP="005141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13DE5" w14:textId="77777777" w:rsidR="005141AD" w:rsidRPr="00A56D7B" w:rsidRDefault="005141AD" w:rsidP="005141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03588" w14:textId="77777777" w:rsidR="005141AD" w:rsidRPr="00A56D7B" w:rsidRDefault="005141AD" w:rsidP="005141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  <w:r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  <w:t>X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29D37" w14:textId="77777777" w:rsidR="005141AD" w:rsidRPr="00A56D7B" w:rsidRDefault="005141AD" w:rsidP="005141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</w:p>
        </w:tc>
      </w:tr>
      <w:tr w:rsidR="005141AD" w:rsidRPr="00A56D7B" w14:paraId="13C15C28" w14:textId="77777777" w:rsidTr="00E47CE7">
        <w:trPr>
          <w:trHeight w:val="23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C7D1A" w14:textId="77777777" w:rsidR="005141AD" w:rsidRPr="00A56D7B" w:rsidRDefault="005141AD" w:rsidP="005141AD">
            <w:pP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56D7B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Metabolic Monitoring for Children and Adolescents on Antipsychotics (APM)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823F1" w14:textId="77777777" w:rsidR="005141AD" w:rsidRPr="00A56D7B" w:rsidRDefault="005141AD" w:rsidP="005141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56D7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NCQA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791B1" w14:textId="77777777" w:rsidR="005141AD" w:rsidRPr="00A56D7B" w:rsidRDefault="005141AD" w:rsidP="005141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56D7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2800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D1589" w14:textId="77777777" w:rsidR="005141AD" w:rsidRPr="00A56D7B" w:rsidRDefault="005141AD" w:rsidP="005141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  <w:r w:rsidRPr="00A56D7B"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  <w:t>x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FE143" w14:textId="77777777" w:rsidR="005141AD" w:rsidRPr="00A56D7B" w:rsidRDefault="005141AD" w:rsidP="005141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  <w:r w:rsidRPr="00A56D7B"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  <w:t>x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1C5E4" w14:textId="77777777" w:rsidR="005141AD" w:rsidRPr="00A56D7B" w:rsidRDefault="005141AD" w:rsidP="005141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  <w:r w:rsidRPr="00A56D7B"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  <w:t>x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1B417" w14:textId="77777777" w:rsidR="005141AD" w:rsidRPr="00A56D7B" w:rsidRDefault="005141AD" w:rsidP="005141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69E5D" w14:textId="77777777" w:rsidR="005141AD" w:rsidRPr="00A56D7B" w:rsidRDefault="005141AD" w:rsidP="005141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61E9F" w14:textId="77777777" w:rsidR="005141AD" w:rsidRPr="00A56D7B" w:rsidRDefault="005141AD" w:rsidP="005141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  <w:r w:rsidRPr="00A56D7B"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  <w:t>x</w:t>
            </w:r>
          </w:p>
        </w:tc>
      </w:tr>
      <w:tr w:rsidR="005141AD" w:rsidRPr="00A56D7B" w14:paraId="6A366761" w14:textId="77777777" w:rsidTr="00E47C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92C51" w14:textId="77777777" w:rsidR="005141AD" w:rsidRPr="00A56D7B" w:rsidRDefault="005141AD" w:rsidP="005141AD">
            <w:pP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56D7B">
              <w:rPr>
                <w:rFonts w:asciiTheme="minorHAnsi" w:hAnsiTheme="minorHAnsi" w:cstheme="minorHAnsi"/>
                <w:b/>
                <w:sz w:val="18"/>
                <w:szCs w:val="18"/>
              </w:rPr>
              <w:t>Oral Health Evaluation (OHE)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60BB3" w14:textId="77777777" w:rsidR="005141AD" w:rsidRPr="00A56D7B" w:rsidRDefault="005141AD" w:rsidP="005141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56D7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EHS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B97A3" w14:textId="77777777" w:rsidR="005141AD" w:rsidRPr="00A56D7B" w:rsidRDefault="005141AD" w:rsidP="005141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5183D" w14:textId="77777777" w:rsidR="005141AD" w:rsidRPr="00A56D7B" w:rsidRDefault="005141AD" w:rsidP="005141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  <w:r w:rsidRPr="00A56D7B"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  <w:t>X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FB5B3" w14:textId="77777777" w:rsidR="005141AD" w:rsidRPr="00A56D7B" w:rsidRDefault="005141AD" w:rsidP="005141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  <w:r w:rsidRPr="00A56D7B"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  <w:t>X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A7031" w14:textId="77777777" w:rsidR="005141AD" w:rsidRPr="00A56D7B" w:rsidRDefault="005141AD" w:rsidP="005141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ECB50" w14:textId="77777777" w:rsidR="005141AD" w:rsidRPr="00A56D7B" w:rsidRDefault="005141AD" w:rsidP="005141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A88CB" w14:textId="77777777" w:rsidR="005141AD" w:rsidRPr="00A56D7B" w:rsidRDefault="005141AD" w:rsidP="005141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E8738" w14:textId="77777777" w:rsidR="005141AD" w:rsidRPr="00A56D7B" w:rsidRDefault="005141AD" w:rsidP="005141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</w:p>
        </w:tc>
      </w:tr>
      <w:tr w:rsidR="005141AD" w:rsidRPr="00A56D7B" w14:paraId="56A2CC2B" w14:textId="77777777" w:rsidTr="00E47CE7">
        <w:trPr>
          <w:trHeight w:val="24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8E4B5" w14:textId="77777777" w:rsidR="005141AD" w:rsidRPr="00A56D7B" w:rsidRDefault="005141AD" w:rsidP="005141AD">
            <w:pP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56D7B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Osteoporosis Management in Women Who Had a Fracture (OMW)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ABFE1" w14:textId="77777777" w:rsidR="005141AD" w:rsidRPr="00A56D7B" w:rsidRDefault="005141AD" w:rsidP="005141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56D7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NCQA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0098F" w14:textId="77777777" w:rsidR="005141AD" w:rsidRPr="00A56D7B" w:rsidRDefault="005141AD" w:rsidP="005141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56D7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0053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B7F4D" w14:textId="77777777" w:rsidR="005141AD" w:rsidRPr="00A56D7B" w:rsidRDefault="005141AD" w:rsidP="005141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F8A56" w14:textId="77777777" w:rsidR="005141AD" w:rsidRPr="00A56D7B" w:rsidRDefault="005141AD" w:rsidP="005141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AC527" w14:textId="77777777" w:rsidR="005141AD" w:rsidRPr="00A56D7B" w:rsidRDefault="005141AD" w:rsidP="005141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A670C" w14:textId="77777777" w:rsidR="005141AD" w:rsidRPr="00A56D7B" w:rsidRDefault="005141AD" w:rsidP="005141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  <w:r w:rsidRPr="00A56D7B"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  <w:t>x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01731" w14:textId="77777777" w:rsidR="005141AD" w:rsidRPr="00A56D7B" w:rsidRDefault="005141AD" w:rsidP="005141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698DA" w14:textId="77777777" w:rsidR="005141AD" w:rsidRPr="00A56D7B" w:rsidRDefault="005141AD" w:rsidP="005141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</w:p>
        </w:tc>
      </w:tr>
      <w:tr w:rsidR="005141AD" w:rsidRPr="00A56D7B" w14:paraId="4214DCAD" w14:textId="77777777" w:rsidTr="00E47C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F79D1" w14:textId="77777777" w:rsidR="005141AD" w:rsidRPr="00A56D7B" w:rsidRDefault="005141AD" w:rsidP="005141AD">
            <w:pP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56D7B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Persistence of Beta-Blocker Treatment After Heart Attack (PBH)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12BDB" w14:textId="77777777" w:rsidR="005141AD" w:rsidRPr="00A56D7B" w:rsidRDefault="005141AD" w:rsidP="005141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56D7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NCQA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C3DBB" w14:textId="77777777" w:rsidR="005141AD" w:rsidRPr="00A56D7B" w:rsidRDefault="005141AD" w:rsidP="005141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56D7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0071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93296" w14:textId="77777777" w:rsidR="005141AD" w:rsidRPr="00A56D7B" w:rsidRDefault="005141AD" w:rsidP="005141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65D82" w14:textId="77777777" w:rsidR="005141AD" w:rsidRPr="00A56D7B" w:rsidRDefault="005141AD" w:rsidP="005141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E4D32" w14:textId="77777777" w:rsidR="005141AD" w:rsidRPr="00A56D7B" w:rsidRDefault="005141AD" w:rsidP="005141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45280" w14:textId="77777777" w:rsidR="005141AD" w:rsidRPr="00A56D7B" w:rsidRDefault="005141AD" w:rsidP="005141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  <w:r w:rsidRPr="00A56D7B"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  <w:t>x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DE273" w14:textId="77777777" w:rsidR="005141AD" w:rsidRPr="00A56D7B" w:rsidRDefault="005141AD" w:rsidP="005141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  <w:r w:rsidRPr="00A56D7B"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  <w:t>X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52979" w14:textId="77777777" w:rsidR="005141AD" w:rsidRPr="00A56D7B" w:rsidRDefault="005141AD" w:rsidP="005141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</w:p>
        </w:tc>
      </w:tr>
      <w:tr w:rsidR="005141AD" w:rsidRPr="00A56D7B" w14:paraId="17F36D10" w14:textId="77777777" w:rsidTr="00E47CE7">
        <w:trPr>
          <w:trHeight w:val="23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2AAE5" w14:textId="77777777" w:rsidR="005141AD" w:rsidRPr="00A56D7B" w:rsidRDefault="005141AD" w:rsidP="005141AD">
            <w:pP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56D7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Pharmacotherapy for Opioid Use Disorder (POD)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2E910" w14:textId="77777777" w:rsidR="005141AD" w:rsidRPr="00A56D7B" w:rsidRDefault="005141AD" w:rsidP="005141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56D7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NCQA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F3C46F" w14:textId="77777777" w:rsidR="005141AD" w:rsidRPr="00A56D7B" w:rsidRDefault="005141AD" w:rsidP="005141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3A3F4" w14:textId="77777777" w:rsidR="005141AD" w:rsidRPr="00A56D7B" w:rsidRDefault="005141AD" w:rsidP="005141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58202" w14:textId="77777777" w:rsidR="005141AD" w:rsidRPr="00A56D7B" w:rsidRDefault="005141AD" w:rsidP="005141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973AB" w14:textId="77777777" w:rsidR="005141AD" w:rsidRPr="00A56D7B" w:rsidRDefault="005141AD" w:rsidP="005141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76B5F" w14:textId="77777777" w:rsidR="005141AD" w:rsidRPr="00A56D7B" w:rsidRDefault="005141AD" w:rsidP="005141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EE5EB" w14:textId="77777777" w:rsidR="005141AD" w:rsidRPr="00A56D7B" w:rsidRDefault="005141AD" w:rsidP="005141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72A02" w14:textId="77777777" w:rsidR="005141AD" w:rsidRPr="00A56D7B" w:rsidRDefault="005141AD" w:rsidP="005141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  <w:r w:rsidRPr="00A56D7B"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  <w:t>X</w:t>
            </w:r>
          </w:p>
        </w:tc>
      </w:tr>
      <w:tr w:rsidR="005141AD" w:rsidRPr="00A56D7B" w14:paraId="775DD2E5" w14:textId="77777777" w:rsidTr="00E47C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CC96" w14:textId="77777777" w:rsidR="005141AD" w:rsidRPr="00A56D7B" w:rsidRDefault="005141AD" w:rsidP="005141AD">
            <w:pP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56D7B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lastRenderedPageBreak/>
              <w:t>Pharmacotherapy Management of COPD Exacerbation (PCE)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4852A" w14:textId="77777777" w:rsidR="005141AD" w:rsidRPr="00A56D7B" w:rsidRDefault="005141AD" w:rsidP="005141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56D7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NCQA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55AAD" w14:textId="77777777" w:rsidR="005141AD" w:rsidRPr="00A56D7B" w:rsidRDefault="005141AD" w:rsidP="005141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56D7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0549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45E17" w14:textId="77777777" w:rsidR="005141AD" w:rsidRPr="00A56D7B" w:rsidRDefault="005141AD" w:rsidP="005141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A5786" w14:textId="77777777" w:rsidR="005141AD" w:rsidRPr="00A56D7B" w:rsidRDefault="005141AD" w:rsidP="005141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C67E1" w14:textId="77777777" w:rsidR="005141AD" w:rsidRPr="00A56D7B" w:rsidRDefault="005141AD" w:rsidP="005141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9DF0F" w14:textId="77777777" w:rsidR="005141AD" w:rsidRPr="00A56D7B" w:rsidRDefault="005141AD" w:rsidP="005141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  <w:r w:rsidRPr="00A56D7B"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  <w:t>x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EFE65" w14:textId="77777777" w:rsidR="005141AD" w:rsidRPr="00A56D7B" w:rsidRDefault="005141AD" w:rsidP="005141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23F28" w14:textId="77777777" w:rsidR="005141AD" w:rsidRPr="00A56D7B" w:rsidRDefault="005141AD" w:rsidP="005141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</w:p>
        </w:tc>
      </w:tr>
      <w:tr w:rsidR="005141AD" w:rsidRPr="00A56D7B" w14:paraId="458C3001" w14:textId="77777777" w:rsidTr="00E47CE7">
        <w:trPr>
          <w:trHeight w:val="28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094A6" w14:textId="77777777" w:rsidR="005141AD" w:rsidRPr="00A56D7B" w:rsidRDefault="005141AD" w:rsidP="005141AD">
            <w:pP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56D7B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Plan All-Cause Readmission (PCR)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38F14" w14:textId="77777777" w:rsidR="005141AD" w:rsidRPr="00A56D7B" w:rsidRDefault="005141AD" w:rsidP="005141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56D7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NCQA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4C5E3" w14:textId="77777777" w:rsidR="005141AD" w:rsidRPr="00A56D7B" w:rsidRDefault="005141AD" w:rsidP="005141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56D7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1768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86436" w14:textId="77777777" w:rsidR="005141AD" w:rsidRPr="00A56D7B" w:rsidRDefault="005141AD" w:rsidP="005141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  <w:r w:rsidRPr="00A56D7B"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  <w:t>X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96827" w14:textId="77777777" w:rsidR="005141AD" w:rsidRPr="00A56D7B" w:rsidRDefault="005141AD" w:rsidP="005141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  <w:r w:rsidRPr="00A56D7B"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  <w:t>X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D4F4C" w14:textId="77777777" w:rsidR="005141AD" w:rsidRPr="00A56D7B" w:rsidRDefault="005141AD" w:rsidP="005141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  <w:r w:rsidRPr="00A56D7B"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  <w:t>X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7FA1D" w14:textId="77777777" w:rsidR="005141AD" w:rsidRPr="00A56D7B" w:rsidRDefault="005141AD" w:rsidP="005141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  <w:r w:rsidRPr="00A56D7B"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  <w:t>x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30CC4" w14:textId="77777777" w:rsidR="005141AD" w:rsidRPr="00A56D7B" w:rsidRDefault="005141AD" w:rsidP="005141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  <w:r w:rsidRPr="00A56D7B"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  <w:t>x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D9A10" w14:textId="77777777" w:rsidR="005141AD" w:rsidRPr="00A56D7B" w:rsidRDefault="005141AD" w:rsidP="005141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</w:p>
        </w:tc>
      </w:tr>
      <w:tr w:rsidR="005141AD" w:rsidRPr="00A56D7B" w14:paraId="74066711" w14:textId="77777777" w:rsidTr="00E47C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A6830" w14:textId="77777777" w:rsidR="005141AD" w:rsidRPr="00A56D7B" w:rsidRDefault="005141AD" w:rsidP="005141AD">
            <w:pP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56D7B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Potentially Harmful Drug Disease Interactions in the Elderly (DDE)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BBA66" w14:textId="77777777" w:rsidR="005141AD" w:rsidRPr="00A56D7B" w:rsidRDefault="005141AD" w:rsidP="005141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56D7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NCQA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AC767" w14:textId="77777777" w:rsidR="005141AD" w:rsidRPr="00A56D7B" w:rsidRDefault="005141AD" w:rsidP="005141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56D7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2993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086EB" w14:textId="77777777" w:rsidR="005141AD" w:rsidRPr="00A56D7B" w:rsidRDefault="005141AD" w:rsidP="005141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4D0AC" w14:textId="77777777" w:rsidR="005141AD" w:rsidRPr="00A56D7B" w:rsidRDefault="005141AD" w:rsidP="005141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60E28" w14:textId="77777777" w:rsidR="005141AD" w:rsidRPr="00A56D7B" w:rsidRDefault="005141AD" w:rsidP="005141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9ECCB" w14:textId="77777777" w:rsidR="005141AD" w:rsidRPr="00A56D7B" w:rsidRDefault="005141AD" w:rsidP="005141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  <w:r w:rsidRPr="00A56D7B"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  <w:t>x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E26E6" w14:textId="77777777" w:rsidR="005141AD" w:rsidRPr="00A56D7B" w:rsidRDefault="005141AD" w:rsidP="005141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728D5" w14:textId="77777777" w:rsidR="005141AD" w:rsidRPr="00A56D7B" w:rsidRDefault="005141AD" w:rsidP="005141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</w:p>
        </w:tc>
      </w:tr>
      <w:tr w:rsidR="005141AD" w:rsidRPr="00A56D7B" w14:paraId="3C54F7B9" w14:textId="77777777" w:rsidTr="00E47CE7">
        <w:trPr>
          <w:trHeight w:val="23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CE266" w14:textId="77777777" w:rsidR="005141AD" w:rsidRPr="00A56D7B" w:rsidRDefault="005141AD" w:rsidP="005141AD">
            <w:pP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56D7B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Timeliness of Prenatal Care (PPC)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63A32" w14:textId="77777777" w:rsidR="005141AD" w:rsidRPr="00A56D7B" w:rsidRDefault="005141AD" w:rsidP="005141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56D7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NCQA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37385" w14:textId="77777777" w:rsidR="005141AD" w:rsidRPr="00A56D7B" w:rsidRDefault="005141AD" w:rsidP="005141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56D7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1517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3899C" w14:textId="77777777" w:rsidR="005141AD" w:rsidRPr="00A56D7B" w:rsidRDefault="005141AD" w:rsidP="005141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  <w:r w:rsidRPr="00A56D7B"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  <w:t>X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30CC6" w14:textId="77777777" w:rsidR="005141AD" w:rsidRPr="00A56D7B" w:rsidRDefault="005141AD" w:rsidP="005141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  <w:r w:rsidRPr="00A56D7B"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  <w:t>X</w:t>
            </w: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DDF5F" w14:textId="77777777" w:rsidR="005141AD" w:rsidRPr="00A56D7B" w:rsidRDefault="005141AD" w:rsidP="005141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  <w:r w:rsidRPr="00A56D7B"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  <w:t>X</w:t>
            </w: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F1860" w14:textId="77777777" w:rsidR="005141AD" w:rsidRPr="00A56D7B" w:rsidRDefault="005141AD" w:rsidP="005141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7050D" w14:textId="77777777" w:rsidR="005141AD" w:rsidRPr="00A56D7B" w:rsidRDefault="005141AD" w:rsidP="005141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985F5" w14:textId="77777777" w:rsidR="005141AD" w:rsidRPr="00A56D7B" w:rsidRDefault="005141AD" w:rsidP="005141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</w:p>
        </w:tc>
      </w:tr>
      <w:tr w:rsidR="005141AD" w:rsidRPr="00A56D7B" w14:paraId="75337929" w14:textId="77777777" w:rsidTr="00E47C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04761" w14:textId="77777777" w:rsidR="005141AD" w:rsidRPr="00A56D7B" w:rsidRDefault="005141AD" w:rsidP="005141AD">
            <w:pP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56D7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Screening for Depression and Follow-up Plan (DSF)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F1F8A" w14:textId="77777777" w:rsidR="005141AD" w:rsidRPr="00A56D7B" w:rsidRDefault="005141AD" w:rsidP="005141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56D7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EHS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9E006" w14:textId="77777777" w:rsidR="005141AD" w:rsidRPr="00A56D7B" w:rsidRDefault="005141AD" w:rsidP="005141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43FC9" w14:textId="77777777" w:rsidR="005141AD" w:rsidRPr="00A56D7B" w:rsidRDefault="005141AD" w:rsidP="005141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  <w:r w:rsidRPr="00A56D7B"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  <w:t>X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FFAA7" w14:textId="77777777" w:rsidR="005141AD" w:rsidRPr="00A56D7B" w:rsidRDefault="005141AD" w:rsidP="005141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FC397" w14:textId="77777777" w:rsidR="005141AD" w:rsidRPr="00A56D7B" w:rsidRDefault="005141AD" w:rsidP="005141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F597D" w14:textId="77777777" w:rsidR="005141AD" w:rsidRPr="00A56D7B" w:rsidRDefault="005141AD" w:rsidP="005141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8DDE3" w14:textId="77777777" w:rsidR="005141AD" w:rsidRPr="00A56D7B" w:rsidRDefault="005141AD" w:rsidP="005141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52043" w14:textId="77777777" w:rsidR="005141AD" w:rsidRPr="00A56D7B" w:rsidRDefault="005141AD" w:rsidP="005141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</w:p>
        </w:tc>
      </w:tr>
      <w:tr w:rsidR="005141AD" w:rsidRPr="00A56D7B" w14:paraId="486D03FC" w14:textId="77777777" w:rsidTr="00E47CE7">
        <w:trPr>
          <w:trHeight w:val="23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C1D65" w14:textId="77777777" w:rsidR="005141AD" w:rsidRPr="00A56D7B" w:rsidRDefault="005141AD" w:rsidP="005141AD">
            <w:pPr>
              <w:rPr>
                <w:rFonts w:asciiTheme="minorHAnsi" w:hAnsiTheme="minorHAnsi" w:cstheme="minorHAnsi"/>
                <w:b/>
                <w:color w:val="000000"/>
                <w:sz w:val="18"/>
                <w:szCs w:val="18"/>
                <w:highlight w:val="yellow"/>
              </w:rPr>
            </w:pPr>
            <w:r w:rsidRPr="00A56D7B"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  <w:t>Tracking of Demographic Information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07D24" w14:textId="77777777" w:rsidR="005141AD" w:rsidRPr="00A56D7B" w:rsidRDefault="005141AD" w:rsidP="005141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56D7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EHS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D9291" w14:textId="77777777" w:rsidR="005141AD" w:rsidRPr="00A56D7B" w:rsidRDefault="005141AD" w:rsidP="005141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C78E7" w14:textId="77777777" w:rsidR="005141AD" w:rsidRPr="00A56D7B" w:rsidRDefault="005141AD" w:rsidP="005141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7008C" w14:textId="77777777" w:rsidR="005141AD" w:rsidRPr="00A56D7B" w:rsidRDefault="005141AD" w:rsidP="005141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CD167" w14:textId="77777777" w:rsidR="005141AD" w:rsidRPr="00A56D7B" w:rsidRDefault="005141AD" w:rsidP="005141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A2E65" w14:textId="77777777" w:rsidR="005141AD" w:rsidRPr="00A56D7B" w:rsidRDefault="005141AD" w:rsidP="005141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2813B" w14:textId="77777777" w:rsidR="005141AD" w:rsidRPr="00A56D7B" w:rsidRDefault="005141AD" w:rsidP="005141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  <w:r w:rsidRPr="00A56D7B"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  <w:t>X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4722D" w14:textId="77777777" w:rsidR="005141AD" w:rsidRPr="00A56D7B" w:rsidRDefault="005141AD" w:rsidP="005141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</w:p>
        </w:tc>
      </w:tr>
      <w:tr w:rsidR="005141AD" w:rsidRPr="00A56D7B" w14:paraId="570968E0" w14:textId="77777777" w:rsidTr="00E47C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EBA02" w14:textId="40023D60" w:rsidR="005141AD" w:rsidRPr="00A56D7B" w:rsidRDefault="005141AD" w:rsidP="005141AD">
            <w:pPr>
              <w:rPr>
                <w:rFonts w:asciiTheme="minorHAnsi" w:hAnsiTheme="minorHAnsi" w:cstheme="minorHAnsi"/>
                <w:b/>
                <w:sz w:val="18"/>
                <w:szCs w:val="18"/>
              </w:rPr>
            </w:pPr>
            <w:r w:rsidRPr="00A56D7B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Transitions of Care (TRC) - Medication Reconciliation Post Discharge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2A1F1" w14:textId="77777777" w:rsidR="005141AD" w:rsidRPr="00A56D7B" w:rsidRDefault="005141AD" w:rsidP="005141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56D7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NCQA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B4B67" w14:textId="77777777" w:rsidR="005141AD" w:rsidRPr="00A56D7B" w:rsidRDefault="005141AD" w:rsidP="005141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56D7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N/A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898BE" w14:textId="77777777" w:rsidR="005141AD" w:rsidRPr="00A56D7B" w:rsidRDefault="005141AD" w:rsidP="005141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88132" w14:textId="77777777" w:rsidR="005141AD" w:rsidRPr="00A56D7B" w:rsidRDefault="005141AD" w:rsidP="005141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142A4" w14:textId="77777777" w:rsidR="005141AD" w:rsidRPr="00A56D7B" w:rsidRDefault="005141AD" w:rsidP="005141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66193" w14:textId="77777777" w:rsidR="005141AD" w:rsidRPr="00A56D7B" w:rsidRDefault="005141AD" w:rsidP="005141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  <w:r w:rsidRPr="00A56D7B"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  <w:t>x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A0FA1" w14:textId="77777777" w:rsidR="005141AD" w:rsidRPr="00A56D7B" w:rsidRDefault="005141AD" w:rsidP="005141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  <w:r w:rsidRPr="00A56D7B"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  <w:t>x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67B69" w14:textId="77777777" w:rsidR="005141AD" w:rsidRPr="00A56D7B" w:rsidRDefault="005141AD" w:rsidP="005141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</w:p>
        </w:tc>
      </w:tr>
      <w:tr w:rsidR="005141AD" w:rsidRPr="00A56D7B" w14:paraId="1656ED17" w14:textId="77777777" w:rsidTr="00E47CE7">
        <w:trPr>
          <w:trHeight w:val="23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92B6C" w14:textId="77777777" w:rsidR="005141AD" w:rsidRPr="00A56D7B" w:rsidRDefault="005141AD" w:rsidP="005141AD">
            <w:pP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56D7B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Use of High-Risk Medications in the Elderly (DAE)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3A41A" w14:textId="77777777" w:rsidR="005141AD" w:rsidRPr="00A56D7B" w:rsidRDefault="005141AD" w:rsidP="005141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56D7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NCQA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B596D" w14:textId="77777777" w:rsidR="005141AD" w:rsidRPr="00A56D7B" w:rsidRDefault="005141AD" w:rsidP="005141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56D7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0022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29E97" w14:textId="77777777" w:rsidR="005141AD" w:rsidRPr="00A56D7B" w:rsidRDefault="005141AD" w:rsidP="005141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AC13A" w14:textId="77777777" w:rsidR="005141AD" w:rsidRPr="00A56D7B" w:rsidRDefault="005141AD" w:rsidP="005141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394A7" w14:textId="77777777" w:rsidR="005141AD" w:rsidRPr="00A56D7B" w:rsidRDefault="005141AD" w:rsidP="005141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AA88E" w14:textId="77777777" w:rsidR="005141AD" w:rsidRPr="00A56D7B" w:rsidRDefault="005141AD" w:rsidP="005141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  <w:r w:rsidRPr="00A56D7B"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  <w:t>x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119EB" w14:textId="77777777" w:rsidR="005141AD" w:rsidRPr="00A56D7B" w:rsidRDefault="005141AD" w:rsidP="005141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C070A" w14:textId="77777777" w:rsidR="005141AD" w:rsidRPr="00A56D7B" w:rsidRDefault="005141AD" w:rsidP="005141AD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</w:p>
        </w:tc>
      </w:tr>
      <w:tr w:rsidR="005141AD" w:rsidRPr="00A56D7B" w14:paraId="4AAFAE8A" w14:textId="77777777" w:rsidTr="00E47CE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92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258C2" w14:textId="77777777" w:rsidR="005141AD" w:rsidRPr="00A56D7B" w:rsidRDefault="005141AD" w:rsidP="005141AD">
            <w:pPr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</w:pPr>
            <w:r w:rsidRPr="00A56D7B">
              <w:rPr>
                <w:rFonts w:asciiTheme="minorHAnsi" w:hAnsiTheme="minorHAnsi" w:cstheme="minorHAnsi"/>
                <w:b/>
                <w:color w:val="000000"/>
                <w:sz w:val="18"/>
                <w:szCs w:val="18"/>
              </w:rPr>
              <w:t>Use of Spirometry Testing in the Assessment and Diagnosis of COPD (SPR)</w:t>
            </w:r>
          </w:p>
        </w:tc>
        <w:tc>
          <w:tcPr>
            <w:tcW w:w="43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3D64D" w14:textId="77777777" w:rsidR="005141AD" w:rsidRPr="00A56D7B" w:rsidRDefault="005141AD" w:rsidP="005141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56D7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NCQA</w:t>
            </w: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14149" w14:textId="77777777" w:rsidR="005141AD" w:rsidRPr="00A56D7B" w:rsidRDefault="005141AD" w:rsidP="005141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18"/>
                <w:szCs w:val="18"/>
              </w:rPr>
            </w:pPr>
            <w:r w:rsidRPr="00A56D7B">
              <w:rPr>
                <w:rFonts w:asciiTheme="minorHAnsi" w:hAnsiTheme="minorHAnsi" w:cstheme="minorHAnsi"/>
                <w:color w:val="000000"/>
                <w:sz w:val="18"/>
                <w:szCs w:val="18"/>
              </w:rPr>
              <w:t>0577</w:t>
            </w:r>
          </w:p>
        </w:tc>
        <w:tc>
          <w:tcPr>
            <w:tcW w:w="30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243EA" w14:textId="77777777" w:rsidR="005141AD" w:rsidRPr="00A56D7B" w:rsidRDefault="005141AD" w:rsidP="005141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</w:p>
        </w:tc>
        <w:tc>
          <w:tcPr>
            <w:tcW w:w="34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46343" w14:textId="77777777" w:rsidR="005141AD" w:rsidRPr="00A56D7B" w:rsidRDefault="005141AD" w:rsidP="005141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</w:p>
        </w:tc>
        <w:tc>
          <w:tcPr>
            <w:tcW w:w="39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0F9E6" w14:textId="77777777" w:rsidR="005141AD" w:rsidRPr="00A56D7B" w:rsidRDefault="005141AD" w:rsidP="005141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</w:p>
        </w:tc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FD05C" w14:textId="77777777" w:rsidR="005141AD" w:rsidRPr="00A56D7B" w:rsidRDefault="005141AD" w:rsidP="005141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  <w:r w:rsidRPr="00A56D7B"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  <w:t>x</w:t>
            </w:r>
          </w:p>
        </w:tc>
        <w:tc>
          <w:tcPr>
            <w:tcW w:w="47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9312A" w14:textId="77777777" w:rsidR="005141AD" w:rsidRPr="00A56D7B" w:rsidRDefault="005141AD" w:rsidP="005141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  <w:r w:rsidRPr="00A56D7B"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  <w:t>x</w:t>
            </w:r>
          </w:p>
        </w:tc>
        <w:tc>
          <w:tcPr>
            <w:tcW w:w="43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FE6A1" w14:textId="77777777" w:rsidR="005141AD" w:rsidRPr="00A56D7B" w:rsidRDefault="005141AD" w:rsidP="005141A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inorHAnsi" w:hAnsiTheme="minorHAnsi" w:cstheme="minorHAnsi"/>
                <w:caps/>
                <w:color w:val="000000"/>
                <w:sz w:val="18"/>
                <w:szCs w:val="18"/>
              </w:rPr>
            </w:pPr>
          </w:p>
        </w:tc>
      </w:tr>
    </w:tbl>
    <w:p w14:paraId="34C56208" w14:textId="1E5B718D" w:rsidR="00A21AF4" w:rsidRPr="00CF5E11" w:rsidRDefault="00A21AF4">
      <w:pPr>
        <w:sectPr w:rsidR="00A21AF4" w:rsidRPr="00CF5E11" w:rsidSect="004B5F5C">
          <w:footerReference w:type="default" r:id="rId12"/>
          <w:type w:val="continuous"/>
          <w:pgSz w:w="12240" w:h="15840"/>
          <w:pgMar w:top="1440" w:right="1440" w:bottom="1440" w:left="1440" w:header="720" w:footer="720" w:gutter="0"/>
          <w:pgNumType w:start="1"/>
          <w:cols w:space="720"/>
          <w:docGrid w:linePitch="360"/>
        </w:sectPr>
      </w:pPr>
    </w:p>
    <w:p w14:paraId="72F6686B" w14:textId="1AA71504" w:rsidR="004F5699" w:rsidRPr="00CF5E11" w:rsidRDefault="00E71759" w:rsidP="000F7462">
      <w:pPr>
        <w:pStyle w:val="Caption"/>
        <w:keepNext/>
        <w:spacing w:after="120"/>
        <w:rPr>
          <w:sz w:val="28"/>
          <w:szCs w:val="28"/>
        </w:rPr>
      </w:pPr>
      <w:r w:rsidRPr="00BC4E29">
        <w:rPr>
          <w:sz w:val="28"/>
          <w:szCs w:val="28"/>
        </w:rPr>
        <w:lastRenderedPageBreak/>
        <w:t xml:space="preserve">Table </w:t>
      </w:r>
      <w:r w:rsidRPr="00BC4E29">
        <w:rPr>
          <w:sz w:val="28"/>
          <w:szCs w:val="28"/>
        </w:rPr>
        <w:fldChar w:fldCharType="begin"/>
      </w:r>
      <w:r w:rsidRPr="00BC4E29">
        <w:rPr>
          <w:sz w:val="28"/>
          <w:szCs w:val="28"/>
        </w:rPr>
        <w:instrText xml:space="preserve"> SEQ Table \* ARABIC </w:instrText>
      </w:r>
      <w:r w:rsidRPr="00BC4E29">
        <w:rPr>
          <w:sz w:val="28"/>
          <w:szCs w:val="28"/>
        </w:rPr>
        <w:fldChar w:fldCharType="separate"/>
      </w:r>
      <w:r w:rsidR="009C0986">
        <w:rPr>
          <w:noProof/>
          <w:sz w:val="28"/>
          <w:szCs w:val="28"/>
        </w:rPr>
        <w:t>2</w:t>
      </w:r>
      <w:r w:rsidRPr="00BC4E29">
        <w:rPr>
          <w:sz w:val="28"/>
          <w:szCs w:val="28"/>
        </w:rPr>
        <w:fldChar w:fldCharType="end"/>
      </w:r>
      <w:r w:rsidRPr="00BC4E29">
        <w:rPr>
          <w:sz w:val="28"/>
          <w:szCs w:val="28"/>
        </w:rPr>
        <w:t xml:space="preserve"> </w:t>
      </w:r>
      <w:r w:rsidR="00517C2D" w:rsidRPr="00BC4E29">
        <w:rPr>
          <w:sz w:val="28"/>
          <w:szCs w:val="28"/>
        </w:rPr>
        <w:t>-</w:t>
      </w:r>
      <w:r w:rsidRPr="00BC4E29">
        <w:rPr>
          <w:sz w:val="28"/>
          <w:szCs w:val="28"/>
        </w:rPr>
        <w:t xml:space="preserve"> MCO</w:t>
      </w:r>
      <w:r w:rsidR="00D344F8" w:rsidRPr="00BC4E29">
        <w:rPr>
          <w:sz w:val="28"/>
          <w:szCs w:val="28"/>
        </w:rPr>
        <w:t xml:space="preserve"> and PCC Plan</w:t>
      </w:r>
      <w:r w:rsidRPr="00BC4E29">
        <w:rPr>
          <w:sz w:val="28"/>
          <w:szCs w:val="28"/>
        </w:rPr>
        <w:t xml:space="preserve"> Performance Measures, </w:t>
      </w:r>
      <w:r w:rsidR="003011A0" w:rsidRPr="00BC4E29">
        <w:rPr>
          <w:sz w:val="28"/>
          <w:szCs w:val="28"/>
        </w:rPr>
        <w:t>202</w:t>
      </w:r>
      <w:r w:rsidR="00C249FA" w:rsidRPr="00BC4E29">
        <w:rPr>
          <w:sz w:val="28"/>
          <w:szCs w:val="28"/>
        </w:rPr>
        <w:t>3</w:t>
      </w:r>
      <w:r w:rsidRPr="00BC4E29">
        <w:rPr>
          <w:sz w:val="28"/>
          <w:szCs w:val="28"/>
        </w:rPr>
        <w:t xml:space="preserve"> (Measurement Period: Calendar Year </w:t>
      </w:r>
      <w:r w:rsidR="00381294" w:rsidRPr="00BC4E29">
        <w:rPr>
          <w:sz w:val="28"/>
          <w:szCs w:val="28"/>
        </w:rPr>
        <w:t>20</w:t>
      </w:r>
      <w:r w:rsidR="00313958" w:rsidRPr="00BC4E29">
        <w:rPr>
          <w:sz w:val="28"/>
          <w:szCs w:val="28"/>
        </w:rPr>
        <w:t>2</w:t>
      </w:r>
      <w:r w:rsidR="00C249FA" w:rsidRPr="00BC4E29">
        <w:rPr>
          <w:sz w:val="28"/>
          <w:szCs w:val="28"/>
        </w:rPr>
        <w:t>2</w:t>
      </w:r>
      <w:r w:rsidRPr="00BC4E29">
        <w:rPr>
          <w:sz w:val="28"/>
          <w:szCs w:val="28"/>
        </w:rPr>
        <w:t>)</w:t>
      </w:r>
    </w:p>
    <w:p w14:paraId="2A3D833A" w14:textId="77777777" w:rsidR="007012AF" w:rsidRPr="00CF5E11" w:rsidRDefault="007012AF" w:rsidP="007012AF">
      <w:pPr>
        <w:spacing w:after="0" w:line="240" w:lineRule="auto"/>
        <w:ind w:right="-1008"/>
        <w:rPr>
          <w:sz w:val="18"/>
          <w:szCs w:val="18"/>
        </w:rPr>
      </w:pPr>
      <w:r w:rsidRPr="00CF5E11">
        <w:rPr>
          <w:sz w:val="18"/>
          <w:szCs w:val="18"/>
        </w:rPr>
        <w:t>Table Legend:</w:t>
      </w:r>
    </w:p>
    <w:p w14:paraId="14E01B78" w14:textId="77777777" w:rsidR="007012AF" w:rsidRPr="00CF5E11" w:rsidRDefault="007012AF" w:rsidP="007012AF">
      <w:pPr>
        <w:spacing w:after="0" w:line="240" w:lineRule="auto"/>
        <w:ind w:right="-1008"/>
        <w:rPr>
          <w:sz w:val="18"/>
          <w:szCs w:val="18"/>
        </w:rPr>
      </w:pPr>
      <w:r w:rsidRPr="00CF5E11">
        <w:rPr>
          <w:sz w:val="18"/>
          <w:szCs w:val="18"/>
          <w:vertAlign w:val="superscript"/>
        </w:rPr>
        <w:t>1</w:t>
      </w:r>
      <w:r w:rsidRPr="00CF5E11">
        <w:rPr>
          <w:sz w:val="18"/>
          <w:szCs w:val="18"/>
        </w:rPr>
        <w:t xml:space="preserve"> A lower score represents better performance</w:t>
      </w:r>
    </w:p>
    <w:p w14:paraId="41A5178E" w14:textId="33C0614F" w:rsidR="000139CB" w:rsidRPr="00CF5E11" w:rsidRDefault="007012AF" w:rsidP="00185B31">
      <w:pPr>
        <w:spacing w:after="360" w:line="240" w:lineRule="auto"/>
        <w:ind w:right="-1008"/>
        <w:rPr>
          <w:sz w:val="18"/>
          <w:szCs w:val="18"/>
        </w:rPr>
      </w:pPr>
      <w:r w:rsidRPr="00CF5E11">
        <w:rPr>
          <w:sz w:val="18"/>
          <w:szCs w:val="18"/>
        </w:rPr>
        <w:t>* ↑ = Weighted Mean Performance Better Than Benchmark   ↓ = Weighted Mean Performance Worse Than Benchmark</w:t>
      </w:r>
    </w:p>
    <w:tbl>
      <w:tblPr>
        <w:tblStyle w:val="MediumList2-Accent1"/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2A0" w:firstRow="1" w:lastRow="0" w:firstColumn="1" w:lastColumn="0" w:noHBand="1" w:noVBand="0"/>
        <w:tblCaption w:val="MCO Performance Measures, 2018"/>
        <w:tblDescription w:val="2018 Measures for managed care organizations using benchmarks as comparative values."/>
      </w:tblPr>
      <w:tblGrid>
        <w:gridCol w:w="1127"/>
        <w:gridCol w:w="5883"/>
        <w:gridCol w:w="900"/>
        <w:gridCol w:w="810"/>
        <w:gridCol w:w="900"/>
        <w:gridCol w:w="990"/>
        <w:gridCol w:w="1530"/>
        <w:gridCol w:w="1520"/>
      </w:tblGrid>
      <w:tr w:rsidR="00841DDF" w:rsidRPr="00CF5E11" w14:paraId="0869586C" w14:textId="77777777" w:rsidTr="00C04F52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581"/>
          <w:tblHeader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7496E22" w14:textId="66F549A0" w:rsidR="00602753" w:rsidRPr="00BC2162" w:rsidRDefault="00602753" w:rsidP="0060275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Measure Code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8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712EBA3" w14:textId="6B16633B" w:rsidR="00602753" w:rsidRPr="00BC2162" w:rsidRDefault="00602753" w:rsidP="0060275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Measure Name</w:t>
            </w:r>
          </w:p>
        </w:tc>
        <w:tc>
          <w:tcPr>
            <w:tcW w:w="9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BE6AB86" w14:textId="54E9B2B0" w:rsidR="00602753" w:rsidRPr="00BC2162" w:rsidRDefault="00602753" w:rsidP="0060275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THP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2173F35" w14:textId="2478E547" w:rsidR="00602753" w:rsidRPr="00BC2162" w:rsidRDefault="00602753" w:rsidP="0060275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FC29C3"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  <w:t>WLS</w:t>
            </w:r>
          </w:p>
        </w:tc>
        <w:tc>
          <w:tcPr>
            <w:tcW w:w="9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10EEC10" w14:textId="4D009861" w:rsidR="00602753" w:rsidRPr="00BC2162" w:rsidRDefault="00602753" w:rsidP="0060275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PCCP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2756AF7" w14:textId="51628DE3" w:rsidR="00602753" w:rsidRPr="00BC2162" w:rsidRDefault="00F52F04" w:rsidP="0060275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F5E11">
              <w:rPr>
                <w:rFonts w:ascii="Calibri" w:hAnsi="Calibri"/>
                <w:b/>
                <w:bCs/>
                <w:sz w:val="18"/>
                <w:szCs w:val="22"/>
              </w:rPr>
              <w:t>MH Weighted Mean</w:t>
            </w:r>
          </w:p>
        </w:tc>
        <w:tc>
          <w:tcPr>
            <w:tcW w:w="15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D954DD0" w14:textId="51786A8B" w:rsidR="00602753" w:rsidRPr="00BC2162" w:rsidRDefault="00602753" w:rsidP="0060275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Nat'l Medicaid 75th Percentile*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3D6F45D" w14:textId="139C288C" w:rsidR="00602753" w:rsidRPr="00BC2162" w:rsidRDefault="00602753" w:rsidP="0060275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Nat'l Medicaid 90th Percentile*</w:t>
            </w:r>
          </w:p>
        </w:tc>
      </w:tr>
      <w:tr w:rsidR="00C638A9" w:rsidRPr="00CF5E11" w14:paraId="7B01BA24" w14:textId="77777777" w:rsidTr="00C04F52">
        <w:trPr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8" w:space="0" w:color="000000" w:themeColor="text1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4C71E965" w14:textId="68CC325D" w:rsidR="00602753" w:rsidRPr="00BC2162" w:rsidRDefault="00602753" w:rsidP="00602753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AMR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83" w:type="dxa"/>
            <w:tcBorders>
              <w:top w:val="single" w:sz="8" w:space="0" w:color="000000" w:themeColor="text1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4913B071" w14:textId="45DEC831" w:rsidR="00602753" w:rsidRPr="00BC2162" w:rsidRDefault="00602753" w:rsidP="00602753">
            <w:pPr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Asthma Medication Ratio (Total)</w:t>
            </w:r>
          </w:p>
        </w:tc>
        <w:tc>
          <w:tcPr>
            <w:tcW w:w="900" w:type="dxa"/>
            <w:tcBorders>
              <w:top w:val="single" w:sz="8" w:space="0" w:color="000000" w:themeColor="text1"/>
            </w:tcBorders>
            <w:vAlign w:val="center"/>
          </w:tcPr>
          <w:p w14:paraId="1364B658" w14:textId="0EB2E089" w:rsidR="00602753" w:rsidRPr="00BC2162" w:rsidRDefault="00602753" w:rsidP="006027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50.9%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tcBorders>
              <w:top w:val="single" w:sz="8" w:space="0" w:color="000000" w:themeColor="text1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29818CDA" w14:textId="7F5CAE59" w:rsidR="00602753" w:rsidRPr="00BC2162" w:rsidRDefault="00602753" w:rsidP="0060275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61.4%</w:t>
            </w:r>
          </w:p>
        </w:tc>
        <w:tc>
          <w:tcPr>
            <w:tcW w:w="900" w:type="dxa"/>
            <w:tcBorders>
              <w:top w:val="single" w:sz="8" w:space="0" w:color="000000" w:themeColor="text1"/>
            </w:tcBorders>
            <w:vAlign w:val="center"/>
          </w:tcPr>
          <w:p w14:paraId="3AC5AD44" w14:textId="21999095" w:rsidR="00602753" w:rsidRPr="00BC2162" w:rsidRDefault="00602753" w:rsidP="006027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60.1%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  <w:tcBorders>
              <w:top w:val="single" w:sz="8" w:space="0" w:color="000000" w:themeColor="text1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042CBCBA" w14:textId="1B4C6E89" w:rsidR="00602753" w:rsidRPr="00BC2162" w:rsidRDefault="00602753" w:rsidP="0060275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57.6%</w:t>
            </w:r>
          </w:p>
        </w:tc>
        <w:tc>
          <w:tcPr>
            <w:tcW w:w="1530" w:type="dxa"/>
            <w:tcBorders>
              <w:top w:val="single" w:sz="8" w:space="0" w:color="000000" w:themeColor="text1"/>
            </w:tcBorders>
            <w:vAlign w:val="center"/>
          </w:tcPr>
          <w:p w14:paraId="4350E6B0" w14:textId="5E393F68" w:rsidR="00602753" w:rsidRPr="0081139E" w:rsidRDefault="00602753" w:rsidP="006027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↓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0" w:type="dxa"/>
            <w:tcBorders>
              <w:top w:val="single" w:sz="8" w:space="0" w:color="000000" w:themeColor="text1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11AED3D8" w14:textId="5542571D" w:rsidR="00602753" w:rsidRPr="0081139E" w:rsidRDefault="00602753" w:rsidP="00602753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↓</w:t>
            </w:r>
          </w:p>
        </w:tc>
      </w:tr>
      <w:tr w:rsidR="001F5671" w:rsidRPr="00CF5E11" w14:paraId="0EC16B1F" w14:textId="77777777" w:rsidTr="00C04F52">
        <w:trPr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3EE13BB6" w14:textId="6D14E7AC" w:rsidR="00602753" w:rsidRPr="00BC2162" w:rsidRDefault="00602753" w:rsidP="00602753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APM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8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61BC8883" w14:textId="5608A027" w:rsidR="00602753" w:rsidRPr="00BC2162" w:rsidRDefault="00602753" w:rsidP="00602753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Metabolic Monitoring for Children and Adolescents on Antipsychotics (Total)</w:t>
            </w:r>
          </w:p>
        </w:tc>
        <w:tc>
          <w:tcPr>
            <w:tcW w:w="900" w:type="dxa"/>
            <w:vAlign w:val="center"/>
          </w:tcPr>
          <w:p w14:paraId="18CDE9CD" w14:textId="23F4DCF3" w:rsidR="00602753" w:rsidRPr="00BC2162" w:rsidRDefault="00602753" w:rsidP="006027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54.5%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22DD12E6" w14:textId="03CD1585" w:rsidR="00602753" w:rsidRPr="00BC2162" w:rsidRDefault="00602753" w:rsidP="0060275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49.0%</w:t>
            </w:r>
          </w:p>
        </w:tc>
        <w:tc>
          <w:tcPr>
            <w:tcW w:w="900" w:type="dxa"/>
            <w:vAlign w:val="center"/>
          </w:tcPr>
          <w:p w14:paraId="2E8F19A4" w14:textId="6DBF4E7A" w:rsidR="00602753" w:rsidRPr="00BC2162" w:rsidRDefault="00602753" w:rsidP="006027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40.0%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5FE13DFB" w14:textId="5F32A33E" w:rsidR="00602753" w:rsidRPr="00BC2162" w:rsidRDefault="00602753" w:rsidP="00602753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43.1%</w:t>
            </w:r>
          </w:p>
        </w:tc>
        <w:tc>
          <w:tcPr>
            <w:tcW w:w="1530" w:type="dxa"/>
            <w:vAlign w:val="center"/>
          </w:tcPr>
          <w:p w14:paraId="5F13BFDE" w14:textId="34AD645B" w:rsidR="00602753" w:rsidRPr="0081139E" w:rsidRDefault="00602753" w:rsidP="006027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↑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13B480E4" w14:textId="7AEFC0EF" w:rsidR="00602753" w:rsidRPr="0081139E" w:rsidRDefault="00602753" w:rsidP="00602753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↓</w:t>
            </w:r>
          </w:p>
        </w:tc>
      </w:tr>
      <w:tr w:rsidR="001F5671" w:rsidRPr="00CF5E11" w14:paraId="5F7B76FE" w14:textId="77777777" w:rsidTr="00C04F52">
        <w:trPr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36B90F99" w14:textId="4CDFA8FE" w:rsidR="00602753" w:rsidRPr="00BC2162" w:rsidRDefault="00602753" w:rsidP="00602753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CBP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8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7498249D" w14:textId="3B62F09D" w:rsidR="00602753" w:rsidRPr="00BC2162" w:rsidRDefault="00602753" w:rsidP="00602753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Controlling High Blood Pressure  </w:t>
            </w:r>
          </w:p>
        </w:tc>
        <w:tc>
          <w:tcPr>
            <w:tcW w:w="900" w:type="dxa"/>
            <w:vAlign w:val="center"/>
          </w:tcPr>
          <w:p w14:paraId="0BC1988B" w14:textId="5DB596CB" w:rsidR="00602753" w:rsidRPr="00BC2162" w:rsidRDefault="00602753" w:rsidP="006027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58.0%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2A0C5361" w14:textId="1A66C8D5" w:rsidR="00602753" w:rsidRPr="00BC2162" w:rsidRDefault="00602753" w:rsidP="0060275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67.4%</w:t>
            </w:r>
          </w:p>
        </w:tc>
        <w:tc>
          <w:tcPr>
            <w:tcW w:w="900" w:type="dxa"/>
            <w:vAlign w:val="center"/>
          </w:tcPr>
          <w:p w14:paraId="1D05C991" w14:textId="74335A1C" w:rsidR="00602753" w:rsidRPr="00BC2162" w:rsidRDefault="00602753" w:rsidP="006027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65.9%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190F0E63" w14:textId="7114CFFE" w:rsidR="00602753" w:rsidRPr="00BC2162" w:rsidRDefault="00602753" w:rsidP="00602753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63.9%</w:t>
            </w:r>
          </w:p>
        </w:tc>
        <w:tc>
          <w:tcPr>
            <w:tcW w:w="1530" w:type="dxa"/>
            <w:vAlign w:val="center"/>
          </w:tcPr>
          <w:p w14:paraId="71A79D6B" w14:textId="467C2BCC" w:rsidR="00602753" w:rsidRPr="0081139E" w:rsidRDefault="00602753" w:rsidP="006027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↓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464EFE38" w14:textId="24A919F0" w:rsidR="00602753" w:rsidRPr="0081139E" w:rsidRDefault="00602753" w:rsidP="00602753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↓</w:t>
            </w:r>
          </w:p>
        </w:tc>
      </w:tr>
      <w:tr w:rsidR="001F5671" w:rsidRPr="00CF5E11" w14:paraId="5937A1ED" w14:textId="77777777" w:rsidTr="00C04F52">
        <w:trPr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5FAD18C6" w14:textId="0EEE28F7" w:rsidR="00602753" w:rsidRPr="00BC2162" w:rsidRDefault="00602753" w:rsidP="00602753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CIS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8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0E9C44F7" w14:textId="4091B469" w:rsidR="00602753" w:rsidRPr="00BC2162" w:rsidRDefault="00602753" w:rsidP="00602753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Childhood Immunization Status (Combo 10)</w:t>
            </w:r>
          </w:p>
        </w:tc>
        <w:tc>
          <w:tcPr>
            <w:tcW w:w="900" w:type="dxa"/>
            <w:vAlign w:val="center"/>
          </w:tcPr>
          <w:p w14:paraId="1C0E73D3" w14:textId="30C2FABC" w:rsidR="00602753" w:rsidRPr="00BC2162" w:rsidRDefault="00602753" w:rsidP="006027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32.8%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25D10583" w14:textId="4319C8ED" w:rsidR="00602753" w:rsidRPr="00BC2162" w:rsidRDefault="00602753" w:rsidP="0060275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32.6%</w:t>
            </w:r>
          </w:p>
        </w:tc>
        <w:tc>
          <w:tcPr>
            <w:tcW w:w="900" w:type="dxa"/>
            <w:vAlign w:val="center"/>
          </w:tcPr>
          <w:p w14:paraId="717E330D" w14:textId="4F3E02A4" w:rsidR="00602753" w:rsidRPr="00BC2162" w:rsidRDefault="00602753" w:rsidP="006027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45.0%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7A2DC2F3" w14:textId="18F81F8D" w:rsidR="00602753" w:rsidRPr="00BC2162" w:rsidRDefault="00602753" w:rsidP="00602753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39.9%</w:t>
            </w:r>
          </w:p>
        </w:tc>
        <w:tc>
          <w:tcPr>
            <w:tcW w:w="1530" w:type="dxa"/>
            <w:vAlign w:val="center"/>
          </w:tcPr>
          <w:p w14:paraId="489CE767" w14:textId="01DF3320" w:rsidR="00602753" w:rsidRPr="0081139E" w:rsidRDefault="00602753" w:rsidP="006027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↑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46662F76" w14:textId="6AB9105D" w:rsidR="00602753" w:rsidRPr="0081139E" w:rsidRDefault="00602753" w:rsidP="00602753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↓</w:t>
            </w:r>
          </w:p>
        </w:tc>
      </w:tr>
      <w:tr w:rsidR="001F5671" w:rsidRPr="00CF5E11" w14:paraId="3594D223" w14:textId="77777777" w:rsidTr="00C04F52">
        <w:trPr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28831F85" w14:textId="574BE452" w:rsidR="00602753" w:rsidRPr="00BC2162" w:rsidRDefault="00602753" w:rsidP="00602753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CPE - BH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8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495CE996" w14:textId="15830472" w:rsidR="00602753" w:rsidRPr="00BC2162" w:rsidRDefault="00602753" w:rsidP="00602753">
            <w:pPr>
              <w:rPr>
                <w:rFonts w:ascii="Calibri" w:hAnsi="Calibri" w:cs="Calibri"/>
                <w:b/>
                <w:bCs/>
                <w:sz w:val="18"/>
                <w:szCs w:val="18"/>
                <w:vertAlign w:val="superscript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Behavioral Health Community Partner Engagement</w:t>
            </w:r>
          </w:p>
        </w:tc>
        <w:tc>
          <w:tcPr>
            <w:tcW w:w="900" w:type="dxa"/>
            <w:vAlign w:val="center"/>
          </w:tcPr>
          <w:p w14:paraId="0C7A0925" w14:textId="5E4E370B" w:rsidR="00602753" w:rsidRPr="00BC2162" w:rsidRDefault="00602753" w:rsidP="006027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3.7%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70201D90" w14:textId="79A29296" w:rsidR="00602753" w:rsidRPr="00BC2162" w:rsidRDefault="00602753" w:rsidP="0060275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4.3%</w:t>
            </w:r>
          </w:p>
        </w:tc>
        <w:tc>
          <w:tcPr>
            <w:tcW w:w="900" w:type="dxa"/>
            <w:vAlign w:val="center"/>
          </w:tcPr>
          <w:p w14:paraId="40BD8843" w14:textId="6CDE6C6A" w:rsidR="00602753" w:rsidRPr="00BC2162" w:rsidRDefault="00602753" w:rsidP="006027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N/A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144E9D0C" w14:textId="2BF21C50" w:rsidR="00602753" w:rsidRPr="00BC2162" w:rsidRDefault="00602753" w:rsidP="00602753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4.0%</w:t>
            </w:r>
          </w:p>
        </w:tc>
        <w:tc>
          <w:tcPr>
            <w:tcW w:w="1530" w:type="dxa"/>
            <w:vAlign w:val="center"/>
          </w:tcPr>
          <w:p w14:paraId="26EB92F4" w14:textId="02350202" w:rsidR="00602753" w:rsidRPr="0081139E" w:rsidRDefault="00602753" w:rsidP="006027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N/A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367159F5" w14:textId="469AAB24" w:rsidR="00602753" w:rsidRPr="0081139E" w:rsidRDefault="00602753" w:rsidP="00602753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N/A</w:t>
            </w:r>
          </w:p>
        </w:tc>
      </w:tr>
      <w:tr w:rsidR="001F5671" w:rsidRPr="00CF5E11" w14:paraId="6A482765" w14:textId="77777777" w:rsidTr="00C04F52">
        <w:trPr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5110F742" w14:textId="23B1604C" w:rsidR="00602753" w:rsidRPr="00BC2162" w:rsidRDefault="00602753" w:rsidP="00602753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CPE - LTSS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8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12EA77FF" w14:textId="66C81162" w:rsidR="00602753" w:rsidRPr="00BC2162" w:rsidRDefault="00602753" w:rsidP="00602753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LTSS Community Partner Engagement</w:t>
            </w:r>
          </w:p>
        </w:tc>
        <w:tc>
          <w:tcPr>
            <w:tcW w:w="900" w:type="dxa"/>
            <w:vAlign w:val="center"/>
          </w:tcPr>
          <w:p w14:paraId="480A1D05" w14:textId="244FCB46" w:rsidR="00602753" w:rsidRPr="00BC2162" w:rsidRDefault="00602753" w:rsidP="006027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11.5%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0EDA8045" w14:textId="2435FAC6" w:rsidR="00602753" w:rsidRPr="00BC2162" w:rsidRDefault="00602753" w:rsidP="0060275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4.5%</w:t>
            </w:r>
          </w:p>
        </w:tc>
        <w:tc>
          <w:tcPr>
            <w:tcW w:w="900" w:type="dxa"/>
            <w:vAlign w:val="center"/>
          </w:tcPr>
          <w:p w14:paraId="4708292D" w14:textId="45E23633" w:rsidR="00602753" w:rsidRPr="00BC2162" w:rsidRDefault="00602753" w:rsidP="006027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N/A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3A13C745" w14:textId="12462C2E" w:rsidR="00602753" w:rsidRPr="00BC2162" w:rsidRDefault="00602753" w:rsidP="00602753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8.4%</w:t>
            </w:r>
          </w:p>
        </w:tc>
        <w:tc>
          <w:tcPr>
            <w:tcW w:w="1530" w:type="dxa"/>
            <w:vAlign w:val="center"/>
          </w:tcPr>
          <w:p w14:paraId="23D06A86" w14:textId="29199889" w:rsidR="00602753" w:rsidRPr="0081139E" w:rsidRDefault="00602753" w:rsidP="006027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N/A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0D9362F6" w14:textId="55FD7F9C" w:rsidR="00602753" w:rsidRPr="0081139E" w:rsidRDefault="00602753" w:rsidP="00602753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N/A</w:t>
            </w:r>
          </w:p>
        </w:tc>
      </w:tr>
      <w:tr w:rsidR="001F5671" w:rsidRPr="00CF5E11" w14:paraId="3DE0FC6C" w14:textId="77777777" w:rsidTr="00C04F52">
        <w:trPr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01CAA21E" w14:textId="4993486E" w:rsidR="00602753" w:rsidRPr="00BC2162" w:rsidRDefault="00602753" w:rsidP="00602753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CT - BSP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8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55BA1883" w14:textId="0648C9A7" w:rsidR="00602753" w:rsidRPr="00BC2162" w:rsidRDefault="00602753" w:rsidP="00602753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Community Tenure - BSP (Risk adjusted O/E ratio) </w:t>
            </w:r>
            <w:r w:rsidRPr="00FC29C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900" w:type="dxa"/>
            <w:vAlign w:val="center"/>
          </w:tcPr>
          <w:p w14:paraId="5F4B3B99" w14:textId="32165553" w:rsidR="00602753" w:rsidRPr="00BC2162" w:rsidRDefault="00602753" w:rsidP="006027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0.53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643A3D8A" w14:textId="6D3D7E11" w:rsidR="00602753" w:rsidRPr="00BC2162" w:rsidRDefault="00602753" w:rsidP="0060275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900" w:type="dxa"/>
            <w:vAlign w:val="center"/>
          </w:tcPr>
          <w:p w14:paraId="2957B29F" w14:textId="6A0B39AD" w:rsidR="00602753" w:rsidRPr="00BC2162" w:rsidRDefault="00602753" w:rsidP="006027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N/A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246C4F49" w14:textId="4E96C8D0" w:rsidR="00602753" w:rsidRPr="00BC2162" w:rsidRDefault="00602753" w:rsidP="0060275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0.78</w:t>
            </w:r>
          </w:p>
        </w:tc>
        <w:tc>
          <w:tcPr>
            <w:tcW w:w="1530" w:type="dxa"/>
            <w:vAlign w:val="center"/>
          </w:tcPr>
          <w:p w14:paraId="6A2A6EF8" w14:textId="422ACB59" w:rsidR="00602753" w:rsidRPr="0081139E" w:rsidRDefault="00602753" w:rsidP="006027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N/A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78F01CEC" w14:textId="55B3CDBA" w:rsidR="00602753" w:rsidRPr="0081139E" w:rsidRDefault="00602753" w:rsidP="0060275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N/A</w:t>
            </w:r>
          </w:p>
        </w:tc>
      </w:tr>
      <w:tr w:rsidR="001F5671" w:rsidRPr="00CF5E11" w14:paraId="6B2129D0" w14:textId="77777777" w:rsidTr="00C04F52">
        <w:trPr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50B61D81" w14:textId="5E233777" w:rsidR="00602753" w:rsidRPr="00BC2162" w:rsidRDefault="00602753" w:rsidP="00602753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CT - LTSS 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8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7596CBB5" w14:textId="77B4EC16" w:rsidR="00602753" w:rsidRPr="00BC2162" w:rsidRDefault="00602753" w:rsidP="00602753">
            <w:pPr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Community Tenure - LTSS (non-BSP) Risk adjusted O/E ratio </w:t>
            </w:r>
            <w:r w:rsidRPr="00FC29C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900" w:type="dxa"/>
            <w:vAlign w:val="center"/>
          </w:tcPr>
          <w:p w14:paraId="3511C389" w14:textId="72D1ECEB" w:rsidR="00602753" w:rsidRPr="00BC2162" w:rsidRDefault="00602753" w:rsidP="006027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0.82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347ED0C2" w14:textId="7A7AE6FB" w:rsidR="00602753" w:rsidRPr="00BC2162" w:rsidRDefault="00602753" w:rsidP="0060275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1.01</w:t>
            </w:r>
          </w:p>
        </w:tc>
        <w:tc>
          <w:tcPr>
            <w:tcW w:w="900" w:type="dxa"/>
            <w:vAlign w:val="center"/>
          </w:tcPr>
          <w:p w14:paraId="05871E16" w14:textId="57FC35E0" w:rsidR="00602753" w:rsidRPr="00BC2162" w:rsidRDefault="00602753" w:rsidP="006027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N/A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4CD0BE10" w14:textId="01ABB49C" w:rsidR="00602753" w:rsidRPr="00BC2162" w:rsidRDefault="00602753" w:rsidP="0060275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0.92</w:t>
            </w:r>
          </w:p>
        </w:tc>
        <w:tc>
          <w:tcPr>
            <w:tcW w:w="1530" w:type="dxa"/>
            <w:vAlign w:val="center"/>
          </w:tcPr>
          <w:p w14:paraId="7F184EDD" w14:textId="333C7D2B" w:rsidR="00602753" w:rsidRPr="0081139E" w:rsidRDefault="00602753" w:rsidP="006027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N/A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6296796E" w14:textId="329AB2D1" w:rsidR="00602753" w:rsidRPr="0081139E" w:rsidRDefault="00602753" w:rsidP="00602753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N/A</w:t>
            </w:r>
          </w:p>
        </w:tc>
      </w:tr>
      <w:tr w:rsidR="001F5671" w:rsidRPr="00CF5E11" w14:paraId="470810B5" w14:textId="77777777" w:rsidTr="00C04F52">
        <w:trPr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5E5AAA0B" w14:textId="25F534BA" w:rsidR="00602753" w:rsidRPr="00841DDF" w:rsidRDefault="00602753" w:rsidP="00602753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41DD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ED SMI/SUD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8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573A619B" w14:textId="210347F6" w:rsidR="00602753" w:rsidRPr="00841DDF" w:rsidRDefault="00602753" w:rsidP="00602753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841DD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Risk adjusted ratio (obs/exp) of ED visits for members with SMI/SUD/co-occurring conditions </w:t>
            </w:r>
            <w:r w:rsidRPr="00841DD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900" w:type="dxa"/>
            <w:vAlign w:val="center"/>
          </w:tcPr>
          <w:p w14:paraId="75BF4994" w14:textId="2C32499A" w:rsidR="00602753" w:rsidRPr="00BC2162" w:rsidRDefault="00602753" w:rsidP="006027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0.75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46769D8A" w14:textId="13FD7AC4" w:rsidR="00602753" w:rsidRPr="00BC2162" w:rsidRDefault="00602753" w:rsidP="0060275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0.78</w:t>
            </w:r>
          </w:p>
        </w:tc>
        <w:tc>
          <w:tcPr>
            <w:tcW w:w="900" w:type="dxa"/>
            <w:vAlign w:val="center"/>
          </w:tcPr>
          <w:p w14:paraId="4F868AD4" w14:textId="16CFCF3E" w:rsidR="00602753" w:rsidRPr="00BC2162" w:rsidRDefault="00602753" w:rsidP="006027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N/A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7788BCBB" w14:textId="7E050449" w:rsidR="00602753" w:rsidRPr="00BC2162" w:rsidRDefault="00602753" w:rsidP="0060275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0.77</w:t>
            </w:r>
          </w:p>
        </w:tc>
        <w:tc>
          <w:tcPr>
            <w:tcW w:w="1530" w:type="dxa"/>
            <w:vAlign w:val="center"/>
          </w:tcPr>
          <w:p w14:paraId="53BD4A58" w14:textId="22CC1A0B" w:rsidR="00602753" w:rsidRPr="0081139E" w:rsidRDefault="00602753" w:rsidP="006027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N/A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1FD9E7EA" w14:textId="787F0CCE" w:rsidR="00602753" w:rsidRPr="0081139E" w:rsidRDefault="00602753" w:rsidP="0060275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N/A</w:t>
            </w:r>
          </w:p>
        </w:tc>
      </w:tr>
      <w:tr w:rsidR="001F5671" w:rsidRPr="00CF5E11" w14:paraId="76890B37" w14:textId="77777777" w:rsidTr="00C04F52">
        <w:trPr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4A6C5753" w14:textId="6B6203BE" w:rsidR="00602753" w:rsidRPr="00BC2162" w:rsidRDefault="00602753" w:rsidP="00602753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FUA - 7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8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395EDE66" w14:textId="1F096C19" w:rsidR="00602753" w:rsidRPr="00BC2162" w:rsidRDefault="00602753" w:rsidP="00602753">
            <w:pPr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Follow-Up After Emergency Department Visit for </w:t>
            </w:r>
            <w:r w:rsidR="00415B2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Substance Use 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(7 days)</w:t>
            </w:r>
          </w:p>
        </w:tc>
        <w:tc>
          <w:tcPr>
            <w:tcW w:w="900" w:type="dxa"/>
            <w:vAlign w:val="center"/>
          </w:tcPr>
          <w:p w14:paraId="0786C154" w14:textId="5F243E07" w:rsidR="00602753" w:rsidRPr="00BC2162" w:rsidRDefault="00602753" w:rsidP="006027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44.1%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017B36A7" w14:textId="0C6C809E" w:rsidR="00602753" w:rsidRPr="00BC2162" w:rsidRDefault="00602753" w:rsidP="0060275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46.2%</w:t>
            </w:r>
          </w:p>
        </w:tc>
        <w:tc>
          <w:tcPr>
            <w:tcW w:w="900" w:type="dxa"/>
            <w:vAlign w:val="center"/>
          </w:tcPr>
          <w:p w14:paraId="57B377ED" w14:textId="398EDA5B" w:rsidR="00602753" w:rsidRPr="00BC2162" w:rsidRDefault="00602753" w:rsidP="006027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44.9%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4C656B98" w14:textId="385BAE4D" w:rsidR="00602753" w:rsidRPr="00BC2162" w:rsidRDefault="00602753" w:rsidP="00602753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45.3%</w:t>
            </w:r>
          </w:p>
        </w:tc>
        <w:tc>
          <w:tcPr>
            <w:tcW w:w="1530" w:type="dxa"/>
            <w:vAlign w:val="center"/>
          </w:tcPr>
          <w:p w14:paraId="69DD7C62" w14:textId="303A8043" w:rsidR="00602753" w:rsidRPr="0081139E" w:rsidRDefault="00602753" w:rsidP="006027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↑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70F9B775" w14:textId="4F575E55" w:rsidR="00602753" w:rsidRPr="0081139E" w:rsidRDefault="00602753" w:rsidP="00602753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↑</w:t>
            </w:r>
          </w:p>
        </w:tc>
      </w:tr>
      <w:tr w:rsidR="001F5671" w:rsidRPr="00CF5E11" w14:paraId="14133B08" w14:textId="77777777" w:rsidTr="00C04F52">
        <w:trPr>
          <w:trHeight w:val="50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1AD0684F" w14:textId="6A3EE72D" w:rsidR="00602753" w:rsidRPr="00BC2162" w:rsidRDefault="00602753" w:rsidP="00602753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FUH - 7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8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483E69A1" w14:textId="10C7420F" w:rsidR="00602753" w:rsidRPr="00BC2162" w:rsidRDefault="00602753" w:rsidP="00602753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Follow-Up After Hospitalization for Mental Illness (7 days)</w:t>
            </w:r>
          </w:p>
        </w:tc>
        <w:tc>
          <w:tcPr>
            <w:tcW w:w="900" w:type="dxa"/>
            <w:vAlign w:val="center"/>
          </w:tcPr>
          <w:p w14:paraId="1D67118B" w14:textId="473DED39" w:rsidR="00602753" w:rsidRPr="00BC2162" w:rsidRDefault="00602753" w:rsidP="006027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40.5%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0CB8D971" w14:textId="2DC29141" w:rsidR="00602753" w:rsidRPr="00BC2162" w:rsidRDefault="00602753" w:rsidP="0060275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41.1%</w:t>
            </w:r>
          </w:p>
        </w:tc>
        <w:tc>
          <w:tcPr>
            <w:tcW w:w="900" w:type="dxa"/>
            <w:vAlign w:val="center"/>
          </w:tcPr>
          <w:p w14:paraId="1618C2FC" w14:textId="1C4B3385" w:rsidR="00602753" w:rsidRPr="00BC2162" w:rsidRDefault="00602753" w:rsidP="006027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45.4%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5D0CD2EE" w14:textId="0C04450B" w:rsidR="00602753" w:rsidRPr="00BC2162" w:rsidRDefault="00602753" w:rsidP="00602753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42.9%</w:t>
            </w:r>
          </w:p>
        </w:tc>
        <w:tc>
          <w:tcPr>
            <w:tcW w:w="1530" w:type="dxa"/>
            <w:vAlign w:val="center"/>
          </w:tcPr>
          <w:p w14:paraId="5004E261" w14:textId="1AD974AA" w:rsidR="00602753" w:rsidRPr="0081139E" w:rsidRDefault="00602753" w:rsidP="006027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↓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666D8EFC" w14:textId="235D640B" w:rsidR="00602753" w:rsidRPr="0081139E" w:rsidRDefault="00602753" w:rsidP="0060275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↓</w:t>
            </w:r>
          </w:p>
        </w:tc>
      </w:tr>
      <w:tr w:rsidR="001F5671" w:rsidRPr="00CF5E11" w14:paraId="2A8669CA" w14:textId="77777777" w:rsidTr="00C04F52">
        <w:trPr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14B6B688" w14:textId="3B979AAE" w:rsidR="00602753" w:rsidRPr="00BC2162" w:rsidRDefault="00602753" w:rsidP="00602753">
            <w:pPr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FUM - 7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8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40852A44" w14:textId="5A8E193D" w:rsidR="00602753" w:rsidRPr="00BC2162" w:rsidRDefault="00602753" w:rsidP="00602753">
            <w:pPr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Follow-Up After Emergency Department Visit for Mental Illness (7 days)</w:t>
            </w:r>
          </w:p>
        </w:tc>
        <w:tc>
          <w:tcPr>
            <w:tcW w:w="900" w:type="dxa"/>
            <w:vAlign w:val="center"/>
          </w:tcPr>
          <w:p w14:paraId="4FB348A5" w14:textId="186B322C" w:rsidR="00602753" w:rsidRPr="00BC2162" w:rsidRDefault="00602753" w:rsidP="006027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74.4%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73438471" w14:textId="637082DF" w:rsidR="00602753" w:rsidRPr="00BC2162" w:rsidRDefault="00602753" w:rsidP="0060275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72.7%</w:t>
            </w:r>
          </w:p>
        </w:tc>
        <w:tc>
          <w:tcPr>
            <w:tcW w:w="900" w:type="dxa"/>
            <w:vAlign w:val="center"/>
          </w:tcPr>
          <w:p w14:paraId="2BF6C8E5" w14:textId="6E598A63" w:rsidR="00602753" w:rsidRPr="00BC2162" w:rsidRDefault="00602753" w:rsidP="006027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81.8%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678B07C5" w14:textId="7C1EEEF3" w:rsidR="00602753" w:rsidRPr="00BC2162" w:rsidRDefault="00602753" w:rsidP="00602753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78.1%</w:t>
            </w:r>
          </w:p>
        </w:tc>
        <w:tc>
          <w:tcPr>
            <w:tcW w:w="1530" w:type="dxa"/>
            <w:vAlign w:val="center"/>
          </w:tcPr>
          <w:p w14:paraId="5BB5F9FD" w14:textId="49C1CB33" w:rsidR="00602753" w:rsidRPr="0081139E" w:rsidRDefault="00602753" w:rsidP="006027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↑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6F444E8D" w14:textId="2A9D4529" w:rsidR="00602753" w:rsidRPr="0081139E" w:rsidRDefault="00602753" w:rsidP="00602753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↑</w:t>
            </w:r>
          </w:p>
        </w:tc>
      </w:tr>
      <w:tr w:rsidR="001F5671" w:rsidRPr="00CF5E11" w14:paraId="4A227E0F" w14:textId="77777777" w:rsidTr="00C04F52">
        <w:trPr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16DC6AC9" w14:textId="20C54F7E" w:rsidR="00602753" w:rsidRPr="00BC2162" w:rsidRDefault="00602753" w:rsidP="00602753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HBD - Poor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8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20F9650F" w14:textId="7547F198" w:rsidR="00602753" w:rsidRPr="00BC2162" w:rsidRDefault="00602753" w:rsidP="00602753">
            <w:pPr>
              <w:rPr>
                <w:rFonts w:ascii="Calibri" w:hAnsi="Calibri" w:cs="Calibri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Hemoglobin A1c Control for Patients </w:t>
            </w:r>
            <w:r w:rsidR="00792AF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with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Diabetes - Poor HbA1c Control </w:t>
            </w:r>
            <w:r w:rsidRPr="00841DD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900" w:type="dxa"/>
            <w:vAlign w:val="center"/>
          </w:tcPr>
          <w:p w14:paraId="0584116E" w14:textId="721D85F3" w:rsidR="00602753" w:rsidRPr="00BC2162" w:rsidRDefault="00602753" w:rsidP="006027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37.5%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0F865A4E" w14:textId="71A8BAE1" w:rsidR="00602753" w:rsidRPr="00BC2162" w:rsidRDefault="00602753" w:rsidP="0060275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32.5%</w:t>
            </w:r>
          </w:p>
        </w:tc>
        <w:tc>
          <w:tcPr>
            <w:tcW w:w="900" w:type="dxa"/>
            <w:vAlign w:val="center"/>
          </w:tcPr>
          <w:p w14:paraId="537D719D" w14:textId="71163076" w:rsidR="00602753" w:rsidRPr="00BC2162" w:rsidRDefault="00602753" w:rsidP="006027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39.4%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3515F9D3" w14:textId="7B4E2044" w:rsidR="00602753" w:rsidRPr="00BC2162" w:rsidRDefault="00602753" w:rsidP="00602753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37.6%</w:t>
            </w:r>
          </w:p>
        </w:tc>
        <w:tc>
          <w:tcPr>
            <w:tcW w:w="1530" w:type="dxa"/>
            <w:vAlign w:val="center"/>
          </w:tcPr>
          <w:p w14:paraId="271DDC2F" w14:textId="7F38C537" w:rsidR="00602753" w:rsidRPr="0081139E" w:rsidRDefault="00602753" w:rsidP="006027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↑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3F94CA52" w14:textId="3FF2BA34" w:rsidR="00602753" w:rsidRPr="0081139E" w:rsidRDefault="00602753" w:rsidP="0060275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↑</w:t>
            </w:r>
          </w:p>
        </w:tc>
      </w:tr>
      <w:tr w:rsidR="00C638A9" w:rsidRPr="00CF5E11" w14:paraId="1838188B" w14:textId="77777777" w:rsidTr="00C04F52">
        <w:trPr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24CF351A" w14:textId="073A4B1A" w:rsidR="00602753" w:rsidRPr="00BC2162" w:rsidRDefault="00602753" w:rsidP="00602753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IET - Eng Total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8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3C34EF93" w14:textId="4784BCA5" w:rsidR="00602753" w:rsidRPr="00BC2162" w:rsidRDefault="00602753" w:rsidP="00602753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Initiation and Engagement of </w:t>
            </w:r>
            <w:r w:rsidR="000A519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Substance Use Disorder 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Treatment (Engagement Total)</w:t>
            </w:r>
          </w:p>
        </w:tc>
        <w:tc>
          <w:tcPr>
            <w:tcW w:w="900" w:type="dxa"/>
            <w:vAlign w:val="center"/>
          </w:tcPr>
          <w:p w14:paraId="55D7BF08" w14:textId="675D5F2A" w:rsidR="00602753" w:rsidRPr="00BC2162" w:rsidRDefault="00602753" w:rsidP="006027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22.7%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58E2B681" w14:textId="0418B942" w:rsidR="00602753" w:rsidRPr="00BC2162" w:rsidRDefault="00602753" w:rsidP="0060275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23.5%</w:t>
            </w:r>
          </w:p>
        </w:tc>
        <w:tc>
          <w:tcPr>
            <w:tcW w:w="900" w:type="dxa"/>
            <w:vAlign w:val="center"/>
          </w:tcPr>
          <w:p w14:paraId="50C86D92" w14:textId="4387DB23" w:rsidR="00602753" w:rsidRPr="00BC2162" w:rsidRDefault="00602753" w:rsidP="006027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24.3%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5A3B4E02" w14:textId="4DEEB677" w:rsidR="00602753" w:rsidRPr="00BC2162" w:rsidRDefault="00602753" w:rsidP="00602753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23.6%</w:t>
            </w:r>
          </w:p>
        </w:tc>
        <w:tc>
          <w:tcPr>
            <w:tcW w:w="1530" w:type="dxa"/>
            <w:vAlign w:val="center"/>
          </w:tcPr>
          <w:p w14:paraId="302C8C74" w14:textId="59DACA85" w:rsidR="00602753" w:rsidRPr="0081139E" w:rsidRDefault="00602753" w:rsidP="006027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↑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3814FCEE" w14:textId="3998419C" w:rsidR="00602753" w:rsidRPr="0081139E" w:rsidRDefault="00602753" w:rsidP="00602753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↓</w:t>
            </w:r>
          </w:p>
        </w:tc>
      </w:tr>
      <w:tr w:rsidR="001F5671" w:rsidRPr="00CF5E11" w14:paraId="607D0D01" w14:textId="77777777" w:rsidTr="00C04F52">
        <w:trPr>
          <w:trHeight w:val="50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55A17058" w14:textId="2119C9BA" w:rsidR="00602753" w:rsidRPr="00BC2162" w:rsidRDefault="00602753" w:rsidP="00602753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IET - Init Total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8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2D5FC5DF" w14:textId="7E6FB897" w:rsidR="00602753" w:rsidRPr="00BC2162" w:rsidRDefault="00602753" w:rsidP="00602753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Initiation and Engagement of </w:t>
            </w:r>
            <w:r w:rsidR="000A519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Substance Use Disorder 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Treatment (Initiation Total)</w:t>
            </w:r>
          </w:p>
        </w:tc>
        <w:tc>
          <w:tcPr>
            <w:tcW w:w="900" w:type="dxa"/>
            <w:vAlign w:val="center"/>
          </w:tcPr>
          <w:p w14:paraId="4E36D70D" w14:textId="7E5B5DD8" w:rsidR="00602753" w:rsidRPr="00BC2162" w:rsidRDefault="00602753" w:rsidP="006027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53.1%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2C257D38" w14:textId="122C23EE" w:rsidR="00602753" w:rsidRPr="00BC2162" w:rsidRDefault="00602753" w:rsidP="0060275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55.7%</w:t>
            </w:r>
          </w:p>
        </w:tc>
        <w:tc>
          <w:tcPr>
            <w:tcW w:w="900" w:type="dxa"/>
            <w:vAlign w:val="center"/>
          </w:tcPr>
          <w:p w14:paraId="28E4DBCD" w14:textId="426B09B3" w:rsidR="00602753" w:rsidRPr="00BC2162" w:rsidRDefault="00602753" w:rsidP="006027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51.6%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63C4BC1A" w14:textId="1F5FE043" w:rsidR="00602753" w:rsidRPr="00BC2162" w:rsidRDefault="00602753" w:rsidP="0060275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53.1%</w:t>
            </w:r>
          </w:p>
        </w:tc>
        <w:tc>
          <w:tcPr>
            <w:tcW w:w="1530" w:type="dxa"/>
            <w:vAlign w:val="center"/>
          </w:tcPr>
          <w:p w14:paraId="0D711195" w14:textId="3C2B21B6" w:rsidR="00602753" w:rsidRPr="0081139E" w:rsidRDefault="00602753" w:rsidP="006027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↑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45BC3654" w14:textId="5DB925DF" w:rsidR="00602753" w:rsidRPr="0081139E" w:rsidRDefault="00602753" w:rsidP="0060275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↓</w:t>
            </w:r>
          </w:p>
        </w:tc>
      </w:tr>
      <w:tr w:rsidR="001F5671" w:rsidRPr="00CF5E11" w14:paraId="71BAA3FD" w14:textId="77777777" w:rsidTr="00C04F52">
        <w:trPr>
          <w:trHeight w:val="37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6FB36A44" w14:textId="45D88A5A" w:rsidR="00602753" w:rsidRPr="00BC2162" w:rsidRDefault="00602753" w:rsidP="00602753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IMA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8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5100B4B4" w14:textId="0925FCE2" w:rsidR="00602753" w:rsidRPr="00BC2162" w:rsidRDefault="00602753" w:rsidP="00602753">
            <w:pPr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Immunization for Adolescents (Combo 2)</w:t>
            </w:r>
          </w:p>
        </w:tc>
        <w:tc>
          <w:tcPr>
            <w:tcW w:w="900" w:type="dxa"/>
            <w:vAlign w:val="center"/>
          </w:tcPr>
          <w:p w14:paraId="23213CED" w14:textId="11631A0F" w:rsidR="00602753" w:rsidRPr="00BC2162" w:rsidRDefault="00602753" w:rsidP="006027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39.0%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3C18391B" w14:textId="21EB6E85" w:rsidR="00602753" w:rsidRPr="00BC2162" w:rsidRDefault="00602753" w:rsidP="0060275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21.6%</w:t>
            </w:r>
          </w:p>
        </w:tc>
        <w:tc>
          <w:tcPr>
            <w:tcW w:w="900" w:type="dxa"/>
            <w:vAlign w:val="center"/>
          </w:tcPr>
          <w:p w14:paraId="4B214784" w14:textId="5FFB9937" w:rsidR="00602753" w:rsidRPr="00BC2162" w:rsidRDefault="00602753" w:rsidP="006027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32.6%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209F812B" w14:textId="5231B5F6" w:rsidR="00602753" w:rsidRPr="00BC2162" w:rsidRDefault="00602753" w:rsidP="00602753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33.2%</w:t>
            </w:r>
          </w:p>
        </w:tc>
        <w:tc>
          <w:tcPr>
            <w:tcW w:w="1530" w:type="dxa"/>
            <w:vAlign w:val="center"/>
          </w:tcPr>
          <w:p w14:paraId="222B089E" w14:textId="581E762F" w:rsidR="00602753" w:rsidRPr="0081139E" w:rsidRDefault="00602753" w:rsidP="006027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↓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67F65F80" w14:textId="23A8BE6B" w:rsidR="00602753" w:rsidRPr="0081139E" w:rsidRDefault="00602753" w:rsidP="00602753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↓</w:t>
            </w:r>
          </w:p>
        </w:tc>
      </w:tr>
      <w:tr w:rsidR="001F5671" w:rsidRPr="00CF5E11" w14:paraId="1D5246E8" w14:textId="77777777" w:rsidTr="00C04F52">
        <w:trPr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534735F9" w14:textId="3241D937" w:rsidR="00602753" w:rsidRPr="00BC2162" w:rsidRDefault="00602753" w:rsidP="00602753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OHE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8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6DEE77E2" w14:textId="2336EDB9" w:rsidR="00602753" w:rsidRPr="00BC2162" w:rsidRDefault="00602753" w:rsidP="00602753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Oral Health Evaluation  </w:t>
            </w:r>
          </w:p>
        </w:tc>
        <w:tc>
          <w:tcPr>
            <w:tcW w:w="900" w:type="dxa"/>
            <w:vAlign w:val="center"/>
          </w:tcPr>
          <w:p w14:paraId="7079FE8D" w14:textId="0D4A846A" w:rsidR="00602753" w:rsidRPr="00BC2162" w:rsidRDefault="00602753" w:rsidP="006027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50.9%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1E3B12CC" w14:textId="7EC67E71" w:rsidR="00602753" w:rsidRPr="00BC2162" w:rsidRDefault="00602753" w:rsidP="0060275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48.4%</w:t>
            </w:r>
          </w:p>
        </w:tc>
        <w:tc>
          <w:tcPr>
            <w:tcW w:w="900" w:type="dxa"/>
            <w:vAlign w:val="center"/>
          </w:tcPr>
          <w:p w14:paraId="13276554" w14:textId="1FEDAE23" w:rsidR="00602753" w:rsidRPr="00BC2162" w:rsidRDefault="00602753" w:rsidP="006027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N/A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32C28564" w14:textId="7C3E3C91" w:rsidR="00602753" w:rsidRPr="00BC2162" w:rsidRDefault="00602753" w:rsidP="0060275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50.1%</w:t>
            </w:r>
          </w:p>
        </w:tc>
        <w:tc>
          <w:tcPr>
            <w:tcW w:w="1530" w:type="dxa"/>
            <w:vAlign w:val="center"/>
          </w:tcPr>
          <w:p w14:paraId="6B840CF1" w14:textId="7AA68E4B" w:rsidR="00602753" w:rsidRPr="0081139E" w:rsidRDefault="00602753" w:rsidP="006027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N/A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43F15B8F" w14:textId="62ADCAC1" w:rsidR="00602753" w:rsidRPr="0081139E" w:rsidRDefault="00602753" w:rsidP="0060275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N/A</w:t>
            </w:r>
          </w:p>
        </w:tc>
      </w:tr>
      <w:tr w:rsidR="001F5671" w:rsidRPr="00CF5E11" w14:paraId="135FCECA" w14:textId="77777777" w:rsidTr="00C04F52">
        <w:trPr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20320FBB" w14:textId="58B86B1E" w:rsidR="00602753" w:rsidRPr="00BC2162" w:rsidRDefault="00602753" w:rsidP="00602753">
            <w:pPr>
              <w:rPr>
                <w:rFonts w:ascii="Calibri" w:hAnsi="Calibri" w:cs="Calibri"/>
                <w:b/>
                <w:bCs/>
                <w:color w:val="1F497D" w:themeColor="text2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PCR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8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3B924549" w14:textId="35F236CD" w:rsidR="00602753" w:rsidRPr="00BC2162" w:rsidRDefault="00602753" w:rsidP="00602753">
            <w:pPr>
              <w:rPr>
                <w:rFonts w:ascii="Calibri" w:hAnsi="Calibri" w:cs="Calibri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Plan All-Cause Readmission (observed to expected ratio) </w:t>
            </w:r>
            <w:r w:rsidRPr="00841DDF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900" w:type="dxa"/>
            <w:vAlign w:val="center"/>
          </w:tcPr>
          <w:p w14:paraId="7578DEE1" w14:textId="282D30FD" w:rsidR="00602753" w:rsidRPr="00BC2162" w:rsidRDefault="00602753" w:rsidP="006027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10.8%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05C8648F" w14:textId="68BD1D91" w:rsidR="00602753" w:rsidRPr="00BC2162" w:rsidRDefault="00602753" w:rsidP="0060275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12.5%</w:t>
            </w:r>
          </w:p>
        </w:tc>
        <w:tc>
          <w:tcPr>
            <w:tcW w:w="900" w:type="dxa"/>
            <w:vAlign w:val="center"/>
          </w:tcPr>
          <w:p w14:paraId="078F5D0C" w14:textId="3A2444B4" w:rsidR="00602753" w:rsidRPr="00BC2162" w:rsidRDefault="00602753" w:rsidP="006027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10.2%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3F3F3A07" w14:textId="1C6C7EFD" w:rsidR="00602753" w:rsidRPr="00BC2162" w:rsidRDefault="00602753" w:rsidP="00602753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10.9%</w:t>
            </w:r>
          </w:p>
        </w:tc>
        <w:tc>
          <w:tcPr>
            <w:tcW w:w="1530" w:type="dxa"/>
            <w:vAlign w:val="center"/>
          </w:tcPr>
          <w:p w14:paraId="77A1FD40" w14:textId="09508256" w:rsidR="00602753" w:rsidRPr="0081139E" w:rsidRDefault="00602753" w:rsidP="006027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↑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1C7D70DF" w14:textId="70A4C939" w:rsidR="00602753" w:rsidRPr="0081139E" w:rsidRDefault="00602753" w:rsidP="0060275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↑</w:t>
            </w:r>
          </w:p>
        </w:tc>
      </w:tr>
      <w:tr w:rsidR="001F5671" w:rsidRPr="00CF5E11" w14:paraId="6E4401D6" w14:textId="77777777" w:rsidTr="00C04F52">
        <w:trPr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178C5476" w14:textId="0D2BE560" w:rsidR="00602753" w:rsidRPr="00BC2162" w:rsidRDefault="00602753" w:rsidP="00602753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PPC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883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vAlign w:val="center"/>
          </w:tcPr>
          <w:p w14:paraId="7D90E511" w14:textId="680B4793" w:rsidR="00602753" w:rsidRPr="00BC2162" w:rsidRDefault="00602753" w:rsidP="00602753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Timeliness of Prenatal Care </w:t>
            </w:r>
          </w:p>
        </w:tc>
        <w:tc>
          <w:tcPr>
            <w:tcW w:w="900" w:type="dxa"/>
            <w:vAlign w:val="center"/>
          </w:tcPr>
          <w:p w14:paraId="3AB0B1D7" w14:textId="13C5B8FB" w:rsidR="00602753" w:rsidRPr="00BC2162" w:rsidRDefault="00602753" w:rsidP="006027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90.2%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vAlign w:val="center"/>
          </w:tcPr>
          <w:p w14:paraId="5F92CC67" w14:textId="23564236" w:rsidR="00602753" w:rsidRPr="00BC2162" w:rsidRDefault="00602753" w:rsidP="00602753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84.6%</w:t>
            </w:r>
          </w:p>
        </w:tc>
        <w:tc>
          <w:tcPr>
            <w:tcW w:w="900" w:type="dxa"/>
            <w:vAlign w:val="center"/>
          </w:tcPr>
          <w:p w14:paraId="27A357E7" w14:textId="3F36E0F7" w:rsidR="00602753" w:rsidRPr="00BC2162" w:rsidRDefault="00602753" w:rsidP="006027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84.6%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vAlign w:val="center"/>
          </w:tcPr>
          <w:p w14:paraId="24E5E129" w14:textId="37614B48" w:rsidR="00602753" w:rsidRPr="00BC2162" w:rsidRDefault="00602753" w:rsidP="0060275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86.4%</w:t>
            </w:r>
          </w:p>
        </w:tc>
        <w:tc>
          <w:tcPr>
            <w:tcW w:w="1530" w:type="dxa"/>
            <w:vAlign w:val="center"/>
          </w:tcPr>
          <w:p w14:paraId="21FBB345" w14:textId="2A91E40C" w:rsidR="00602753" w:rsidRPr="0081139E" w:rsidRDefault="00602753" w:rsidP="0060275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↓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520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vAlign w:val="center"/>
          </w:tcPr>
          <w:p w14:paraId="50191B95" w14:textId="39E66080" w:rsidR="00602753" w:rsidRPr="0081139E" w:rsidRDefault="00602753" w:rsidP="0060275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↓</w:t>
            </w:r>
          </w:p>
        </w:tc>
      </w:tr>
    </w:tbl>
    <w:p w14:paraId="3BB9BC16" w14:textId="75011212" w:rsidR="00F826F2" w:rsidRPr="00CF5E11" w:rsidRDefault="00F826F2" w:rsidP="00FC29C3">
      <w:pPr>
        <w:spacing w:before="240"/>
      </w:pPr>
      <w:r w:rsidRPr="00CF5E11">
        <w:lastRenderedPageBreak/>
        <w:t xml:space="preserve">MCO </w:t>
      </w:r>
      <w:r w:rsidR="00914FB1" w:rsidRPr="00CF5E11">
        <w:t xml:space="preserve">and PCC </w:t>
      </w:r>
      <w:r w:rsidRPr="00CF5E11">
        <w:t xml:space="preserve">plans are </w:t>
      </w:r>
      <w:r w:rsidR="001A2F34" w:rsidRPr="00CF5E11">
        <w:t xml:space="preserve">compared to the </w:t>
      </w:r>
      <w:r w:rsidR="00A65CE7" w:rsidRPr="00CF5E11">
        <w:t>n</w:t>
      </w:r>
      <w:r w:rsidR="001A2F34" w:rsidRPr="00CF5E11">
        <w:t>ational Medicaid 75</w:t>
      </w:r>
      <w:r w:rsidR="001A2F34" w:rsidRPr="00CF5E11">
        <w:rPr>
          <w:vertAlign w:val="superscript"/>
        </w:rPr>
        <w:t>th</w:t>
      </w:r>
      <w:r w:rsidR="001A2F34" w:rsidRPr="00CF5E11">
        <w:t xml:space="preserve"> and 90</w:t>
      </w:r>
      <w:r w:rsidR="001A2F34" w:rsidRPr="00CF5E11">
        <w:rPr>
          <w:vertAlign w:val="superscript"/>
        </w:rPr>
        <w:t>th</w:t>
      </w:r>
      <w:r w:rsidR="001A2F34" w:rsidRPr="00CF5E11">
        <w:t xml:space="preserve"> percentile</w:t>
      </w:r>
      <w:r w:rsidR="00A65CE7" w:rsidRPr="00CF5E11">
        <w:t xml:space="preserve"> benchmarks</w:t>
      </w:r>
      <w:r w:rsidR="006E2EB4" w:rsidRPr="00CF5E11">
        <w:t xml:space="preserve"> in the table above</w:t>
      </w:r>
      <w:r w:rsidR="00A65CE7" w:rsidRPr="00CF5E11">
        <w:t>, where benchmark data are available.</w:t>
      </w:r>
      <w:r w:rsidR="00C87EC9" w:rsidRPr="00CF5E11">
        <w:t xml:space="preserve"> Weighted means are presented for administrative (claims only) measures, while median rates are shown for hybrid measures (claims and medical record review).</w:t>
      </w:r>
    </w:p>
    <w:p w14:paraId="5F7178CC" w14:textId="456083D1" w:rsidR="008B205B" w:rsidRPr="00CF5E11" w:rsidRDefault="001E4BB7" w:rsidP="00BB5230">
      <w:pPr>
        <w:pStyle w:val="ListParagraph"/>
        <w:numPr>
          <w:ilvl w:val="0"/>
          <w:numId w:val="5"/>
        </w:numPr>
      </w:pPr>
      <w:r w:rsidRPr="00CF5E11">
        <w:t xml:space="preserve">The </w:t>
      </w:r>
      <w:r w:rsidR="0037506A" w:rsidRPr="00CF5E11">
        <w:t>MassHealth Weighted Mean (MHWM) rates</w:t>
      </w:r>
      <w:r w:rsidRPr="00CF5E11">
        <w:t xml:space="preserve"> </w:t>
      </w:r>
      <w:r w:rsidR="0037506A" w:rsidRPr="00CF5E11">
        <w:t>for</w:t>
      </w:r>
      <w:r w:rsidR="00C020D5">
        <w:t xml:space="preserve"> FUA</w:t>
      </w:r>
      <w:r w:rsidR="004163D0">
        <w:t xml:space="preserve"> and </w:t>
      </w:r>
      <w:r w:rsidR="00C020D5">
        <w:t xml:space="preserve">FUM </w:t>
      </w:r>
      <w:r w:rsidR="0037506A" w:rsidRPr="00CF5E11">
        <w:t>were above the national Medicaid 90</w:t>
      </w:r>
      <w:r w:rsidR="0037506A" w:rsidRPr="00CF5E11">
        <w:rPr>
          <w:vertAlign w:val="superscript"/>
        </w:rPr>
        <w:t>th</w:t>
      </w:r>
      <w:r w:rsidR="0037506A" w:rsidRPr="00CF5E11">
        <w:t xml:space="preserve"> percentile benchmark.</w:t>
      </w:r>
    </w:p>
    <w:p w14:paraId="1F341E07" w14:textId="6D7949F9" w:rsidR="00832F6F" w:rsidRPr="00CF5E11" w:rsidRDefault="00DC4006" w:rsidP="001E4BB7">
      <w:pPr>
        <w:pStyle w:val="ListParagraph"/>
        <w:numPr>
          <w:ilvl w:val="0"/>
          <w:numId w:val="5"/>
        </w:numPr>
      </w:pPr>
      <w:r w:rsidRPr="00CF5E11">
        <w:t>Th</w:t>
      </w:r>
      <w:r w:rsidR="00BF278F" w:rsidRPr="00CF5E11">
        <w:t xml:space="preserve">e </w:t>
      </w:r>
      <w:r w:rsidR="00586EDD" w:rsidRPr="00CF5E11">
        <w:t xml:space="preserve">MWHM </w:t>
      </w:r>
      <w:r w:rsidR="00485038" w:rsidRPr="00CF5E11">
        <w:t>rate</w:t>
      </w:r>
      <w:r w:rsidR="00586EDD" w:rsidRPr="00CF5E11">
        <w:t>s</w:t>
      </w:r>
      <w:r w:rsidRPr="00CF5E11">
        <w:t xml:space="preserve"> for</w:t>
      </w:r>
      <w:r w:rsidR="001010B6" w:rsidRPr="00CF5E11">
        <w:t xml:space="preserve"> </w:t>
      </w:r>
      <w:r w:rsidR="00E22146">
        <w:t>A</w:t>
      </w:r>
      <w:r w:rsidR="004163D0">
        <w:t>PM</w:t>
      </w:r>
      <w:r w:rsidR="00E22146">
        <w:t xml:space="preserve">, </w:t>
      </w:r>
      <w:r w:rsidR="001010B6" w:rsidRPr="00CF5E11">
        <w:t>CIS (</w:t>
      </w:r>
      <w:r w:rsidR="00BF278F" w:rsidRPr="00CF5E11">
        <w:t>C</w:t>
      </w:r>
      <w:r w:rsidR="001010B6" w:rsidRPr="00CF5E11">
        <w:t xml:space="preserve">ombination 10) and IET </w:t>
      </w:r>
      <w:r w:rsidR="001C2E48" w:rsidRPr="00CF5E11">
        <w:t>(</w:t>
      </w:r>
      <w:r w:rsidR="001010B6" w:rsidRPr="00CF5E11">
        <w:t>both initiation and en</w:t>
      </w:r>
      <w:r w:rsidR="001C2E48" w:rsidRPr="00CF5E11">
        <w:t xml:space="preserve">gagement </w:t>
      </w:r>
      <w:r w:rsidR="0064162C" w:rsidRPr="00CF5E11">
        <w:t>sub measures</w:t>
      </w:r>
      <w:r w:rsidR="001C2E48" w:rsidRPr="00CF5E11">
        <w:t>)</w:t>
      </w:r>
      <w:r w:rsidR="005C32AC" w:rsidRPr="00CF5E11">
        <w:t xml:space="preserve"> </w:t>
      </w:r>
      <w:r w:rsidR="00477744" w:rsidRPr="00CF5E11">
        <w:t>were below the 90</w:t>
      </w:r>
      <w:r w:rsidR="00477744" w:rsidRPr="00CF5E11">
        <w:rPr>
          <w:vertAlign w:val="superscript"/>
        </w:rPr>
        <w:t>th</w:t>
      </w:r>
      <w:r w:rsidR="00477744" w:rsidRPr="00CF5E11">
        <w:t xml:space="preserve"> percentile, but above the 75</w:t>
      </w:r>
      <w:r w:rsidR="00477744" w:rsidRPr="00CF5E11">
        <w:rPr>
          <w:vertAlign w:val="superscript"/>
        </w:rPr>
        <w:t>th</w:t>
      </w:r>
      <w:r w:rsidR="00477744" w:rsidRPr="00CF5E11">
        <w:t xml:space="preserve"> percentile</w:t>
      </w:r>
      <w:r w:rsidR="00A45933" w:rsidRPr="00CF5E11">
        <w:t>.</w:t>
      </w:r>
    </w:p>
    <w:p w14:paraId="5238B446" w14:textId="2FF90A8C" w:rsidR="00BB5230" w:rsidRPr="0081139E" w:rsidRDefault="00CF7E71" w:rsidP="00BB5230">
      <w:pPr>
        <w:pStyle w:val="ListParagraph"/>
        <w:numPr>
          <w:ilvl w:val="0"/>
          <w:numId w:val="5"/>
        </w:numPr>
        <w:rPr>
          <w:color w:val="000000" w:themeColor="text1"/>
        </w:rPr>
      </w:pPr>
      <w:r w:rsidRPr="0081139E">
        <w:rPr>
          <w:color w:val="000000" w:themeColor="text1"/>
        </w:rPr>
        <w:t>The MHWM</w:t>
      </w:r>
      <w:r w:rsidR="00586EDD" w:rsidRPr="0081139E">
        <w:rPr>
          <w:color w:val="000000" w:themeColor="text1"/>
        </w:rPr>
        <w:t xml:space="preserve"> </w:t>
      </w:r>
      <w:r w:rsidRPr="0081139E">
        <w:rPr>
          <w:color w:val="000000" w:themeColor="text1"/>
        </w:rPr>
        <w:t>rate</w:t>
      </w:r>
      <w:r w:rsidR="006779F0" w:rsidRPr="0081139E">
        <w:rPr>
          <w:color w:val="000000" w:themeColor="text1"/>
        </w:rPr>
        <w:t>s</w:t>
      </w:r>
      <w:r w:rsidRPr="0081139E">
        <w:rPr>
          <w:color w:val="000000" w:themeColor="text1"/>
        </w:rPr>
        <w:t xml:space="preserve"> for</w:t>
      </w:r>
      <w:r w:rsidR="001010B6" w:rsidRPr="0081139E">
        <w:rPr>
          <w:color w:val="000000" w:themeColor="text1"/>
        </w:rPr>
        <w:t xml:space="preserve"> AMR, </w:t>
      </w:r>
      <w:r w:rsidR="00395AFF" w:rsidRPr="0081139E">
        <w:rPr>
          <w:color w:val="000000" w:themeColor="text1"/>
        </w:rPr>
        <w:t xml:space="preserve">CBP, </w:t>
      </w:r>
      <w:r w:rsidR="001010B6" w:rsidRPr="0081139E">
        <w:rPr>
          <w:color w:val="000000" w:themeColor="text1"/>
        </w:rPr>
        <w:t>FUH, IMA (</w:t>
      </w:r>
      <w:r w:rsidR="00BF278F" w:rsidRPr="0081139E">
        <w:rPr>
          <w:color w:val="000000" w:themeColor="text1"/>
        </w:rPr>
        <w:t>C</w:t>
      </w:r>
      <w:r w:rsidR="001010B6" w:rsidRPr="0081139E">
        <w:rPr>
          <w:color w:val="000000" w:themeColor="text1"/>
        </w:rPr>
        <w:t>ombination 2), and PPC (</w:t>
      </w:r>
      <w:r w:rsidR="00E617BB" w:rsidRPr="0081139E">
        <w:rPr>
          <w:color w:val="000000" w:themeColor="text1"/>
        </w:rPr>
        <w:t>t</w:t>
      </w:r>
      <w:r w:rsidR="001010B6" w:rsidRPr="0081139E">
        <w:rPr>
          <w:color w:val="000000" w:themeColor="text1"/>
        </w:rPr>
        <w:t xml:space="preserve">imeliness </w:t>
      </w:r>
      <w:r w:rsidR="001C2E48" w:rsidRPr="0081139E">
        <w:rPr>
          <w:color w:val="000000" w:themeColor="text1"/>
        </w:rPr>
        <w:t>submeasure</w:t>
      </w:r>
      <w:r w:rsidR="001010B6" w:rsidRPr="0081139E">
        <w:rPr>
          <w:color w:val="000000" w:themeColor="text1"/>
        </w:rPr>
        <w:t>)</w:t>
      </w:r>
      <w:r w:rsidR="001C2E48" w:rsidRPr="0081139E">
        <w:rPr>
          <w:color w:val="000000" w:themeColor="text1"/>
        </w:rPr>
        <w:t xml:space="preserve"> </w:t>
      </w:r>
      <w:r w:rsidR="00477744" w:rsidRPr="0081139E">
        <w:rPr>
          <w:color w:val="000000" w:themeColor="text1"/>
        </w:rPr>
        <w:t>w</w:t>
      </w:r>
      <w:r w:rsidR="006779F0" w:rsidRPr="0081139E">
        <w:rPr>
          <w:color w:val="000000" w:themeColor="text1"/>
        </w:rPr>
        <w:t>ere</w:t>
      </w:r>
      <w:r w:rsidR="00477744" w:rsidRPr="0081139E">
        <w:rPr>
          <w:color w:val="000000" w:themeColor="text1"/>
        </w:rPr>
        <w:t xml:space="preserve"> below </w:t>
      </w:r>
      <w:r w:rsidR="00BF278F" w:rsidRPr="0081139E">
        <w:rPr>
          <w:color w:val="000000" w:themeColor="text1"/>
        </w:rPr>
        <w:t xml:space="preserve">the </w:t>
      </w:r>
      <w:r w:rsidR="00477744" w:rsidRPr="0081139E">
        <w:rPr>
          <w:color w:val="000000" w:themeColor="text1"/>
        </w:rPr>
        <w:t>75</w:t>
      </w:r>
      <w:r w:rsidR="00477744" w:rsidRPr="0081139E">
        <w:rPr>
          <w:color w:val="000000" w:themeColor="text1"/>
          <w:vertAlign w:val="superscript"/>
        </w:rPr>
        <w:t>th</w:t>
      </w:r>
      <w:r w:rsidR="00477744" w:rsidRPr="0081139E">
        <w:rPr>
          <w:color w:val="000000" w:themeColor="text1"/>
        </w:rPr>
        <w:t xml:space="preserve"> percentil</w:t>
      </w:r>
      <w:r w:rsidR="00D30870" w:rsidRPr="0081139E">
        <w:rPr>
          <w:color w:val="000000" w:themeColor="text1"/>
        </w:rPr>
        <w:t>e</w:t>
      </w:r>
      <w:r w:rsidR="00A45933" w:rsidRPr="0081139E">
        <w:rPr>
          <w:color w:val="000000" w:themeColor="text1"/>
        </w:rPr>
        <w:t>.</w:t>
      </w:r>
    </w:p>
    <w:p w14:paraId="09929016" w14:textId="7F69EE07" w:rsidR="001010B6" w:rsidRPr="0081139E" w:rsidRDefault="001010B6" w:rsidP="00BF278F">
      <w:pPr>
        <w:pStyle w:val="ListParagraph"/>
        <w:numPr>
          <w:ilvl w:val="0"/>
          <w:numId w:val="5"/>
        </w:numPr>
        <w:rPr>
          <w:color w:val="000000" w:themeColor="text1"/>
        </w:rPr>
      </w:pPr>
      <w:r w:rsidRPr="0081139E">
        <w:rPr>
          <w:color w:val="000000" w:themeColor="text1"/>
        </w:rPr>
        <w:t xml:space="preserve">The </w:t>
      </w:r>
      <w:r w:rsidR="00586EDD" w:rsidRPr="0081139E">
        <w:rPr>
          <w:color w:val="000000" w:themeColor="text1"/>
        </w:rPr>
        <w:t>MHWM</w:t>
      </w:r>
      <w:r w:rsidRPr="0081139E">
        <w:rPr>
          <w:color w:val="000000" w:themeColor="text1"/>
        </w:rPr>
        <w:t xml:space="preserve"> rate for </w:t>
      </w:r>
      <w:r w:rsidR="00170996">
        <w:rPr>
          <w:color w:val="000000" w:themeColor="text1"/>
        </w:rPr>
        <w:t xml:space="preserve">HBD </w:t>
      </w:r>
      <w:r w:rsidRPr="0081139E">
        <w:rPr>
          <w:color w:val="000000" w:themeColor="text1"/>
        </w:rPr>
        <w:t xml:space="preserve">poor control cohort </w:t>
      </w:r>
      <w:r w:rsidR="00DE6D87" w:rsidRPr="0081139E">
        <w:rPr>
          <w:color w:val="000000" w:themeColor="text1"/>
        </w:rPr>
        <w:t>and PCR were</w:t>
      </w:r>
      <w:r w:rsidRPr="0081139E">
        <w:rPr>
          <w:color w:val="000000" w:themeColor="text1"/>
        </w:rPr>
        <w:t xml:space="preserve"> </w:t>
      </w:r>
      <w:r w:rsidR="00BF278F" w:rsidRPr="0081139E">
        <w:rPr>
          <w:color w:val="000000" w:themeColor="text1"/>
        </w:rPr>
        <w:t xml:space="preserve">higher than </w:t>
      </w:r>
      <w:r w:rsidRPr="0081139E">
        <w:rPr>
          <w:color w:val="000000" w:themeColor="text1"/>
        </w:rPr>
        <w:t xml:space="preserve"> the 90</w:t>
      </w:r>
      <w:r w:rsidRPr="0081139E">
        <w:rPr>
          <w:color w:val="000000" w:themeColor="text1"/>
          <w:vertAlign w:val="superscript"/>
        </w:rPr>
        <w:t>th</w:t>
      </w:r>
      <w:r w:rsidRPr="0081139E">
        <w:rPr>
          <w:color w:val="000000" w:themeColor="text1"/>
        </w:rPr>
        <w:t xml:space="preserve"> percentile</w:t>
      </w:r>
      <w:r w:rsidR="00B51D4F" w:rsidRPr="0081139E">
        <w:rPr>
          <w:color w:val="000000" w:themeColor="text1"/>
        </w:rPr>
        <w:t xml:space="preserve">, meaning that plan performance </w:t>
      </w:r>
      <w:r w:rsidR="00E617BB" w:rsidRPr="0081139E">
        <w:rPr>
          <w:color w:val="000000" w:themeColor="text1"/>
        </w:rPr>
        <w:t>failed to meet those benchmarks (</w:t>
      </w:r>
      <w:r w:rsidR="0014015E" w:rsidRPr="0081139E">
        <w:rPr>
          <w:color w:val="000000" w:themeColor="text1"/>
        </w:rPr>
        <w:t xml:space="preserve">because a </w:t>
      </w:r>
      <w:r w:rsidR="00E617BB" w:rsidRPr="0081139E">
        <w:rPr>
          <w:color w:val="000000" w:themeColor="text1"/>
        </w:rPr>
        <w:t xml:space="preserve">lower rate signifies better performance).  </w:t>
      </w:r>
    </w:p>
    <w:p w14:paraId="3365781A" w14:textId="77777777" w:rsidR="00C717D4" w:rsidRPr="00CF5E11" w:rsidRDefault="00C717D4" w:rsidP="00EC1E58">
      <w:pPr>
        <w:pStyle w:val="Caption"/>
        <w:keepNext/>
        <w:spacing w:after="0"/>
        <w:rPr>
          <w:sz w:val="28"/>
          <w:szCs w:val="28"/>
        </w:rPr>
      </w:pPr>
    </w:p>
    <w:p w14:paraId="5C94ACBE" w14:textId="77777777" w:rsidR="005F6C22" w:rsidRDefault="005F6C22">
      <w:pPr>
        <w:rPr>
          <w:b/>
          <w:bCs/>
          <w:color w:val="4F81BD" w:themeColor="accent1"/>
          <w:sz w:val="28"/>
          <w:szCs w:val="28"/>
          <w:highlight w:val="green"/>
        </w:rPr>
      </w:pPr>
      <w:r>
        <w:rPr>
          <w:sz w:val="28"/>
          <w:szCs w:val="28"/>
          <w:highlight w:val="green"/>
        </w:rPr>
        <w:br w:type="page"/>
      </w:r>
    </w:p>
    <w:p w14:paraId="255C7C22" w14:textId="18E3E322" w:rsidR="00164FB5" w:rsidRPr="00F17ED2" w:rsidRDefault="00322E40" w:rsidP="000F7462">
      <w:pPr>
        <w:pStyle w:val="Caption"/>
        <w:keepNext/>
        <w:spacing w:after="0"/>
        <w:rPr>
          <w:sz w:val="28"/>
          <w:szCs w:val="28"/>
        </w:rPr>
      </w:pPr>
      <w:r w:rsidRPr="00F17ED2">
        <w:rPr>
          <w:sz w:val="28"/>
          <w:szCs w:val="28"/>
        </w:rPr>
        <w:lastRenderedPageBreak/>
        <w:t xml:space="preserve">Table </w:t>
      </w:r>
      <w:r w:rsidRPr="00F17ED2">
        <w:rPr>
          <w:sz w:val="28"/>
          <w:szCs w:val="28"/>
        </w:rPr>
        <w:fldChar w:fldCharType="begin"/>
      </w:r>
      <w:r w:rsidRPr="00F17ED2">
        <w:rPr>
          <w:sz w:val="28"/>
          <w:szCs w:val="28"/>
        </w:rPr>
        <w:instrText xml:space="preserve"> SEQ Table \* ARABIC </w:instrText>
      </w:r>
      <w:r w:rsidRPr="00F17ED2">
        <w:rPr>
          <w:sz w:val="28"/>
          <w:szCs w:val="28"/>
        </w:rPr>
        <w:fldChar w:fldCharType="separate"/>
      </w:r>
      <w:r w:rsidR="009C0986">
        <w:rPr>
          <w:noProof/>
          <w:sz w:val="28"/>
          <w:szCs w:val="28"/>
        </w:rPr>
        <w:t>3</w:t>
      </w:r>
      <w:r w:rsidRPr="00F17ED2">
        <w:rPr>
          <w:sz w:val="28"/>
          <w:szCs w:val="28"/>
        </w:rPr>
        <w:fldChar w:fldCharType="end"/>
      </w:r>
      <w:r w:rsidRPr="00F17ED2">
        <w:rPr>
          <w:sz w:val="28"/>
          <w:szCs w:val="28"/>
        </w:rPr>
        <w:t xml:space="preserve"> - SCO Performance Measures, 202</w:t>
      </w:r>
      <w:r w:rsidR="005F2A11" w:rsidRPr="00F17ED2">
        <w:rPr>
          <w:sz w:val="28"/>
          <w:szCs w:val="28"/>
        </w:rPr>
        <w:t>3</w:t>
      </w:r>
      <w:r w:rsidRPr="00F17ED2">
        <w:rPr>
          <w:sz w:val="28"/>
          <w:szCs w:val="28"/>
        </w:rPr>
        <w:t xml:space="preserve"> (Measurement Period: Calendar Year 202</w:t>
      </w:r>
      <w:r w:rsidR="005F2A11" w:rsidRPr="00F17ED2">
        <w:rPr>
          <w:sz w:val="28"/>
          <w:szCs w:val="28"/>
        </w:rPr>
        <w:t>2</w:t>
      </w:r>
      <w:r w:rsidRPr="00F17ED2">
        <w:rPr>
          <w:sz w:val="28"/>
          <w:szCs w:val="28"/>
        </w:rPr>
        <w:t>)</w:t>
      </w:r>
    </w:p>
    <w:p w14:paraId="22AEA3C0" w14:textId="77777777" w:rsidR="00C717D4" w:rsidRPr="00CF5E11" w:rsidRDefault="00C717D4" w:rsidP="000F7462">
      <w:pPr>
        <w:spacing w:before="120" w:after="0" w:line="240" w:lineRule="auto"/>
        <w:ind w:right="-1008"/>
        <w:rPr>
          <w:sz w:val="18"/>
          <w:szCs w:val="18"/>
        </w:rPr>
      </w:pPr>
      <w:r w:rsidRPr="005F2A11">
        <w:rPr>
          <w:sz w:val="18"/>
          <w:szCs w:val="18"/>
        </w:rPr>
        <w:t>Table Legend:</w:t>
      </w:r>
    </w:p>
    <w:p w14:paraId="20CCBCBE" w14:textId="77777777" w:rsidR="00C717D4" w:rsidRPr="00CF5E11" w:rsidRDefault="00C717D4" w:rsidP="00C717D4">
      <w:pPr>
        <w:spacing w:after="0" w:line="240" w:lineRule="auto"/>
        <w:ind w:right="-1008"/>
        <w:rPr>
          <w:sz w:val="18"/>
          <w:szCs w:val="18"/>
        </w:rPr>
      </w:pPr>
      <w:r w:rsidRPr="00CF5E11">
        <w:rPr>
          <w:sz w:val="18"/>
          <w:szCs w:val="18"/>
          <w:vertAlign w:val="superscript"/>
        </w:rPr>
        <w:t>1</w:t>
      </w:r>
      <w:r w:rsidRPr="00CF5E11">
        <w:rPr>
          <w:sz w:val="18"/>
          <w:szCs w:val="18"/>
        </w:rPr>
        <w:t xml:space="preserve"> A lower score represents better performance.</w:t>
      </w:r>
    </w:p>
    <w:p w14:paraId="69717D24" w14:textId="77777777" w:rsidR="00C717D4" w:rsidRPr="00CF5E11" w:rsidRDefault="00C717D4" w:rsidP="00C717D4">
      <w:pPr>
        <w:spacing w:after="0" w:line="240" w:lineRule="auto"/>
        <w:ind w:right="-1008"/>
        <w:rPr>
          <w:sz w:val="18"/>
          <w:szCs w:val="18"/>
        </w:rPr>
      </w:pPr>
      <w:r w:rsidRPr="00CF5E11">
        <w:rPr>
          <w:sz w:val="18"/>
          <w:szCs w:val="18"/>
          <w:vertAlign w:val="superscript"/>
        </w:rPr>
        <w:t>2</w:t>
      </w:r>
      <w:r w:rsidRPr="00CF5E11">
        <w:rPr>
          <w:sz w:val="18"/>
          <w:szCs w:val="18"/>
        </w:rPr>
        <w:t xml:space="preserve"> Individual plan rates not included because denominator (number of members eligible for measure) &lt; 30, but plan denominator and numerator included in weighted mean calculation.</w:t>
      </w:r>
    </w:p>
    <w:p w14:paraId="5F726E96" w14:textId="33D3CE67" w:rsidR="00C717D4" w:rsidRPr="00F17ED2" w:rsidRDefault="00C717D4" w:rsidP="000F7462">
      <w:pPr>
        <w:spacing w:after="360" w:line="240" w:lineRule="auto"/>
        <w:ind w:right="-1008"/>
        <w:rPr>
          <w:sz w:val="18"/>
          <w:szCs w:val="18"/>
        </w:rPr>
      </w:pPr>
      <w:r w:rsidRPr="00CF5E11">
        <w:rPr>
          <w:sz w:val="18"/>
          <w:szCs w:val="18"/>
        </w:rPr>
        <w:t>* ↑ = Weighted Mean Performance Better Than Benchmark   ↓ = Weighted Mean Performance Worse Than Benchmark</w:t>
      </w:r>
    </w:p>
    <w:tbl>
      <w:tblPr>
        <w:tblStyle w:val="MediumList2-Accent1"/>
        <w:tblW w:w="14400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2A0" w:firstRow="1" w:lastRow="0" w:firstColumn="1" w:lastColumn="0" w:noHBand="1" w:noVBand="0"/>
        <w:tblCaption w:val="SCO Performance Measures, 2018 "/>
        <w:tblDescription w:val="2018 Measures for senior care options using benchmarks as comparative values."/>
      </w:tblPr>
      <w:tblGrid>
        <w:gridCol w:w="1000"/>
        <w:gridCol w:w="2828"/>
        <w:gridCol w:w="808"/>
        <w:gridCol w:w="808"/>
        <w:gridCol w:w="808"/>
        <w:gridCol w:w="808"/>
        <w:gridCol w:w="808"/>
        <w:gridCol w:w="808"/>
        <w:gridCol w:w="1111"/>
        <w:gridCol w:w="1093"/>
        <w:gridCol w:w="1138"/>
        <w:gridCol w:w="1191"/>
        <w:gridCol w:w="1191"/>
      </w:tblGrid>
      <w:tr w:rsidR="001F5671" w:rsidRPr="00CF5E11" w14:paraId="7F196AD7" w14:textId="77777777" w:rsidTr="004353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884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00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598D77E" w14:textId="01211F40" w:rsidR="00E46209" w:rsidRPr="009C31E5" w:rsidRDefault="00E46209" w:rsidP="00712265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C31E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Measure Code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2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38FC575" w14:textId="384A53F2" w:rsidR="00E46209" w:rsidRPr="009C31E5" w:rsidRDefault="00E46209" w:rsidP="00712265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C31E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Measure Name</w:t>
            </w:r>
          </w:p>
        </w:tc>
        <w:tc>
          <w:tcPr>
            <w:tcW w:w="8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D96D452" w14:textId="41315CFB" w:rsidR="00E46209" w:rsidRPr="009C31E5" w:rsidRDefault="00E46209" w:rsidP="0071226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C31E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CCA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E5C3E2E" w14:textId="3DF6B7A5" w:rsidR="00E46209" w:rsidRPr="009C31E5" w:rsidRDefault="00E46209" w:rsidP="00712265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C31E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FHP</w:t>
            </w:r>
          </w:p>
        </w:tc>
        <w:tc>
          <w:tcPr>
            <w:tcW w:w="8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3CA563C" w14:textId="62230CED" w:rsidR="00E46209" w:rsidRPr="009C31E5" w:rsidRDefault="00E46209" w:rsidP="0071226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C31E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SWH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45B0872" w14:textId="0FF8C3ED" w:rsidR="00E46209" w:rsidRPr="009C31E5" w:rsidRDefault="00E46209" w:rsidP="00712265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C31E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THP</w:t>
            </w:r>
          </w:p>
        </w:tc>
        <w:tc>
          <w:tcPr>
            <w:tcW w:w="8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35FF6A5" w14:textId="525577DE" w:rsidR="00E46209" w:rsidRPr="009C31E5" w:rsidRDefault="00E46209" w:rsidP="0071226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C31E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UHC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386143F" w14:textId="5BF90EAF" w:rsidR="00E46209" w:rsidRPr="009C31E5" w:rsidRDefault="00E46209" w:rsidP="00712265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C31E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WLS</w:t>
            </w:r>
          </w:p>
        </w:tc>
        <w:tc>
          <w:tcPr>
            <w:tcW w:w="111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9C39BD6" w14:textId="408BA6F8" w:rsidR="00E46209" w:rsidRPr="009C31E5" w:rsidRDefault="00D47B32" w:rsidP="0071226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CF5E11">
              <w:rPr>
                <w:rFonts w:ascii="Calibri" w:hAnsi="Calibri"/>
                <w:b/>
                <w:bCs/>
                <w:sz w:val="18"/>
                <w:szCs w:val="22"/>
              </w:rPr>
              <w:t>MH Weighted Mean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9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03E50C2" w14:textId="15618D70" w:rsidR="00E46209" w:rsidRPr="009C31E5" w:rsidRDefault="00E46209" w:rsidP="00712265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C31E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Nat'l Medicare 75th Percentile*</w:t>
            </w:r>
          </w:p>
        </w:tc>
        <w:tc>
          <w:tcPr>
            <w:tcW w:w="113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1AD1198" w14:textId="58910A88" w:rsidR="00E46209" w:rsidRPr="009C31E5" w:rsidRDefault="00E46209" w:rsidP="0071226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C31E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Nat’l Medicare 90th Percentile*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788DC5E" w14:textId="787593D5" w:rsidR="00E46209" w:rsidRPr="009C31E5" w:rsidRDefault="00E46209" w:rsidP="00712265">
            <w:pPr>
              <w:jc w:val="center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C31E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Nat'l Medicaid 75th Percentile*</w:t>
            </w:r>
          </w:p>
        </w:tc>
        <w:tc>
          <w:tcPr>
            <w:tcW w:w="1191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87AEE6B" w14:textId="3364B8EE" w:rsidR="00E46209" w:rsidRPr="009C31E5" w:rsidRDefault="00E46209" w:rsidP="00712265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C31E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Nat'l Medicaid 90th Percentile*</w:t>
            </w:r>
          </w:p>
        </w:tc>
      </w:tr>
      <w:tr w:rsidR="001F5671" w:rsidRPr="00CF5E11" w14:paraId="685BF17A" w14:textId="77777777" w:rsidTr="00435347">
        <w:trPr>
          <w:trHeight w:val="44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dxa"/>
            <w:tcBorders>
              <w:top w:val="single" w:sz="8" w:space="0" w:color="000000" w:themeColor="text1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5393AB50" w14:textId="2B73BC35" w:rsidR="00E46209" w:rsidRPr="009C31E5" w:rsidRDefault="00E46209" w:rsidP="00712265">
            <w:pPr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</w:pPr>
            <w:r w:rsidRPr="009C31E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ACP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28" w:type="dxa"/>
            <w:tcBorders>
              <w:top w:val="single" w:sz="8" w:space="0" w:color="000000" w:themeColor="text1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631FF839" w14:textId="5BCF60DD" w:rsidR="00E46209" w:rsidRPr="009C31E5" w:rsidRDefault="00E46209" w:rsidP="00712265">
            <w:pPr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</w:pPr>
            <w:r w:rsidRPr="009C31E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Advanced Care Planning</w:t>
            </w:r>
          </w:p>
        </w:tc>
        <w:tc>
          <w:tcPr>
            <w:tcW w:w="808" w:type="dxa"/>
            <w:tcBorders>
              <w:top w:val="single" w:sz="8" w:space="0" w:color="000000" w:themeColor="text1"/>
            </w:tcBorders>
            <w:vAlign w:val="center"/>
          </w:tcPr>
          <w:p w14:paraId="5C828C94" w14:textId="1E97662B" w:rsidR="00E46209" w:rsidRPr="009C31E5" w:rsidRDefault="00E46209" w:rsidP="007122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9C31E5">
              <w:rPr>
                <w:rFonts w:asciiTheme="minorHAnsi" w:hAnsiTheme="minorHAnsi" w:cstheme="minorHAnsi"/>
                <w:sz w:val="20"/>
                <w:szCs w:val="20"/>
              </w:rPr>
              <w:t>33.2%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8" w:type="dxa"/>
            <w:tcBorders>
              <w:top w:val="single" w:sz="8" w:space="0" w:color="000000" w:themeColor="text1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1757FCDC" w14:textId="301A1BF3" w:rsidR="00E46209" w:rsidRPr="009C31E5" w:rsidRDefault="00E46209" w:rsidP="00712265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9C31E5">
              <w:rPr>
                <w:rFonts w:asciiTheme="minorHAnsi" w:hAnsiTheme="minorHAnsi" w:cstheme="minorHAnsi"/>
                <w:sz w:val="20"/>
                <w:szCs w:val="20"/>
              </w:rPr>
              <w:t>74.1%</w:t>
            </w:r>
          </w:p>
        </w:tc>
        <w:tc>
          <w:tcPr>
            <w:tcW w:w="808" w:type="dxa"/>
            <w:tcBorders>
              <w:top w:val="single" w:sz="8" w:space="0" w:color="000000" w:themeColor="text1"/>
            </w:tcBorders>
            <w:vAlign w:val="center"/>
          </w:tcPr>
          <w:p w14:paraId="258C3766" w14:textId="7ADF1EAE" w:rsidR="00E46209" w:rsidRPr="009C31E5" w:rsidRDefault="00E46209" w:rsidP="007122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9C31E5">
              <w:rPr>
                <w:rFonts w:asciiTheme="minorHAnsi" w:hAnsiTheme="minorHAnsi" w:cstheme="minorHAnsi"/>
                <w:sz w:val="20"/>
                <w:szCs w:val="20"/>
              </w:rPr>
              <w:t>41.2%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8" w:type="dxa"/>
            <w:tcBorders>
              <w:top w:val="single" w:sz="8" w:space="0" w:color="000000" w:themeColor="text1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0F3615BB" w14:textId="58DFAFFA" w:rsidR="00E46209" w:rsidRPr="009C31E5" w:rsidRDefault="00E46209" w:rsidP="00712265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9C31E5">
              <w:rPr>
                <w:rFonts w:asciiTheme="minorHAnsi" w:hAnsiTheme="minorHAnsi" w:cstheme="minorHAnsi"/>
                <w:sz w:val="20"/>
                <w:szCs w:val="20"/>
              </w:rPr>
              <w:t>N/A</w:t>
            </w:r>
          </w:p>
        </w:tc>
        <w:tc>
          <w:tcPr>
            <w:tcW w:w="808" w:type="dxa"/>
            <w:tcBorders>
              <w:top w:val="single" w:sz="8" w:space="0" w:color="000000" w:themeColor="text1"/>
            </w:tcBorders>
            <w:vAlign w:val="center"/>
          </w:tcPr>
          <w:p w14:paraId="28EC59F6" w14:textId="75790A04" w:rsidR="00E46209" w:rsidRPr="009C31E5" w:rsidRDefault="00E46209" w:rsidP="007122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9C31E5">
              <w:rPr>
                <w:rFonts w:asciiTheme="minorHAnsi" w:hAnsiTheme="minorHAnsi" w:cstheme="minorHAnsi"/>
                <w:sz w:val="20"/>
                <w:szCs w:val="20"/>
              </w:rPr>
              <w:t>59.0%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8" w:type="dxa"/>
            <w:tcBorders>
              <w:top w:val="single" w:sz="8" w:space="0" w:color="000000" w:themeColor="text1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0E440098" w14:textId="7EDBF45E" w:rsidR="00E46209" w:rsidRPr="009C31E5" w:rsidRDefault="00E46209" w:rsidP="00712265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9C31E5">
              <w:rPr>
                <w:rFonts w:asciiTheme="minorHAnsi" w:hAnsiTheme="minorHAnsi" w:cstheme="minorHAnsi"/>
                <w:sz w:val="20"/>
                <w:szCs w:val="20"/>
              </w:rPr>
              <w:t>16.7%</w:t>
            </w:r>
          </w:p>
        </w:tc>
        <w:tc>
          <w:tcPr>
            <w:tcW w:w="1111" w:type="dxa"/>
            <w:tcBorders>
              <w:top w:val="single" w:sz="8" w:space="0" w:color="000000" w:themeColor="text1"/>
            </w:tcBorders>
            <w:vAlign w:val="center"/>
          </w:tcPr>
          <w:p w14:paraId="61D792F8" w14:textId="03A9F968" w:rsidR="00E46209" w:rsidRPr="009C31E5" w:rsidRDefault="00E46209" w:rsidP="007122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9C31E5">
              <w:rPr>
                <w:rFonts w:asciiTheme="minorHAnsi" w:hAnsiTheme="minorHAnsi" w:cstheme="minorHAnsi"/>
                <w:sz w:val="20"/>
                <w:szCs w:val="20"/>
              </w:rPr>
              <w:t>49.6%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93" w:type="dxa"/>
            <w:tcBorders>
              <w:top w:val="single" w:sz="8" w:space="0" w:color="000000" w:themeColor="text1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262E2670" w14:textId="4E093E4A" w:rsidR="00E46209" w:rsidRPr="009C31E5" w:rsidRDefault="00E46209" w:rsidP="0071226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C31E5">
              <w:rPr>
                <w:rFonts w:asciiTheme="minorHAnsi" w:hAnsiTheme="minorHAnsi" w:cstheme="minorHAnsi"/>
                <w:sz w:val="20"/>
                <w:szCs w:val="20"/>
              </w:rPr>
              <w:t>N/A</w:t>
            </w:r>
          </w:p>
        </w:tc>
        <w:tc>
          <w:tcPr>
            <w:tcW w:w="1138" w:type="dxa"/>
            <w:tcBorders>
              <w:top w:val="single" w:sz="8" w:space="0" w:color="000000" w:themeColor="text1"/>
            </w:tcBorders>
            <w:vAlign w:val="center"/>
          </w:tcPr>
          <w:p w14:paraId="53855135" w14:textId="5DFAA0EA" w:rsidR="00E46209" w:rsidRPr="009C31E5" w:rsidRDefault="00E46209" w:rsidP="007122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9C31E5">
              <w:rPr>
                <w:rFonts w:asciiTheme="minorHAnsi" w:hAnsiTheme="minorHAnsi" w:cstheme="minorHAnsi"/>
                <w:sz w:val="20"/>
                <w:szCs w:val="20"/>
              </w:rPr>
              <w:t>N/A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1" w:type="dxa"/>
            <w:tcBorders>
              <w:top w:val="single" w:sz="8" w:space="0" w:color="000000" w:themeColor="text1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3C8932C6" w14:textId="4ECAE3DE" w:rsidR="00E46209" w:rsidRPr="009C31E5" w:rsidRDefault="00E46209" w:rsidP="0071226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C31E5">
              <w:rPr>
                <w:rFonts w:asciiTheme="minorHAnsi" w:hAnsiTheme="minorHAnsi" w:cstheme="minorHAnsi"/>
                <w:sz w:val="20"/>
                <w:szCs w:val="20"/>
              </w:rPr>
              <w:t>N/A</w:t>
            </w:r>
          </w:p>
        </w:tc>
        <w:tc>
          <w:tcPr>
            <w:tcW w:w="1191" w:type="dxa"/>
            <w:tcBorders>
              <w:top w:val="single" w:sz="8" w:space="0" w:color="000000" w:themeColor="text1"/>
            </w:tcBorders>
            <w:vAlign w:val="center"/>
          </w:tcPr>
          <w:p w14:paraId="766DAB92" w14:textId="58C45C3C" w:rsidR="00E46209" w:rsidRPr="009C31E5" w:rsidRDefault="00E46209" w:rsidP="007122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9C31E5">
              <w:rPr>
                <w:rFonts w:asciiTheme="minorHAnsi" w:hAnsiTheme="minorHAnsi" w:cstheme="minorHAnsi"/>
                <w:sz w:val="20"/>
                <w:szCs w:val="20"/>
              </w:rPr>
              <w:t>N/A</w:t>
            </w:r>
          </w:p>
        </w:tc>
      </w:tr>
      <w:tr w:rsidR="00F52F04" w:rsidRPr="00CF5E11" w14:paraId="1621478E" w14:textId="77777777" w:rsidTr="00C04F52">
        <w:trPr>
          <w:trHeight w:val="23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2A4BD5D3" w14:textId="7F080B05" w:rsidR="00E46209" w:rsidRPr="0002120B" w:rsidRDefault="00E46209" w:rsidP="00712265">
            <w:pPr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</w:pPr>
            <w:r w:rsidRPr="0002120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AMM - Acute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3A56C6D6" w14:textId="5BC84487" w:rsidR="00E46209" w:rsidRPr="009C31E5" w:rsidRDefault="00E46209" w:rsidP="00712265">
            <w:pPr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</w:pPr>
            <w:r w:rsidRPr="009C31E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Antidepressant Medication Management - Effective Acute Phase</w:t>
            </w:r>
          </w:p>
        </w:tc>
        <w:tc>
          <w:tcPr>
            <w:tcW w:w="808" w:type="dxa"/>
            <w:vAlign w:val="center"/>
          </w:tcPr>
          <w:p w14:paraId="2E16C8A6" w14:textId="068DCCEA" w:rsidR="00E46209" w:rsidRPr="009C31E5" w:rsidRDefault="00E46209" w:rsidP="007122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9C31E5">
              <w:rPr>
                <w:rFonts w:asciiTheme="minorHAnsi" w:hAnsiTheme="minorHAnsi" w:cstheme="minorHAnsi"/>
                <w:sz w:val="20"/>
                <w:szCs w:val="20"/>
              </w:rPr>
              <w:t>80.6%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3B1C5807" w14:textId="1B4F090D" w:rsidR="00E46209" w:rsidRPr="009C31E5" w:rsidRDefault="00E46209" w:rsidP="00712265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9C31E5">
              <w:rPr>
                <w:rFonts w:asciiTheme="minorHAnsi" w:hAnsiTheme="minorHAnsi" w:cstheme="minorHAnsi"/>
                <w:sz w:val="20"/>
                <w:szCs w:val="20"/>
              </w:rPr>
              <w:t>84.6%</w:t>
            </w:r>
          </w:p>
        </w:tc>
        <w:tc>
          <w:tcPr>
            <w:tcW w:w="808" w:type="dxa"/>
            <w:vAlign w:val="center"/>
          </w:tcPr>
          <w:p w14:paraId="4969E892" w14:textId="1D4ADA60" w:rsidR="00E46209" w:rsidRPr="009C31E5" w:rsidRDefault="00E46209" w:rsidP="007122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9C31E5">
              <w:rPr>
                <w:rFonts w:asciiTheme="minorHAnsi" w:hAnsiTheme="minorHAnsi" w:cstheme="minorHAnsi"/>
                <w:sz w:val="20"/>
                <w:szCs w:val="20"/>
              </w:rPr>
              <w:t>92.4%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7F0C15AE" w14:textId="6390237C" w:rsidR="00E46209" w:rsidRPr="009C31E5" w:rsidRDefault="00E46209" w:rsidP="00712265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9C31E5">
              <w:rPr>
                <w:rFonts w:asciiTheme="minorHAnsi" w:hAnsiTheme="minorHAnsi" w:cstheme="minorHAnsi"/>
                <w:sz w:val="20"/>
                <w:szCs w:val="20"/>
              </w:rPr>
              <w:t>82.1%</w:t>
            </w:r>
          </w:p>
        </w:tc>
        <w:tc>
          <w:tcPr>
            <w:tcW w:w="808" w:type="dxa"/>
            <w:vAlign w:val="center"/>
          </w:tcPr>
          <w:p w14:paraId="0DA8C2F4" w14:textId="54B0B2F6" w:rsidR="00E46209" w:rsidRPr="009C31E5" w:rsidRDefault="00E46209" w:rsidP="007122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9C31E5">
              <w:rPr>
                <w:rFonts w:asciiTheme="minorHAnsi" w:hAnsiTheme="minorHAnsi" w:cstheme="minorHAnsi"/>
                <w:sz w:val="20"/>
                <w:szCs w:val="20"/>
              </w:rPr>
              <w:t>79.2%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1E4BBF2B" w14:textId="1EC730AB" w:rsidR="00E46209" w:rsidRPr="009C31E5" w:rsidRDefault="00E46209" w:rsidP="00712265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9C31E5">
              <w:rPr>
                <w:rFonts w:asciiTheme="minorHAnsi" w:hAnsiTheme="minorHAnsi" w:cstheme="minorHAnsi"/>
                <w:sz w:val="20"/>
                <w:szCs w:val="20"/>
              </w:rPr>
              <w:t>80.4%</w:t>
            </w:r>
          </w:p>
        </w:tc>
        <w:tc>
          <w:tcPr>
            <w:tcW w:w="1111" w:type="dxa"/>
            <w:vAlign w:val="center"/>
          </w:tcPr>
          <w:p w14:paraId="5AF194C2" w14:textId="33028190" w:rsidR="00E46209" w:rsidRPr="009C31E5" w:rsidRDefault="00E46209" w:rsidP="007122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9C31E5">
              <w:rPr>
                <w:rFonts w:asciiTheme="minorHAnsi" w:hAnsiTheme="minorHAnsi" w:cstheme="minorHAnsi"/>
                <w:sz w:val="20"/>
                <w:szCs w:val="20"/>
              </w:rPr>
              <w:t>85.4%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00E4C2E7" w14:textId="36F7B608" w:rsidR="00E46209" w:rsidRPr="009C31E5" w:rsidRDefault="00E46209" w:rsidP="0071226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C31E5">
              <w:rPr>
                <w:rFonts w:asciiTheme="minorHAnsi" w:hAnsiTheme="minorHAnsi" w:cstheme="minorHAnsi"/>
                <w:sz w:val="20"/>
                <w:szCs w:val="20"/>
              </w:rPr>
              <w:t>↑</w:t>
            </w:r>
          </w:p>
        </w:tc>
        <w:tc>
          <w:tcPr>
            <w:tcW w:w="1138" w:type="dxa"/>
            <w:vAlign w:val="center"/>
          </w:tcPr>
          <w:p w14:paraId="6315C506" w14:textId="58974DAE" w:rsidR="00E46209" w:rsidRPr="009C31E5" w:rsidRDefault="00E46209" w:rsidP="007122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9C31E5">
              <w:rPr>
                <w:rFonts w:asciiTheme="minorHAnsi" w:hAnsiTheme="minorHAnsi" w:cstheme="minorHAnsi"/>
                <w:sz w:val="20"/>
                <w:szCs w:val="20"/>
              </w:rPr>
              <w:t>↓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55345E5B" w14:textId="79638015" w:rsidR="00E46209" w:rsidRPr="009C31E5" w:rsidRDefault="00E46209" w:rsidP="0071226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C31E5">
              <w:rPr>
                <w:rFonts w:asciiTheme="minorHAnsi" w:hAnsiTheme="minorHAnsi" w:cstheme="minorHAnsi"/>
                <w:sz w:val="20"/>
                <w:szCs w:val="20"/>
              </w:rPr>
              <w:t>↑</w:t>
            </w:r>
          </w:p>
        </w:tc>
        <w:tc>
          <w:tcPr>
            <w:tcW w:w="1191" w:type="dxa"/>
            <w:vAlign w:val="center"/>
          </w:tcPr>
          <w:p w14:paraId="5514B2EE" w14:textId="1B4FC0E2" w:rsidR="00E46209" w:rsidRPr="009C31E5" w:rsidRDefault="00E46209" w:rsidP="007122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9C31E5">
              <w:rPr>
                <w:rFonts w:asciiTheme="minorHAnsi" w:hAnsiTheme="minorHAnsi" w:cstheme="minorHAnsi"/>
                <w:sz w:val="20"/>
                <w:szCs w:val="20"/>
              </w:rPr>
              <w:t>↑</w:t>
            </w:r>
          </w:p>
        </w:tc>
      </w:tr>
      <w:tr w:rsidR="00F52F04" w:rsidRPr="00CF5E11" w14:paraId="1E09D6E7" w14:textId="77777777" w:rsidTr="00C04F52">
        <w:trPr>
          <w:trHeight w:val="34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15C2C611" w14:textId="789AD94B" w:rsidR="00E46209" w:rsidRPr="0002120B" w:rsidRDefault="00E46209" w:rsidP="00712265">
            <w:pPr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</w:pPr>
            <w:r w:rsidRPr="0002120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AMM - Cont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6C35257B" w14:textId="7747D192" w:rsidR="00E46209" w:rsidRPr="009C31E5" w:rsidRDefault="00E46209" w:rsidP="00712265">
            <w:pPr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</w:pPr>
            <w:r w:rsidRPr="009C31E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Antidepressant Medication Management - Effective Continuation Phase</w:t>
            </w:r>
          </w:p>
        </w:tc>
        <w:tc>
          <w:tcPr>
            <w:tcW w:w="808" w:type="dxa"/>
            <w:vAlign w:val="center"/>
          </w:tcPr>
          <w:p w14:paraId="4DEBDF70" w14:textId="41284310" w:rsidR="00E46209" w:rsidRPr="009C31E5" w:rsidRDefault="00E46209" w:rsidP="007122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9C31E5">
              <w:rPr>
                <w:rFonts w:asciiTheme="minorHAnsi" w:hAnsiTheme="minorHAnsi" w:cstheme="minorHAnsi"/>
                <w:sz w:val="20"/>
                <w:szCs w:val="20"/>
              </w:rPr>
              <w:t>72.9%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6CE799FC" w14:textId="14875A8A" w:rsidR="00E46209" w:rsidRPr="009C31E5" w:rsidRDefault="00E46209" w:rsidP="00712265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9C31E5">
              <w:rPr>
                <w:rFonts w:asciiTheme="minorHAnsi" w:hAnsiTheme="minorHAnsi" w:cstheme="minorHAnsi"/>
                <w:sz w:val="20"/>
                <w:szCs w:val="20"/>
              </w:rPr>
              <w:t>68.0%</w:t>
            </w:r>
          </w:p>
        </w:tc>
        <w:tc>
          <w:tcPr>
            <w:tcW w:w="808" w:type="dxa"/>
            <w:vAlign w:val="center"/>
          </w:tcPr>
          <w:p w14:paraId="0C0B51A2" w14:textId="1BC40076" w:rsidR="00E46209" w:rsidRPr="009C31E5" w:rsidRDefault="00E46209" w:rsidP="007122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9C31E5">
              <w:rPr>
                <w:rFonts w:asciiTheme="minorHAnsi" w:hAnsiTheme="minorHAnsi" w:cstheme="minorHAnsi"/>
                <w:sz w:val="20"/>
                <w:szCs w:val="20"/>
              </w:rPr>
              <w:t>87.1%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29477BB6" w14:textId="77FB427E" w:rsidR="00E46209" w:rsidRPr="009C31E5" w:rsidRDefault="00E46209" w:rsidP="00712265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9C31E5">
              <w:rPr>
                <w:rFonts w:asciiTheme="minorHAnsi" w:hAnsiTheme="minorHAnsi" w:cstheme="minorHAnsi"/>
                <w:sz w:val="20"/>
                <w:szCs w:val="20"/>
              </w:rPr>
              <w:t>68.1%</w:t>
            </w:r>
          </w:p>
        </w:tc>
        <w:tc>
          <w:tcPr>
            <w:tcW w:w="808" w:type="dxa"/>
            <w:vAlign w:val="center"/>
          </w:tcPr>
          <w:p w14:paraId="3661B003" w14:textId="21594C93" w:rsidR="00E46209" w:rsidRPr="009C31E5" w:rsidRDefault="00E46209" w:rsidP="007122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9C31E5">
              <w:rPr>
                <w:rFonts w:asciiTheme="minorHAnsi" w:hAnsiTheme="minorHAnsi" w:cstheme="minorHAnsi"/>
                <w:sz w:val="20"/>
                <w:szCs w:val="20"/>
              </w:rPr>
              <w:t>64.8%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5CAA3416" w14:textId="7180A64D" w:rsidR="00E46209" w:rsidRPr="009C31E5" w:rsidRDefault="00E46209" w:rsidP="00712265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9C31E5">
              <w:rPr>
                <w:rFonts w:asciiTheme="minorHAnsi" w:hAnsiTheme="minorHAnsi" w:cstheme="minorHAnsi"/>
                <w:sz w:val="20"/>
                <w:szCs w:val="20"/>
              </w:rPr>
              <w:t>68.6%</w:t>
            </w:r>
          </w:p>
        </w:tc>
        <w:tc>
          <w:tcPr>
            <w:tcW w:w="1111" w:type="dxa"/>
            <w:vAlign w:val="center"/>
          </w:tcPr>
          <w:p w14:paraId="089D1766" w14:textId="071EA9B9" w:rsidR="00E46209" w:rsidRPr="009C31E5" w:rsidRDefault="00E46209" w:rsidP="007122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9C31E5">
              <w:rPr>
                <w:rFonts w:asciiTheme="minorHAnsi" w:hAnsiTheme="minorHAnsi" w:cstheme="minorHAnsi"/>
                <w:sz w:val="20"/>
                <w:szCs w:val="20"/>
              </w:rPr>
              <w:t>75.6%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0D974AA5" w14:textId="4A4B7185" w:rsidR="00E46209" w:rsidRPr="009C31E5" w:rsidRDefault="00E46209" w:rsidP="0071226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C31E5">
              <w:rPr>
                <w:rFonts w:asciiTheme="minorHAnsi" w:hAnsiTheme="minorHAnsi" w:cstheme="minorHAnsi"/>
                <w:sz w:val="20"/>
                <w:szCs w:val="20"/>
              </w:rPr>
              <w:t>↑</w:t>
            </w:r>
          </w:p>
        </w:tc>
        <w:tc>
          <w:tcPr>
            <w:tcW w:w="1138" w:type="dxa"/>
            <w:vAlign w:val="center"/>
          </w:tcPr>
          <w:p w14:paraId="00176454" w14:textId="2CA45690" w:rsidR="00E46209" w:rsidRPr="009C31E5" w:rsidRDefault="00E46209" w:rsidP="007122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9C31E5">
              <w:rPr>
                <w:rFonts w:asciiTheme="minorHAnsi" w:hAnsiTheme="minorHAnsi" w:cstheme="minorHAnsi"/>
                <w:sz w:val="20"/>
                <w:szCs w:val="20"/>
              </w:rPr>
              <w:t>↑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1C708977" w14:textId="1C9F2F27" w:rsidR="00E46209" w:rsidRPr="009C31E5" w:rsidRDefault="00E46209" w:rsidP="0071226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C31E5">
              <w:rPr>
                <w:rFonts w:asciiTheme="minorHAnsi" w:hAnsiTheme="minorHAnsi" w:cstheme="minorHAnsi"/>
                <w:sz w:val="20"/>
                <w:szCs w:val="20"/>
              </w:rPr>
              <w:t>↑</w:t>
            </w:r>
          </w:p>
        </w:tc>
        <w:tc>
          <w:tcPr>
            <w:tcW w:w="1191" w:type="dxa"/>
            <w:vAlign w:val="center"/>
          </w:tcPr>
          <w:p w14:paraId="24564E62" w14:textId="455A81C3" w:rsidR="00E46209" w:rsidRPr="009C31E5" w:rsidRDefault="00E46209" w:rsidP="007122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9C31E5">
              <w:rPr>
                <w:rFonts w:asciiTheme="minorHAnsi" w:hAnsiTheme="minorHAnsi" w:cstheme="minorHAnsi"/>
                <w:sz w:val="20"/>
                <w:szCs w:val="20"/>
              </w:rPr>
              <w:t>↑</w:t>
            </w:r>
          </w:p>
        </w:tc>
      </w:tr>
      <w:tr w:rsidR="00F52F04" w:rsidRPr="00CF5E11" w14:paraId="4B56351E" w14:textId="77777777" w:rsidTr="00C04F52">
        <w:trPr>
          <w:trHeight w:val="35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7A861276" w14:textId="3DCC27D9" w:rsidR="00E46209" w:rsidRPr="0002120B" w:rsidRDefault="00E46209" w:rsidP="00712265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2120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CBP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047F4211" w14:textId="0BC2B325" w:rsidR="00E46209" w:rsidRPr="009C31E5" w:rsidRDefault="00E46209" w:rsidP="00712265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C31E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Controlling High Blood Pressure  </w:t>
            </w:r>
          </w:p>
        </w:tc>
        <w:tc>
          <w:tcPr>
            <w:tcW w:w="808" w:type="dxa"/>
            <w:vAlign w:val="center"/>
          </w:tcPr>
          <w:p w14:paraId="211629C5" w14:textId="2E7A097E" w:rsidR="00E46209" w:rsidRPr="009C31E5" w:rsidRDefault="00E46209" w:rsidP="007122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9C31E5">
              <w:rPr>
                <w:rFonts w:asciiTheme="minorHAnsi" w:hAnsiTheme="minorHAnsi" w:cstheme="minorHAnsi"/>
                <w:sz w:val="20"/>
                <w:szCs w:val="20"/>
              </w:rPr>
              <w:t>74.7%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6A4D28C1" w14:textId="74824B24" w:rsidR="00E46209" w:rsidRPr="009C31E5" w:rsidRDefault="00E46209" w:rsidP="0071226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C31E5">
              <w:rPr>
                <w:rFonts w:asciiTheme="minorHAnsi" w:hAnsiTheme="minorHAnsi" w:cstheme="minorHAnsi"/>
                <w:sz w:val="20"/>
                <w:szCs w:val="20"/>
              </w:rPr>
              <w:t>66.7%</w:t>
            </w:r>
          </w:p>
        </w:tc>
        <w:tc>
          <w:tcPr>
            <w:tcW w:w="808" w:type="dxa"/>
            <w:vAlign w:val="center"/>
          </w:tcPr>
          <w:p w14:paraId="2D216B2D" w14:textId="4BC3B7AA" w:rsidR="00E46209" w:rsidRPr="009C31E5" w:rsidRDefault="00E46209" w:rsidP="007122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9C31E5">
              <w:rPr>
                <w:rFonts w:asciiTheme="minorHAnsi" w:hAnsiTheme="minorHAnsi" w:cstheme="minorHAnsi"/>
                <w:sz w:val="20"/>
                <w:szCs w:val="20"/>
              </w:rPr>
              <w:t>56.7%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761968DF" w14:textId="29F14EBC" w:rsidR="00E46209" w:rsidRPr="009C31E5" w:rsidRDefault="00E46209" w:rsidP="0071226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C31E5">
              <w:rPr>
                <w:rFonts w:asciiTheme="minorHAnsi" w:hAnsiTheme="minorHAnsi" w:cstheme="minorHAnsi"/>
                <w:sz w:val="20"/>
                <w:szCs w:val="20"/>
              </w:rPr>
              <w:t>74.5%</w:t>
            </w:r>
          </w:p>
        </w:tc>
        <w:tc>
          <w:tcPr>
            <w:tcW w:w="808" w:type="dxa"/>
            <w:vAlign w:val="center"/>
          </w:tcPr>
          <w:p w14:paraId="47D936CF" w14:textId="520714A5" w:rsidR="00E46209" w:rsidRPr="009C31E5" w:rsidRDefault="00E46209" w:rsidP="007122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9C31E5">
              <w:rPr>
                <w:rFonts w:asciiTheme="minorHAnsi" w:hAnsiTheme="minorHAnsi" w:cstheme="minorHAnsi"/>
                <w:sz w:val="20"/>
                <w:szCs w:val="20"/>
              </w:rPr>
              <w:t>76.7%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73189084" w14:textId="17551815" w:rsidR="00E46209" w:rsidRPr="009C31E5" w:rsidRDefault="00E46209" w:rsidP="0071226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C31E5">
              <w:rPr>
                <w:rFonts w:asciiTheme="minorHAnsi" w:hAnsiTheme="minorHAnsi" w:cstheme="minorHAnsi"/>
                <w:sz w:val="20"/>
                <w:szCs w:val="20"/>
              </w:rPr>
              <w:t>77.4%</w:t>
            </w:r>
          </w:p>
        </w:tc>
        <w:tc>
          <w:tcPr>
            <w:tcW w:w="1111" w:type="dxa"/>
            <w:vAlign w:val="center"/>
          </w:tcPr>
          <w:p w14:paraId="106D18AF" w14:textId="59D224FA" w:rsidR="00E46209" w:rsidRPr="009C31E5" w:rsidRDefault="00E46209" w:rsidP="007122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9C31E5">
              <w:rPr>
                <w:rFonts w:asciiTheme="minorHAnsi" w:hAnsiTheme="minorHAnsi" w:cstheme="minorHAnsi"/>
                <w:sz w:val="20"/>
                <w:szCs w:val="20"/>
              </w:rPr>
              <w:t>70.7%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4458A773" w14:textId="79EE03ED" w:rsidR="00E46209" w:rsidRPr="009C31E5" w:rsidRDefault="00E46209" w:rsidP="0071226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C31E5">
              <w:rPr>
                <w:rFonts w:asciiTheme="minorHAnsi" w:hAnsiTheme="minorHAnsi" w:cstheme="minorHAnsi"/>
                <w:sz w:val="20"/>
                <w:szCs w:val="20"/>
              </w:rPr>
              <w:t>↓</w:t>
            </w:r>
          </w:p>
        </w:tc>
        <w:tc>
          <w:tcPr>
            <w:tcW w:w="1138" w:type="dxa"/>
            <w:vAlign w:val="center"/>
          </w:tcPr>
          <w:p w14:paraId="181CB142" w14:textId="607EA9AF" w:rsidR="00E46209" w:rsidRPr="009C31E5" w:rsidRDefault="00E46209" w:rsidP="007122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9C31E5">
              <w:rPr>
                <w:rFonts w:asciiTheme="minorHAnsi" w:hAnsiTheme="minorHAnsi" w:cstheme="minorHAnsi"/>
                <w:sz w:val="20"/>
                <w:szCs w:val="20"/>
              </w:rPr>
              <w:t>↓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1FC8F996" w14:textId="2421579E" w:rsidR="00E46209" w:rsidRPr="009C31E5" w:rsidRDefault="00E46209" w:rsidP="00712265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9C31E5">
              <w:rPr>
                <w:rFonts w:asciiTheme="minorHAnsi" w:hAnsiTheme="minorHAnsi" w:cstheme="minorHAnsi"/>
                <w:sz w:val="20"/>
                <w:szCs w:val="20"/>
              </w:rPr>
              <w:t>↑</w:t>
            </w:r>
          </w:p>
        </w:tc>
        <w:tc>
          <w:tcPr>
            <w:tcW w:w="1191" w:type="dxa"/>
            <w:vAlign w:val="center"/>
          </w:tcPr>
          <w:p w14:paraId="7C1BA357" w14:textId="474915C8" w:rsidR="00E46209" w:rsidRPr="009C31E5" w:rsidRDefault="00E46209" w:rsidP="007122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9C31E5">
              <w:rPr>
                <w:rFonts w:asciiTheme="minorHAnsi" w:hAnsiTheme="minorHAnsi" w:cstheme="minorHAnsi"/>
                <w:sz w:val="20"/>
                <w:szCs w:val="20"/>
              </w:rPr>
              <w:t>↓</w:t>
            </w:r>
          </w:p>
        </w:tc>
      </w:tr>
      <w:tr w:rsidR="001F5671" w:rsidRPr="00CF5E11" w14:paraId="1F0FB253" w14:textId="77777777" w:rsidTr="00C04F52">
        <w:trPr>
          <w:trHeight w:val="54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4540AB1F" w14:textId="6C552576" w:rsidR="00E46209" w:rsidRPr="0002120B" w:rsidRDefault="00E46209" w:rsidP="00712265">
            <w:pPr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</w:pPr>
            <w:r w:rsidRPr="0002120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COL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5CF19B54" w14:textId="08856DDC" w:rsidR="00E46209" w:rsidRPr="009C31E5" w:rsidRDefault="00E46209" w:rsidP="00712265">
            <w:pPr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</w:pPr>
            <w:r w:rsidRPr="009C31E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Colorectal Cancer Screening</w:t>
            </w:r>
          </w:p>
        </w:tc>
        <w:tc>
          <w:tcPr>
            <w:tcW w:w="808" w:type="dxa"/>
            <w:vAlign w:val="center"/>
          </w:tcPr>
          <w:p w14:paraId="3BE0C1E7" w14:textId="480026D6" w:rsidR="00E46209" w:rsidRPr="009C31E5" w:rsidRDefault="00E46209" w:rsidP="007122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9C31E5">
              <w:rPr>
                <w:rFonts w:asciiTheme="minorHAnsi" w:hAnsiTheme="minorHAnsi" w:cstheme="minorHAnsi"/>
                <w:sz w:val="20"/>
                <w:szCs w:val="20"/>
              </w:rPr>
              <w:t>78.8%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387B9356" w14:textId="260374F7" w:rsidR="00E46209" w:rsidRPr="009C31E5" w:rsidRDefault="00E46209" w:rsidP="00712265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9C31E5">
              <w:rPr>
                <w:rFonts w:asciiTheme="minorHAnsi" w:hAnsiTheme="minorHAnsi" w:cstheme="minorHAnsi"/>
                <w:sz w:val="20"/>
                <w:szCs w:val="20"/>
              </w:rPr>
              <w:t>66.2%</w:t>
            </w:r>
          </w:p>
        </w:tc>
        <w:tc>
          <w:tcPr>
            <w:tcW w:w="808" w:type="dxa"/>
            <w:vAlign w:val="center"/>
          </w:tcPr>
          <w:p w14:paraId="77D00A9A" w14:textId="533D1D29" w:rsidR="00E46209" w:rsidRPr="009C31E5" w:rsidRDefault="00E46209" w:rsidP="007122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9C31E5">
              <w:rPr>
                <w:rFonts w:asciiTheme="minorHAnsi" w:hAnsiTheme="minorHAnsi" w:cstheme="minorHAnsi"/>
                <w:sz w:val="20"/>
                <w:szCs w:val="20"/>
              </w:rPr>
              <w:t>75.7%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0333B747" w14:textId="60197E1B" w:rsidR="00E46209" w:rsidRPr="009C31E5" w:rsidRDefault="00E46209" w:rsidP="00712265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9C31E5">
              <w:rPr>
                <w:rFonts w:asciiTheme="minorHAnsi" w:hAnsiTheme="minorHAnsi" w:cstheme="minorHAnsi"/>
                <w:sz w:val="20"/>
                <w:szCs w:val="20"/>
              </w:rPr>
              <w:t>72.5%</w:t>
            </w:r>
          </w:p>
        </w:tc>
        <w:tc>
          <w:tcPr>
            <w:tcW w:w="808" w:type="dxa"/>
            <w:vAlign w:val="center"/>
          </w:tcPr>
          <w:p w14:paraId="720ABFAF" w14:textId="3A1D134E" w:rsidR="00E46209" w:rsidRPr="009C31E5" w:rsidRDefault="00E46209" w:rsidP="007122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9C31E5">
              <w:rPr>
                <w:rFonts w:asciiTheme="minorHAnsi" w:hAnsiTheme="minorHAnsi" w:cstheme="minorHAnsi"/>
                <w:sz w:val="20"/>
                <w:szCs w:val="20"/>
              </w:rPr>
              <w:t>88.1%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216892D1" w14:textId="5BE1A231" w:rsidR="00E46209" w:rsidRPr="009C31E5" w:rsidRDefault="00E46209" w:rsidP="00712265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9C31E5">
              <w:rPr>
                <w:rFonts w:asciiTheme="minorHAnsi" w:hAnsiTheme="minorHAnsi" w:cstheme="minorHAnsi"/>
                <w:sz w:val="20"/>
                <w:szCs w:val="20"/>
              </w:rPr>
              <w:t>77.6%</w:t>
            </w:r>
          </w:p>
        </w:tc>
        <w:tc>
          <w:tcPr>
            <w:tcW w:w="1111" w:type="dxa"/>
            <w:vAlign w:val="center"/>
          </w:tcPr>
          <w:p w14:paraId="43D5183E" w14:textId="0927115F" w:rsidR="00E46209" w:rsidRPr="009C31E5" w:rsidRDefault="00E46209" w:rsidP="007122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9C31E5">
              <w:rPr>
                <w:rFonts w:asciiTheme="minorHAnsi" w:hAnsiTheme="minorHAnsi" w:cstheme="minorHAnsi"/>
                <w:sz w:val="20"/>
                <w:szCs w:val="20"/>
              </w:rPr>
              <w:t>79.1%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610FE4D4" w14:textId="2B6F5369" w:rsidR="00E46209" w:rsidRPr="009C31E5" w:rsidRDefault="00E46209" w:rsidP="00712265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9C31E5">
              <w:rPr>
                <w:rFonts w:asciiTheme="minorHAnsi" w:hAnsiTheme="minorHAnsi" w:cstheme="minorHAnsi"/>
                <w:sz w:val="20"/>
                <w:szCs w:val="20"/>
              </w:rPr>
              <w:t>↑</w:t>
            </w:r>
          </w:p>
        </w:tc>
        <w:tc>
          <w:tcPr>
            <w:tcW w:w="1138" w:type="dxa"/>
            <w:vAlign w:val="center"/>
          </w:tcPr>
          <w:p w14:paraId="39CA7ED8" w14:textId="65F5542C" w:rsidR="00E46209" w:rsidRPr="009C31E5" w:rsidRDefault="00E46209" w:rsidP="007122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9C31E5">
              <w:rPr>
                <w:rFonts w:asciiTheme="minorHAnsi" w:hAnsiTheme="minorHAnsi" w:cstheme="minorHAnsi"/>
                <w:sz w:val="20"/>
                <w:szCs w:val="20"/>
              </w:rPr>
              <w:t>↓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2870F88A" w14:textId="2E715CA2" w:rsidR="00E46209" w:rsidRPr="009C31E5" w:rsidRDefault="00E46209" w:rsidP="00712265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9C31E5">
              <w:rPr>
                <w:rFonts w:asciiTheme="minorHAnsi" w:hAnsiTheme="minorHAnsi" w:cstheme="minorHAnsi"/>
                <w:sz w:val="20"/>
                <w:szCs w:val="20"/>
              </w:rPr>
              <w:t>N/A</w:t>
            </w:r>
          </w:p>
        </w:tc>
        <w:tc>
          <w:tcPr>
            <w:tcW w:w="1191" w:type="dxa"/>
            <w:vAlign w:val="center"/>
          </w:tcPr>
          <w:p w14:paraId="10FB9855" w14:textId="452C012A" w:rsidR="00E46209" w:rsidRPr="009C31E5" w:rsidRDefault="00E46209" w:rsidP="007122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9C31E5">
              <w:rPr>
                <w:rFonts w:asciiTheme="minorHAnsi" w:hAnsiTheme="minorHAnsi" w:cstheme="minorHAnsi"/>
                <w:sz w:val="20"/>
                <w:szCs w:val="20"/>
              </w:rPr>
              <w:t>N/A</w:t>
            </w:r>
          </w:p>
        </w:tc>
      </w:tr>
      <w:tr w:rsidR="00F52F04" w:rsidRPr="00CF5E11" w14:paraId="1DFE03BA" w14:textId="77777777" w:rsidTr="00C04F52">
        <w:trPr>
          <w:trHeight w:val="23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3838CB88" w14:textId="537C4E60" w:rsidR="00E46209" w:rsidRPr="0002120B" w:rsidRDefault="00E46209" w:rsidP="00712265">
            <w:pPr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</w:pPr>
            <w:r w:rsidRPr="0002120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DAE Total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75E4EEC7" w14:textId="031E886A" w:rsidR="00E46209" w:rsidRPr="009C31E5" w:rsidRDefault="00E46209" w:rsidP="00712265">
            <w:pPr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</w:pPr>
            <w:r w:rsidRPr="009C31E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Use of High-Risk Medications in the Elderly - 2+ High Risk Medications (Total) </w:t>
            </w:r>
            <w:r w:rsidRPr="00350BF8">
              <w:rPr>
                <w:rFonts w:asciiTheme="minorHAnsi" w:hAnsiTheme="minorHAnsi" w:cstheme="minorHAnsi"/>
                <w:b/>
                <w:b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08" w:type="dxa"/>
            <w:vAlign w:val="center"/>
          </w:tcPr>
          <w:p w14:paraId="6AA94858" w14:textId="456405C7" w:rsidR="00E46209" w:rsidRPr="009C31E5" w:rsidRDefault="00E46209" w:rsidP="007122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9C31E5">
              <w:rPr>
                <w:rFonts w:asciiTheme="minorHAnsi" w:hAnsiTheme="minorHAnsi" w:cstheme="minorHAnsi"/>
                <w:sz w:val="20"/>
                <w:szCs w:val="20"/>
              </w:rPr>
              <w:t>25.6%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7B494224" w14:textId="5B791F5D" w:rsidR="00E46209" w:rsidRPr="009C31E5" w:rsidRDefault="00E46209" w:rsidP="00712265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9C31E5">
              <w:rPr>
                <w:rFonts w:asciiTheme="minorHAnsi" w:hAnsiTheme="minorHAnsi" w:cstheme="minorHAnsi"/>
                <w:sz w:val="20"/>
                <w:szCs w:val="20"/>
              </w:rPr>
              <w:t>25.1%</w:t>
            </w:r>
          </w:p>
        </w:tc>
        <w:tc>
          <w:tcPr>
            <w:tcW w:w="808" w:type="dxa"/>
            <w:vAlign w:val="center"/>
          </w:tcPr>
          <w:p w14:paraId="447B47AE" w14:textId="4F6F883E" w:rsidR="00E46209" w:rsidRPr="009C31E5" w:rsidRDefault="00E46209" w:rsidP="007122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9C31E5">
              <w:rPr>
                <w:rFonts w:asciiTheme="minorHAnsi" w:hAnsiTheme="minorHAnsi" w:cstheme="minorHAnsi"/>
                <w:sz w:val="20"/>
                <w:szCs w:val="20"/>
              </w:rPr>
              <w:t>18.3%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4879A791" w14:textId="04CA83D3" w:rsidR="00E46209" w:rsidRPr="009C31E5" w:rsidRDefault="00E46209" w:rsidP="00712265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9C31E5">
              <w:rPr>
                <w:rFonts w:asciiTheme="minorHAnsi" w:hAnsiTheme="minorHAnsi" w:cstheme="minorHAnsi"/>
                <w:sz w:val="20"/>
                <w:szCs w:val="20"/>
              </w:rPr>
              <w:t>19.0%</w:t>
            </w:r>
          </w:p>
        </w:tc>
        <w:tc>
          <w:tcPr>
            <w:tcW w:w="808" w:type="dxa"/>
            <w:vAlign w:val="center"/>
          </w:tcPr>
          <w:p w14:paraId="7E1E38D8" w14:textId="1185435C" w:rsidR="00E46209" w:rsidRPr="009C31E5" w:rsidRDefault="00E46209" w:rsidP="007122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9C31E5">
              <w:rPr>
                <w:rFonts w:asciiTheme="minorHAnsi" w:hAnsiTheme="minorHAnsi" w:cstheme="minorHAnsi"/>
                <w:sz w:val="20"/>
                <w:szCs w:val="20"/>
              </w:rPr>
              <w:t>21.4%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6877A822" w14:textId="4075EA4D" w:rsidR="00E46209" w:rsidRPr="009C31E5" w:rsidRDefault="00E46209" w:rsidP="00712265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9C31E5">
              <w:rPr>
                <w:rFonts w:asciiTheme="minorHAnsi" w:hAnsiTheme="minorHAnsi" w:cstheme="minorHAnsi"/>
                <w:sz w:val="20"/>
                <w:szCs w:val="20"/>
              </w:rPr>
              <w:t>17.0%</w:t>
            </w:r>
          </w:p>
        </w:tc>
        <w:tc>
          <w:tcPr>
            <w:tcW w:w="1111" w:type="dxa"/>
            <w:vAlign w:val="center"/>
          </w:tcPr>
          <w:p w14:paraId="517A0F52" w14:textId="52A067C4" w:rsidR="00E46209" w:rsidRPr="009C31E5" w:rsidRDefault="00E46209" w:rsidP="007122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9C31E5">
              <w:rPr>
                <w:rFonts w:asciiTheme="minorHAnsi" w:hAnsiTheme="minorHAnsi" w:cstheme="minorHAnsi"/>
                <w:sz w:val="20"/>
                <w:szCs w:val="20"/>
              </w:rPr>
              <w:t>21.6%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52AA9700" w14:textId="666362CD" w:rsidR="00E46209" w:rsidRPr="009C31E5" w:rsidRDefault="00E46209" w:rsidP="00712265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9C31E5">
              <w:rPr>
                <w:rFonts w:asciiTheme="minorHAnsi" w:hAnsiTheme="minorHAnsi" w:cstheme="minorHAnsi"/>
                <w:sz w:val="20"/>
                <w:szCs w:val="20"/>
              </w:rPr>
              <w:t>↑</w:t>
            </w:r>
          </w:p>
        </w:tc>
        <w:tc>
          <w:tcPr>
            <w:tcW w:w="1138" w:type="dxa"/>
            <w:vAlign w:val="center"/>
          </w:tcPr>
          <w:p w14:paraId="756FCF83" w14:textId="533FC7A1" w:rsidR="00E46209" w:rsidRPr="009C31E5" w:rsidRDefault="00E46209" w:rsidP="007122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9C31E5">
              <w:rPr>
                <w:rFonts w:asciiTheme="minorHAnsi" w:hAnsiTheme="minorHAnsi" w:cstheme="minorHAnsi"/>
                <w:sz w:val="20"/>
                <w:szCs w:val="20"/>
              </w:rPr>
              <w:t>↑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5D78BFBC" w14:textId="62FE1E07" w:rsidR="00E46209" w:rsidRPr="009C31E5" w:rsidRDefault="00E46209" w:rsidP="00712265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9C31E5">
              <w:rPr>
                <w:rFonts w:asciiTheme="minorHAnsi" w:hAnsiTheme="minorHAnsi" w:cstheme="minorHAnsi"/>
                <w:sz w:val="20"/>
                <w:szCs w:val="20"/>
              </w:rPr>
              <w:t>N/A</w:t>
            </w:r>
          </w:p>
        </w:tc>
        <w:tc>
          <w:tcPr>
            <w:tcW w:w="1191" w:type="dxa"/>
            <w:vAlign w:val="center"/>
          </w:tcPr>
          <w:p w14:paraId="7C6085E8" w14:textId="397000D3" w:rsidR="00E46209" w:rsidRPr="009C31E5" w:rsidRDefault="00E46209" w:rsidP="007122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9C31E5">
              <w:rPr>
                <w:rFonts w:asciiTheme="minorHAnsi" w:hAnsiTheme="minorHAnsi" w:cstheme="minorHAnsi"/>
                <w:sz w:val="20"/>
                <w:szCs w:val="20"/>
              </w:rPr>
              <w:t>N/A</w:t>
            </w:r>
          </w:p>
        </w:tc>
      </w:tr>
      <w:tr w:rsidR="00F52F04" w:rsidRPr="00CF5E11" w14:paraId="5F687DE8" w14:textId="77777777" w:rsidTr="00C04F52">
        <w:trPr>
          <w:trHeight w:val="39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34E1C685" w14:textId="5952B61F" w:rsidR="00E46209" w:rsidRPr="0002120B" w:rsidRDefault="00E46209" w:rsidP="00712265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2120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DDE Total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5489AEE3" w14:textId="0818A327" w:rsidR="00E46209" w:rsidRPr="009C31E5" w:rsidRDefault="00E46209" w:rsidP="00712265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C31E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Potentially Harmful Drug Disease Interactions in the Elderly (Total) </w:t>
            </w:r>
            <w:r w:rsidRPr="00350BF8">
              <w:rPr>
                <w:rFonts w:asciiTheme="minorHAnsi" w:hAnsiTheme="minorHAnsi" w:cstheme="minorHAnsi"/>
                <w:b/>
                <w:b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08" w:type="dxa"/>
            <w:vAlign w:val="center"/>
          </w:tcPr>
          <w:p w14:paraId="41071ABF" w14:textId="3437BFCC" w:rsidR="00E46209" w:rsidRPr="009C31E5" w:rsidRDefault="00E46209" w:rsidP="007122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9C31E5">
              <w:rPr>
                <w:rFonts w:asciiTheme="minorHAnsi" w:hAnsiTheme="minorHAnsi" w:cstheme="minorHAnsi"/>
                <w:sz w:val="20"/>
                <w:szCs w:val="20"/>
              </w:rPr>
              <w:t>31.4%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4899FAE3" w14:textId="13F77995" w:rsidR="00E46209" w:rsidRPr="009C31E5" w:rsidRDefault="00E46209" w:rsidP="00712265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9C31E5">
              <w:rPr>
                <w:rFonts w:asciiTheme="minorHAnsi" w:hAnsiTheme="minorHAnsi" w:cstheme="minorHAnsi"/>
                <w:sz w:val="20"/>
                <w:szCs w:val="20"/>
              </w:rPr>
              <w:t>36.3%</w:t>
            </w:r>
          </w:p>
        </w:tc>
        <w:tc>
          <w:tcPr>
            <w:tcW w:w="808" w:type="dxa"/>
            <w:vAlign w:val="center"/>
          </w:tcPr>
          <w:p w14:paraId="563AA6B6" w14:textId="546AA262" w:rsidR="00E46209" w:rsidRPr="009C31E5" w:rsidRDefault="00E46209" w:rsidP="007122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9C31E5">
              <w:rPr>
                <w:rFonts w:asciiTheme="minorHAnsi" w:hAnsiTheme="minorHAnsi" w:cstheme="minorHAnsi"/>
                <w:sz w:val="20"/>
                <w:szCs w:val="20"/>
              </w:rPr>
              <w:t>27.8%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231A8290" w14:textId="19E46551" w:rsidR="00E46209" w:rsidRPr="009C31E5" w:rsidRDefault="00E46209" w:rsidP="00712265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9C31E5">
              <w:rPr>
                <w:rFonts w:asciiTheme="minorHAnsi" w:hAnsiTheme="minorHAnsi" w:cstheme="minorHAnsi"/>
                <w:sz w:val="20"/>
                <w:szCs w:val="20"/>
              </w:rPr>
              <w:t>31.4%</w:t>
            </w:r>
          </w:p>
        </w:tc>
        <w:tc>
          <w:tcPr>
            <w:tcW w:w="808" w:type="dxa"/>
            <w:vAlign w:val="center"/>
          </w:tcPr>
          <w:p w14:paraId="4B0F9E1C" w14:textId="72C064DC" w:rsidR="00E46209" w:rsidRPr="009C31E5" w:rsidRDefault="00E46209" w:rsidP="007122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9C31E5">
              <w:rPr>
                <w:rFonts w:asciiTheme="minorHAnsi" w:hAnsiTheme="minorHAnsi" w:cstheme="minorHAnsi"/>
                <w:sz w:val="20"/>
                <w:szCs w:val="20"/>
              </w:rPr>
              <w:t>32.6%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3131832C" w14:textId="0C20FD41" w:rsidR="00E46209" w:rsidRPr="009C31E5" w:rsidRDefault="00E46209" w:rsidP="00712265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9C31E5">
              <w:rPr>
                <w:rFonts w:asciiTheme="minorHAnsi" w:hAnsiTheme="minorHAnsi" w:cstheme="minorHAnsi"/>
                <w:sz w:val="20"/>
                <w:szCs w:val="20"/>
              </w:rPr>
              <w:t>29.3%</w:t>
            </w:r>
          </w:p>
        </w:tc>
        <w:tc>
          <w:tcPr>
            <w:tcW w:w="1111" w:type="dxa"/>
            <w:vAlign w:val="center"/>
          </w:tcPr>
          <w:p w14:paraId="5381F125" w14:textId="6CEEBC08" w:rsidR="00E46209" w:rsidRPr="009C31E5" w:rsidRDefault="00E46209" w:rsidP="007122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9C31E5">
              <w:rPr>
                <w:rFonts w:asciiTheme="minorHAnsi" w:hAnsiTheme="minorHAnsi" w:cstheme="minorHAnsi"/>
                <w:sz w:val="20"/>
                <w:szCs w:val="20"/>
              </w:rPr>
              <w:t>31.5%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3B0D0131" w14:textId="1390EEF5" w:rsidR="00E46209" w:rsidRPr="009C31E5" w:rsidRDefault="00E46209" w:rsidP="00712265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9C31E5">
              <w:rPr>
                <w:rFonts w:asciiTheme="minorHAnsi" w:hAnsiTheme="minorHAnsi" w:cstheme="minorHAnsi"/>
                <w:sz w:val="20"/>
                <w:szCs w:val="20"/>
              </w:rPr>
              <w:t>↑</w:t>
            </w:r>
          </w:p>
        </w:tc>
        <w:tc>
          <w:tcPr>
            <w:tcW w:w="1138" w:type="dxa"/>
            <w:vAlign w:val="center"/>
          </w:tcPr>
          <w:p w14:paraId="7CF38C17" w14:textId="43719C46" w:rsidR="00E46209" w:rsidRPr="009C31E5" w:rsidRDefault="00E46209" w:rsidP="007122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9C31E5">
              <w:rPr>
                <w:rFonts w:asciiTheme="minorHAnsi" w:hAnsiTheme="minorHAnsi" w:cstheme="minorHAnsi"/>
                <w:sz w:val="20"/>
                <w:szCs w:val="20"/>
              </w:rPr>
              <w:t>↑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26523FA6" w14:textId="21F51E94" w:rsidR="00E46209" w:rsidRPr="009C31E5" w:rsidRDefault="00E46209" w:rsidP="00712265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9C31E5">
              <w:rPr>
                <w:rFonts w:asciiTheme="minorHAnsi" w:hAnsiTheme="minorHAnsi" w:cstheme="minorHAnsi"/>
                <w:sz w:val="20"/>
                <w:szCs w:val="20"/>
              </w:rPr>
              <w:t>N/A</w:t>
            </w:r>
          </w:p>
        </w:tc>
        <w:tc>
          <w:tcPr>
            <w:tcW w:w="1191" w:type="dxa"/>
            <w:vAlign w:val="center"/>
          </w:tcPr>
          <w:p w14:paraId="3C608F5C" w14:textId="26E4E5A5" w:rsidR="00E46209" w:rsidRPr="009C31E5" w:rsidRDefault="00E46209" w:rsidP="007122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9C31E5">
              <w:rPr>
                <w:rFonts w:asciiTheme="minorHAnsi" w:hAnsiTheme="minorHAnsi" w:cstheme="minorHAnsi"/>
                <w:sz w:val="20"/>
                <w:szCs w:val="20"/>
              </w:rPr>
              <w:t>N/A</w:t>
            </w:r>
          </w:p>
        </w:tc>
      </w:tr>
      <w:tr w:rsidR="00F52F04" w:rsidRPr="00CF5E11" w14:paraId="4FF76CC7" w14:textId="77777777" w:rsidTr="00C04F52">
        <w:trPr>
          <w:trHeight w:val="38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46B3240B" w14:textId="6BB1523E" w:rsidR="00E46209" w:rsidRPr="0002120B" w:rsidRDefault="00E46209" w:rsidP="00712265">
            <w:pPr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</w:pPr>
            <w:r w:rsidRPr="0002120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FUH - 30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617A9003" w14:textId="644F145A" w:rsidR="00E46209" w:rsidRPr="009C31E5" w:rsidRDefault="00E46209" w:rsidP="00712265">
            <w:pPr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</w:pPr>
            <w:r w:rsidRPr="009C31E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Follow-Up After Hospitalization for Mental Illness (30 days)</w:t>
            </w:r>
          </w:p>
        </w:tc>
        <w:tc>
          <w:tcPr>
            <w:tcW w:w="808" w:type="dxa"/>
            <w:vAlign w:val="center"/>
          </w:tcPr>
          <w:p w14:paraId="35F3B103" w14:textId="48CCBF06" w:rsidR="00E46209" w:rsidRPr="009C31E5" w:rsidRDefault="00E46209" w:rsidP="007122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9C31E5">
              <w:rPr>
                <w:rFonts w:asciiTheme="minorHAnsi" w:hAnsiTheme="minorHAnsi" w:cstheme="minorHAnsi"/>
                <w:sz w:val="20"/>
                <w:szCs w:val="20"/>
              </w:rPr>
              <w:t>70.5%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60DA8579" w14:textId="4DBB7831" w:rsidR="00E46209" w:rsidRPr="009C31E5" w:rsidRDefault="00E46209" w:rsidP="00712265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9C31E5">
              <w:rPr>
                <w:rFonts w:asciiTheme="minorHAnsi" w:hAnsiTheme="minorHAnsi" w:cstheme="minorHAnsi"/>
                <w:sz w:val="20"/>
                <w:szCs w:val="20"/>
              </w:rPr>
              <w:t>61.1%</w:t>
            </w:r>
          </w:p>
        </w:tc>
        <w:tc>
          <w:tcPr>
            <w:tcW w:w="808" w:type="dxa"/>
            <w:vAlign w:val="center"/>
          </w:tcPr>
          <w:p w14:paraId="3A3F5470" w14:textId="6B254C3E" w:rsidR="00E46209" w:rsidRPr="009C31E5" w:rsidRDefault="00E46209" w:rsidP="007122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9C31E5">
              <w:rPr>
                <w:rFonts w:asciiTheme="minorHAnsi" w:hAnsiTheme="minorHAnsi" w:cstheme="minorHAnsi"/>
                <w:sz w:val="20"/>
                <w:szCs w:val="20"/>
              </w:rPr>
              <w:t>N/A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2A973297" w14:textId="1F03FAEC" w:rsidR="00E46209" w:rsidRPr="009C31E5" w:rsidRDefault="00E46209" w:rsidP="00712265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9C31E5">
              <w:rPr>
                <w:rFonts w:asciiTheme="minorHAnsi" w:hAnsiTheme="minorHAnsi" w:cstheme="minorHAnsi"/>
                <w:sz w:val="20"/>
                <w:szCs w:val="20"/>
              </w:rPr>
              <w:t>77.8%</w:t>
            </w:r>
          </w:p>
        </w:tc>
        <w:tc>
          <w:tcPr>
            <w:tcW w:w="808" w:type="dxa"/>
            <w:vAlign w:val="center"/>
          </w:tcPr>
          <w:p w14:paraId="057CA5E6" w14:textId="70BC1E04" w:rsidR="00E46209" w:rsidRPr="009C31E5" w:rsidRDefault="00E46209" w:rsidP="007122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9C31E5">
              <w:rPr>
                <w:rFonts w:asciiTheme="minorHAnsi" w:hAnsiTheme="minorHAnsi" w:cstheme="minorHAnsi"/>
                <w:sz w:val="20"/>
                <w:szCs w:val="20"/>
              </w:rPr>
              <w:t>N/A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19F51045" w14:textId="38E8C156" w:rsidR="00E46209" w:rsidRPr="009C31E5" w:rsidRDefault="00E46209" w:rsidP="00712265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9C31E5">
              <w:rPr>
                <w:rFonts w:asciiTheme="minorHAnsi" w:hAnsiTheme="minorHAnsi" w:cstheme="minorHAnsi"/>
                <w:sz w:val="20"/>
                <w:szCs w:val="20"/>
              </w:rPr>
              <w:t>N/A</w:t>
            </w:r>
          </w:p>
        </w:tc>
        <w:tc>
          <w:tcPr>
            <w:tcW w:w="1111" w:type="dxa"/>
            <w:vAlign w:val="center"/>
          </w:tcPr>
          <w:p w14:paraId="697DE4E1" w14:textId="4627D22B" w:rsidR="00E46209" w:rsidRPr="009C31E5" w:rsidRDefault="00E46209" w:rsidP="007122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eastAsia="Times New Roman" w:hAnsiTheme="minorHAnsi" w:cstheme="minorHAnsi"/>
                <w:color w:val="FF0000"/>
                <w:sz w:val="20"/>
                <w:szCs w:val="20"/>
              </w:rPr>
            </w:pPr>
            <w:r w:rsidRPr="009C31E5">
              <w:rPr>
                <w:rFonts w:asciiTheme="minorHAnsi" w:hAnsiTheme="minorHAnsi" w:cstheme="minorHAnsi"/>
                <w:sz w:val="20"/>
                <w:szCs w:val="20"/>
              </w:rPr>
              <w:t>63.0%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1DC28653" w14:textId="772EE5EF" w:rsidR="00E46209" w:rsidRPr="009C31E5" w:rsidRDefault="00E46209" w:rsidP="00712265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9C31E5">
              <w:rPr>
                <w:rFonts w:asciiTheme="minorHAnsi" w:hAnsiTheme="minorHAnsi" w:cstheme="minorHAnsi"/>
                <w:sz w:val="20"/>
                <w:szCs w:val="20"/>
              </w:rPr>
              <w:t>↑</w:t>
            </w:r>
          </w:p>
        </w:tc>
        <w:tc>
          <w:tcPr>
            <w:tcW w:w="1138" w:type="dxa"/>
            <w:vAlign w:val="center"/>
          </w:tcPr>
          <w:p w14:paraId="4AA7D7EC" w14:textId="46A1BBA0" w:rsidR="00E46209" w:rsidRPr="009C31E5" w:rsidRDefault="00E46209" w:rsidP="007122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9C31E5">
              <w:rPr>
                <w:rFonts w:asciiTheme="minorHAnsi" w:hAnsiTheme="minorHAnsi" w:cstheme="minorHAnsi"/>
                <w:sz w:val="20"/>
                <w:szCs w:val="20"/>
              </w:rPr>
              <w:t>↓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2413544C" w14:textId="4F68357B" w:rsidR="00E46209" w:rsidRPr="009C31E5" w:rsidRDefault="00E46209" w:rsidP="00712265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9C31E5">
              <w:rPr>
                <w:rFonts w:asciiTheme="minorHAnsi" w:hAnsiTheme="minorHAnsi" w:cstheme="minorHAnsi"/>
                <w:sz w:val="20"/>
                <w:szCs w:val="20"/>
              </w:rPr>
              <w:t>↓</w:t>
            </w:r>
          </w:p>
        </w:tc>
        <w:tc>
          <w:tcPr>
            <w:tcW w:w="1191" w:type="dxa"/>
            <w:vAlign w:val="center"/>
          </w:tcPr>
          <w:p w14:paraId="1495C01A" w14:textId="6D5748E4" w:rsidR="00E46209" w:rsidRPr="009C31E5" w:rsidRDefault="00E46209" w:rsidP="007122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9C31E5">
              <w:rPr>
                <w:rFonts w:asciiTheme="minorHAnsi" w:hAnsiTheme="minorHAnsi" w:cstheme="minorHAnsi"/>
                <w:sz w:val="20"/>
                <w:szCs w:val="20"/>
              </w:rPr>
              <w:t>↓</w:t>
            </w:r>
          </w:p>
        </w:tc>
      </w:tr>
      <w:tr w:rsidR="00F52F04" w:rsidRPr="00CF5E11" w14:paraId="2A7C9B9E" w14:textId="77777777" w:rsidTr="00C04F52">
        <w:trPr>
          <w:trHeight w:val="23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6214E522" w14:textId="7CF76F03" w:rsidR="00E46209" w:rsidRPr="0002120B" w:rsidRDefault="00E46209" w:rsidP="00712265">
            <w:pPr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</w:pPr>
            <w:r w:rsidRPr="0002120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FUH - 7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56A73732" w14:textId="0A0F5F61" w:rsidR="00E46209" w:rsidRPr="009C31E5" w:rsidRDefault="00E46209" w:rsidP="00712265">
            <w:pPr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</w:pPr>
            <w:r w:rsidRPr="009C31E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Follow-Up After Hospitalization for Mental Illness (7 days)</w:t>
            </w:r>
          </w:p>
        </w:tc>
        <w:tc>
          <w:tcPr>
            <w:tcW w:w="808" w:type="dxa"/>
            <w:vAlign w:val="center"/>
          </w:tcPr>
          <w:p w14:paraId="67FD5DF1" w14:textId="0ACAC0D7" w:rsidR="00E46209" w:rsidRPr="009C31E5" w:rsidRDefault="00E46209" w:rsidP="007122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9C31E5">
              <w:rPr>
                <w:rFonts w:asciiTheme="minorHAnsi" w:hAnsiTheme="minorHAnsi" w:cstheme="minorHAnsi"/>
                <w:sz w:val="20"/>
                <w:szCs w:val="20"/>
              </w:rPr>
              <w:t>48.9%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7E09CC26" w14:textId="1F54BF37" w:rsidR="00E46209" w:rsidRPr="009C31E5" w:rsidRDefault="00E46209" w:rsidP="00712265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9C31E5">
              <w:rPr>
                <w:rFonts w:asciiTheme="minorHAnsi" w:hAnsiTheme="minorHAnsi" w:cstheme="minorHAnsi"/>
                <w:sz w:val="20"/>
                <w:szCs w:val="20"/>
              </w:rPr>
              <w:t>38.9%</w:t>
            </w:r>
          </w:p>
        </w:tc>
        <w:tc>
          <w:tcPr>
            <w:tcW w:w="808" w:type="dxa"/>
            <w:vAlign w:val="center"/>
          </w:tcPr>
          <w:p w14:paraId="58E9D9B2" w14:textId="3B37A537" w:rsidR="00E46209" w:rsidRPr="009C31E5" w:rsidRDefault="00E46209" w:rsidP="007122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9C31E5">
              <w:rPr>
                <w:rFonts w:asciiTheme="minorHAnsi" w:hAnsiTheme="minorHAnsi" w:cstheme="minorHAnsi"/>
                <w:sz w:val="20"/>
                <w:szCs w:val="20"/>
              </w:rPr>
              <w:t>N/A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1E51604D" w14:textId="60CA12A2" w:rsidR="00E46209" w:rsidRPr="009C31E5" w:rsidRDefault="00E46209" w:rsidP="00712265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9C31E5">
              <w:rPr>
                <w:rFonts w:asciiTheme="minorHAnsi" w:hAnsiTheme="minorHAnsi" w:cstheme="minorHAnsi"/>
                <w:sz w:val="20"/>
                <w:szCs w:val="20"/>
              </w:rPr>
              <w:t>50.0%</w:t>
            </w:r>
          </w:p>
        </w:tc>
        <w:tc>
          <w:tcPr>
            <w:tcW w:w="808" w:type="dxa"/>
            <w:vAlign w:val="center"/>
          </w:tcPr>
          <w:p w14:paraId="32E82D42" w14:textId="19AEB370" w:rsidR="00E46209" w:rsidRPr="009C31E5" w:rsidRDefault="00E46209" w:rsidP="007122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9C31E5">
              <w:rPr>
                <w:rFonts w:asciiTheme="minorHAnsi" w:hAnsiTheme="minorHAnsi" w:cstheme="minorHAnsi"/>
                <w:sz w:val="20"/>
                <w:szCs w:val="20"/>
              </w:rPr>
              <w:t>19.1%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101D1B2A" w14:textId="5E268243" w:rsidR="00E46209" w:rsidRPr="009C31E5" w:rsidRDefault="00E46209" w:rsidP="00712265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9C31E5">
              <w:rPr>
                <w:rFonts w:asciiTheme="minorHAnsi" w:hAnsiTheme="minorHAnsi" w:cstheme="minorHAnsi"/>
                <w:sz w:val="20"/>
                <w:szCs w:val="20"/>
              </w:rPr>
              <w:t>N/A</w:t>
            </w:r>
          </w:p>
        </w:tc>
        <w:tc>
          <w:tcPr>
            <w:tcW w:w="1111" w:type="dxa"/>
            <w:vAlign w:val="center"/>
          </w:tcPr>
          <w:p w14:paraId="47A7DA19" w14:textId="33F0942A" w:rsidR="00E46209" w:rsidRPr="009C31E5" w:rsidRDefault="00E46209" w:rsidP="007122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9C31E5">
              <w:rPr>
                <w:rFonts w:asciiTheme="minorHAnsi" w:hAnsiTheme="minorHAnsi" w:cstheme="minorHAnsi"/>
                <w:sz w:val="20"/>
                <w:szCs w:val="20"/>
              </w:rPr>
              <w:t>39.3%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0D66C1A2" w14:textId="17413190" w:rsidR="00E46209" w:rsidRPr="009C31E5" w:rsidRDefault="00E46209" w:rsidP="00712265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9C31E5">
              <w:rPr>
                <w:rFonts w:asciiTheme="minorHAnsi" w:hAnsiTheme="minorHAnsi" w:cstheme="minorHAnsi"/>
                <w:sz w:val="20"/>
                <w:szCs w:val="20"/>
              </w:rPr>
              <w:t>↑</w:t>
            </w:r>
          </w:p>
        </w:tc>
        <w:tc>
          <w:tcPr>
            <w:tcW w:w="1138" w:type="dxa"/>
            <w:vAlign w:val="center"/>
          </w:tcPr>
          <w:p w14:paraId="3A1F2171" w14:textId="0000F57F" w:rsidR="00E46209" w:rsidRPr="009C31E5" w:rsidRDefault="00E46209" w:rsidP="007122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9C31E5">
              <w:rPr>
                <w:rFonts w:asciiTheme="minorHAnsi" w:hAnsiTheme="minorHAnsi" w:cstheme="minorHAnsi"/>
                <w:sz w:val="20"/>
                <w:szCs w:val="20"/>
              </w:rPr>
              <w:t>↓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5752D1BA" w14:textId="2E2DEC44" w:rsidR="00E46209" w:rsidRPr="009C31E5" w:rsidRDefault="00E46209" w:rsidP="00712265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9C31E5">
              <w:rPr>
                <w:rFonts w:asciiTheme="minorHAnsi" w:hAnsiTheme="minorHAnsi" w:cstheme="minorHAnsi"/>
                <w:sz w:val="20"/>
                <w:szCs w:val="20"/>
              </w:rPr>
              <w:t>↓</w:t>
            </w:r>
          </w:p>
        </w:tc>
        <w:tc>
          <w:tcPr>
            <w:tcW w:w="1191" w:type="dxa"/>
            <w:vAlign w:val="center"/>
          </w:tcPr>
          <w:p w14:paraId="1F44B912" w14:textId="1B88B132" w:rsidR="00E46209" w:rsidRPr="009C31E5" w:rsidRDefault="00E46209" w:rsidP="007122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9C31E5">
              <w:rPr>
                <w:rFonts w:asciiTheme="minorHAnsi" w:hAnsiTheme="minorHAnsi" w:cstheme="minorHAnsi"/>
                <w:sz w:val="20"/>
                <w:szCs w:val="20"/>
              </w:rPr>
              <w:t>↓</w:t>
            </w:r>
          </w:p>
        </w:tc>
      </w:tr>
      <w:tr w:rsidR="00F52F04" w:rsidRPr="00CF5E11" w14:paraId="0D1C3992" w14:textId="77777777" w:rsidTr="00C04F52">
        <w:trPr>
          <w:trHeight w:val="4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096AB918" w14:textId="0BBAE8FB" w:rsidR="00E46209" w:rsidRPr="0002120B" w:rsidRDefault="00E46209" w:rsidP="00712265">
            <w:pPr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</w:pPr>
            <w:r w:rsidRPr="0002120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FVO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5E4B8623" w14:textId="4254DA89" w:rsidR="00E46209" w:rsidRPr="009C31E5" w:rsidRDefault="00E46209" w:rsidP="00712265">
            <w:pPr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</w:pPr>
            <w:r w:rsidRPr="009C31E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Influenza Vaccination</w:t>
            </w:r>
          </w:p>
        </w:tc>
        <w:tc>
          <w:tcPr>
            <w:tcW w:w="808" w:type="dxa"/>
            <w:vAlign w:val="center"/>
          </w:tcPr>
          <w:p w14:paraId="1265E44E" w14:textId="4BFEE50A" w:rsidR="00E46209" w:rsidRPr="009C31E5" w:rsidRDefault="00E46209" w:rsidP="007122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9C31E5">
              <w:rPr>
                <w:rFonts w:asciiTheme="minorHAnsi" w:hAnsiTheme="minorHAnsi" w:cstheme="minorHAnsi"/>
                <w:sz w:val="20"/>
                <w:szCs w:val="20"/>
              </w:rPr>
              <w:t>78.0%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69F433EA" w14:textId="46732D7B" w:rsidR="00E46209" w:rsidRPr="009C31E5" w:rsidRDefault="00E46209" w:rsidP="00712265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9C31E5">
              <w:rPr>
                <w:rFonts w:asciiTheme="minorHAnsi" w:hAnsiTheme="minorHAnsi" w:cstheme="minorHAnsi"/>
                <w:sz w:val="20"/>
                <w:szCs w:val="20"/>
              </w:rPr>
              <w:t>80.0%</w:t>
            </w:r>
          </w:p>
        </w:tc>
        <w:tc>
          <w:tcPr>
            <w:tcW w:w="808" w:type="dxa"/>
            <w:vAlign w:val="center"/>
          </w:tcPr>
          <w:p w14:paraId="58787EF5" w14:textId="071A34BE" w:rsidR="00E46209" w:rsidRPr="009C31E5" w:rsidRDefault="00E46209" w:rsidP="007122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9C31E5">
              <w:rPr>
                <w:rFonts w:asciiTheme="minorHAnsi" w:hAnsiTheme="minorHAnsi" w:cstheme="minorHAnsi"/>
                <w:sz w:val="20"/>
                <w:szCs w:val="20"/>
              </w:rPr>
              <w:t>79.0%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21AB6CE0" w14:textId="13660ABC" w:rsidR="00E46209" w:rsidRPr="009C31E5" w:rsidRDefault="00E46209" w:rsidP="00712265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9C31E5">
              <w:rPr>
                <w:rFonts w:asciiTheme="minorHAnsi" w:hAnsiTheme="minorHAnsi" w:cstheme="minorHAnsi"/>
                <w:sz w:val="20"/>
                <w:szCs w:val="20"/>
              </w:rPr>
              <w:t>82.0%</w:t>
            </w:r>
          </w:p>
        </w:tc>
        <w:tc>
          <w:tcPr>
            <w:tcW w:w="808" w:type="dxa"/>
            <w:vAlign w:val="center"/>
          </w:tcPr>
          <w:p w14:paraId="487C881E" w14:textId="0F7827CC" w:rsidR="00E46209" w:rsidRPr="009C31E5" w:rsidRDefault="00E46209" w:rsidP="007122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9C31E5">
              <w:rPr>
                <w:rFonts w:asciiTheme="minorHAnsi" w:hAnsiTheme="minorHAnsi" w:cstheme="minorHAnsi"/>
                <w:sz w:val="20"/>
                <w:szCs w:val="20"/>
              </w:rPr>
              <w:t>81.0%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6C7ED052" w14:textId="0F9B6E7E" w:rsidR="00E46209" w:rsidRPr="009C31E5" w:rsidRDefault="00E46209" w:rsidP="00712265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9C31E5">
              <w:rPr>
                <w:rFonts w:asciiTheme="minorHAnsi" w:hAnsiTheme="minorHAnsi" w:cstheme="minorHAnsi"/>
                <w:sz w:val="20"/>
                <w:szCs w:val="20"/>
              </w:rPr>
              <w:t>78.0%</w:t>
            </w:r>
          </w:p>
        </w:tc>
        <w:tc>
          <w:tcPr>
            <w:tcW w:w="1111" w:type="dxa"/>
            <w:vAlign w:val="center"/>
          </w:tcPr>
          <w:p w14:paraId="580AC96E" w14:textId="37351BB6" w:rsidR="00E46209" w:rsidRPr="009C31E5" w:rsidRDefault="00E46209" w:rsidP="007122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9C31E5">
              <w:rPr>
                <w:rFonts w:asciiTheme="minorHAnsi" w:hAnsiTheme="minorHAnsi" w:cstheme="minorHAnsi"/>
                <w:sz w:val="20"/>
                <w:szCs w:val="20"/>
              </w:rPr>
              <w:t>80.0%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30DE73AD" w14:textId="1CB004D4" w:rsidR="00E46209" w:rsidRPr="009C31E5" w:rsidRDefault="00E46209" w:rsidP="00712265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9C31E5">
              <w:rPr>
                <w:rFonts w:asciiTheme="minorHAnsi" w:hAnsiTheme="minorHAnsi" w:cstheme="minorHAnsi"/>
                <w:sz w:val="20"/>
                <w:szCs w:val="20"/>
              </w:rPr>
              <w:t>N/A</w:t>
            </w:r>
          </w:p>
        </w:tc>
        <w:tc>
          <w:tcPr>
            <w:tcW w:w="1138" w:type="dxa"/>
            <w:vAlign w:val="center"/>
          </w:tcPr>
          <w:p w14:paraId="61089135" w14:textId="0D23E293" w:rsidR="00E46209" w:rsidRPr="009C31E5" w:rsidRDefault="00E46209" w:rsidP="007122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9C31E5">
              <w:rPr>
                <w:rFonts w:asciiTheme="minorHAnsi" w:hAnsiTheme="minorHAnsi" w:cstheme="minorHAnsi"/>
                <w:sz w:val="20"/>
                <w:szCs w:val="20"/>
              </w:rPr>
              <w:t>N/A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20B78489" w14:textId="09C8006D" w:rsidR="00E46209" w:rsidRPr="009C31E5" w:rsidRDefault="00E46209" w:rsidP="00712265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9C31E5">
              <w:rPr>
                <w:rFonts w:asciiTheme="minorHAnsi" w:hAnsiTheme="minorHAnsi" w:cstheme="minorHAnsi"/>
                <w:sz w:val="20"/>
                <w:szCs w:val="20"/>
              </w:rPr>
              <w:t>N/A</w:t>
            </w:r>
          </w:p>
        </w:tc>
        <w:tc>
          <w:tcPr>
            <w:tcW w:w="1191" w:type="dxa"/>
            <w:vAlign w:val="center"/>
          </w:tcPr>
          <w:p w14:paraId="3B642CEC" w14:textId="18B51E31" w:rsidR="00E46209" w:rsidRPr="009C31E5" w:rsidRDefault="00E46209" w:rsidP="007122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9C31E5">
              <w:rPr>
                <w:rFonts w:asciiTheme="minorHAnsi" w:hAnsiTheme="minorHAnsi" w:cstheme="minorHAnsi"/>
                <w:sz w:val="20"/>
                <w:szCs w:val="20"/>
              </w:rPr>
              <w:t>N/A</w:t>
            </w:r>
          </w:p>
        </w:tc>
      </w:tr>
      <w:tr w:rsidR="00F52F04" w:rsidRPr="00CF5E11" w14:paraId="3192B383" w14:textId="77777777" w:rsidTr="00C04F52">
        <w:trPr>
          <w:trHeight w:val="23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0ED955BB" w14:textId="6B16DA0E" w:rsidR="00E46209" w:rsidRPr="0002120B" w:rsidRDefault="00E46209" w:rsidP="00712265">
            <w:pPr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</w:pPr>
            <w:r w:rsidRPr="0002120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OMW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42BAA98C" w14:textId="4738A71D" w:rsidR="00E46209" w:rsidRPr="009C31E5" w:rsidRDefault="00E46209" w:rsidP="00712265">
            <w:pPr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</w:pPr>
            <w:r w:rsidRPr="009C31E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Osteoporosis Management in Women Who Had a Fracture</w:t>
            </w:r>
          </w:p>
        </w:tc>
        <w:tc>
          <w:tcPr>
            <w:tcW w:w="808" w:type="dxa"/>
            <w:vAlign w:val="center"/>
          </w:tcPr>
          <w:p w14:paraId="0E0725B2" w14:textId="540E2EBF" w:rsidR="00E46209" w:rsidRPr="009C31E5" w:rsidRDefault="00E46209" w:rsidP="007122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9C31E5">
              <w:rPr>
                <w:rFonts w:asciiTheme="minorHAnsi" w:hAnsiTheme="minorHAnsi" w:cstheme="minorHAnsi"/>
                <w:sz w:val="20"/>
                <w:szCs w:val="20"/>
              </w:rPr>
              <w:t>38.5%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433DDC3B" w14:textId="6BC9E381" w:rsidR="00E46209" w:rsidRPr="009C31E5" w:rsidRDefault="00E46209" w:rsidP="00712265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9C31E5">
              <w:rPr>
                <w:rFonts w:asciiTheme="minorHAnsi" w:hAnsiTheme="minorHAnsi" w:cstheme="minorHAnsi"/>
                <w:sz w:val="20"/>
                <w:szCs w:val="20"/>
              </w:rPr>
              <w:t>67.6%</w:t>
            </w:r>
          </w:p>
        </w:tc>
        <w:tc>
          <w:tcPr>
            <w:tcW w:w="808" w:type="dxa"/>
            <w:vAlign w:val="center"/>
          </w:tcPr>
          <w:p w14:paraId="3736909C" w14:textId="4C9DA479" w:rsidR="00E46209" w:rsidRPr="009C31E5" w:rsidRDefault="00E46209" w:rsidP="007122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9C31E5">
              <w:rPr>
                <w:rFonts w:asciiTheme="minorHAnsi" w:hAnsiTheme="minorHAnsi" w:cstheme="minorHAnsi"/>
                <w:sz w:val="20"/>
                <w:szCs w:val="20"/>
              </w:rPr>
              <w:t>20.5%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43568DF5" w14:textId="74D5F349" w:rsidR="00E46209" w:rsidRPr="009C31E5" w:rsidRDefault="00E46209" w:rsidP="00712265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9C31E5">
              <w:rPr>
                <w:rFonts w:asciiTheme="minorHAnsi" w:hAnsiTheme="minorHAnsi" w:cstheme="minorHAnsi"/>
                <w:sz w:val="20"/>
                <w:szCs w:val="20"/>
              </w:rPr>
              <w:t>23.7%</w:t>
            </w:r>
          </w:p>
        </w:tc>
        <w:tc>
          <w:tcPr>
            <w:tcW w:w="808" w:type="dxa"/>
            <w:vAlign w:val="center"/>
          </w:tcPr>
          <w:p w14:paraId="6A90CF4F" w14:textId="7E5EE00E" w:rsidR="00E46209" w:rsidRPr="009C31E5" w:rsidRDefault="00E46209" w:rsidP="007122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9C31E5">
              <w:rPr>
                <w:rFonts w:asciiTheme="minorHAnsi" w:hAnsiTheme="minorHAnsi" w:cstheme="minorHAnsi"/>
                <w:sz w:val="20"/>
                <w:szCs w:val="20"/>
              </w:rPr>
              <w:t>43.2%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506E0BB3" w14:textId="120AF37E" w:rsidR="00E46209" w:rsidRPr="009C31E5" w:rsidRDefault="00E46209" w:rsidP="00712265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9C31E5">
              <w:rPr>
                <w:rFonts w:asciiTheme="minorHAnsi" w:hAnsiTheme="minorHAnsi" w:cstheme="minorHAnsi"/>
                <w:sz w:val="20"/>
                <w:szCs w:val="20"/>
              </w:rPr>
              <w:t>N/A</w:t>
            </w:r>
          </w:p>
        </w:tc>
        <w:tc>
          <w:tcPr>
            <w:tcW w:w="1111" w:type="dxa"/>
            <w:vAlign w:val="center"/>
          </w:tcPr>
          <w:p w14:paraId="28C3B17D" w14:textId="31E6FDD9" w:rsidR="00E46209" w:rsidRPr="009C31E5" w:rsidRDefault="00E46209" w:rsidP="007122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9C31E5">
              <w:rPr>
                <w:rFonts w:asciiTheme="minorHAnsi" w:hAnsiTheme="minorHAnsi" w:cstheme="minorHAnsi"/>
                <w:sz w:val="20"/>
                <w:szCs w:val="20"/>
              </w:rPr>
              <w:t>36.1%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767CCB9E" w14:textId="2D48EADC" w:rsidR="00E46209" w:rsidRPr="009C31E5" w:rsidRDefault="00E46209" w:rsidP="00712265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9C31E5">
              <w:rPr>
                <w:rFonts w:asciiTheme="minorHAnsi" w:hAnsiTheme="minorHAnsi" w:cstheme="minorHAnsi"/>
                <w:sz w:val="20"/>
                <w:szCs w:val="20"/>
              </w:rPr>
              <w:t>↓</w:t>
            </w:r>
          </w:p>
        </w:tc>
        <w:tc>
          <w:tcPr>
            <w:tcW w:w="1138" w:type="dxa"/>
            <w:vAlign w:val="center"/>
          </w:tcPr>
          <w:p w14:paraId="2C9C69FB" w14:textId="40A5D3B6" w:rsidR="00E46209" w:rsidRPr="009C31E5" w:rsidRDefault="00E46209" w:rsidP="007122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9C31E5">
              <w:rPr>
                <w:rFonts w:asciiTheme="minorHAnsi" w:hAnsiTheme="minorHAnsi" w:cstheme="minorHAnsi"/>
                <w:sz w:val="20"/>
                <w:szCs w:val="20"/>
              </w:rPr>
              <w:t>↓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079A8626" w14:textId="084762F7" w:rsidR="00E46209" w:rsidRPr="009C31E5" w:rsidRDefault="00E46209" w:rsidP="00712265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9C31E5">
              <w:rPr>
                <w:rFonts w:asciiTheme="minorHAnsi" w:hAnsiTheme="minorHAnsi" w:cstheme="minorHAnsi"/>
                <w:sz w:val="20"/>
                <w:szCs w:val="20"/>
              </w:rPr>
              <w:t>N/A</w:t>
            </w:r>
          </w:p>
        </w:tc>
        <w:tc>
          <w:tcPr>
            <w:tcW w:w="1191" w:type="dxa"/>
            <w:vAlign w:val="center"/>
          </w:tcPr>
          <w:p w14:paraId="4E19099D" w14:textId="2FD0C320" w:rsidR="00E46209" w:rsidRPr="009C31E5" w:rsidRDefault="00E46209" w:rsidP="007122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9C31E5">
              <w:rPr>
                <w:rFonts w:asciiTheme="minorHAnsi" w:hAnsiTheme="minorHAnsi" w:cstheme="minorHAnsi"/>
                <w:sz w:val="20"/>
                <w:szCs w:val="20"/>
              </w:rPr>
              <w:t>N/A</w:t>
            </w:r>
          </w:p>
        </w:tc>
      </w:tr>
      <w:tr w:rsidR="00F52F04" w:rsidRPr="00CF5E11" w14:paraId="6CB90994" w14:textId="77777777" w:rsidTr="00C04F52">
        <w:trPr>
          <w:trHeight w:val="23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63FD7C82" w14:textId="332E3DB6" w:rsidR="00E46209" w:rsidRPr="0002120B" w:rsidRDefault="00E46209" w:rsidP="00712265">
            <w:pPr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</w:pPr>
            <w:r w:rsidRPr="0002120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PBH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0E9E71DA" w14:textId="401ACEAE" w:rsidR="00E46209" w:rsidRPr="009C31E5" w:rsidRDefault="00E46209" w:rsidP="00712265">
            <w:pPr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</w:pPr>
            <w:r w:rsidRPr="009C31E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Persistence of Beta-Blocker Treatment After Heart Attack</w:t>
            </w:r>
          </w:p>
        </w:tc>
        <w:tc>
          <w:tcPr>
            <w:tcW w:w="808" w:type="dxa"/>
            <w:vAlign w:val="center"/>
          </w:tcPr>
          <w:p w14:paraId="6F827DE0" w14:textId="0FFE6159" w:rsidR="00E46209" w:rsidRPr="009C31E5" w:rsidRDefault="00E46209" w:rsidP="007122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9C31E5">
              <w:rPr>
                <w:rFonts w:asciiTheme="minorHAnsi" w:hAnsiTheme="minorHAnsi" w:cstheme="minorHAnsi"/>
                <w:sz w:val="20"/>
                <w:szCs w:val="20"/>
              </w:rPr>
              <w:t>N/A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7C23F7BA" w14:textId="0BE6C988" w:rsidR="00E46209" w:rsidRPr="009C31E5" w:rsidRDefault="00E46209" w:rsidP="00712265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9C31E5">
              <w:rPr>
                <w:rFonts w:asciiTheme="minorHAnsi" w:hAnsiTheme="minorHAnsi" w:cstheme="minorHAnsi"/>
                <w:sz w:val="20"/>
                <w:szCs w:val="20"/>
              </w:rPr>
              <w:t>75.0%</w:t>
            </w:r>
          </w:p>
        </w:tc>
        <w:tc>
          <w:tcPr>
            <w:tcW w:w="808" w:type="dxa"/>
            <w:vAlign w:val="center"/>
          </w:tcPr>
          <w:p w14:paraId="0AE3966E" w14:textId="0FEF0E59" w:rsidR="00E46209" w:rsidRPr="009C31E5" w:rsidRDefault="00E46209" w:rsidP="007122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9C31E5">
              <w:rPr>
                <w:rFonts w:asciiTheme="minorHAnsi" w:hAnsiTheme="minorHAnsi" w:cstheme="minorHAnsi"/>
                <w:sz w:val="20"/>
                <w:szCs w:val="20"/>
              </w:rPr>
              <w:t>N/A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580EB72D" w14:textId="42A31E02" w:rsidR="00E46209" w:rsidRPr="009C31E5" w:rsidRDefault="00E46209" w:rsidP="00712265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9C31E5">
              <w:rPr>
                <w:rFonts w:asciiTheme="minorHAnsi" w:hAnsiTheme="minorHAnsi" w:cstheme="minorHAnsi"/>
                <w:sz w:val="20"/>
                <w:szCs w:val="20"/>
              </w:rPr>
              <w:t>92.9%</w:t>
            </w:r>
          </w:p>
        </w:tc>
        <w:tc>
          <w:tcPr>
            <w:tcW w:w="808" w:type="dxa"/>
            <w:vAlign w:val="center"/>
          </w:tcPr>
          <w:p w14:paraId="4796228C" w14:textId="06388C29" w:rsidR="00E46209" w:rsidRPr="009C31E5" w:rsidRDefault="00E46209" w:rsidP="007122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9C31E5">
              <w:rPr>
                <w:rFonts w:asciiTheme="minorHAnsi" w:hAnsiTheme="minorHAnsi" w:cstheme="minorHAnsi"/>
                <w:sz w:val="20"/>
                <w:szCs w:val="20"/>
              </w:rPr>
              <w:t>N/A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65B82F98" w14:textId="504D0EA2" w:rsidR="00E46209" w:rsidRPr="009C31E5" w:rsidRDefault="00E46209" w:rsidP="00712265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9C31E5">
              <w:rPr>
                <w:rFonts w:asciiTheme="minorHAnsi" w:hAnsiTheme="minorHAnsi" w:cstheme="minorHAnsi"/>
                <w:sz w:val="20"/>
                <w:szCs w:val="20"/>
              </w:rPr>
              <w:t>N/A</w:t>
            </w:r>
          </w:p>
        </w:tc>
        <w:tc>
          <w:tcPr>
            <w:tcW w:w="1111" w:type="dxa"/>
            <w:vAlign w:val="center"/>
          </w:tcPr>
          <w:p w14:paraId="6606D925" w14:textId="5FCC0CD8" w:rsidR="00E46209" w:rsidRPr="009C31E5" w:rsidRDefault="00E46209" w:rsidP="007122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9C31E5">
              <w:rPr>
                <w:rFonts w:asciiTheme="minorHAnsi" w:hAnsiTheme="minorHAnsi" w:cstheme="minorHAnsi"/>
                <w:sz w:val="20"/>
                <w:szCs w:val="20"/>
              </w:rPr>
              <w:t>83.6%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2FC5551B" w14:textId="05AA358A" w:rsidR="00E46209" w:rsidRPr="009C31E5" w:rsidRDefault="00E46209" w:rsidP="00712265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9C31E5">
              <w:rPr>
                <w:rFonts w:asciiTheme="minorHAnsi" w:hAnsiTheme="minorHAnsi" w:cstheme="minorHAnsi"/>
                <w:sz w:val="20"/>
                <w:szCs w:val="20"/>
              </w:rPr>
              <w:t>↓</w:t>
            </w:r>
          </w:p>
        </w:tc>
        <w:tc>
          <w:tcPr>
            <w:tcW w:w="1138" w:type="dxa"/>
            <w:vAlign w:val="center"/>
          </w:tcPr>
          <w:p w14:paraId="405EBF88" w14:textId="13F8AF1E" w:rsidR="00E46209" w:rsidRPr="009C31E5" w:rsidRDefault="00E46209" w:rsidP="007122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9C31E5">
              <w:rPr>
                <w:rFonts w:asciiTheme="minorHAnsi" w:hAnsiTheme="minorHAnsi" w:cstheme="minorHAnsi"/>
                <w:sz w:val="20"/>
                <w:szCs w:val="20"/>
              </w:rPr>
              <w:t>↓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0DE68C44" w14:textId="5A511679" w:rsidR="00E46209" w:rsidRPr="009C31E5" w:rsidRDefault="00E46209" w:rsidP="00712265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9C31E5">
              <w:rPr>
                <w:rFonts w:asciiTheme="minorHAnsi" w:hAnsiTheme="minorHAnsi" w:cstheme="minorHAnsi"/>
                <w:sz w:val="20"/>
                <w:szCs w:val="20"/>
              </w:rPr>
              <w:t>↓</w:t>
            </w:r>
          </w:p>
        </w:tc>
        <w:tc>
          <w:tcPr>
            <w:tcW w:w="1191" w:type="dxa"/>
            <w:vAlign w:val="center"/>
          </w:tcPr>
          <w:p w14:paraId="609FC798" w14:textId="3EF02048" w:rsidR="00E46209" w:rsidRPr="009C31E5" w:rsidRDefault="00E46209" w:rsidP="007122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9C31E5">
              <w:rPr>
                <w:rFonts w:asciiTheme="minorHAnsi" w:hAnsiTheme="minorHAnsi" w:cstheme="minorHAnsi"/>
                <w:sz w:val="20"/>
                <w:szCs w:val="20"/>
              </w:rPr>
              <w:t>↓</w:t>
            </w:r>
          </w:p>
        </w:tc>
      </w:tr>
      <w:tr w:rsidR="00F52F04" w:rsidRPr="00CF5E11" w14:paraId="4D26218D" w14:textId="77777777" w:rsidTr="00C04F52">
        <w:trPr>
          <w:trHeight w:val="24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11B15A2B" w14:textId="086650D4" w:rsidR="00E46209" w:rsidRPr="0002120B" w:rsidRDefault="00E46209" w:rsidP="00712265">
            <w:pPr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</w:pPr>
            <w:r w:rsidRPr="0002120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PCE - Bronch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5BDCF092" w14:textId="653CDE4A" w:rsidR="00E46209" w:rsidRPr="009C31E5" w:rsidRDefault="00E46209" w:rsidP="00712265">
            <w:pPr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</w:pPr>
            <w:r w:rsidRPr="009C31E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Pharmacotherapy Management of COPD Exacerbation - Bronchodilator</w:t>
            </w:r>
          </w:p>
        </w:tc>
        <w:tc>
          <w:tcPr>
            <w:tcW w:w="808" w:type="dxa"/>
            <w:vAlign w:val="center"/>
          </w:tcPr>
          <w:p w14:paraId="4605FFC8" w14:textId="1130719A" w:rsidR="00E46209" w:rsidRPr="009C31E5" w:rsidRDefault="00E46209" w:rsidP="007122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9C31E5">
              <w:rPr>
                <w:rFonts w:asciiTheme="minorHAnsi" w:hAnsiTheme="minorHAnsi" w:cstheme="minorHAnsi"/>
                <w:sz w:val="20"/>
                <w:szCs w:val="20"/>
              </w:rPr>
              <w:t>87.8%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6F328753" w14:textId="5BE1D974" w:rsidR="00E46209" w:rsidRPr="009C31E5" w:rsidRDefault="00E46209" w:rsidP="00712265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9C31E5">
              <w:rPr>
                <w:rFonts w:asciiTheme="minorHAnsi" w:hAnsiTheme="minorHAnsi" w:cstheme="minorHAnsi"/>
                <w:sz w:val="20"/>
                <w:szCs w:val="20"/>
              </w:rPr>
              <w:t>87.3%</w:t>
            </w:r>
          </w:p>
        </w:tc>
        <w:tc>
          <w:tcPr>
            <w:tcW w:w="808" w:type="dxa"/>
            <w:vAlign w:val="center"/>
          </w:tcPr>
          <w:p w14:paraId="007E7C09" w14:textId="39DD05D7" w:rsidR="00E46209" w:rsidRPr="009C31E5" w:rsidRDefault="00E46209" w:rsidP="007122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9C31E5">
              <w:rPr>
                <w:rFonts w:asciiTheme="minorHAnsi" w:hAnsiTheme="minorHAnsi" w:cstheme="minorHAnsi"/>
                <w:sz w:val="20"/>
                <w:szCs w:val="20"/>
              </w:rPr>
              <w:t>N/A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0F690292" w14:textId="0019D48F" w:rsidR="00E46209" w:rsidRPr="009C31E5" w:rsidRDefault="00E46209" w:rsidP="00712265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9C31E5">
              <w:rPr>
                <w:rFonts w:asciiTheme="minorHAnsi" w:hAnsiTheme="minorHAnsi" w:cstheme="minorHAnsi"/>
                <w:sz w:val="20"/>
                <w:szCs w:val="20"/>
              </w:rPr>
              <w:t>93.4%</w:t>
            </w:r>
          </w:p>
        </w:tc>
        <w:tc>
          <w:tcPr>
            <w:tcW w:w="808" w:type="dxa"/>
            <w:vAlign w:val="center"/>
          </w:tcPr>
          <w:p w14:paraId="4A944F57" w14:textId="5B3FC0BB" w:rsidR="00E46209" w:rsidRPr="009C31E5" w:rsidRDefault="00E46209" w:rsidP="007122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9C31E5">
              <w:rPr>
                <w:rFonts w:asciiTheme="minorHAnsi" w:hAnsiTheme="minorHAnsi" w:cstheme="minorHAnsi"/>
                <w:sz w:val="20"/>
                <w:szCs w:val="20"/>
              </w:rPr>
              <w:t>N/A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36B499B4" w14:textId="04800BD7" w:rsidR="00E46209" w:rsidRPr="009C31E5" w:rsidRDefault="00E46209" w:rsidP="00712265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9C31E5">
              <w:rPr>
                <w:rFonts w:asciiTheme="minorHAnsi" w:hAnsiTheme="minorHAnsi" w:cstheme="minorHAnsi"/>
                <w:sz w:val="20"/>
                <w:szCs w:val="20"/>
              </w:rPr>
              <w:t>94.4%</w:t>
            </w:r>
          </w:p>
        </w:tc>
        <w:tc>
          <w:tcPr>
            <w:tcW w:w="1111" w:type="dxa"/>
            <w:vAlign w:val="center"/>
          </w:tcPr>
          <w:p w14:paraId="49796F7F" w14:textId="6BE9DD32" w:rsidR="00E46209" w:rsidRPr="009C31E5" w:rsidRDefault="00E46209" w:rsidP="007122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9C31E5">
              <w:rPr>
                <w:rFonts w:asciiTheme="minorHAnsi" w:hAnsiTheme="minorHAnsi" w:cstheme="minorHAnsi"/>
                <w:sz w:val="20"/>
                <w:szCs w:val="20"/>
              </w:rPr>
              <w:t>89.3%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52B7448F" w14:textId="3D50E936" w:rsidR="00E46209" w:rsidRPr="009C31E5" w:rsidRDefault="00E46209" w:rsidP="00712265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9C31E5">
              <w:rPr>
                <w:rFonts w:asciiTheme="minorHAnsi" w:hAnsiTheme="minorHAnsi" w:cstheme="minorHAnsi"/>
                <w:sz w:val="20"/>
                <w:szCs w:val="20"/>
              </w:rPr>
              <w:t>↑</w:t>
            </w:r>
          </w:p>
        </w:tc>
        <w:tc>
          <w:tcPr>
            <w:tcW w:w="1138" w:type="dxa"/>
            <w:vAlign w:val="center"/>
          </w:tcPr>
          <w:p w14:paraId="5BCE1197" w14:textId="46B2652A" w:rsidR="00E46209" w:rsidRPr="009C31E5" w:rsidRDefault="00E46209" w:rsidP="007122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9C31E5">
              <w:rPr>
                <w:rFonts w:asciiTheme="minorHAnsi" w:hAnsiTheme="minorHAnsi" w:cstheme="minorHAnsi"/>
                <w:sz w:val="20"/>
                <w:szCs w:val="20"/>
              </w:rPr>
              <w:t>↓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0B85C06D" w14:textId="5B47A1B1" w:rsidR="00E46209" w:rsidRPr="009C31E5" w:rsidRDefault="00E46209" w:rsidP="00712265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9C31E5">
              <w:rPr>
                <w:rFonts w:asciiTheme="minorHAnsi" w:hAnsiTheme="minorHAnsi" w:cstheme="minorHAnsi"/>
                <w:sz w:val="20"/>
                <w:szCs w:val="20"/>
              </w:rPr>
              <w:t>↑</w:t>
            </w:r>
          </w:p>
        </w:tc>
        <w:tc>
          <w:tcPr>
            <w:tcW w:w="1191" w:type="dxa"/>
            <w:vAlign w:val="center"/>
          </w:tcPr>
          <w:p w14:paraId="2533BEA9" w14:textId="7D869690" w:rsidR="00E46209" w:rsidRPr="009C31E5" w:rsidRDefault="00E46209" w:rsidP="007122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9C31E5">
              <w:rPr>
                <w:rFonts w:asciiTheme="minorHAnsi" w:hAnsiTheme="minorHAnsi" w:cstheme="minorHAnsi"/>
                <w:sz w:val="20"/>
                <w:szCs w:val="20"/>
              </w:rPr>
              <w:t>↓</w:t>
            </w:r>
          </w:p>
        </w:tc>
      </w:tr>
      <w:tr w:rsidR="00F52F04" w:rsidRPr="00CF5E11" w14:paraId="78EDD910" w14:textId="77777777" w:rsidTr="00C04F52">
        <w:trPr>
          <w:trHeight w:val="24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4AE1F4FD" w14:textId="7025EBB2" w:rsidR="00E46209" w:rsidRPr="0002120B" w:rsidRDefault="00E46209" w:rsidP="00712265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2120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lastRenderedPageBreak/>
              <w:t>PCE - Cort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598074C9" w14:textId="3E0DADD7" w:rsidR="00E46209" w:rsidRPr="009C31E5" w:rsidRDefault="00E46209" w:rsidP="00712265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9C31E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Pharmacotherapy Management of COPD Exacerbation - Systemic Corticosteroid</w:t>
            </w:r>
          </w:p>
        </w:tc>
        <w:tc>
          <w:tcPr>
            <w:tcW w:w="808" w:type="dxa"/>
            <w:vAlign w:val="center"/>
          </w:tcPr>
          <w:p w14:paraId="300D2BEC" w14:textId="0FA3168E" w:rsidR="00E46209" w:rsidRPr="009C31E5" w:rsidRDefault="00E46209" w:rsidP="007122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9C31E5">
              <w:rPr>
                <w:rFonts w:asciiTheme="minorHAnsi" w:hAnsiTheme="minorHAnsi" w:cstheme="minorHAnsi"/>
                <w:sz w:val="20"/>
                <w:szCs w:val="20"/>
              </w:rPr>
              <w:t>66.6%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045ABB9A" w14:textId="1AB163F4" w:rsidR="00E46209" w:rsidRPr="009C31E5" w:rsidRDefault="00E46209" w:rsidP="00712265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9C31E5">
              <w:rPr>
                <w:rFonts w:asciiTheme="minorHAnsi" w:hAnsiTheme="minorHAnsi" w:cstheme="minorHAnsi"/>
                <w:sz w:val="20"/>
                <w:szCs w:val="20"/>
              </w:rPr>
              <w:t>78.5%</w:t>
            </w:r>
          </w:p>
        </w:tc>
        <w:tc>
          <w:tcPr>
            <w:tcW w:w="808" w:type="dxa"/>
            <w:vAlign w:val="center"/>
          </w:tcPr>
          <w:p w14:paraId="27DBC5A2" w14:textId="13D7464C" w:rsidR="00E46209" w:rsidRPr="009C31E5" w:rsidRDefault="00E46209" w:rsidP="007122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9C31E5">
              <w:rPr>
                <w:rFonts w:asciiTheme="minorHAnsi" w:hAnsiTheme="minorHAnsi" w:cstheme="minorHAnsi"/>
                <w:sz w:val="20"/>
                <w:szCs w:val="20"/>
              </w:rPr>
              <w:t>75.6%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3539A4A7" w14:textId="463B88A4" w:rsidR="00E46209" w:rsidRPr="009C31E5" w:rsidRDefault="00E46209" w:rsidP="00712265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9C31E5">
              <w:rPr>
                <w:rFonts w:asciiTheme="minorHAnsi" w:hAnsiTheme="minorHAnsi" w:cstheme="minorHAnsi"/>
                <w:sz w:val="20"/>
                <w:szCs w:val="20"/>
              </w:rPr>
              <w:t>77.5%</w:t>
            </w:r>
          </w:p>
        </w:tc>
        <w:tc>
          <w:tcPr>
            <w:tcW w:w="808" w:type="dxa"/>
            <w:vAlign w:val="center"/>
          </w:tcPr>
          <w:p w14:paraId="7F6E7B79" w14:textId="185F20A5" w:rsidR="00E46209" w:rsidRPr="009C31E5" w:rsidRDefault="00E46209" w:rsidP="007122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9C31E5">
              <w:rPr>
                <w:rFonts w:asciiTheme="minorHAnsi" w:hAnsiTheme="minorHAnsi" w:cstheme="minorHAnsi"/>
                <w:sz w:val="20"/>
                <w:szCs w:val="20"/>
              </w:rPr>
              <w:t>79.5%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4C83C4DF" w14:textId="46EDE89B" w:rsidR="00E46209" w:rsidRPr="009C31E5" w:rsidRDefault="00E46209" w:rsidP="00712265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9C31E5">
              <w:rPr>
                <w:rFonts w:asciiTheme="minorHAnsi" w:hAnsiTheme="minorHAnsi" w:cstheme="minorHAnsi"/>
                <w:sz w:val="20"/>
                <w:szCs w:val="20"/>
              </w:rPr>
              <w:t>68.5%</w:t>
            </w:r>
          </w:p>
        </w:tc>
        <w:tc>
          <w:tcPr>
            <w:tcW w:w="1111" w:type="dxa"/>
            <w:vAlign w:val="center"/>
          </w:tcPr>
          <w:p w14:paraId="762478D9" w14:textId="41161A02" w:rsidR="00E46209" w:rsidRPr="009C31E5" w:rsidRDefault="00E46209" w:rsidP="007122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9C31E5">
              <w:rPr>
                <w:rFonts w:asciiTheme="minorHAnsi" w:hAnsiTheme="minorHAnsi" w:cstheme="minorHAnsi"/>
                <w:sz w:val="20"/>
                <w:szCs w:val="20"/>
              </w:rPr>
              <w:t>74.6%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703D14DD" w14:textId="34FFBA01" w:rsidR="00E46209" w:rsidRPr="009C31E5" w:rsidRDefault="00E46209" w:rsidP="00712265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9C31E5">
              <w:rPr>
                <w:rFonts w:asciiTheme="minorHAnsi" w:hAnsiTheme="minorHAnsi" w:cstheme="minorHAnsi"/>
                <w:sz w:val="20"/>
                <w:szCs w:val="20"/>
              </w:rPr>
              <w:t>↓</w:t>
            </w:r>
          </w:p>
        </w:tc>
        <w:tc>
          <w:tcPr>
            <w:tcW w:w="1138" w:type="dxa"/>
            <w:vAlign w:val="center"/>
          </w:tcPr>
          <w:p w14:paraId="7256622F" w14:textId="086D8EA8" w:rsidR="00E46209" w:rsidRPr="009C31E5" w:rsidRDefault="00E46209" w:rsidP="007122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9C31E5">
              <w:rPr>
                <w:rFonts w:asciiTheme="minorHAnsi" w:hAnsiTheme="minorHAnsi" w:cstheme="minorHAnsi"/>
                <w:sz w:val="20"/>
                <w:szCs w:val="20"/>
              </w:rPr>
              <w:t>↓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7701A7AC" w14:textId="0AA697C3" w:rsidR="00E46209" w:rsidRPr="009C31E5" w:rsidRDefault="00E46209" w:rsidP="00712265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9C31E5">
              <w:rPr>
                <w:rFonts w:asciiTheme="minorHAnsi" w:hAnsiTheme="minorHAnsi" w:cstheme="minorHAnsi"/>
                <w:sz w:val="20"/>
                <w:szCs w:val="20"/>
              </w:rPr>
              <w:t>↓</w:t>
            </w:r>
          </w:p>
        </w:tc>
        <w:tc>
          <w:tcPr>
            <w:tcW w:w="1191" w:type="dxa"/>
            <w:vAlign w:val="center"/>
          </w:tcPr>
          <w:p w14:paraId="158A6267" w14:textId="362D39E4" w:rsidR="00E46209" w:rsidRPr="009C31E5" w:rsidRDefault="00E46209" w:rsidP="007122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20"/>
                <w:szCs w:val="20"/>
              </w:rPr>
            </w:pPr>
            <w:r w:rsidRPr="009C31E5">
              <w:rPr>
                <w:rFonts w:asciiTheme="minorHAnsi" w:hAnsiTheme="minorHAnsi" w:cstheme="minorHAnsi"/>
                <w:sz w:val="20"/>
                <w:szCs w:val="20"/>
              </w:rPr>
              <w:t>↓</w:t>
            </w:r>
          </w:p>
        </w:tc>
      </w:tr>
      <w:tr w:rsidR="00F52F04" w:rsidRPr="00CF5E11" w14:paraId="0C5562BD" w14:textId="77777777" w:rsidTr="00C04F52">
        <w:trPr>
          <w:trHeight w:val="23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57AD3E3C" w14:textId="687271EA" w:rsidR="00E46209" w:rsidRPr="0002120B" w:rsidRDefault="00E46209" w:rsidP="00712265">
            <w:pPr>
              <w:rPr>
                <w:rFonts w:asciiTheme="minorHAnsi" w:hAnsiTheme="minorHAnsi" w:cstheme="minorHAnsi"/>
                <w:b/>
                <w:bCs/>
                <w:color w:val="auto"/>
                <w:sz w:val="18"/>
                <w:szCs w:val="18"/>
              </w:rPr>
            </w:pPr>
            <w:r w:rsidRPr="0002120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PCR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2C3974B7" w14:textId="67E69023" w:rsidR="00E46209" w:rsidRPr="009C31E5" w:rsidRDefault="00E46209" w:rsidP="00712265">
            <w:pPr>
              <w:rPr>
                <w:rFonts w:asciiTheme="minorHAnsi" w:hAnsiTheme="minorHAnsi" w:cstheme="minorHAnsi"/>
                <w:b/>
                <w:bCs/>
                <w:color w:val="FF0000"/>
                <w:sz w:val="18"/>
                <w:szCs w:val="18"/>
              </w:rPr>
            </w:pPr>
            <w:r w:rsidRPr="009C31E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Plan All-Cause Readmission (observed to expected ratio) </w:t>
            </w:r>
            <w:r w:rsidRPr="00350BF8">
              <w:rPr>
                <w:rFonts w:asciiTheme="minorHAnsi" w:hAnsiTheme="minorHAnsi" w:cstheme="minorHAnsi"/>
                <w:b/>
                <w:bCs/>
                <w:sz w:val="20"/>
                <w:szCs w:val="20"/>
                <w:vertAlign w:val="superscript"/>
              </w:rPr>
              <w:t>1</w:t>
            </w:r>
          </w:p>
        </w:tc>
        <w:tc>
          <w:tcPr>
            <w:tcW w:w="808" w:type="dxa"/>
            <w:vAlign w:val="center"/>
          </w:tcPr>
          <w:p w14:paraId="333F600E" w14:textId="13347F09" w:rsidR="00E46209" w:rsidRPr="009C31E5" w:rsidRDefault="00E46209" w:rsidP="007122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9C31E5">
              <w:rPr>
                <w:rFonts w:asciiTheme="minorHAnsi" w:hAnsiTheme="minorHAnsi" w:cstheme="minorHAnsi"/>
                <w:sz w:val="20"/>
                <w:szCs w:val="20"/>
              </w:rPr>
              <w:t>1.48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2154CF2E" w14:textId="1DA19191" w:rsidR="00E46209" w:rsidRPr="009C31E5" w:rsidRDefault="00E46209" w:rsidP="00712265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9C31E5">
              <w:rPr>
                <w:rFonts w:asciiTheme="minorHAnsi" w:hAnsiTheme="minorHAnsi" w:cstheme="minorHAnsi"/>
                <w:sz w:val="20"/>
                <w:szCs w:val="20"/>
              </w:rPr>
              <w:t>1.05</w:t>
            </w:r>
          </w:p>
        </w:tc>
        <w:tc>
          <w:tcPr>
            <w:tcW w:w="808" w:type="dxa"/>
            <w:vAlign w:val="center"/>
          </w:tcPr>
          <w:p w14:paraId="4D9CE63C" w14:textId="516B2F53" w:rsidR="00E46209" w:rsidRPr="009C31E5" w:rsidRDefault="00E46209" w:rsidP="007122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9C31E5">
              <w:rPr>
                <w:rFonts w:asciiTheme="minorHAnsi" w:hAnsiTheme="minorHAnsi" w:cstheme="minorHAnsi"/>
                <w:sz w:val="20"/>
                <w:szCs w:val="20"/>
              </w:rPr>
              <w:t>1.20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1739736D" w14:textId="56FBCC73" w:rsidR="00E46209" w:rsidRPr="009C31E5" w:rsidRDefault="00E46209" w:rsidP="00712265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9C31E5">
              <w:rPr>
                <w:rFonts w:asciiTheme="minorHAnsi" w:hAnsiTheme="minorHAnsi" w:cstheme="minorHAnsi"/>
                <w:sz w:val="20"/>
                <w:szCs w:val="20"/>
              </w:rPr>
              <w:t>1.37</w:t>
            </w:r>
          </w:p>
        </w:tc>
        <w:tc>
          <w:tcPr>
            <w:tcW w:w="808" w:type="dxa"/>
            <w:vAlign w:val="center"/>
          </w:tcPr>
          <w:p w14:paraId="120DD818" w14:textId="5273A114" w:rsidR="00E46209" w:rsidRPr="009C31E5" w:rsidRDefault="00E46209" w:rsidP="007122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9C31E5">
              <w:rPr>
                <w:rFonts w:asciiTheme="minorHAnsi" w:hAnsiTheme="minorHAnsi" w:cstheme="minorHAnsi"/>
                <w:sz w:val="20"/>
                <w:szCs w:val="20"/>
              </w:rPr>
              <w:t>1.17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3827CCBD" w14:textId="02DD44ED" w:rsidR="00E46209" w:rsidRPr="009C31E5" w:rsidRDefault="00E46209" w:rsidP="00712265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9C31E5">
              <w:rPr>
                <w:rFonts w:asciiTheme="minorHAnsi" w:hAnsiTheme="minorHAnsi" w:cstheme="minorHAnsi"/>
                <w:sz w:val="20"/>
                <w:szCs w:val="20"/>
              </w:rPr>
              <w:t>1.16</w:t>
            </w:r>
          </w:p>
        </w:tc>
        <w:tc>
          <w:tcPr>
            <w:tcW w:w="1111" w:type="dxa"/>
            <w:vAlign w:val="center"/>
          </w:tcPr>
          <w:p w14:paraId="69E63517" w14:textId="79C52353" w:rsidR="00E46209" w:rsidRPr="009C31E5" w:rsidRDefault="00E46209" w:rsidP="007122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9C31E5">
              <w:rPr>
                <w:rFonts w:asciiTheme="minorHAnsi" w:hAnsiTheme="minorHAnsi" w:cstheme="minorHAnsi"/>
                <w:sz w:val="20"/>
                <w:szCs w:val="20"/>
              </w:rPr>
              <w:t>1.25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3F8FA9AB" w14:textId="7D35E433" w:rsidR="00E46209" w:rsidRPr="009C31E5" w:rsidRDefault="00E46209" w:rsidP="00712265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9C31E5">
              <w:rPr>
                <w:rFonts w:asciiTheme="minorHAnsi" w:hAnsiTheme="minorHAnsi" w:cstheme="minorHAnsi"/>
                <w:sz w:val="20"/>
                <w:szCs w:val="20"/>
              </w:rPr>
              <w:t>↑</w:t>
            </w:r>
          </w:p>
        </w:tc>
        <w:tc>
          <w:tcPr>
            <w:tcW w:w="1138" w:type="dxa"/>
            <w:vAlign w:val="center"/>
          </w:tcPr>
          <w:p w14:paraId="056CD7B2" w14:textId="359EDB60" w:rsidR="00E46209" w:rsidRPr="009C31E5" w:rsidRDefault="00E46209" w:rsidP="007122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9C31E5">
              <w:rPr>
                <w:rFonts w:asciiTheme="minorHAnsi" w:hAnsiTheme="minorHAnsi" w:cstheme="minorHAnsi"/>
                <w:sz w:val="20"/>
                <w:szCs w:val="20"/>
              </w:rPr>
              <w:t>↑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3B9B8196" w14:textId="44022CCD" w:rsidR="00E46209" w:rsidRPr="009C31E5" w:rsidRDefault="00E46209" w:rsidP="00712265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9C31E5">
              <w:rPr>
                <w:rFonts w:asciiTheme="minorHAnsi" w:hAnsiTheme="minorHAnsi" w:cstheme="minorHAnsi"/>
                <w:sz w:val="20"/>
                <w:szCs w:val="20"/>
              </w:rPr>
              <w:t>↑</w:t>
            </w:r>
          </w:p>
        </w:tc>
        <w:tc>
          <w:tcPr>
            <w:tcW w:w="1191" w:type="dxa"/>
            <w:vAlign w:val="center"/>
          </w:tcPr>
          <w:p w14:paraId="57C71AA0" w14:textId="45B545A4" w:rsidR="00E46209" w:rsidRPr="009C31E5" w:rsidRDefault="00E46209" w:rsidP="007122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</w:rPr>
            </w:pPr>
            <w:r w:rsidRPr="009C31E5">
              <w:rPr>
                <w:rFonts w:asciiTheme="minorHAnsi" w:hAnsiTheme="minorHAnsi" w:cstheme="minorHAnsi"/>
                <w:sz w:val="20"/>
                <w:szCs w:val="20"/>
              </w:rPr>
              <w:t>↑</w:t>
            </w:r>
          </w:p>
        </w:tc>
      </w:tr>
      <w:tr w:rsidR="00F52F04" w:rsidRPr="00CF5E11" w14:paraId="1788FEC7" w14:textId="77777777" w:rsidTr="00C04F52">
        <w:trPr>
          <w:trHeight w:val="42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42B9B4BE" w14:textId="0EA951BF" w:rsidR="00E46209" w:rsidRPr="0002120B" w:rsidRDefault="00E46209" w:rsidP="00712265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02120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SPR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2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6957ACD2" w14:textId="0FAFA0BA" w:rsidR="00E46209" w:rsidRPr="009C31E5" w:rsidRDefault="00E46209" w:rsidP="00712265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highlight w:val="yellow"/>
              </w:rPr>
            </w:pPr>
            <w:r w:rsidRPr="009C31E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Use of Spirometry Testing in the Assessment and Diagnosis of COPD</w:t>
            </w:r>
          </w:p>
        </w:tc>
        <w:tc>
          <w:tcPr>
            <w:tcW w:w="808" w:type="dxa"/>
            <w:vAlign w:val="center"/>
          </w:tcPr>
          <w:p w14:paraId="638DDF49" w14:textId="57B9CF81" w:rsidR="00E46209" w:rsidRPr="009C31E5" w:rsidRDefault="00E46209" w:rsidP="007122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20"/>
                <w:szCs w:val="20"/>
                <w:highlight w:val="yellow"/>
              </w:rPr>
            </w:pPr>
            <w:r w:rsidRPr="009C31E5">
              <w:rPr>
                <w:rFonts w:asciiTheme="minorHAnsi" w:hAnsiTheme="minorHAnsi" w:cstheme="minorHAnsi"/>
                <w:sz w:val="20"/>
                <w:szCs w:val="20"/>
              </w:rPr>
              <w:t>22.0%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54BBDC0B" w14:textId="4059BA69" w:rsidR="00E46209" w:rsidRPr="009C31E5" w:rsidRDefault="00E46209" w:rsidP="00712265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  <w:highlight w:val="yellow"/>
              </w:rPr>
            </w:pPr>
            <w:r w:rsidRPr="009C31E5">
              <w:rPr>
                <w:rFonts w:asciiTheme="minorHAnsi" w:hAnsiTheme="minorHAnsi" w:cstheme="minorHAnsi"/>
                <w:sz w:val="20"/>
                <w:szCs w:val="20"/>
              </w:rPr>
              <w:t>25.7%</w:t>
            </w:r>
          </w:p>
        </w:tc>
        <w:tc>
          <w:tcPr>
            <w:tcW w:w="808" w:type="dxa"/>
            <w:vAlign w:val="center"/>
          </w:tcPr>
          <w:p w14:paraId="45F57ABF" w14:textId="3DDC5BB1" w:rsidR="00E46209" w:rsidRPr="009C31E5" w:rsidRDefault="00E46209" w:rsidP="007122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20"/>
                <w:szCs w:val="20"/>
                <w:highlight w:val="yellow"/>
              </w:rPr>
            </w:pPr>
            <w:r w:rsidRPr="009C31E5">
              <w:rPr>
                <w:rFonts w:asciiTheme="minorHAnsi" w:hAnsiTheme="minorHAnsi" w:cstheme="minorHAnsi"/>
                <w:sz w:val="20"/>
                <w:szCs w:val="20"/>
              </w:rPr>
              <w:t>19.4%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7572C8AD" w14:textId="7822DA9E" w:rsidR="00E46209" w:rsidRPr="009C31E5" w:rsidRDefault="00E46209" w:rsidP="00712265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  <w:highlight w:val="yellow"/>
              </w:rPr>
            </w:pPr>
            <w:r w:rsidRPr="009C31E5">
              <w:rPr>
                <w:rFonts w:asciiTheme="minorHAnsi" w:hAnsiTheme="minorHAnsi" w:cstheme="minorHAnsi"/>
                <w:sz w:val="20"/>
                <w:szCs w:val="20"/>
              </w:rPr>
              <w:t>22.1%</w:t>
            </w:r>
          </w:p>
        </w:tc>
        <w:tc>
          <w:tcPr>
            <w:tcW w:w="808" w:type="dxa"/>
            <w:vAlign w:val="center"/>
          </w:tcPr>
          <w:p w14:paraId="4F898623" w14:textId="1A1E2F2E" w:rsidR="00E46209" w:rsidRPr="009C31E5" w:rsidRDefault="00E46209" w:rsidP="007122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20"/>
                <w:szCs w:val="20"/>
                <w:highlight w:val="yellow"/>
              </w:rPr>
            </w:pPr>
            <w:r w:rsidRPr="009C31E5">
              <w:rPr>
                <w:rFonts w:asciiTheme="minorHAnsi" w:hAnsiTheme="minorHAnsi" w:cstheme="minorHAnsi"/>
                <w:sz w:val="20"/>
                <w:szCs w:val="20"/>
              </w:rPr>
              <w:t>22.8%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69EBDF21" w14:textId="0347279D" w:rsidR="00E46209" w:rsidRPr="009C31E5" w:rsidRDefault="0055756D" w:rsidP="00712265">
            <w:pPr>
              <w:jc w:val="center"/>
              <w:rPr>
                <w:rFonts w:asciiTheme="minorHAnsi" w:hAnsiTheme="minorHAnsi" w:cstheme="minorHAnsi"/>
                <w:color w:val="FF0000"/>
                <w:sz w:val="20"/>
                <w:szCs w:val="20"/>
                <w:highlight w:val="yellow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N/A</w:t>
            </w:r>
          </w:p>
        </w:tc>
        <w:tc>
          <w:tcPr>
            <w:tcW w:w="1111" w:type="dxa"/>
            <w:vAlign w:val="center"/>
          </w:tcPr>
          <w:p w14:paraId="18DBDCD7" w14:textId="66EB6E4D" w:rsidR="00E46209" w:rsidRPr="009C31E5" w:rsidRDefault="00E46209" w:rsidP="007122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FF0000"/>
                <w:sz w:val="20"/>
                <w:szCs w:val="20"/>
                <w:highlight w:val="yellow"/>
              </w:rPr>
            </w:pPr>
            <w:r w:rsidRPr="009C31E5">
              <w:rPr>
                <w:rFonts w:asciiTheme="minorHAnsi" w:hAnsiTheme="minorHAnsi" w:cstheme="minorHAnsi"/>
                <w:sz w:val="20"/>
                <w:szCs w:val="20"/>
              </w:rPr>
              <w:t>22.1%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9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45B3F481" w14:textId="45C03018" w:rsidR="00E46209" w:rsidRPr="009C31E5" w:rsidRDefault="00E46209" w:rsidP="00712265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  <w:highlight w:val="yellow"/>
              </w:rPr>
            </w:pPr>
            <w:r w:rsidRPr="009C31E5">
              <w:rPr>
                <w:rFonts w:asciiTheme="minorHAnsi" w:hAnsiTheme="minorHAnsi" w:cstheme="minorHAnsi"/>
                <w:sz w:val="20"/>
                <w:szCs w:val="20"/>
              </w:rPr>
              <w:t>↓</w:t>
            </w:r>
          </w:p>
        </w:tc>
        <w:tc>
          <w:tcPr>
            <w:tcW w:w="1138" w:type="dxa"/>
            <w:vAlign w:val="center"/>
          </w:tcPr>
          <w:p w14:paraId="23B7CEE2" w14:textId="5640F1EF" w:rsidR="00E46209" w:rsidRPr="009C31E5" w:rsidRDefault="00E46209" w:rsidP="007122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  <w:highlight w:val="yellow"/>
              </w:rPr>
            </w:pPr>
            <w:r w:rsidRPr="009C31E5">
              <w:rPr>
                <w:rFonts w:asciiTheme="minorHAnsi" w:hAnsiTheme="minorHAnsi" w:cstheme="minorHAnsi"/>
                <w:sz w:val="20"/>
                <w:szCs w:val="20"/>
              </w:rPr>
              <w:t>↓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1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5D887BA8" w14:textId="300E3A04" w:rsidR="00E46209" w:rsidRPr="009C31E5" w:rsidRDefault="00E46209" w:rsidP="00712265">
            <w:pPr>
              <w:jc w:val="center"/>
              <w:rPr>
                <w:rFonts w:asciiTheme="minorHAnsi" w:hAnsiTheme="minorHAnsi" w:cstheme="minorHAnsi"/>
                <w:color w:val="auto"/>
                <w:sz w:val="20"/>
                <w:szCs w:val="20"/>
                <w:highlight w:val="yellow"/>
              </w:rPr>
            </w:pPr>
            <w:r w:rsidRPr="009C31E5">
              <w:rPr>
                <w:rFonts w:asciiTheme="minorHAnsi" w:hAnsiTheme="minorHAnsi" w:cstheme="minorHAnsi"/>
                <w:sz w:val="20"/>
                <w:szCs w:val="20"/>
              </w:rPr>
              <w:t>↓</w:t>
            </w:r>
          </w:p>
        </w:tc>
        <w:tc>
          <w:tcPr>
            <w:tcW w:w="1191" w:type="dxa"/>
            <w:vAlign w:val="center"/>
          </w:tcPr>
          <w:p w14:paraId="57FCC7C7" w14:textId="6E2D3562" w:rsidR="00E46209" w:rsidRPr="009C31E5" w:rsidRDefault="00E46209" w:rsidP="007122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auto"/>
                <w:sz w:val="20"/>
                <w:szCs w:val="20"/>
                <w:highlight w:val="yellow"/>
              </w:rPr>
            </w:pPr>
            <w:r w:rsidRPr="009C31E5">
              <w:rPr>
                <w:rFonts w:asciiTheme="minorHAnsi" w:hAnsiTheme="minorHAnsi" w:cstheme="minorHAnsi"/>
                <w:sz w:val="20"/>
                <w:szCs w:val="20"/>
              </w:rPr>
              <w:t>↓</w:t>
            </w:r>
          </w:p>
        </w:tc>
      </w:tr>
      <w:tr w:rsidR="00F52F04" w:rsidRPr="00CF5E11" w14:paraId="5F94F783" w14:textId="77777777" w:rsidTr="00C04F52">
        <w:trPr>
          <w:trHeight w:val="34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00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7DA2D7D4" w14:textId="7BCB6C7A" w:rsidR="00E46209" w:rsidRPr="0002120B" w:rsidRDefault="00E46209" w:rsidP="00712265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02120B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TRC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2828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vAlign w:val="center"/>
          </w:tcPr>
          <w:p w14:paraId="6B3EE16A" w14:textId="0FEF7703" w:rsidR="00E46209" w:rsidRPr="009C31E5" w:rsidRDefault="00E46209" w:rsidP="00712265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  <w:highlight w:val="yellow"/>
              </w:rPr>
            </w:pPr>
            <w:r w:rsidRPr="009C31E5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Transitions of Care: Medication Reconciliation Post-Discharge</w:t>
            </w:r>
          </w:p>
        </w:tc>
        <w:tc>
          <w:tcPr>
            <w:tcW w:w="808" w:type="dxa"/>
            <w:vAlign w:val="center"/>
          </w:tcPr>
          <w:p w14:paraId="665A9405" w14:textId="5BC756AC" w:rsidR="00E46209" w:rsidRPr="009C31E5" w:rsidRDefault="00E46209" w:rsidP="007122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9C31E5">
              <w:rPr>
                <w:rFonts w:asciiTheme="minorHAnsi" w:hAnsiTheme="minorHAnsi" w:cstheme="minorHAnsi"/>
                <w:sz w:val="20"/>
                <w:szCs w:val="20"/>
              </w:rPr>
              <w:t>86.</w:t>
            </w:r>
            <w:r w:rsidR="006F45BF">
              <w:rPr>
                <w:rFonts w:asciiTheme="minorHAnsi" w:hAnsiTheme="minorHAnsi" w:cstheme="minorHAnsi"/>
                <w:sz w:val="20"/>
                <w:szCs w:val="20"/>
              </w:rPr>
              <w:t>1</w:t>
            </w:r>
            <w:r w:rsidRPr="009C31E5">
              <w:rPr>
                <w:rFonts w:asciiTheme="minorHAnsi" w:hAnsiTheme="minorHAnsi" w:cstheme="minorHAnsi"/>
                <w:sz w:val="20"/>
                <w:szCs w:val="20"/>
              </w:rPr>
              <w:t>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8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vAlign w:val="center"/>
          </w:tcPr>
          <w:p w14:paraId="3BED6F0A" w14:textId="0954FDE0" w:rsidR="00E46209" w:rsidRPr="009C31E5" w:rsidRDefault="00E46209" w:rsidP="0071226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9C31E5">
              <w:rPr>
                <w:rFonts w:asciiTheme="minorHAnsi" w:hAnsiTheme="minorHAnsi" w:cstheme="minorHAnsi"/>
                <w:sz w:val="20"/>
                <w:szCs w:val="20"/>
              </w:rPr>
              <w:t>89.5%</w:t>
            </w:r>
          </w:p>
        </w:tc>
        <w:tc>
          <w:tcPr>
            <w:tcW w:w="808" w:type="dxa"/>
            <w:vAlign w:val="center"/>
          </w:tcPr>
          <w:p w14:paraId="1EC9A9B4" w14:textId="1C9C2862" w:rsidR="00E46209" w:rsidRPr="009C31E5" w:rsidRDefault="00E46209" w:rsidP="007122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9C31E5">
              <w:rPr>
                <w:rFonts w:asciiTheme="minorHAnsi" w:hAnsiTheme="minorHAnsi" w:cstheme="minorHAnsi"/>
                <w:sz w:val="20"/>
                <w:szCs w:val="20"/>
              </w:rPr>
              <w:t>57.</w:t>
            </w:r>
            <w:r w:rsidR="00BA75B2">
              <w:rPr>
                <w:rFonts w:asciiTheme="minorHAnsi" w:hAnsiTheme="minorHAnsi" w:cstheme="minorHAnsi"/>
                <w:sz w:val="20"/>
                <w:szCs w:val="20"/>
              </w:rPr>
              <w:t>2</w:t>
            </w:r>
            <w:r w:rsidRPr="009C31E5">
              <w:rPr>
                <w:rFonts w:asciiTheme="minorHAnsi" w:hAnsiTheme="minorHAnsi" w:cstheme="minorHAnsi"/>
                <w:sz w:val="20"/>
                <w:szCs w:val="20"/>
              </w:rPr>
              <w:t>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8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vAlign w:val="center"/>
          </w:tcPr>
          <w:p w14:paraId="3980146A" w14:textId="2DC5FF4F" w:rsidR="00E46209" w:rsidRPr="009C31E5" w:rsidRDefault="00E46209" w:rsidP="0071226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9C31E5">
              <w:rPr>
                <w:rFonts w:asciiTheme="minorHAnsi" w:hAnsiTheme="minorHAnsi" w:cstheme="minorHAnsi"/>
                <w:sz w:val="20"/>
                <w:szCs w:val="20"/>
              </w:rPr>
              <w:t>55.7%</w:t>
            </w:r>
          </w:p>
        </w:tc>
        <w:tc>
          <w:tcPr>
            <w:tcW w:w="808" w:type="dxa"/>
            <w:vAlign w:val="center"/>
          </w:tcPr>
          <w:p w14:paraId="019BFEED" w14:textId="1FE04D06" w:rsidR="00E46209" w:rsidRPr="009C31E5" w:rsidRDefault="00E46209" w:rsidP="007122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9C31E5">
              <w:rPr>
                <w:rFonts w:asciiTheme="minorHAnsi" w:hAnsiTheme="minorHAnsi" w:cstheme="minorHAnsi"/>
                <w:sz w:val="20"/>
                <w:szCs w:val="20"/>
              </w:rPr>
              <w:t>73.</w:t>
            </w:r>
            <w:r w:rsidR="00210398">
              <w:rPr>
                <w:rFonts w:asciiTheme="minorHAnsi" w:hAnsiTheme="minorHAnsi" w:cstheme="minorHAnsi"/>
                <w:sz w:val="20"/>
                <w:szCs w:val="20"/>
              </w:rPr>
              <w:t>5</w:t>
            </w:r>
            <w:r w:rsidRPr="009C31E5">
              <w:rPr>
                <w:rFonts w:asciiTheme="minorHAnsi" w:hAnsiTheme="minorHAnsi" w:cstheme="minorHAnsi"/>
                <w:sz w:val="20"/>
                <w:szCs w:val="20"/>
              </w:rPr>
              <w:t>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08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vAlign w:val="center"/>
          </w:tcPr>
          <w:p w14:paraId="588F8A76" w14:textId="7AF7920D" w:rsidR="00E46209" w:rsidRPr="009C31E5" w:rsidRDefault="00E46209" w:rsidP="0071226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9C31E5">
              <w:rPr>
                <w:rFonts w:asciiTheme="minorHAnsi" w:hAnsiTheme="minorHAnsi" w:cstheme="minorHAnsi"/>
                <w:sz w:val="20"/>
                <w:szCs w:val="20"/>
              </w:rPr>
              <w:t>82.1%</w:t>
            </w:r>
          </w:p>
        </w:tc>
        <w:tc>
          <w:tcPr>
            <w:tcW w:w="1111" w:type="dxa"/>
            <w:vAlign w:val="center"/>
          </w:tcPr>
          <w:p w14:paraId="15BFABD6" w14:textId="06AB09BE" w:rsidR="00E46209" w:rsidRPr="009C31E5" w:rsidRDefault="00E46209" w:rsidP="007122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9C31E5">
              <w:rPr>
                <w:rFonts w:asciiTheme="minorHAnsi" w:hAnsiTheme="minorHAnsi" w:cstheme="minorHAnsi"/>
                <w:sz w:val="20"/>
                <w:szCs w:val="20"/>
              </w:rPr>
              <w:t>74.4%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93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vAlign w:val="center"/>
          </w:tcPr>
          <w:p w14:paraId="752FDCF2" w14:textId="57C3A73D" w:rsidR="00E46209" w:rsidRPr="009C31E5" w:rsidRDefault="00E46209" w:rsidP="0071226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9C31E5">
              <w:rPr>
                <w:rFonts w:asciiTheme="minorHAnsi" w:hAnsiTheme="minorHAnsi" w:cstheme="minorHAnsi"/>
                <w:sz w:val="20"/>
                <w:szCs w:val="20"/>
              </w:rPr>
              <w:t>↓</w:t>
            </w:r>
          </w:p>
        </w:tc>
        <w:tc>
          <w:tcPr>
            <w:tcW w:w="1138" w:type="dxa"/>
            <w:vAlign w:val="center"/>
          </w:tcPr>
          <w:p w14:paraId="483C368F" w14:textId="2C7E75F4" w:rsidR="00E46209" w:rsidRPr="009C31E5" w:rsidRDefault="00E46209" w:rsidP="007122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9C31E5">
              <w:rPr>
                <w:rFonts w:asciiTheme="minorHAnsi" w:hAnsiTheme="minorHAnsi" w:cstheme="minorHAnsi"/>
                <w:sz w:val="20"/>
                <w:szCs w:val="20"/>
              </w:rPr>
              <w:t>↓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91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vAlign w:val="center"/>
          </w:tcPr>
          <w:p w14:paraId="4905F586" w14:textId="6762CBE6" w:rsidR="00E46209" w:rsidRPr="009C31E5" w:rsidRDefault="00E46209" w:rsidP="00712265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9C31E5">
              <w:rPr>
                <w:rFonts w:asciiTheme="minorHAnsi" w:hAnsiTheme="minorHAnsi" w:cstheme="minorHAnsi"/>
                <w:sz w:val="20"/>
                <w:szCs w:val="20"/>
              </w:rPr>
              <w:t>N/A</w:t>
            </w:r>
          </w:p>
        </w:tc>
        <w:tc>
          <w:tcPr>
            <w:tcW w:w="1191" w:type="dxa"/>
            <w:vAlign w:val="center"/>
          </w:tcPr>
          <w:p w14:paraId="04A8ECE6" w14:textId="151B8956" w:rsidR="00E46209" w:rsidRPr="009C31E5" w:rsidRDefault="00E46209" w:rsidP="00712265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9C31E5">
              <w:rPr>
                <w:rFonts w:asciiTheme="minorHAnsi" w:hAnsiTheme="minorHAnsi" w:cstheme="minorHAnsi"/>
                <w:sz w:val="20"/>
                <w:szCs w:val="20"/>
              </w:rPr>
              <w:t>N/A</w:t>
            </w:r>
          </w:p>
        </w:tc>
      </w:tr>
    </w:tbl>
    <w:p w14:paraId="05824346" w14:textId="04EC4225" w:rsidR="00712265" w:rsidRPr="00CF5E11" w:rsidRDefault="00712265" w:rsidP="00516140">
      <w:pPr>
        <w:spacing w:before="360" w:after="120"/>
        <w:rPr>
          <w:sz w:val="20"/>
          <w:szCs w:val="20"/>
        </w:rPr>
      </w:pPr>
      <w:r w:rsidRPr="00CF5E11">
        <w:t>SCO plans are compared to both the national Medicare and Medicaid 90</w:t>
      </w:r>
      <w:r w:rsidRPr="00CF5E11">
        <w:rPr>
          <w:vertAlign w:val="superscript"/>
        </w:rPr>
        <w:t>th</w:t>
      </w:r>
      <w:r w:rsidRPr="00CF5E11">
        <w:t xml:space="preserve"> and 75</w:t>
      </w:r>
      <w:r w:rsidRPr="00CF5E11">
        <w:rPr>
          <w:vertAlign w:val="superscript"/>
        </w:rPr>
        <w:t>th</w:t>
      </w:r>
      <w:r w:rsidRPr="00CF5E11">
        <w:t xml:space="preserve"> percentile benchmarks in the table above, where benchmark data are available. </w:t>
      </w:r>
    </w:p>
    <w:p w14:paraId="715B8A60" w14:textId="1B0C8828" w:rsidR="00712265" w:rsidRPr="00CF5E11" w:rsidRDefault="00712265" w:rsidP="00712265">
      <w:pPr>
        <w:pStyle w:val="ListParagraph"/>
        <w:numPr>
          <w:ilvl w:val="0"/>
          <w:numId w:val="12"/>
        </w:numPr>
      </w:pPr>
      <w:r w:rsidRPr="00CF5E11">
        <w:t>The MassHealth Weighted Mean (MHWM) rate for</w:t>
      </w:r>
      <w:r w:rsidR="00C0454F">
        <w:t xml:space="preserve"> AMM (Continuation) </w:t>
      </w:r>
      <w:r w:rsidR="00467A47">
        <w:t xml:space="preserve">is </w:t>
      </w:r>
      <w:r w:rsidRPr="00CF5E11">
        <w:t>above the 90</w:t>
      </w:r>
      <w:r w:rsidRPr="00CF5E11">
        <w:rPr>
          <w:vertAlign w:val="superscript"/>
        </w:rPr>
        <w:t>th</w:t>
      </w:r>
      <w:r w:rsidRPr="00CF5E11">
        <w:t xml:space="preserve"> percentile for both Medicare and Medicaid.</w:t>
      </w:r>
    </w:p>
    <w:p w14:paraId="5FD87CAF" w14:textId="77777777" w:rsidR="00712265" w:rsidRPr="00CF5E11" w:rsidRDefault="00712265" w:rsidP="00712265">
      <w:pPr>
        <w:pStyle w:val="ListParagraph"/>
        <w:numPr>
          <w:ilvl w:val="0"/>
          <w:numId w:val="12"/>
        </w:numPr>
      </w:pPr>
      <w:r w:rsidRPr="00CF5E11">
        <w:t>The MHWM rate for PCE (Bronchodilator) is above the 75</w:t>
      </w:r>
      <w:r w:rsidRPr="00CF5E11">
        <w:rPr>
          <w:vertAlign w:val="superscript"/>
        </w:rPr>
        <w:t>th</w:t>
      </w:r>
      <w:r w:rsidRPr="00CF5E11">
        <w:t xml:space="preserve"> percentile, but below the 90</w:t>
      </w:r>
      <w:r w:rsidRPr="00CF5E11">
        <w:rPr>
          <w:vertAlign w:val="superscript"/>
        </w:rPr>
        <w:t>th</w:t>
      </w:r>
      <w:r w:rsidRPr="00CF5E11">
        <w:t xml:space="preserve"> percentile for both Medicare and Medicaid.</w:t>
      </w:r>
    </w:p>
    <w:p w14:paraId="0F343080" w14:textId="1CBD3475" w:rsidR="00712265" w:rsidRDefault="00712265" w:rsidP="00712265">
      <w:pPr>
        <w:pStyle w:val="ListParagraph"/>
        <w:numPr>
          <w:ilvl w:val="0"/>
          <w:numId w:val="12"/>
        </w:numPr>
      </w:pPr>
      <w:r w:rsidRPr="00CF5E11">
        <w:t xml:space="preserve">The MHWM rate for </w:t>
      </w:r>
      <w:r w:rsidR="00650762">
        <w:t xml:space="preserve">AMM (Acute) is </w:t>
      </w:r>
      <w:r w:rsidRPr="00CF5E11">
        <w:t>above the 75</w:t>
      </w:r>
      <w:r w:rsidRPr="00CF5E11">
        <w:rPr>
          <w:vertAlign w:val="superscript"/>
        </w:rPr>
        <w:t>th</w:t>
      </w:r>
      <w:r w:rsidRPr="00CF5E11">
        <w:t xml:space="preserve"> but below the 90</w:t>
      </w:r>
      <w:r w:rsidRPr="00CF5E11">
        <w:rPr>
          <w:vertAlign w:val="superscript"/>
        </w:rPr>
        <w:t>th</w:t>
      </w:r>
      <w:r w:rsidRPr="00CF5E11">
        <w:t xml:space="preserve"> percentile for Medicare, but above the 90</w:t>
      </w:r>
      <w:r w:rsidRPr="00CF5E11">
        <w:rPr>
          <w:vertAlign w:val="superscript"/>
        </w:rPr>
        <w:t>th</w:t>
      </w:r>
      <w:r w:rsidRPr="00CF5E11">
        <w:t xml:space="preserve"> percentile for Medicaid. </w:t>
      </w:r>
    </w:p>
    <w:p w14:paraId="603559B1" w14:textId="1DDD9122" w:rsidR="00712265" w:rsidRDefault="00712265" w:rsidP="00712265">
      <w:pPr>
        <w:pStyle w:val="ListParagraph"/>
        <w:numPr>
          <w:ilvl w:val="0"/>
          <w:numId w:val="12"/>
        </w:numPr>
      </w:pPr>
      <w:r w:rsidRPr="00CF5E11">
        <w:t xml:space="preserve">The MHWM rate for CBP </w:t>
      </w:r>
      <w:r w:rsidR="004777E0">
        <w:t xml:space="preserve">is </w:t>
      </w:r>
      <w:r w:rsidRPr="00CF5E11">
        <w:t>below the 75</w:t>
      </w:r>
      <w:r w:rsidRPr="00CF5E11">
        <w:rPr>
          <w:vertAlign w:val="superscript"/>
        </w:rPr>
        <w:t>th</w:t>
      </w:r>
      <w:r w:rsidRPr="00CF5E11">
        <w:t xml:space="preserve"> percentile for Medicare, but above the </w:t>
      </w:r>
      <w:r w:rsidR="004777E0">
        <w:t>75</w:t>
      </w:r>
      <w:r w:rsidR="004777E0" w:rsidRPr="00FC29C3">
        <w:rPr>
          <w:vertAlign w:val="superscript"/>
        </w:rPr>
        <w:t>th</w:t>
      </w:r>
      <w:r w:rsidRPr="00CF5E11">
        <w:t xml:space="preserve"> percentile for Medicaid</w:t>
      </w:r>
      <w:r w:rsidR="00792AFB">
        <w:t>.</w:t>
      </w:r>
    </w:p>
    <w:p w14:paraId="5EBBADCC" w14:textId="465FE781" w:rsidR="0044643F" w:rsidRPr="00CF5E11" w:rsidRDefault="0044643F" w:rsidP="00C643F7">
      <w:pPr>
        <w:pStyle w:val="ListParagraph"/>
        <w:numPr>
          <w:ilvl w:val="0"/>
          <w:numId w:val="12"/>
        </w:numPr>
      </w:pPr>
      <w:r>
        <w:t>The MHWM rates for FUH 7 and 30 day cohorts are above the 75</w:t>
      </w:r>
      <w:r w:rsidRPr="006131AF">
        <w:rPr>
          <w:vertAlign w:val="superscript"/>
        </w:rPr>
        <w:t>th</w:t>
      </w:r>
      <w:r>
        <w:t xml:space="preserve"> percentile for Medicare, but below the 75</w:t>
      </w:r>
      <w:r w:rsidRPr="006131AF">
        <w:rPr>
          <w:vertAlign w:val="superscript"/>
        </w:rPr>
        <w:t>th</w:t>
      </w:r>
      <w:r>
        <w:t xml:space="preserve"> percentile for Medicaid</w:t>
      </w:r>
    </w:p>
    <w:p w14:paraId="7C056A5D" w14:textId="7C99340B" w:rsidR="00712265" w:rsidRDefault="00712265" w:rsidP="00712265">
      <w:pPr>
        <w:pStyle w:val="ListParagraph"/>
        <w:numPr>
          <w:ilvl w:val="0"/>
          <w:numId w:val="12"/>
        </w:numPr>
      </w:pPr>
      <w:r w:rsidRPr="00CF5E11">
        <w:t>The MHWM rate for COL is above the 75</w:t>
      </w:r>
      <w:r w:rsidRPr="00CF5E11">
        <w:rPr>
          <w:vertAlign w:val="superscript"/>
        </w:rPr>
        <w:t>th</w:t>
      </w:r>
      <w:r w:rsidRPr="00CF5E11">
        <w:t>, but below the 90</w:t>
      </w:r>
      <w:r w:rsidRPr="00CF5E11">
        <w:rPr>
          <w:vertAlign w:val="superscript"/>
        </w:rPr>
        <w:t>th</w:t>
      </w:r>
      <w:r w:rsidR="0002120B">
        <w:t xml:space="preserve">, </w:t>
      </w:r>
      <w:r w:rsidRPr="00CF5E11">
        <w:t>percentile for Medicare. COL has no Medicaid benchmark.</w:t>
      </w:r>
    </w:p>
    <w:p w14:paraId="0ACC2DC2" w14:textId="75A95D5C" w:rsidR="007A28EC" w:rsidRPr="00CF5E11" w:rsidRDefault="007A28EC" w:rsidP="00712265">
      <w:pPr>
        <w:pStyle w:val="ListParagraph"/>
        <w:numPr>
          <w:ilvl w:val="0"/>
          <w:numId w:val="12"/>
        </w:numPr>
      </w:pPr>
      <w:r>
        <w:t xml:space="preserve">The MHWM </w:t>
      </w:r>
      <w:r w:rsidR="003827C1">
        <w:t xml:space="preserve">rates </w:t>
      </w:r>
      <w:r>
        <w:t>for PBH</w:t>
      </w:r>
      <w:r w:rsidR="00C10475">
        <w:t xml:space="preserve">, SPR, </w:t>
      </w:r>
      <w:r w:rsidR="003827C1">
        <w:t>and PCE (Corticosteroid)</w:t>
      </w:r>
      <w:r>
        <w:t xml:space="preserve"> </w:t>
      </w:r>
      <w:r w:rsidR="0002120B">
        <w:t>are</w:t>
      </w:r>
      <w:r>
        <w:t xml:space="preserve"> below the </w:t>
      </w:r>
      <w:r w:rsidR="003827C1">
        <w:t>75</w:t>
      </w:r>
      <w:r w:rsidR="003827C1" w:rsidRPr="00FC29C3">
        <w:rPr>
          <w:vertAlign w:val="superscript"/>
        </w:rPr>
        <w:t>th</w:t>
      </w:r>
      <w:r w:rsidR="003827C1">
        <w:t xml:space="preserve"> percentile for both Medicare and Medicaid. </w:t>
      </w:r>
    </w:p>
    <w:p w14:paraId="76CE78CE" w14:textId="2F799885" w:rsidR="00712265" w:rsidRPr="00CF5E11" w:rsidRDefault="00712265" w:rsidP="00712265">
      <w:pPr>
        <w:pStyle w:val="ListParagraph"/>
        <w:numPr>
          <w:ilvl w:val="0"/>
          <w:numId w:val="12"/>
        </w:numPr>
      </w:pPr>
      <w:r w:rsidRPr="00CF5E11">
        <w:t>The MHWM rates for TR</w:t>
      </w:r>
      <w:r w:rsidR="0002120B">
        <w:t>C</w:t>
      </w:r>
      <w:r w:rsidRPr="00CF5E11">
        <w:t xml:space="preserve"> and OMW are below the 75</w:t>
      </w:r>
      <w:r w:rsidRPr="00CF5E11">
        <w:rPr>
          <w:vertAlign w:val="superscript"/>
        </w:rPr>
        <w:t>th</w:t>
      </w:r>
      <w:r w:rsidRPr="00CF5E11">
        <w:t xml:space="preserve"> percentile for Medica</w:t>
      </w:r>
      <w:r w:rsidR="0002120B">
        <w:t>re</w:t>
      </w:r>
      <w:r w:rsidRPr="00CF5E11">
        <w:t>.</w:t>
      </w:r>
      <w:r w:rsidR="000034A0">
        <w:t xml:space="preserve"> </w:t>
      </w:r>
      <w:r w:rsidRPr="00CF5E11">
        <w:t>N</w:t>
      </w:r>
      <w:r w:rsidR="003105CB">
        <w:t xml:space="preserve">either </w:t>
      </w:r>
      <w:r w:rsidRPr="00CF5E11">
        <w:t xml:space="preserve">of these measures has a Medicare benchmark. </w:t>
      </w:r>
    </w:p>
    <w:p w14:paraId="69FD5CF6" w14:textId="2FF84FAC" w:rsidR="00712265" w:rsidRPr="00CF5E11" w:rsidRDefault="00712265" w:rsidP="00712265">
      <w:pPr>
        <w:pStyle w:val="ListParagraph"/>
        <w:numPr>
          <w:ilvl w:val="0"/>
          <w:numId w:val="12"/>
        </w:numPr>
      </w:pPr>
      <w:r w:rsidRPr="00CF5E11">
        <w:t xml:space="preserve">The MHWM rate for PCR </w:t>
      </w:r>
      <w:r w:rsidR="00E10CE7">
        <w:t>is</w:t>
      </w:r>
      <w:r w:rsidR="0002120B">
        <w:t xml:space="preserve"> </w:t>
      </w:r>
      <w:r w:rsidRPr="00CF5E11">
        <w:t>higher than both the 75</w:t>
      </w:r>
      <w:r w:rsidRPr="00CF5E11">
        <w:rPr>
          <w:vertAlign w:val="superscript"/>
        </w:rPr>
        <w:t>th</w:t>
      </w:r>
      <w:r w:rsidRPr="00CF5E11">
        <w:t xml:space="preserve"> and 90</w:t>
      </w:r>
      <w:r w:rsidRPr="00CF5E11">
        <w:rPr>
          <w:vertAlign w:val="superscript"/>
        </w:rPr>
        <w:t>th</w:t>
      </w:r>
      <w:r w:rsidRPr="00CF5E11">
        <w:t xml:space="preserve"> percentile for both Medicare and Medicaid, meaning that plan performance failed to meet those benchmarks (because a lower rate signifies better performance).  </w:t>
      </w:r>
    </w:p>
    <w:p w14:paraId="48577FC5" w14:textId="47348FAE" w:rsidR="00712265" w:rsidRPr="00712265" w:rsidRDefault="00712265" w:rsidP="00712265">
      <w:pPr>
        <w:pStyle w:val="ListParagraph"/>
        <w:numPr>
          <w:ilvl w:val="0"/>
          <w:numId w:val="12"/>
        </w:numPr>
        <w:sectPr w:rsidR="00712265" w:rsidRPr="00712265" w:rsidSect="004B5F5C">
          <w:headerReference w:type="default" r:id="rId13"/>
          <w:footerReference w:type="default" r:id="rId14"/>
          <w:pgSz w:w="15840" w:h="12240" w:orient="landscape"/>
          <w:pgMar w:top="1080" w:right="1080" w:bottom="1080" w:left="1080" w:header="720" w:footer="720" w:gutter="0"/>
          <w:cols w:space="720"/>
          <w:titlePg/>
          <w:docGrid w:linePitch="360"/>
        </w:sectPr>
      </w:pPr>
      <w:r w:rsidRPr="00CF5E11">
        <w:t>The MHWM rate</w:t>
      </w:r>
      <w:r w:rsidR="004A522C">
        <w:t>s</w:t>
      </w:r>
      <w:r w:rsidRPr="00CF5E11">
        <w:t xml:space="preserve"> for </w:t>
      </w:r>
      <w:r w:rsidR="004A522C">
        <w:t>DAE (Total) and</w:t>
      </w:r>
      <w:r w:rsidR="00D7733F">
        <w:t xml:space="preserve"> </w:t>
      </w:r>
      <w:r w:rsidRPr="00CF5E11">
        <w:t xml:space="preserve">DDE (Total) </w:t>
      </w:r>
      <w:r w:rsidR="004A522C">
        <w:t>were</w:t>
      </w:r>
      <w:r w:rsidRPr="00CF5E11">
        <w:t xml:space="preserve"> higher than both the 75</w:t>
      </w:r>
      <w:r w:rsidRPr="00CF5E11">
        <w:rPr>
          <w:vertAlign w:val="superscript"/>
        </w:rPr>
        <w:t>th</w:t>
      </w:r>
      <w:r w:rsidRPr="00CF5E11">
        <w:t xml:space="preserve"> and 90</w:t>
      </w:r>
      <w:r w:rsidRPr="00CF5E11">
        <w:rPr>
          <w:vertAlign w:val="superscript"/>
        </w:rPr>
        <w:t>th</w:t>
      </w:r>
      <w:r w:rsidRPr="00CF5E11">
        <w:t xml:space="preserve"> percentile for Medicare, meaning that plan performance failed to meet that benchmark (because a lower rate signifies better performance).</w:t>
      </w:r>
      <w:r w:rsidR="00D7733F">
        <w:t xml:space="preserve"> </w:t>
      </w:r>
      <w:r w:rsidR="004A522C">
        <w:t>Neither measure has</w:t>
      </w:r>
      <w:r w:rsidRPr="00CF5E11">
        <w:t xml:space="preserve"> a Medicaid benchmark.</w:t>
      </w:r>
    </w:p>
    <w:p w14:paraId="61B6D170" w14:textId="49F16A03" w:rsidR="000F7462" w:rsidRPr="000F7462" w:rsidRDefault="00B25F79" w:rsidP="000F7462">
      <w:pPr>
        <w:pStyle w:val="Caption"/>
        <w:keepNext/>
        <w:spacing w:after="0"/>
        <w:rPr>
          <w:sz w:val="28"/>
          <w:szCs w:val="28"/>
        </w:rPr>
      </w:pPr>
      <w:r w:rsidRPr="000F7462">
        <w:rPr>
          <w:sz w:val="28"/>
          <w:szCs w:val="28"/>
        </w:rPr>
        <w:lastRenderedPageBreak/>
        <w:t xml:space="preserve">Table 4 </w:t>
      </w:r>
      <w:r w:rsidR="00517C2D" w:rsidRPr="000F7462">
        <w:rPr>
          <w:sz w:val="28"/>
          <w:szCs w:val="28"/>
        </w:rPr>
        <w:t>-</w:t>
      </w:r>
      <w:r w:rsidRPr="000F7462">
        <w:rPr>
          <w:sz w:val="28"/>
          <w:szCs w:val="28"/>
        </w:rPr>
        <w:t xml:space="preserve"> One Care Performance Measures, 202</w:t>
      </w:r>
      <w:r w:rsidR="00D00B85" w:rsidRPr="000F7462">
        <w:rPr>
          <w:sz w:val="28"/>
          <w:szCs w:val="28"/>
        </w:rPr>
        <w:t>3</w:t>
      </w:r>
      <w:r w:rsidRPr="000F7462">
        <w:rPr>
          <w:sz w:val="28"/>
          <w:szCs w:val="28"/>
        </w:rPr>
        <w:t xml:space="preserve"> (Measurement Period: Calendar Year 202</w:t>
      </w:r>
      <w:r w:rsidR="00D00B85" w:rsidRPr="000F7462">
        <w:rPr>
          <w:sz w:val="28"/>
          <w:szCs w:val="28"/>
        </w:rPr>
        <w:t>2</w:t>
      </w:r>
      <w:r w:rsidRPr="000F7462">
        <w:rPr>
          <w:sz w:val="28"/>
          <w:szCs w:val="28"/>
        </w:rPr>
        <w:t>)</w:t>
      </w:r>
    </w:p>
    <w:p w14:paraId="39AFF6EF" w14:textId="77777777" w:rsidR="00C717D4" w:rsidRPr="00CF5E11" w:rsidRDefault="00C717D4" w:rsidP="000F7462">
      <w:pPr>
        <w:spacing w:before="120" w:after="0" w:line="240" w:lineRule="auto"/>
        <w:rPr>
          <w:sz w:val="18"/>
          <w:szCs w:val="18"/>
        </w:rPr>
      </w:pPr>
      <w:r w:rsidRPr="00CF5E11">
        <w:rPr>
          <w:sz w:val="18"/>
          <w:szCs w:val="18"/>
        </w:rPr>
        <w:t>Table Legend:</w:t>
      </w:r>
    </w:p>
    <w:p w14:paraId="2EA101FF" w14:textId="77777777" w:rsidR="00C717D4" w:rsidRPr="00CF5E11" w:rsidRDefault="00C717D4" w:rsidP="00C717D4">
      <w:pPr>
        <w:spacing w:after="0" w:line="240" w:lineRule="auto"/>
        <w:rPr>
          <w:sz w:val="18"/>
          <w:szCs w:val="18"/>
        </w:rPr>
      </w:pPr>
      <w:r w:rsidRPr="00CF5E11">
        <w:rPr>
          <w:sz w:val="18"/>
          <w:szCs w:val="18"/>
          <w:vertAlign w:val="superscript"/>
        </w:rPr>
        <w:t>1</w:t>
      </w:r>
      <w:r w:rsidRPr="00CF5E11">
        <w:rPr>
          <w:sz w:val="18"/>
          <w:szCs w:val="18"/>
        </w:rPr>
        <w:t xml:space="preserve"> A lower score represents better performance.</w:t>
      </w:r>
    </w:p>
    <w:p w14:paraId="3B9762A4" w14:textId="687AF830" w:rsidR="00C717D4" w:rsidRDefault="00C717D4" w:rsidP="000F7462">
      <w:pPr>
        <w:spacing w:after="360" w:line="240" w:lineRule="auto"/>
        <w:rPr>
          <w:sz w:val="18"/>
          <w:szCs w:val="18"/>
        </w:rPr>
      </w:pPr>
      <w:r w:rsidRPr="00CF5E11">
        <w:rPr>
          <w:sz w:val="18"/>
          <w:szCs w:val="18"/>
        </w:rPr>
        <w:t>* ↑ = Weighted Mean Performance Better Than Benchmark   ↓ = Weighted Mean Performance Worse Than Benchmark</w:t>
      </w:r>
    </w:p>
    <w:p w14:paraId="6CA4B914" w14:textId="5B4C9C13" w:rsidR="00AC7633" w:rsidRPr="00AC7633" w:rsidRDefault="00AC7633" w:rsidP="00AC7633">
      <w:pPr>
        <w:spacing w:after="0" w:line="240" w:lineRule="auto"/>
      </w:pPr>
      <w:r w:rsidRPr="00AC7633">
        <w:t>Table 4.a: HEDIS Measures</w:t>
      </w:r>
    </w:p>
    <w:tbl>
      <w:tblPr>
        <w:tblStyle w:val="MediumList2-Accent1"/>
        <w:tblpPr w:leftFromText="187" w:rightFromText="187" w:vertAnchor="text" w:horzAnchor="margin" w:tblpXSpec="center" w:tblpY="1"/>
        <w:tblOverlap w:val="never"/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2A0" w:firstRow="1" w:lastRow="0" w:firstColumn="1" w:lastColumn="0" w:noHBand="1" w:noVBand="0"/>
        <w:tblCaption w:val="One Care Performance Measures, 2018"/>
        <w:tblDescription w:val="2018 Measures for one care using benchmarks as comparative values."/>
      </w:tblPr>
      <w:tblGrid>
        <w:gridCol w:w="1012"/>
        <w:gridCol w:w="3044"/>
        <w:gridCol w:w="798"/>
        <w:gridCol w:w="768"/>
        <w:gridCol w:w="768"/>
        <w:gridCol w:w="946"/>
        <w:gridCol w:w="1658"/>
        <w:gridCol w:w="1558"/>
        <w:gridCol w:w="1554"/>
        <w:gridCol w:w="1554"/>
      </w:tblGrid>
      <w:tr w:rsidR="00EC2476" w:rsidRPr="00CF5E11" w14:paraId="16402D27" w14:textId="77777777" w:rsidTr="00A60900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1237"/>
          <w:tblHeader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18BC014" w14:textId="03F9D012" w:rsidR="0079190E" w:rsidRPr="00817F58" w:rsidRDefault="0079190E" w:rsidP="0079190E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Measure Code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9549B0D" w14:textId="21AFFF02" w:rsidR="0079190E" w:rsidRPr="00817F58" w:rsidRDefault="0079190E" w:rsidP="0079190E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Measure Name</w:t>
            </w:r>
          </w:p>
        </w:tc>
        <w:tc>
          <w:tcPr>
            <w:tcW w:w="7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DCD2F1E" w14:textId="77D6B99A" w:rsidR="0079190E" w:rsidRPr="00817F58" w:rsidRDefault="0079190E" w:rsidP="0079190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CCA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395733C" w14:textId="039B4CE6" w:rsidR="0079190E" w:rsidRPr="00817F58" w:rsidRDefault="0079190E" w:rsidP="0079190E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THP</w:t>
            </w:r>
          </w:p>
        </w:tc>
        <w:tc>
          <w:tcPr>
            <w:tcW w:w="76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9CB9875" w14:textId="77E1C215" w:rsidR="0079190E" w:rsidRPr="00817F58" w:rsidRDefault="0079190E" w:rsidP="0079190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UHC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4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7727667" w14:textId="1C381FC0" w:rsidR="0079190E" w:rsidRPr="00817F58" w:rsidRDefault="00B635BF" w:rsidP="0079190E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CF5E11">
              <w:rPr>
                <w:rFonts w:ascii="Calibri" w:hAnsi="Calibri"/>
                <w:b/>
                <w:bCs/>
                <w:sz w:val="18"/>
                <w:szCs w:val="22"/>
              </w:rPr>
              <w:t>MH Weighted Mean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D350A56" w14:textId="5EDB6D5F" w:rsidR="0079190E" w:rsidRPr="00817F58" w:rsidRDefault="0079190E" w:rsidP="00FC29C3">
            <w:pPr>
              <w:ind w:left="108" w:hanging="113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Nat'l Medicare 75th Percentile*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6DA5292" w14:textId="46447DE0" w:rsidR="0079190E" w:rsidRPr="00817F58" w:rsidRDefault="0079190E" w:rsidP="0079190E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Nat'l Medicare 90th Percentile*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09E6FE6" w14:textId="4C9DD796" w:rsidR="0079190E" w:rsidRPr="00817F58" w:rsidRDefault="0079190E" w:rsidP="0079190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Nat'l Medicaid 75th Percentile*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937A19F" w14:textId="5E646DD5" w:rsidR="0079190E" w:rsidRPr="00817F58" w:rsidRDefault="0079190E" w:rsidP="0079190E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Nat'l Medicaid 90th Percentile*</w:t>
            </w:r>
          </w:p>
        </w:tc>
      </w:tr>
      <w:tr w:rsidR="0074576E" w:rsidRPr="00CF5E11" w14:paraId="47C21678" w14:textId="77777777" w:rsidTr="00A60900">
        <w:trPr>
          <w:trHeight w:val="42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E9C213" w14:textId="4DD66423" w:rsidR="0079190E" w:rsidRPr="00EB091E" w:rsidRDefault="0079190E" w:rsidP="0079190E">
            <w:pPr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EB091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AMM - Acute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70781" w14:textId="22368C35" w:rsidR="0079190E" w:rsidRPr="00817F58" w:rsidRDefault="0079190E" w:rsidP="0079190E">
            <w:pPr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Antidepressant Medication Management - Effective Acute Phase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77A6F9" w14:textId="21AD92B7" w:rsidR="0079190E" w:rsidRPr="00817F58" w:rsidRDefault="0079190E" w:rsidP="007919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78.4%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D6065" w14:textId="1AE23892" w:rsidR="0079190E" w:rsidRPr="00817F58" w:rsidRDefault="0079190E" w:rsidP="0079190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75.1%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72CFA" w14:textId="73A0F474" w:rsidR="0079190E" w:rsidRPr="00817F58" w:rsidRDefault="0079190E" w:rsidP="007919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N/A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77D68A" w14:textId="4F7E2FAC" w:rsidR="0079190E" w:rsidRPr="00817F58" w:rsidRDefault="0079190E" w:rsidP="0079190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78.09%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6E296C" w14:textId="36F7BB14" w:rsidR="0079190E" w:rsidRPr="00817F58" w:rsidRDefault="0079190E" w:rsidP="007919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↓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380467" w14:textId="58D0CB7A" w:rsidR="0079190E" w:rsidRPr="00817F58" w:rsidRDefault="0079190E" w:rsidP="0079190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DBA08" w14:textId="5D1ADFA9" w:rsidR="0079190E" w:rsidRPr="00817F58" w:rsidRDefault="0079190E" w:rsidP="007919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↑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6C435" w14:textId="6B033627" w:rsidR="0079190E" w:rsidRPr="00817F58" w:rsidRDefault="0079190E" w:rsidP="0079190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↑</w:t>
            </w:r>
          </w:p>
        </w:tc>
      </w:tr>
      <w:tr w:rsidR="0074576E" w:rsidRPr="00CF5E11" w14:paraId="1C9AB1B5" w14:textId="77777777" w:rsidTr="00A60900">
        <w:trPr>
          <w:trHeight w:val="52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367C7A" w14:textId="75415540" w:rsidR="0079190E" w:rsidRPr="00EB091E" w:rsidRDefault="0079190E" w:rsidP="0079190E">
            <w:pPr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EB091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AMM - Cont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22060" w14:textId="00EFACBE" w:rsidR="0079190E" w:rsidRPr="00817F58" w:rsidRDefault="0079190E" w:rsidP="0079190E">
            <w:pPr>
              <w:rPr>
                <w:rFonts w:ascii="Calibri" w:hAnsi="Calibri" w:cs="Calibri"/>
                <w:b/>
                <w:bCs/>
                <w:color w:val="1F497D" w:themeColor="text2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Antidepressant Medication Management - Effective Continuation Phase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B0C45E" w14:textId="05C29399" w:rsidR="0079190E" w:rsidRPr="00817F58" w:rsidRDefault="0079190E" w:rsidP="007919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67.7%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9F42F" w14:textId="14A50C42" w:rsidR="0079190E" w:rsidRPr="00817F58" w:rsidRDefault="0079190E" w:rsidP="0079190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62.2%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0CD64" w14:textId="1AD3FD61" w:rsidR="0079190E" w:rsidRPr="00817F58" w:rsidRDefault="0079190E" w:rsidP="007919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N/A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98518" w14:textId="51AC2BB0" w:rsidR="0079190E" w:rsidRPr="00817F58" w:rsidRDefault="0079190E" w:rsidP="0079190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67.1%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03B148" w14:textId="5514ECDB" w:rsidR="0079190E" w:rsidRPr="00817F58" w:rsidRDefault="0079190E" w:rsidP="007919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↓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B4B62D" w14:textId="1ECF794F" w:rsidR="0079190E" w:rsidRPr="00817F58" w:rsidRDefault="0079190E" w:rsidP="0079190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DBDD5" w14:textId="186D86D2" w:rsidR="0079190E" w:rsidRPr="00817F58" w:rsidRDefault="0079190E" w:rsidP="007919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↑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86AED" w14:textId="3CD9E5D4" w:rsidR="0079190E" w:rsidRPr="00817F58" w:rsidRDefault="0079190E" w:rsidP="0079190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↑</w:t>
            </w:r>
          </w:p>
        </w:tc>
      </w:tr>
      <w:tr w:rsidR="0074576E" w:rsidRPr="00CF5E11" w14:paraId="267E2F3A" w14:textId="77777777" w:rsidTr="00A60900">
        <w:trPr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A03BA7" w14:textId="79FE75B3" w:rsidR="0079190E" w:rsidRPr="00EB091E" w:rsidRDefault="0079190E" w:rsidP="0079190E">
            <w:pPr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EB091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BCS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D59C6" w14:textId="31F6429F" w:rsidR="0079190E" w:rsidRPr="00817F58" w:rsidRDefault="0079190E" w:rsidP="0079190E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Breast Cancer Screening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09CE2E" w14:textId="4F66AB7F" w:rsidR="0079190E" w:rsidRPr="00817F58" w:rsidRDefault="0079190E" w:rsidP="007919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67.6%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379EF7" w14:textId="30CE09E5" w:rsidR="0079190E" w:rsidRPr="00817F58" w:rsidRDefault="0079190E" w:rsidP="0079190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64.1%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83A77E" w14:textId="6B5E591A" w:rsidR="0079190E" w:rsidRPr="00817F58" w:rsidRDefault="0079190E" w:rsidP="007919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N/A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DA44EB" w14:textId="1D8D1C27" w:rsidR="0079190E" w:rsidRPr="00817F58" w:rsidRDefault="0079190E" w:rsidP="0079190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67.2%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92C762" w14:textId="497DD89D" w:rsidR="0079190E" w:rsidRPr="00817F58" w:rsidRDefault="0079190E" w:rsidP="007919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↓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F7D689" w14:textId="7BEBCDB5" w:rsidR="0079190E" w:rsidRPr="00817F58" w:rsidRDefault="0079190E" w:rsidP="0079190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EE411A" w14:textId="203F8E52" w:rsidR="0079190E" w:rsidRPr="00817F58" w:rsidRDefault="0079190E" w:rsidP="007919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↑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45BB0" w14:textId="4143931D" w:rsidR="0079190E" w:rsidRPr="00817F58" w:rsidRDefault="0079190E" w:rsidP="007919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↑</w:t>
            </w:r>
          </w:p>
        </w:tc>
      </w:tr>
      <w:tr w:rsidR="00EC2476" w:rsidRPr="00CF5E11" w14:paraId="338CE441" w14:textId="77777777" w:rsidTr="00A60900">
        <w:trPr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E69810" w14:textId="58AF2B93" w:rsidR="0079190E" w:rsidRPr="00EB091E" w:rsidRDefault="0079190E" w:rsidP="0079190E">
            <w:pPr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EB091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CBP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648F68" w14:textId="2E47327F" w:rsidR="0079190E" w:rsidRPr="00817F58" w:rsidRDefault="0079190E" w:rsidP="0079190E">
            <w:pPr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Controlling High Blood Pressure  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E4A58" w14:textId="7C69095A" w:rsidR="0079190E" w:rsidRPr="00817F58" w:rsidRDefault="0079190E" w:rsidP="007919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73.2%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D6E956" w14:textId="6498AC04" w:rsidR="0079190E" w:rsidRPr="00817F58" w:rsidRDefault="0079190E" w:rsidP="0079190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67.2%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BBEF3" w14:textId="500C0C10" w:rsidR="0079190E" w:rsidRPr="00817F58" w:rsidRDefault="0079190E" w:rsidP="007919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35.0%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BE5F1" w:themeFill="accent1" w:themeFillTint="33"/>
            <w:vAlign w:val="center"/>
          </w:tcPr>
          <w:p w14:paraId="4BC25A23" w14:textId="7937B041" w:rsidR="0079190E" w:rsidRPr="00817F58" w:rsidRDefault="0079190E" w:rsidP="0079190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72.6%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08DF02" w14:textId="6871A3C6" w:rsidR="0079190E" w:rsidRPr="00817F58" w:rsidRDefault="0079190E" w:rsidP="007919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↓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6037F4" w14:textId="6AA4CE00" w:rsidR="0079190E" w:rsidRPr="00817F58" w:rsidRDefault="0079190E" w:rsidP="0079190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F5898" w14:textId="4F7FC57E" w:rsidR="0079190E" w:rsidRPr="00817F58" w:rsidRDefault="0079190E" w:rsidP="007919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↑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06879A" w14:textId="73C85766" w:rsidR="0079190E" w:rsidRPr="00817F58" w:rsidRDefault="0079190E" w:rsidP="007919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↑</w:t>
            </w:r>
          </w:p>
        </w:tc>
      </w:tr>
      <w:tr w:rsidR="0074576E" w:rsidRPr="00CF5E11" w14:paraId="79AB8964" w14:textId="77777777" w:rsidTr="00A60900">
        <w:trPr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D6C21" w14:textId="60672D8C" w:rsidR="0079190E" w:rsidRPr="00EB091E" w:rsidRDefault="0079190E" w:rsidP="0079190E">
            <w:pPr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EB091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COL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9F1A6" w14:textId="55E2715C" w:rsidR="0079190E" w:rsidRPr="00817F58" w:rsidRDefault="0079190E" w:rsidP="0079190E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Colorectal Cancer Screening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4847F7" w14:textId="6B23B880" w:rsidR="0079190E" w:rsidRPr="00817F58" w:rsidRDefault="0079190E" w:rsidP="007919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59.6%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FDC6B1" w14:textId="5469FDC9" w:rsidR="0079190E" w:rsidRPr="00817F58" w:rsidRDefault="0079190E" w:rsidP="0079190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52.1%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83350B" w14:textId="0139E875" w:rsidR="0079190E" w:rsidRPr="00817F58" w:rsidRDefault="0079190E" w:rsidP="007919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N/A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C46CC" w14:textId="25977B37" w:rsidR="0079190E" w:rsidRPr="00817F58" w:rsidRDefault="0079190E" w:rsidP="0079190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58.9%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F4D96C" w14:textId="3F5EB4FD" w:rsidR="0079190E" w:rsidRPr="00817F58" w:rsidRDefault="0079190E" w:rsidP="007919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↓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45F1DB" w14:textId="2F52223E" w:rsidR="0079190E" w:rsidRPr="00817F58" w:rsidRDefault="0079190E" w:rsidP="0079190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5C2E83" w14:textId="7CF87BE3" w:rsidR="0079190E" w:rsidRPr="00817F58" w:rsidRDefault="0079190E" w:rsidP="007919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N/A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103CC" w14:textId="63B5ABB9" w:rsidR="0079190E" w:rsidRPr="00817F58" w:rsidRDefault="0079190E" w:rsidP="0079190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N/A</w:t>
            </w:r>
          </w:p>
        </w:tc>
      </w:tr>
      <w:tr w:rsidR="0074576E" w:rsidRPr="00CF5E11" w14:paraId="2B46608C" w14:textId="77777777" w:rsidTr="00A60900">
        <w:trPr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2AAD4" w14:textId="53DE157B" w:rsidR="0079190E" w:rsidRPr="00EB091E" w:rsidRDefault="0079190E" w:rsidP="0079190E">
            <w:pPr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EB091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FUA - 7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205743" w14:textId="269C4932" w:rsidR="0079190E" w:rsidRPr="00817F58" w:rsidRDefault="0079190E" w:rsidP="0079190E">
            <w:pPr>
              <w:rPr>
                <w:rFonts w:ascii="Calibri" w:hAnsi="Calibri" w:cs="Calibri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Follow-Up After Emergency Department Visit for </w:t>
            </w:r>
            <w:r w:rsidR="00F4588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Substance Use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(7 days)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093C9" w14:textId="1743A65E" w:rsidR="0079190E" w:rsidRPr="00817F58" w:rsidRDefault="0079190E" w:rsidP="007919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47.8%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255F8" w14:textId="195221D1" w:rsidR="0079190E" w:rsidRPr="00817F58" w:rsidRDefault="0079190E" w:rsidP="0079190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49.6%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87653" w14:textId="7EE81534" w:rsidR="0079190E" w:rsidRPr="00817F58" w:rsidRDefault="0079190E" w:rsidP="007919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38.2%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D8DDA9" w14:textId="28827AA1" w:rsidR="0079190E" w:rsidRPr="00817F58" w:rsidRDefault="0079190E" w:rsidP="0079190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47.7%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BCA30A" w14:textId="30A74D61" w:rsidR="0079190E" w:rsidRPr="00817F58" w:rsidRDefault="0079190E" w:rsidP="007919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↑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C7A034" w14:textId="1D504261" w:rsidR="0079190E" w:rsidRPr="00817F58" w:rsidRDefault="0079190E" w:rsidP="0079190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9E878" w14:textId="2B0F494C" w:rsidR="0079190E" w:rsidRPr="00817F58" w:rsidRDefault="0079190E" w:rsidP="007919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↑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82DEA" w14:textId="047BBC15" w:rsidR="0079190E" w:rsidRPr="00817F58" w:rsidRDefault="0079190E" w:rsidP="0079190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↑</w:t>
            </w:r>
          </w:p>
        </w:tc>
      </w:tr>
      <w:tr w:rsidR="0074576E" w:rsidRPr="00CF5E11" w14:paraId="5C864331" w14:textId="77777777" w:rsidTr="00A60900">
        <w:trPr>
          <w:trHeight w:val="25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29BF9" w14:textId="069CED54" w:rsidR="0079190E" w:rsidRPr="00EB091E" w:rsidRDefault="0079190E" w:rsidP="0079190E">
            <w:pPr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EB091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FUH - 30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567361" w14:textId="4D4967A3" w:rsidR="0079190E" w:rsidRPr="00817F58" w:rsidRDefault="0079190E" w:rsidP="0079190E">
            <w:pPr>
              <w:rPr>
                <w:rFonts w:ascii="Calibri" w:hAnsi="Calibri" w:cs="Calibri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Follow-Up After Hospitalization for Mental Illness (30 days)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951480" w14:textId="1419B3EE" w:rsidR="0079190E" w:rsidRPr="00817F58" w:rsidRDefault="0079190E" w:rsidP="007919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62.2%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40382E" w14:textId="39187186" w:rsidR="0079190E" w:rsidRPr="00817F58" w:rsidRDefault="0079190E" w:rsidP="0079190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69.9%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8BD47" w14:textId="79C80721" w:rsidR="0079190E" w:rsidRPr="00817F58" w:rsidRDefault="0079190E" w:rsidP="007919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45.3%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83A12" w14:textId="09C67AF2" w:rsidR="0079190E" w:rsidRPr="00817F58" w:rsidRDefault="0079190E" w:rsidP="0079190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62.2%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87398" w14:textId="1E67566E" w:rsidR="0079190E" w:rsidRPr="00817F58" w:rsidRDefault="0079190E" w:rsidP="007919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↑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976AC2" w14:textId="7D6B7C7E" w:rsidR="0079190E" w:rsidRPr="00817F58" w:rsidRDefault="0079190E" w:rsidP="0079190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E75477" w14:textId="1F93F95E" w:rsidR="0079190E" w:rsidRPr="00817F58" w:rsidRDefault="0079190E" w:rsidP="007919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↓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037B7" w14:textId="0AD24DEA" w:rsidR="0079190E" w:rsidRPr="00817F58" w:rsidRDefault="0079190E" w:rsidP="0079190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↓</w:t>
            </w:r>
          </w:p>
        </w:tc>
      </w:tr>
      <w:tr w:rsidR="0074576E" w:rsidRPr="00CF5E11" w14:paraId="7A689C9F" w14:textId="77777777" w:rsidTr="00A60900">
        <w:trPr>
          <w:trHeight w:val="45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C953B" w14:textId="2E957A31" w:rsidR="0079190E" w:rsidRPr="00EB091E" w:rsidRDefault="0079190E" w:rsidP="0079190E">
            <w:pPr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EB091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FUH - 7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85B786" w14:textId="377D7674" w:rsidR="0079190E" w:rsidRPr="00817F58" w:rsidRDefault="0079190E" w:rsidP="0079190E">
            <w:pPr>
              <w:rPr>
                <w:rFonts w:ascii="Calibri" w:hAnsi="Calibri" w:cs="Calibri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Follow-Up After Hospitalization for Mental Illness (7 days)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DE6746" w14:textId="63361302" w:rsidR="0079190E" w:rsidRPr="00817F58" w:rsidRDefault="0079190E" w:rsidP="007919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41.2%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CA8DE" w14:textId="2C842FE2" w:rsidR="0079190E" w:rsidRPr="00817F58" w:rsidRDefault="0079190E" w:rsidP="0079190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54.4%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136D4" w14:textId="662DCA1D" w:rsidR="0079190E" w:rsidRPr="00817F58" w:rsidRDefault="0079190E" w:rsidP="007919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29.1%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72E94" w14:textId="05AFB2A6" w:rsidR="0079190E" w:rsidRPr="00817F58" w:rsidRDefault="0079190E" w:rsidP="0079190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42.0%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2CD1E" w14:textId="4065444D" w:rsidR="0079190E" w:rsidRPr="00817F58" w:rsidRDefault="0079190E" w:rsidP="007919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↑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A3BA35" w14:textId="07FA0815" w:rsidR="0079190E" w:rsidRPr="00817F58" w:rsidRDefault="0079190E" w:rsidP="0079190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2B79F0" w14:textId="1E14B365" w:rsidR="0079190E" w:rsidRPr="00817F58" w:rsidRDefault="0079190E" w:rsidP="007919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↓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1E19A" w14:textId="1B32F226" w:rsidR="0079190E" w:rsidRPr="00817F58" w:rsidRDefault="0079190E" w:rsidP="0079190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↓</w:t>
            </w:r>
          </w:p>
        </w:tc>
      </w:tr>
      <w:tr w:rsidR="0074576E" w:rsidRPr="00CF5E11" w14:paraId="297A5211" w14:textId="77777777" w:rsidTr="00A60900">
        <w:trPr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4D6B23" w14:textId="55C67FC9" w:rsidR="0079190E" w:rsidRPr="00EB091E" w:rsidRDefault="0079190E" w:rsidP="0079190E">
            <w:pPr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EB091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FUM - 7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13DC6F" w14:textId="3B212C32" w:rsidR="0079190E" w:rsidRPr="00817F58" w:rsidRDefault="0079190E" w:rsidP="0079190E">
            <w:pPr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Follow-Up After Emergency Department Visit for Mental Illness (7 days)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FC4313" w14:textId="02A93C68" w:rsidR="0079190E" w:rsidRPr="00817F58" w:rsidRDefault="0079190E" w:rsidP="007919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80.4%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604F2" w14:textId="317F04C6" w:rsidR="0079190E" w:rsidRPr="00817F58" w:rsidRDefault="0079190E" w:rsidP="0079190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73.5%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FA927" w14:textId="70E6F31A" w:rsidR="0079190E" w:rsidRPr="00817F58" w:rsidRDefault="0079190E" w:rsidP="007919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72.7%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1897F9" w14:textId="67090EC0" w:rsidR="0079190E" w:rsidRPr="00817F58" w:rsidRDefault="0079190E" w:rsidP="0079190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79.6%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B000D" w14:textId="6187C193" w:rsidR="0079190E" w:rsidRPr="00817F58" w:rsidRDefault="0079190E" w:rsidP="007919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↑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8DCF56" w14:textId="301A1ED6" w:rsidR="0079190E" w:rsidRPr="00817F58" w:rsidRDefault="0079190E" w:rsidP="0079190E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57DD32" w14:textId="751DC9F0" w:rsidR="0079190E" w:rsidRPr="00817F58" w:rsidRDefault="0079190E" w:rsidP="007919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↑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CDC7E5" w14:textId="12D8DFFF" w:rsidR="0079190E" w:rsidRPr="00817F58" w:rsidRDefault="0079190E" w:rsidP="0079190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↑</w:t>
            </w:r>
          </w:p>
        </w:tc>
      </w:tr>
      <w:tr w:rsidR="0074576E" w:rsidRPr="00CF5E11" w14:paraId="15DC336C" w14:textId="77777777" w:rsidTr="00A60900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AF8239" w14:textId="669A421F" w:rsidR="0079190E" w:rsidRPr="00EB091E" w:rsidRDefault="0079190E" w:rsidP="0079190E">
            <w:pPr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EB091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HBD - Poor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371E3" w14:textId="2FAD4E29" w:rsidR="0079190E" w:rsidRPr="00817F58" w:rsidRDefault="0079190E" w:rsidP="0079190E">
            <w:pPr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Hemoglobin A1c Control for Patients </w:t>
            </w:r>
            <w:r w:rsidR="00792AFB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with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Diabetes - Poor HbA1c Control 1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4FF9B" w14:textId="3E4DB05E" w:rsidR="0079190E" w:rsidRPr="00817F58" w:rsidRDefault="0079190E" w:rsidP="007919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36.3%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5EDDF5" w14:textId="4573EDC6" w:rsidR="0079190E" w:rsidRPr="00817F58" w:rsidRDefault="0079190E" w:rsidP="0079190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29.2%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D54C18" w14:textId="0B75A6CA" w:rsidR="0079190E" w:rsidRPr="00817F58" w:rsidRDefault="0079190E" w:rsidP="007919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N/A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75FB91" w14:textId="3B8C4F67" w:rsidR="0079190E" w:rsidRPr="00817F58" w:rsidRDefault="0079190E" w:rsidP="0079190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35.7%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408B05" w14:textId="10CEE8DB" w:rsidR="0079190E" w:rsidRPr="00817F58" w:rsidRDefault="0079190E" w:rsidP="007919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↑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221224" w14:textId="6CC7C324" w:rsidR="0079190E" w:rsidRPr="00817F58" w:rsidRDefault="0079190E" w:rsidP="0079190E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1EAD74" w14:textId="46963503" w:rsidR="0079190E" w:rsidRPr="00817F58" w:rsidRDefault="0079190E" w:rsidP="007919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↑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13071" w14:textId="0B7C9487" w:rsidR="0079190E" w:rsidRPr="00817F58" w:rsidRDefault="0079190E" w:rsidP="0079190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↑</w:t>
            </w:r>
          </w:p>
        </w:tc>
      </w:tr>
      <w:tr w:rsidR="0074576E" w:rsidRPr="00CF5E11" w14:paraId="047F30CC" w14:textId="77777777" w:rsidTr="00A60900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D7DF1" w14:textId="1B7D3BBA" w:rsidR="0079190E" w:rsidRPr="00EB091E" w:rsidRDefault="0079190E" w:rsidP="0079190E">
            <w:pPr>
              <w:tabs>
                <w:tab w:val="right" w:pos="3582"/>
              </w:tabs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EB091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IET - Eng Total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559E0" w14:textId="2AC00551" w:rsidR="0079190E" w:rsidRPr="00817F58" w:rsidRDefault="0079190E" w:rsidP="0079190E">
            <w:pPr>
              <w:tabs>
                <w:tab w:val="right" w:pos="3582"/>
              </w:tabs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Initiation and Engagement of </w:t>
            </w:r>
            <w:r w:rsidR="000A519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Substance Use Disorder 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Treatment (Engagement Total)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159940" w14:textId="42E4C574" w:rsidR="0079190E" w:rsidRPr="00817F58" w:rsidRDefault="0079190E" w:rsidP="007919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10.6%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512E7" w14:textId="5D77CB1B" w:rsidR="0079190E" w:rsidRPr="00817F58" w:rsidRDefault="0079190E" w:rsidP="0079190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11.1%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09CB2" w14:textId="57B7AE16" w:rsidR="0079190E" w:rsidRPr="00817F58" w:rsidRDefault="0079190E" w:rsidP="007919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N/A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D2FC10" w14:textId="3C9E75AF" w:rsidR="0079190E" w:rsidRPr="00817F58" w:rsidRDefault="0079190E" w:rsidP="0079190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10.7%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CCAFA" w14:textId="26157F6F" w:rsidR="0079190E" w:rsidRPr="00817F58" w:rsidRDefault="0079190E" w:rsidP="007919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↑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A3B882" w14:textId="21C69C65" w:rsidR="0079190E" w:rsidRPr="00817F58" w:rsidRDefault="0079190E" w:rsidP="0079190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A04FA" w14:textId="5B6A84B7" w:rsidR="0079190E" w:rsidRPr="00817F58" w:rsidRDefault="0079190E" w:rsidP="007919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↓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CDDC09" w14:textId="207238E6" w:rsidR="0079190E" w:rsidRPr="00817F58" w:rsidRDefault="0079190E" w:rsidP="0079190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↓</w:t>
            </w:r>
          </w:p>
        </w:tc>
      </w:tr>
      <w:tr w:rsidR="0074576E" w:rsidRPr="00CF5E11" w14:paraId="7F44AEC4" w14:textId="77777777" w:rsidTr="00A60900">
        <w:trPr>
          <w:trHeight w:val="30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7FA853" w14:textId="303B51AF" w:rsidR="0079190E" w:rsidRPr="00EB091E" w:rsidRDefault="0079190E" w:rsidP="0079190E">
            <w:pPr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EB091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IET - Init Total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69440F" w14:textId="030D902E" w:rsidR="0079190E" w:rsidRPr="00817F58" w:rsidRDefault="0079190E" w:rsidP="0079190E">
            <w:pPr>
              <w:rPr>
                <w:rFonts w:ascii="Calibri" w:hAnsi="Calibri" w:cs="Calibri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Initiation and Engagement of </w:t>
            </w:r>
            <w:r w:rsidR="000A519D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Substance Use Disorder 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Treatment (Initiation Total)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64A700" w14:textId="05157E28" w:rsidR="0079190E" w:rsidRPr="00817F58" w:rsidRDefault="0079190E" w:rsidP="007919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38.9%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6783A4" w14:textId="249574C9" w:rsidR="0079190E" w:rsidRPr="00817F58" w:rsidRDefault="0079190E" w:rsidP="0079190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38.2%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FBB62" w14:textId="14AE1BF6" w:rsidR="0079190E" w:rsidRPr="00817F58" w:rsidRDefault="0079190E" w:rsidP="007919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N/A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31FFD8" w14:textId="76737725" w:rsidR="0079190E" w:rsidRPr="00817F58" w:rsidRDefault="0079190E" w:rsidP="0079190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38.7%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30F66E" w14:textId="46AEAAEC" w:rsidR="0079190E" w:rsidRPr="00817F58" w:rsidRDefault="0079190E" w:rsidP="007919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↓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6AC88E" w14:textId="35DFE98A" w:rsidR="0079190E" w:rsidRPr="00817F58" w:rsidRDefault="0079190E" w:rsidP="0079190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CCD53" w14:textId="6A0F29BF" w:rsidR="0079190E" w:rsidRPr="00817F58" w:rsidRDefault="0079190E" w:rsidP="007919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↓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7DA58B" w14:textId="62C183B0" w:rsidR="0079190E" w:rsidRPr="00817F58" w:rsidRDefault="0079190E" w:rsidP="0079190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↓</w:t>
            </w:r>
          </w:p>
        </w:tc>
      </w:tr>
      <w:tr w:rsidR="0074576E" w:rsidRPr="00CF5E11" w14:paraId="1BCF2949" w14:textId="77777777" w:rsidTr="00A60900">
        <w:trPr>
          <w:trHeight w:val="31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19D47" w14:textId="500E6E76" w:rsidR="0079190E" w:rsidRPr="00EB091E" w:rsidRDefault="0079190E" w:rsidP="0079190E">
            <w:pPr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EB091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PBH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2B5AE0" w14:textId="148919F1" w:rsidR="0079190E" w:rsidRPr="00817F58" w:rsidRDefault="0079190E" w:rsidP="0079190E">
            <w:pPr>
              <w:rPr>
                <w:rFonts w:ascii="Calibri" w:hAnsi="Calibri" w:cs="Calibri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Persistence of Beta-Blocker Treatment After Heart Attack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4A120C" w14:textId="6AB4F90E" w:rsidR="0079190E" w:rsidRPr="00817F58" w:rsidRDefault="0079190E" w:rsidP="007919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96.4%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A34BED" w14:textId="3BC38B5E" w:rsidR="0079190E" w:rsidRPr="00817F58" w:rsidRDefault="0079190E" w:rsidP="0079190E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867576" w14:textId="57C66399" w:rsidR="0079190E" w:rsidRPr="00817F58" w:rsidRDefault="0079190E" w:rsidP="007919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N/A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A4766C" w14:textId="06869B24" w:rsidR="0079190E" w:rsidRPr="00817F58" w:rsidRDefault="0079190E" w:rsidP="0079190E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95.5%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FF755" w14:textId="74FA6FCB" w:rsidR="0079190E" w:rsidRPr="00817F58" w:rsidRDefault="0079190E" w:rsidP="007919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↑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05983" w14:textId="469FB608" w:rsidR="0079190E" w:rsidRPr="00817F58" w:rsidRDefault="0079190E" w:rsidP="0079190E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96C411" w14:textId="78173156" w:rsidR="0079190E" w:rsidRPr="00817F58" w:rsidRDefault="0079190E" w:rsidP="007919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↑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EC92F8" w14:textId="2CCCA7AE" w:rsidR="0079190E" w:rsidRPr="00817F58" w:rsidRDefault="0079190E" w:rsidP="0079190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↑</w:t>
            </w:r>
          </w:p>
        </w:tc>
      </w:tr>
      <w:tr w:rsidR="0074576E" w:rsidRPr="00CF5E11" w14:paraId="68071FF3" w14:textId="77777777" w:rsidTr="00A60900">
        <w:trPr>
          <w:trHeight w:val="2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6F8C4A" w14:textId="0D0C5819" w:rsidR="0079190E" w:rsidRPr="00817F58" w:rsidRDefault="0079190E" w:rsidP="0079190E">
            <w:pPr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lastRenderedPageBreak/>
              <w:t>PCR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65EA9E" w14:textId="64CAA075" w:rsidR="0079190E" w:rsidRPr="00817F58" w:rsidRDefault="0079190E" w:rsidP="0079190E">
            <w:pPr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Plan All-Cause Readmission (observed to expected ratio) </w:t>
            </w:r>
            <w:r w:rsidRPr="00172801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E6936E" w14:textId="4C7A832B" w:rsidR="0079190E" w:rsidRPr="00817F58" w:rsidRDefault="0079190E" w:rsidP="007919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1.38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2A93F" w14:textId="1306DA39" w:rsidR="0079190E" w:rsidRPr="00817F58" w:rsidRDefault="0079190E" w:rsidP="0079190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0.98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E9A92" w14:textId="08EE68C5" w:rsidR="0079190E" w:rsidRPr="00817F58" w:rsidRDefault="0079190E" w:rsidP="007919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N/A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397E5" w14:textId="3D35F98D" w:rsidR="0079190E" w:rsidRPr="00817F58" w:rsidRDefault="0079190E" w:rsidP="0079190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1.34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B72D5E" w14:textId="5AB36199" w:rsidR="0079190E" w:rsidRPr="00817F58" w:rsidRDefault="0079190E" w:rsidP="007919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↑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544EAE" w14:textId="2EB42072" w:rsidR="0079190E" w:rsidRPr="00817F58" w:rsidRDefault="0079190E" w:rsidP="0079190E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↑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5B59C1" w14:textId="4F4D848A" w:rsidR="0079190E" w:rsidRPr="00817F58" w:rsidRDefault="0079190E" w:rsidP="007919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↑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8F1436" w14:textId="6BE274C7" w:rsidR="0079190E" w:rsidRPr="00817F58" w:rsidRDefault="0079190E" w:rsidP="0079190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↑</w:t>
            </w:r>
          </w:p>
        </w:tc>
      </w:tr>
      <w:tr w:rsidR="0074576E" w:rsidRPr="00CF5E11" w14:paraId="636297B9" w14:textId="77777777" w:rsidTr="00A60900">
        <w:trPr>
          <w:trHeight w:val="2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1A04A" w14:textId="72889398" w:rsidR="0079190E" w:rsidRPr="00EB091E" w:rsidRDefault="0079190E" w:rsidP="0079190E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EB091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SPR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4F301D" w14:textId="7C933337" w:rsidR="0079190E" w:rsidRPr="00817F58" w:rsidRDefault="0079190E" w:rsidP="0079190E">
            <w:pPr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Use of Spirometry Testing in the Assessment and Diagnosis of COPD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F5C4D7" w14:textId="3620AEB5" w:rsidR="0079190E" w:rsidRPr="00817F58" w:rsidRDefault="0079190E" w:rsidP="007919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20"/>
                <w:szCs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20.0%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8D530E" w14:textId="1EDB149F" w:rsidR="0079190E" w:rsidRPr="00817F58" w:rsidRDefault="0079190E" w:rsidP="0079190E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19.0%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B5B04" w14:textId="55B2DA72" w:rsidR="0079190E" w:rsidRPr="00817F58" w:rsidRDefault="0079190E" w:rsidP="007919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N/A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B82FF4" w14:textId="49733A94" w:rsidR="0079190E" w:rsidRPr="00817F58" w:rsidRDefault="0079190E" w:rsidP="0079190E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19.8%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484C0" w14:textId="649B2092" w:rsidR="0079190E" w:rsidRPr="00817F58" w:rsidRDefault="0079190E" w:rsidP="007919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20"/>
                <w:szCs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↓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357CCF" w14:textId="2E3D74F4" w:rsidR="0079190E" w:rsidRPr="00817F58" w:rsidRDefault="0079190E" w:rsidP="0079190E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200D7" w14:textId="06BC8E69" w:rsidR="0079190E" w:rsidRPr="00817F58" w:rsidRDefault="0079190E" w:rsidP="007919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↓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72AD1" w14:textId="0AAFF67D" w:rsidR="0079190E" w:rsidRPr="00817F58" w:rsidRDefault="0079190E" w:rsidP="0079190E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↓</w:t>
            </w:r>
          </w:p>
        </w:tc>
      </w:tr>
      <w:tr w:rsidR="0074576E" w:rsidRPr="00CF5E11" w14:paraId="7E3CDF33" w14:textId="77777777" w:rsidTr="0074576E">
        <w:trPr>
          <w:trHeight w:val="2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638187" w14:textId="0AD9A919" w:rsidR="0079190E" w:rsidRPr="00EB091E" w:rsidRDefault="0079190E" w:rsidP="0079190E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EB091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TRC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6CF267" w14:textId="5B38CB1E" w:rsidR="0079190E" w:rsidRPr="00817F58" w:rsidRDefault="0079190E" w:rsidP="0079190E">
            <w:pPr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Transitions of Care: Medication Reconciliation Post-Discharge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C5BDD" w14:textId="2CD53017" w:rsidR="0079190E" w:rsidRPr="00053772" w:rsidRDefault="0079190E" w:rsidP="007919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05377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68.5%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7D36A1" w14:textId="09A2B54E" w:rsidR="0079190E" w:rsidRPr="00053772" w:rsidRDefault="0079190E" w:rsidP="0079190E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05377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37.5%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1DB57" w14:textId="421227BC" w:rsidR="0079190E" w:rsidRPr="00053772" w:rsidRDefault="0079190E" w:rsidP="007919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05377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59.5%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A59660" w14:textId="4D8B2C31" w:rsidR="0079190E" w:rsidRPr="00053772" w:rsidRDefault="0079190E" w:rsidP="0079190E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  <w:highlight w:val="yellow"/>
              </w:rPr>
            </w:pPr>
            <w:r w:rsidRPr="0005377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65.2%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6E38E" w14:textId="6F2B25EB" w:rsidR="0079190E" w:rsidRPr="00053772" w:rsidRDefault="0079190E" w:rsidP="007919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05377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↓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D469AB" w14:textId="655AAB92" w:rsidR="0079190E" w:rsidRPr="00053772" w:rsidRDefault="0079190E" w:rsidP="0079190E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05377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↓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E6AFF9" w14:textId="6274DBF9" w:rsidR="0079190E" w:rsidRPr="00053772" w:rsidRDefault="0079190E" w:rsidP="0079190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05377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N/A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F997AF" w14:textId="3827DACA" w:rsidR="0079190E" w:rsidRPr="00053772" w:rsidRDefault="0079190E" w:rsidP="0079190E">
            <w:pPr>
              <w:jc w:val="center"/>
              <w:rPr>
                <w:rFonts w:asciiTheme="minorHAnsi" w:hAnsiTheme="minorHAnsi" w:cstheme="minorHAnsi"/>
                <w:sz w:val="20"/>
                <w:szCs w:val="20"/>
                <w:highlight w:val="yellow"/>
              </w:rPr>
            </w:pPr>
            <w:r w:rsidRPr="0005377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N/A</w:t>
            </w:r>
          </w:p>
        </w:tc>
      </w:tr>
    </w:tbl>
    <w:p w14:paraId="0E9D183E" w14:textId="77777777" w:rsidR="00425F29" w:rsidRPr="00CF5E11" w:rsidRDefault="00425F29" w:rsidP="00425F29">
      <w:pPr>
        <w:spacing w:before="240"/>
      </w:pPr>
      <w:r w:rsidRPr="00CF5E11">
        <w:t>One Care plans are compared to both the national Medicare and Medicaid 75</w:t>
      </w:r>
      <w:r w:rsidRPr="00CF5E11">
        <w:rPr>
          <w:vertAlign w:val="superscript"/>
        </w:rPr>
        <w:t>th</w:t>
      </w:r>
      <w:r w:rsidRPr="00CF5E11">
        <w:t xml:space="preserve"> and 90</w:t>
      </w:r>
      <w:r w:rsidRPr="00CF5E11">
        <w:rPr>
          <w:vertAlign w:val="superscript"/>
        </w:rPr>
        <w:t>th</w:t>
      </w:r>
      <w:r w:rsidRPr="00CF5E11">
        <w:t xml:space="preserve"> percentile benchmarks in the table above, where benchmark data are available.</w:t>
      </w:r>
    </w:p>
    <w:p w14:paraId="3BB7A883" w14:textId="77777777" w:rsidR="00425F29" w:rsidRPr="00CF5E11" w:rsidRDefault="00425F29" w:rsidP="00425F29">
      <w:pPr>
        <w:pStyle w:val="ListParagraph"/>
        <w:numPr>
          <w:ilvl w:val="0"/>
          <w:numId w:val="12"/>
        </w:numPr>
      </w:pPr>
      <w:r w:rsidRPr="00CF5E11">
        <w:t>The MassHealth Weighted Mean (MHWM) rates for FUM (7 day), FUA (7 day) and PBH are above the 90</w:t>
      </w:r>
      <w:r w:rsidRPr="00CF5E11">
        <w:rPr>
          <w:vertAlign w:val="superscript"/>
        </w:rPr>
        <w:t>th</w:t>
      </w:r>
      <w:r w:rsidRPr="00CF5E11">
        <w:t xml:space="preserve"> percentile for both Medicare and Medicaid.</w:t>
      </w:r>
    </w:p>
    <w:p w14:paraId="0FC886F4" w14:textId="77777777" w:rsidR="00425F29" w:rsidRPr="00CF5E11" w:rsidRDefault="00425F29" w:rsidP="00425F29">
      <w:pPr>
        <w:pStyle w:val="ListParagraph"/>
        <w:numPr>
          <w:ilvl w:val="0"/>
          <w:numId w:val="12"/>
        </w:numPr>
      </w:pPr>
      <w:r w:rsidRPr="00CF5E11">
        <w:t>The MHWM rate for IET (Engagement) is above the 90</w:t>
      </w:r>
      <w:r w:rsidRPr="00CF5E11">
        <w:rPr>
          <w:vertAlign w:val="superscript"/>
        </w:rPr>
        <w:t>th</w:t>
      </w:r>
      <w:r w:rsidRPr="00CF5E11">
        <w:t xml:space="preserve"> percentile for Medicare, but below the 75</w:t>
      </w:r>
      <w:r w:rsidRPr="00CF5E11">
        <w:rPr>
          <w:vertAlign w:val="superscript"/>
        </w:rPr>
        <w:t>th</w:t>
      </w:r>
      <w:r w:rsidRPr="00CF5E11">
        <w:t xml:space="preserve"> percentile for Medicaid.</w:t>
      </w:r>
    </w:p>
    <w:p w14:paraId="1AEDFE8F" w14:textId="77777777" w:rsidR="00425F29" w:rsidRPr="00CF5E11" w:rsidRDefault="00425F29" w:rsidP="00425F29">
      <w:pPr>
        <w:pStyle w:val="ListParagraph"/>
        <w:numPr>
          <w:ilvl w:val="0"/>
          <w:numId w:val="12"/>
        </w:numPr>
      </w:pPr>
      <w:r w:rsidRPr="00CF5E11">
        <w:t>The MHWM rates for AMM (both submeasures)</w:t>
      </w:r>
      <w:r>
        <w:t xml:space="preserve">, CBP, </w:t>
      </w:r>
      <w:r w:rsidRPr="00CF5E11">
        <w:t>and BCS are below the 75</w:t>
      </w:r>
      <w:r w:rsidRPr="00CF5E11">
        <w:rPr>
          <w:vertAlign w:val="superscript"/>
        </w:rPr>
        <w:t>th</w:t>
      </w:r>
      <w:r w:rsidRPr="00CF5E11">
        <w:t xml:space="preserve"> percentile for Medicare, but above the 90</w:t>
      </w:r>
      <w:r w:rsidRPr="00CF5E11">
        <w:rPr>
          <w:vertAlign w:val="superscript"/>
        </w:rPr>
        <w:t>th</w:t>
      </w:r>
      <w:r w:rsidRPr="00CF5E11">
        <w:t xml:space="preserve"> percentile for Medicaid</w:t>
      </w:r>
    </w:p>
    <w:p w14:paraId="374B651A" w14:textId="77777777" w:rsidR="00425F29" w:rsidRPr="00CF5E11" w:rsidRDefault="00425F29" w:rsidP="00425F29">
      <w:pPr>
        <w:pStyle w:val="ListParagraph"/>
        <w:numPr>
          <w:ilvl w:val="0"/>
          <w:numId w:val="12"/>
        </w:numPr>
      </w:pPr>
      <w:r w:rsidRPr="00CF5E11">
        <w:t>The MHWM rate for FUH (both submeasures) is above the 75</w:t>
      </w:r>
      <w:r w:rsidRPr="00CF5E11">
        <w:rPr>
          <w:vertAlign w:val="superscript"/>
        </w:rPr>
        <w:t>th</w:t>
      </w:r>
      <w:r w:rsidRPr="00CF5E11">
        <w:t xml:space="preserve"> for Medicare, but below the 75</w:t>
      </w:r>
      <w:r w:rsidRPr="00CF5E11">
        <w:rPr>
          <w:vertAlign w:val="superscript"/>
        </w:rPr>
        <w:t>th</w:t>
      </w:r>
      <w:r w:rsidRPr="00CF5E11">
        <w:t xml:space="preserve"> percentile for Medicaid. </w:t>
      </w:r>
    </w:p>
    <w:p w14:paraId="62727647" w14:textId="77777777" w:rsidR="00425F29" w:rsidRPr="00CF5E11" w:rsidRDefault="00425F29" w:rsidP="00425F29">
      <w:pPr>
        <w:pStyle w:val="ListParagraph"/>
        <w:numPr>
          <w:ilvl w:val="0"/>
          <w:numId w:val="12"/>
        </w:numPr>
      </w:pPr>
      <w:r w:rsidRPr="00CF5E11">
        <w:t>The MHWM rates for SPR and IET (Initiation) are below the 75</w:t>
      </w:r>
      <w:r w:rsidRPr="00CF5E11">
        <w:rPr>
          <w:vertAlign w:val="superscript"/>
        </w:rPr>
        <w:t>th</w:t>
      </w:r>
      <w:r w:rsidRPr="00CF5E11">
        <w:t xml:space="preserve"> percentile for both Medicare and Medicaid.</w:t>
      </w:r>
    </w:p>
    <w:p w14:paraId="07C737F0" w14:textId="77777777" w:rsidR="00425F29" w:rsidRDefault="00425F29" w:rsidP="00425F29">
      <w:pPr>
        <w:pStyle w:val="ListParagraph"/>
        <w:numPr>
          <w:ilvl w:val="0"/>
          <w:numId w:val="12"/>
        </w:numPr>
      </w:pPr>
      <w:r w:rsidRPr="00CF5E11">
        <w:t>The MHWM rates for COL and TRC (Medication Reconciliation) are below the 75</w:t>
      </w:r>
      <w:r w:rsidRPr="00CF5E11">
        <w:rPr>
          <w:vertAlign w:val="superscript"/>
        </w:rPr>
        <w:t>th</w:t>
      </w:r>
      <w:r w:rsidRPr="00CF5E11">
        <w:t xml:space="preserve"> percentile for Medicare.  COL and TRC have no Medicaid benchmark.</w:t>
      </w:r>
    </w:p>
    <w:p w14:paraId="75ECB991" w14:textId="7F089849" w:rsidR="00425F29" w:rsidRDefault="00425F29" w:rsidP="00425F29">
      <w:pPr>
        <w:pStyle w:val="ListParagraph"/>
        <w:numPr>
          <w:ilvl w:val="0"/>
          <w:numId w:val="12"/>
        </w:numPr>
      </w:pPr>
      <w:r w:rsidRPr="00CF5E11">
        <w:t xml:space="preserve">The MHWM rates for PCR and the mean for </w:t>
      </w:r>
      <w:r>
        <w:t>HBD</w:t>
      </w:r>
      <w:r w:rsidRPr="00CF5E11">
        <w:t xml:space="preserve"> (Poor Control) were higher than both the 75</w:t>
      </w:r>
      <w:r w:rsidRPr="00425F29">
        <w:rPr>
          <w:vertAlign w:val="superscript"/>
        </w:rPr>
        <w:t>th</w:t>
      </w:r>
      <w:r w:rsidRPr="00CF5E11">
        <w:t xml:space="preserve"> and 90</w:t>
      </w:r>
      <w:r w:rsidRPr="00425F29">
        <w:rPr>
          <w:vertAlign w:val="superscript"/>
        </w:rPr>
        <w:t>th</w:t>
      </w:r>
      <w:r w:rsidRPr="00CF5E11">
        <w:t xml:space="preserve"> percentile for both Medicare and Medicaid, meaning that plan performance failed to meet those benchmarks (because a lower rate signifies better performance).  </w:t>
      </w:r>
    </w:p>
    <w:p w14:paraId="001F84F8" w14:textId="77777777" w:rsidR="00425F29" w:rsidRDefault="00425F29" w:rsidP="00AC7633">
      <w:pPr>
        <w:spacing w:before="240" w:after="0"/>
      </w:pPr>
    </w:p>
    <w:p w14:paraId="3E2C2999" w14:textId="77777777" w:rsidR="00425F29" w:rsidRDefault="00425F29" w:rsidP="00AC7633">
      <w:pPr>
        <w:spacing w:before="240" w:after="0"/>
      </w:pPr>
    </w:p>
    <w:p w14:paraId="6B26D2AC" w14:textId="77777777" w:rsidR="00425F29" w:rsidRDefault="00425F29" w:rsidP="00AC7633">
      <w:pPr>
        <w:spacing w:before="240" w:after="0"/>
      </w:pPr>
    </w:p>
    <w:p w14:paraId="2F1270A9" w14:textId="77777777" w:rsidR="00425F29" w:rsidRDefault="00425F29" w:rsidP="00AC7633">
      <w:pPr>
        <w:spacing w:before="240" w:after="0"/>
      </w:pPr>
    </w:p>
    <w:p w14:paraId="6CEA5795" w14:textId="77777777" w:rsidR="00AC6B29" w:rsidRDefault="00AC6B29" w:rsidP="00AC7633">
      <w:pPr>
        <w:spacing w:before="240" w:after="0"/>
      </w:pPr>
    </w:p>
    <w:p w14:paraId="5CDCA0C3" w14:textId="4CB23D66" w:rsidR="007042FE" w:rsidRDefault="00AC7633" w:rsidP="00AC7633">
      <w:pPr>
        <w:spacing w:before="240" w:after="0"/>
      </w:pPr>
      <w:r>
        <w:lastRenderedPageBreak/>
        <w:t xml:space="preserve">Table 4.b: State-Defined and </w:t>
      </w:r>
      <w:r w:rsidR="00BF47C2">
        <w:t xml:space="preserve">MA PDP </w:t>
      </w:r>
      <w:r>
        <w:t>CAHPS Measures</w:t>
      </w:r>
    </w:p>
    <w:tbl>
      <w:tblPr>
        <w:tblStyle w:val="MediumList2-Accent1"/>
        <w:tblpPr w:leftFromText="187" w:rightFromText="187" w:vertAnchor="text" w:horzAnchor="margin" w:tblpXSpec="center" w:tblpY="1"/>
        <w:tblOverlap w:val="never"/>
        <w:tblW w:w="11240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2A0" w:firstRow="1" w:lastRow="0" w:firstColumn="1" w:lastColumn="0" w:noHBand="1" w:noVBand="0"/>
      </w:tblPr>
      <w:tblGrid>
        <w:gridCol w:w="1134"/>
        <w:gridCol w:w="4305"/>
        <w:gridCol w:w="798"/>
        <w:gridCol w:w="768"/>
        <w:gridCol w:w="768"/>
        <w:gridCol w:w="946"/>
        <w:gridCol w:w="1239"/>
        <w:gridCol w:w="1282"/>
      </w:tblGrid>
      <w:tr w:rsidR="00AC7633" w:rsidRPr="00053772" w14:paraId="2D843486" w14:textId="77777777" w:rsidTr="00AC763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87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1B161DD" w14:textId="1BD559EA" w:rsidR="00AC7633" w:rsidRDefault="00AC7633" w:rsidP="007042F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Measure Code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D045C63" w14:textId="62E7197B" w:rsidR="00AC7633" w:rsidRDefault="00AC7633" w:rsidP="007042FE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Measure Name</w:t>
            </w:r>
          </w:p>
        </w:tc>
        <w:tc>
          <w:tcPr>
            <w:tcW w:w="79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B591A9A" w14:textId="56C97BB8" w:rsidR="00AC7633" w:rsidRDefault="00AC7633" w:rsidP="007042F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CCA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45E8193" w14:textId="0A9C1B3D" w:rsidR="00AC7633" w:rsidRDefault="00AC7633" w:rsidP="007042FE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THP</w:t>
            </w:r>
          </w:p>
        </w:tc>
        <w:tc>
          <w:tcPr>
            <w:tcW w:w="76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89DD984" w14:textId="21CD9B06" w:rsidR="00AC7633" w:rsidRDefault="00AC7633" w:rsidP="007042F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UHC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4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AAE731E" w14:textId="67C100EE" w:rsidR="00AC7633" w:rsidRDefault="00AC7633" w:rsidP="007042FE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CF5E11">
              <w:rPr>
                <w:rFonts w:ascii="Calibri" w:hAnsi="Calibri"/>
                <w:b/>
                <w:bCs/>
                <w:sz w:val="18"/>
                <w:szCs w:val="22"/>
              </w:rPr>
              <w:t>MH Weighted Mean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18341C1" w14:textId="46C1FE0E" w:rsidR="00AC7633" w:rsidRPr="00AC7633" w:rsidRDefault="00AC7633" w:rsidP="007042F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AC7633"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 xml:space="preserve">Medicare </w:t>
            </w:r>
            <w: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  <w:t>Advantage FFS Average Score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37E6C9E" w14:textId="7C009C3C" w:rsidR="00AC7633" w:rsidRPr="00053772" w:rsidRDefault="00AC7633" w:rsidP="007042FE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MMP Quality Withhold Benchmark Goal</w:t>
            </w:r>
          </w:p>
        </w:tc>
      </w:tr>
      <w:tr w:rsidR="00AC7633" w:rsidRPr="00053772" w14:paraId="2C66F2ED" w14:textId="77777777" w:rsidTr="00AC7633">
        <w:trPr>
          <w:trHeight w:val="2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AA543" w14:textId="77777777" w:rsidR="00AC7633" w:rsidRPr="00817F58" w:rsidRDefault="00AC7633" w:rsidP="0096319B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N/A </w:t>
            </w:r>
            <w:r w:rsidRPr="00E152AA">
              <w:rPr>
                <w:rFonts w:ascii="Calibri" w:hAnsi="Calibri" w:cs="Calibri"/>
                <w:b/>
                <w:bCs/>
                <w:color w:val="FFFFFF" w:themeColor="background1"/>
                <w:sz w:val="18"/>
                <w:szCs w:val="18"/>
              </w:rPr>
              <w:t>Access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52A513" w14:textId="77777777" w:rsidR="00AC7633" w:rsidRPr="00817F58" w:rsidRDefault="00AC7633" w:rsidP="0096319B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Access to LTS Coordinator - Percent of members with LTSS needs who have a referral to an LTS Coordinator within 90 days of enrollment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3AA68" w14:textId="77777777" w:rsidR="00AC7633" w:rsidRPr="00053772" w:rsidRDefault="00AC7633" w:rsidP="009631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99.9%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FD5630" w14:textId="77777777" w:rsidR="00AC7633" w:rsidRPr="00053772" w:rsidRDefault="00AC7633" w:rsidP="0096319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71.4%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E03353" w14:textId="77777777" w:rsidR="00AC7633" w:rsidRPr="00053772" w:rsidRDefault="00AC7633" w:rsidP="009631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33.7%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DC05C" w14:textId="77777777" w:rsidR="00AC7633" w:rsidRPr="00053772" w:rsidRDefault="00AC7633" w:rsidP="0096319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68.9%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694EA7" w14:textId="77777777" w:rsidR="00AC7633" w:rsidRPr="00053772" w:rsidRDefault="00AC7633" w:rsidP="009631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05377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N/A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FB5693" w14:textId="49330AA3" w:rsidR="00AC7633" w:rsidRPr="00053772" w:rsidRDefault="0056309C" w:rsidP="0096319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↓</w:t>
            </w:r>
          </w:p>
        </w:tc>
      </w:tr>
      <w:tr w:rsidR="00AC7633" w:rsidRPr="00053772" w14:paraId="027DE47D" w14:textId="77777777" w:rsidTr="00AC7633">
        <w:trPr>
          <w:trHeight w:val="2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822EC4" w14:textId="77777777" w:rsidR="00AC7633" w:rsidRPr="00817F58" w:rsidRDefault="00AC7633" w:rsidP="0096319B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N/A </w:t>
            </w:r>
            <w:r w:rsidRPr="00E152AA">
              <w:rPr>
                <w:rFonts w:ascii="Calibri" w:hAnsi="Calibri" w:cs="Calibri"/>
                <w:b/>
                <w:bCs/>
                <w:color w:val="FFFFFF" w:themeColor="background1"/>
                <w:sz w:val="18"/>
                <w:szCs w:val="18"/>
              </w:rPr>
              <w:t>Assessment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48BF51" w14:textId="77777777" w:rsidR="00AC7633" w:rsidRPr="00817F58" w:rsidRDefault="00AC7633" w:rsidP="0096319B">
            <w:pPr>
              <w:rPr>
                <w:rFonts w:cstheme="minorHAns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Tracking of Demographic Information - Percent of members whose demographic data are collected and maintained in the MMP Centralized Enrollee Record (race/ethnicity/ primary language/homelessness/disability type/LGBTQ identity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E03D0D" w14:textId="77777777" w:rsidR="00AC7633" w:rsidRPr="00053772" w:rsidRDefault="00AC7633" w:rsidP="009631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053772">
              <w:rPr>
                <w:rFonts w:asciiTheme="minorHAnsi" w:hAnsiTheme="minorHAnsi" w:cstheme="minorHAnsi"/>
                <w:sz w:val="20"/>
                <w:szCs w:val="20"/>
              </w:rPr>
              <w:t>75.5%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2DF28" w14:textId="77777777" w:rsidR="00AC7633" w:rsidRPr="00053772" w:rsidRDefault="00AC7633" w:rsidP="0096319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053772">
              <w:rPr>
                <w:rFonts w:asciiTheme="minorHAnsi" w:hAnsiTheme="minorHAnsi" w:cstheme="minorHAnsi"/>
                <w:sz w:val="20"/>
                <w:szCs w:val="20"/>
              </w:rPr>
              <w:t>69.9%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87EDA6" w14:textId="77777777" w:rsidR="00AC7633" w:rsidRPr="00053772" w:rsidRDefault="00AC7633" w:rsidP="009631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053772">
              <w:rPr>
                <w:rFonts w:asciiTheme="minorHAnsi" w:hAnsiTheme="minorHAnsi" w:cstheme="minorHAnsi"/>
                <w:sz w:val="20"/>
                <w:szCs w:val="20"/>
              </w:rPr>
              <w:t>61.0%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4FDB5" w14:textId="77777777" w:rsidR="00AC7633" w:rsidRPr="00053772" w:rsidRDefault="00AC7633" w:rsidP="0096319B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73.3%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75BABC" w14:textId="77777777" w:rsidR="00AC7633" w:rsidRPr="00053772" w:rsidRDefault="00AC7633" w:rsidP="0096319B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 w:rsidRPr="0005377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N/A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8977B1" w14:textId="71A73206" w:rsidR="00AC7633" w:rsidRPr="00053772" w:rsidRDefault="0056309C" w:rsidP="0096319B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↓</w:t>
            </w:r>
          </w:p>
        </w:tc>
      </w:tr>
      <w:tr w:rsidR="00AC7633" w:rsidRPr="00053772" w14:paraId="063EC7D5" w14:textId="77777777" w:rsidTr="00AC7633">
        <w:trPr>
          <w:trHeight w:val="2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9123A" w14:textId="2129AD32" w:rsidR="00AC7633" w:rsidRDefault="00AC7633" w:rsidP="00AC7633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N/A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CD1A74" w14:textId="56E62503" w:rsidR="00AC7633" w:rsidRDefault="00AC7633" w:rsidP="00AC7633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Timely Assessment - Percent of members with an initial assessment completed within 90 days of enrollment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7CB6BF" w14:textId="5626D9BA" w:rsidR="00AC7633" w:rsidRPr="00053772" w:rsidRDefault="00AC7633" w:rsidP="00AC76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53772">
              <w:rPr>
                <w:rFonts w:asciiTheme="minorHAnsi" w:hAnsiTheme="minorHAnsi" w:cstheme="minorHAnsi"/>
                <w:sz w:val="20"/>
                <w:szCs w:val="20"/>
              </w:rPr>
              <w:t>91.1%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B98B9" w14:textId="2B7B9528" w:rsidR="00AC7633" w:rsidRPr="00053772" w:rsidRDefault="00AC7633" w:rsidP="00AC7633">
            <w:pPr>
              <w:jc w:val="center"/>
              <w:rPr>
                <w:rFonts w:cstheme="minorHAnsi"/>
                <w:sz w:val="20"/>
                <w:szCs w:val="20"/>
              </w:rPr>
            </w:pPr>
            <w:r w:rsidRPr="00053772">
              <w:rPr>
                <w:rFonts w:asciiTheme="minorHAnsi" w:hAnsiTheme="minorHAnsi" w:cstheme="minorHAnsi"/>
                <w:sz w:val="20"/>
                <w:szCs w:val="20"/>
              </w:rPr>
              <w:t>96.2%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9EDB27" w14:textId="3F15D82D" w:rsidR="00AC7633" w:rsidRPr="00053772" w:rsidRDefault="00AC7633" w:rsidP="00AC76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 w:rsidRPr="00053772">
              <w:rPr>
                <w:rFonts w:asciiTheme="minorHAnsi" w:hAnsiTheme="minorHAnsi" w:cstheme="minorHAnsi"/>
                <w:sz w:val="20"/>
                <w:szCs w:val="20"/>
              </w:rPr>
              <w:t>51.1%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4A613A" w14:textId="44131C7A" w:rsidR="00AC7633" w:rsidRDefault="00AC7633" w:rsidP="00AC7633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 w:rsidRPr="00053772">
              <w:rPr>
                <w:rFonts w:asciiTheme="minorHAnsi" w:hAnsiTheme="minorHAnsi" w:cstheme="minorHAnsi"/>
                <w:sz w:val="20"/>
                <w:szCs w:val="20"/>
              </w:rPr>
              <w:t>81.1%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0C3CB" w14:textId="2C383DE7" w:rsidR="00AC7633" w:rsidRPr="00053772" w:rsidRDefault="00AC7633" w:rsidP="00AC76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053772">
              <w:rPr>
                <w:rFonts w:asciiTheme="minorHAnsi" w:hAnsiTheme="minorHAnsi" w:cstheme="minorHAnsi"/>
                <w:sz w:val="20"/>
                <w:szCs w:val="20"/>
              </w:rPr>
              <w:t>N/A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E3EE6E" w14:textId="44934FBA" w:rsidR="00AC7633" w:rsidRPr="00053772" w:rsidRDefault="0056309C" w:rsidP="00AC7633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↓</w:t>
            </w:r>
          </w:p>
        </w:tc>
      </w:tr>
      <w:tr w:rsidR="00AC7633" w:rsidRPr="00053772" w14:paraId="40309AF1" w14:textId="77777777" w:rsidTr="00AC7633">
        <w:trPr>
          <w:trHeight w:val="2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18E950" w14:textId="43A56DCB" w:rsidR="00AC7633" w:rsidRDefault="00AC7633" w:rsidP="00AC7633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N/A </w:t>
            </w:r>
            <w:r w:rsidRPr="00E152AA">
              <w:rPr>
                <w:rFonts w:ascii="Calibri" w:hAnsi="Calibri" w:cs="Calibri"/>
                <w:b/>
                <w:bCs/>
                <w:color w:val="FFFFFF" w:themeColor="background1"/>
                <w:sz w:val="18"/>
                <w:szCs w:val="18"/>
              </w:rPr>
              <w:t>Tracking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BB9169" w14:textId="3C71CE67" w:rsidR="00AC7633" w:rsidRDefault="00AC7633" w:rsidP="00AC7633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Documentation of Care Plan Goals - Percent of members with documented discussions of care goals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C627DC" w14:textId="75080E18" w:rsidR="00AC7633" w:rsidRPr="00053772" w:rsidRDefault="00AC7633" w:rsidP="00AC76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100%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F3FE08" w14:textId="5111B643" w:rsidR="00AC7633" w:rsidRPr="00053772" w:rsidRDefault="00AC7633" w:rsidP="00AC7633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97.6%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57450" w14:textId="2F8A18CF" w:rsidR="00AC7633" w:rsidRPr="00053772" w:rsidRDefault="00AC7633" w:rsidP="00AC76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98.3%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2C011E" w14:textId="5FE68953" w:rsidR="00AC7633" w:rsidRDefault="00AC7633" w:rsidP="00AC7633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99.0%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33D6DB" w14:textId="2A2F23F9" w:rsidR="00AC7633" w:rsidRPr="00053772" w:rsidRDefault="00AC7633" w:rsidP="00AC763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053772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N/A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C66C2B" w14:textId="10094506" w:rsidR="00AC7633" w:rsidRPr="00053772" w:rsidRDefault="0056309C" w:rsidP="00AC7633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↑</w:t>
            </w:r>
          </w:p>
        </w:tc>
      </w:tr>
      <w:tr w:rsidR="00B6407A" w:rsidRPr="00DF7DED" w14:paraId="1D1B839F" w14:textId="77777777" w:rsidTr="00575CF6">
        <w:trPr>
          <w:trHeight w:val="2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0670E" w14:textId="14F44E7C" w:rsidR="00B6407A" w:rsidRPr="00471D8F" w:rsidRDefault="00B6407A" w:rsidP="00B6407A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EB091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FV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CE64F7" w14:textId="7B73978D" w:rsidR="00B6407A" w:rsidRPr="00A56418" w:rsidRDefault="00B6407A" w:rsidP="00B6407A">
            <w:pPr>
              <w:spacing w:before="40" w:after="40"/>
              <w:ind w:right="144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Influenza Vaccination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04529D" w14:textId="1C89F862" w:rsidR="00B6407A" w:rsidRDefault="00B6407A" w:rsidP="00B640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69.0%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E226AE" w14:textId="740A7A53" w:rsidR="00B6407A" w:rsidRDefault="00B6407A" w:rsidP="00B6407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67.0%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2AC4A" w14:textId="5103C13B" w:rsidR="00B6407A" w:rsidRDefault="00B6407A" w:rsidP="00B640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67.0%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C86CE0" w14:textId="1818D0AC" w:rsidR="00B6407A" w:rsidRDefault="00B6407A" w:rsidP="00B6407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69.0%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0586A0" w14:textId="5AE434AE" w:rsidR="00B6407A" w:rsidRPr="0056309C" w:rsidRDefault="00AC6B29" w:rsidP="00B640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color w:val="000000"/>
                <w:sz w:val="20"/>
                <w:szCs w:val="20"/>
              </w:rPr>
            </w:pPr>
            <w:r w:rsidRPr="0056309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↓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0A52E8" w14:textId="1A6323FC" w:rsidR="00B6407A" w:rsidRPr="00DF7DED" w:rsidRDefault="00AC6B29" w:rsidP="00B6407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N/A</w:t>
            </w:r>
          </w:p>
        </w:tc>
      </w:tr>
      <w:tr w:rsidR="00B6407A" w:rsidRPr="00DF7DED" w14:paraId="5FF39312" w14:textId="77777777" w:rsidTr="00AC7633">
        <w:trPr>
          <w:trHeight w:val="2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35180" w14:textId="3964F233" w:rsidR="00B6407A" w:rsidRPr="0074576E" w:rsidRDefault="00B6407A" w:rsidP="00B6407A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471D8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MA PD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</w:t>
            </w:r>
            <w:r w:rsidRPr="00471D8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CAHP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4A56EC" w14:textId="77777777" w:rsidR="00B6407A" w:rsidRDefault="00B6407A" w:rsidP="00B6407A">
            <w:pPr>
              <w:spacing w:before="40" w:after="40"/>
              <w:ind w:right="144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5641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Medicare Advantage Prescription Drug Plan CAHPS – Getting Needed Care Composite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F567C9" w14:textId="77777777" w:rsidR="00B6407A" w:rsidRPr="00053772" w:rsidRDefault="00B6407A" w:rsidP="00B640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79.0%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9B71DF" w14:textId="77777777" w:rsidR="00B6407A" w:rsidRPr="00053772" w:rsidRDefault="00B6407A" w:rsidP="00B6407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75.0%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C486A" w14:textId="77777777" w:rsidR="00B6407A" w:rsidRPr="00053772" w:rsidRDefault="00B6407A" w:rsidP="00B640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N/A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22BA2A" w14:textId="77777777" w:rsidR="00B6407A" w:rsidRPr="00053772" w:rsidRDefault="00B6407A" w:rsidP="00B6407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78.0%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4CA4D1" w14:textId="0BE5526B" w:rsidR="00B6407A" w:rsidRPr="00DF7DED" w:rsidRDefault="00B6407A" w:rsidP="00B640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6309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↓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5BAB50" w14:textId="77777777" w:rsidR="00B6407A" w:rsidRPr="00DF7DED" w:rsidRDefault="00B6407A" w:rsidP="00B6407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F7DED">
              <w:rPr>
                <w:rFonts w:asciiTheme="minorHAnsi" w:hAnsiTheme="minorHAnsi" w:cstheme="minorHAnsi"/>
                <w:sz w:val="20"/>
                <w:szCs w:val="20"/>
              </w:rPr>
              <w:t>N/A</w:t>
            </w:r>
          </w:p>
        </w:tc>
      </w:tr>
      <w:tr w:rsidR="00B6407A" w:rsidRPr="00DF7DED" w14:paraId="325EAE3C" w14:textId="77777777" w:rsidTr="00AC7633">
        <w:trPr>
          <w:trHeight w:val="2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E0DFB" w14:textId="052CA490" w:rsidR="00B6407A" w:rsidRPr="0074576E" w:rsidRDefault="00B6407A" w:rsidP="00B6407A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471D8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MA PD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</w:t>
            </w:r>
            <w:r w:rsidRPr="00471D8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CAHP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4B1401" w14:textId="77777777" w:rsidR="00B6407A" w:rsidRDefault="00B6407A" w:rsidP="00B6407A">
            <w:pPr>
              <w:spacing w:before="40" w:after="40"/>
              <w:ind w:right="144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5641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Medicare Advantage Prescription Drug Plan CAHPS – Getting Appointments and Care Quickly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4B1837" w14:textId="77777777" w:rsidR="00B6407A" w:rsidRPr="00053772" w:rsidRDefault="00B6407A" w:rsidP="00B640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76.0%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CFC7B" w14:textId="77777777" w:rsidR="00B6407A" w:rsidRPr="00053772" w:rsidRDefault="00B6407A" w:rsidP="00B6407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N/A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EAFF6" w14:textId="77777777" w:rsidR="00B6407A" w:rsidRPr="00053772" w:rsidRDefault="00B6407A" w:rsidP="00B640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N/A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D12976" w14:textId="77777777" w:rsidR="00B6407A" w:rsidRPr="00053772" w:rsidRDefault="00B6407A" w:rsidP="00B6407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76.0%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07D71" w14:textId="244EA621" w:rsidR="00B6407A" w:rsidRPr="00DF7DED" w:rsidRDefault="00B6407A" w:rsidP="00B640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↑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92F58" w14:textId="3F7BB13B" w:rsidR="00B6407A" w:rsidRPr="00DF7DED" w:rsidRDefault="00B6407A" w:rsidP="00B6407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N/A</w:t>
            </w:r>
          </w:p>
        </w:tc>
      </w:tr>
      <w:tr w:rsidR="00B6407A" w:rsidRPr="00DF7DED" w14:paraId="4F3C2904" w14:textId="77777777" w:rsidTr="00AC7633">
        <w:trPr>
          <w:trHeight w:val="2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F0B29" w14:textId="151C6488" w:rsidR="00B6407A" w:rsidRPr="0074576E" w:rsidRDefault="00B6407A" w:rsidP="00B6407A">
            <w:pPr>
              <w:rPr>
                <w:rFonts w:cstheme="minorHAnsi"/>
                <w:b/>
                <w:bCs/>
                <w:sz w:val="18"/>
                <w:szCs w:val="18"/>
              </w:rPr>
            </w:pPr>
            <w:r w:rsidRPr="00471D8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MA PD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</w:t>
            </w:r>
            <w:r w:rsidRPr="00471D8F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CAHP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6C1C27" w14:textId="77777777" w:rsidR="00B6407A" w:rsidRDefault="00B6407A" w:rsidP="00B6407A">
            <w:pPr>
              <w:spacing w:before="40" w:after="40"/>
              <w:ind w:right="144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A5641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Medicare Advantage Prescription Drug Plan CAHPS – 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Customer Service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80F289" w14:textId="77777777" w:rsidR="00B6407A" w:rsidRPr="00053772" w:rsidRDefault="00B6407A" w:rsidP="00B640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90.0%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E56109" w14:textId="77777777" w:rsidR="00B6407A" w:rsidRPr="00053772" w:rsidRDefault="00B6407A" w:rsidP="00B6407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N/A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88C6F" w14:textId="77777777" w:rsidR="00B6407A" w:rsidRPr="00053772" w:rsidRDefault="00B6407A" w:rsidP="00B640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N/A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042F5" w14:textId="77777777" w:rsidR="00B6407A" w:rsidRPr="00053772" w:rsidRDefault="00B6407A" w:rsidP="00B6407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90.0%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59987" w14:textId="148E40B2" w:rsidR="00B6407A" w:rsidRPr="00DF7DED" w:rsidRDefault="00B6407A" w:rsidP="00B640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6309C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↑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6FB8CA" w14:textId="0A0B7CE3" w:rsidR="00B6407A" w:rsidRPr="00DF7DED" w:rsidRDefault="00B6407A" w:rsidP="00B6407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N/A</w:t>
            </w:r>
          </w:p>
        </w:tc>
      </w:tr>
      <w:tr w:rsidR="00B6407A" w:rsidRPr="00DF7DED" w14:paraId="768BEE5F" w14:textId="77777777" w:rsidTr="00AC7633">
        <w:trPr>
          <w:trHeight w:val="2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49EC5" w14:textId="26B83003" w:rsidR="00B6407A" w:rsidRPr="0074576E" w:rsidRDefault="00B6407A" w:rsidP="00B6407A">
            <w:pP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</w:pPr>
            <w:r w:rsidRPr="0074576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MA PD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</w:t>
            </w:r>
            <w:r w:rsidRPr="0074576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CAHP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BB4B3" w14:textId="77777777" w:rsidR="00B6407A" w:rsidRPr="00817F58" w:rsidRDefault="00B6407A" w:rsidP="00B6407A">
            <w:pPr>
              <w:spacing w:before="40" w:after="40"/>
              <w:ind w:right="144"/>
              <w:rPr>
                <w:rFonts w:asciiTheme="minorHAnsi" w:eastAsia="Times New Roman" w:hAnsiTheme="minorHAnsi" w:cstheme="minorHAns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Medicare Advantage Prescription Drug Plan CAHPS – Rating of Health Plan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300C4D" w14:textId="77777777" w:rsidR="00B6407A" w:rsidRPr="00053772" w:rsidRDefault="00B6407A" w:rsidP="00B640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90.0%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548E35" w14:textId="77777777" w:rsidR="00B6407A" w:rsidRPr="00053772" w:rsidRDefault="00B6407A" w:rsidP="00B640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86.0%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E075D9" w14:textId="77777777" w:rsidR="00B6407A" w:rsidRPr="00053772" w:rsidRDefault="00B6407A" w:rsidP="00B640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sz w:val="20"/>
                <w:szCs w:val="20"/>
              </w:rPr>
              <w:t>N/A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15E392" w14:textId="77777777" w:rsidR="00B6407A" w:rsidRPr="00053772" w:rsidRDefault="00B6407A" w:rsidP="00B6407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89.0%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8146E" w14:textId="38656433" w:rsidR="00B6407A" w:rsidRPr="00DF7DED" w:rsidRDefault="00B6407A" w:rsidP="00B640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↑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4A93D" w14:textId="77777777" w:rsidR="00B6407A" w:rsidRPr="00DF7DED" w:rsidRDefault="00B6407A" w:rsidP="00B6407A">
            <w:pPr>
              <w:jc w:val="center"/>
              <w:rPr>
                <w:rFonts w:asciiTheme="minorHAnsi" w:hAnsiTheme="minorHAnsi" w:cstheme="minorHAnsi"/>
                <w:sz w:val="20"/>
                <w:szCs w:val="20"/>
              </w:rPr>
            </w:pPr>
            <w:r w:rsidRPr="00DF7DED">
              <w:rPr>
                <w:rFonts w:asciiTheme="minorHAnsi" w:hAnsiTheme="minorHAnsi" w:cstheme="minorHAnsi"/>
                <w:color w:val="000000"/>
                <w:sz w:val="20"/>
                <w:szCs w:val="20"/>
              </w:rPr>
              <w:t>N/A</w:t>
            </w:r>
          </w:p>
        </w:tc>
      </w:tr>
      <w:tr w:rsidR="00B6407A" w:rsidRPr="00DF7DED" w14:paraId="4481EDB3" w14:textId="77777777" w:rsidTr="00AC7633">
        <w:trPr>
          <w:trHeight w:val="28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4A812" w14:textId="2335F772" w:rsidR="00B6407A" w:rsidRPr="0074576E" w:rsidRDefault="00B6407A" w:rsidP="00B6407A">
            <w:pPr>
              <w:rPr>
                <w:rFonts w:asciiTheme="minorHAnsi" w:hAnsiTheme="minorHAnsi" w:cstheme="minorHAnsi"/>
                <w:b/>
                <w:bCs/>
                <w:color w:val="000000"/>
                <w:sz w:val="18"/>
                <w:szCs w:val="18"/>
              </w:rPr>
            </w:pPr>
            <w:r w:rsidRPr="0074576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MA PD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P</w:t>
            </w:r>
            <w:r w:rsidRPr="0074576E"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 xml:space="preserve"> CAHP</w:t>
            </w:r>
            <w:r>
              <w:rPr>
                <w:rFonts w:asciiTheme="minorHAnsi" w:hAnsiTheme="minorHAnsi" w:cstheme="minorHAnsi"/>
                <w:b/>
                <w:bCs/>
                <w:sz w:val="18"/>
                <w:szCs w:val="18"/>
              </w:rPr>
              <w:t>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F0BA97" w14:textId="77777777" w:rsidR="00B6407A" w:rsidRDefault="00B6407A" w:rsidP="00B6407A">
            <w:pPr>
              <w:spacing w:before="40" w:after="40"/>
              <w:ind w:right="144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74576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Medicare Advantage Prescription Drug Plan CAHPS 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–</w:t>
            </w:r>
            <w:r w:rsidRPr="0074576E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Care Coordination</w:t>
            </w:r>
          </w:p>
        </w:tc>
        <w:tc>
          <w:tcPr>
            <w:tcW w:w="7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31D08" w14:textId="77777777" w:rsidR="00B6407A" w:rsidRPr="00053772" w:rsidRDefault="00B6407A" w:rsidP="00B640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84.0%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ED7E38" w14:textId="77777777" w:rsidR="00B6407A" w:rsidRPr="00053772" w:rsidRDefault="00B6407A" w:rsidP="00B6407A">
            <w:pPr>
              <w:jc w:val="center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N/A</w:t>
            </w:r>
          </w:p>
        </w:tc>
        <w:tc>
          <w:tcPr>
            <w:tcW w:w="7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0FFAAA" w14:textId="77777777" w:rsidR="00B6407A" w:rsidRPr="00053772" w:rsidRDefault="00B6407A" w:rsidP="00B640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theme="minorHAnsi"/>
                <w:sz w:val="20"/>
                <w:szCs w:val="20"/>
              </w:rPr>
            </w:pPr>
            <w:r>
              <w:rPr>
                <w:rFonts w:cstheme="minorHAnsi"/>
                <w:sz w:val="20"/>
                <w:szCs w:val="20"/>
              </w:rPr>
              <w:t>N/A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10412B" w14:textId="77777777" w:rsidR="00B6407A" w:rsidRPr="00053772" w:rsidRDefault="00B6407A" w:rsidP="00B6407A">
            <w:pPr>
              <w:jc w:val="center"/>
              <w:rPr>
                <w:rFonts w:cstheme="minorHAnsi"/>
                <w:color w:val="000000"/>
                <w:sz w:val="20"/>
                <w:szCs w:val="20"/>
              </w:rPr>
            </w:pPr>
            <w:r>
              <w:rPr>
                <w:rFonts w:cstheme="minorHAnsi"/>
                <w:color w:val="000000"/>
                <w:sz w:val="20"/>
                <w:szCs w:val="20"/>
              </w:rPr>
              <w:t>84.0%</w:t>
            </w:r>
          </w:p>
        </w:tc>
        <w:tc>
          <w:tcPr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100A9" w14:textId="222F68E8" w:rsidR="00B6407A" w:rsidRPr="00DF7DED" w:rsidRDefault="00B6407A" w:rsidP="00B640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56309C">
              <w:rPr>
                <w:rFonts w:asciiTheme="minorHAnsi" w:hAnsiTheme="minorHAnsi" w:cstheme="minorHAnsi"/>
                <w:sz w:val="20"/>
                <w:szCs w:val="20"/>
              </w:rPr>
              <w:t>↓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0" w:type="auto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33EEB" w14:textId="77777777" w:rsidR="00B6407A" w:rsidRPr="00DF7DED" w:rsidRDefault="00B6407A" w:rsidP="00B6407A">
            <w:pPr>
              <w:jc w:val="center"/>
              <w:rPr>
                <w:rFonts w:asciiTheme="minorHAnsi" w:hAnsiTheme="minorHAnsi" w:cstheme="minorHAnsi"/>
                <w:color w:val="000000"/>
                <w:sz w:val="20"/>
                <w:szCs w:val="20"/>
              </w:rPr>
            </w:pPr>
            <w:r w:rsidRPr="00DF7DED">
              <w:rPr>
                <w:rFonts w:asciiTheme="minorHAnsi" w:hAnsiTheme="minorHAnsi" w:cstheme="minorHAnsi"/>
                <w:sz w:val="20"/>
                <w:szCs w:val="20"/>
              </w:rPr>
              <w:t>N/A</w:t>
            </w:r>
          </w:p>
        </w:tc>
      </w:tr>
    </w:tbl>
    <w:p w14:paraId="14D49742" w14:textId="77777777" w:rsidR="007042FE" w:rsidRDefault="007042FE" w:rsidP="00FC29C3">
      <w:pPr>
        <w:spacing w:before="240"/>
      </w:pPr>
    </w:p>
    <w:p w14:paraId="07805CF0" w14:textId="77777777" w:rsidR="00AC7633" w:rsidRDefault="00AC7633" w:rsidP="00FC29C3">
      <w:pPr>
        <w:spacing w:before="240"/>
      </w:pPr>
    </w:p>
    <w:p w14:paraId="425C5488" w14:textId="77777777" w:rsidR="00425F29" w:rsidRDefault="00425F29" w:rsidP="00FC29C3">
      <w:pPr>
        <w:spacing w:before="240"/>
      </w:pPr>
      <w:bookmarkStart w:id="2" w:name="_Hlk158126006"/>
    </w:p>
    <w:p w14:paraId="572751A4" w14:textId="77777777" w:rsidR="00425F29" w:rsidRDefault="00425F29" w:rsidP="00FC29C3">
      <w:pPr>
        <w:spacing w:before="240"/>
      </w:pPr>
    </w:p>
    <w:p w14:paraId="6C1E6F0E" w14:textId="77777777" w:rsidR="00425F29" w:rsidRDefault="00425F29" w:rsidP="00FC29C3">
      <w:pPr>
        <w:spacing w:before="240"/>
      </w:pPr>
    </w:p>
    <w:p w14:paraId="573C85FF" w14:textId="77777777" w:rsidR="00425F29" w:rsidRDefault="00425F29" w:rsidP="00FC29C3">
      <w:pPr>
        <w:spacing w:before="240"/>
      </w:pPr>
    </w:p>
    <w:p w14:paraId="7817BE9F" w14:textId="77777777" w:rsidR="00425F29" w:rsidRDefault="00425F29" w:rsidP="00FC29C3">
      <w:pPr>
        <w:spacing w:before="240"/>
      </w:pPr>
    </w:p>
    <w:p w14:paraId="7EEEF72B" w14:textId="77777777" w:rsidR="00425F29" w:rsidRDefault="00425F29" w:rsidP="00FC29C3">
      <w:pPr>
        <w:spacing w:before="240"/>
      </w:pPr>
    </w:p>
    <w:p w14:paraId="2F9C3367" w14:textId="77777777" w:rsidR="00425F29" w:rsidRDefault="00425F29" w:rsidP="00FC29C3">
      <w:pPr>
        <w:spacing w:before="240"/>
      </w:pPr>
    </w:p>
    <w:p w14:paraId="4F952652" w14:textId="77777777" w:rsidR="00425F29" w:rsidRDefault="00425F29" w:rsidP="00FC29C3">
      <w:pPr>
        <w:spacing w:before="240"/>
      </w:pPr>
    </w:p>
    <w:p w14:paraId="619149CD" w14:textId="77777777" w:rsidR="00BF47C2" w:rsidRDefault="00BF47C2" w:rsidP="00FC29C3">
      <w:pPr>
        <w:spacing w:before="240"/>
      </w:pPr>
    </w:p>
    <w:p w14:paraId="72D13ECC" w14:textId="77777777" w:rsidR="00BF47C2" w:rsidRDefault="00BF47C2" w:rsidP="00FC29C3">
      <w:pPr>
        <w:spacing w:before="240"/>
      </w:pPr>
    </w:p>
    <w:p w14:paraId="1F95BBC5" w14:textId="77777777" w:rsidR="00AC6B29" w:rsidRDefault="00AC6B29" w:rsidP="00FC29C3">
      <w:pPr>
        <w:spacing w:before="240"/>
      </w:pPr>
    </w:p>
    <w:p w14:paraId="424830E6" w14:textId="752ECDAF" w:rsidR="00D209B9" w:rsidRPr="00CF5E11" w:rsidRDefault="0073281D" w:rsidP="00FC29C3">
      <w:pPr>
        <w:spacing w:before="240"/>
      </w:pPr>
      <w:r>
        <w:t xml:space="preserve">For state-defined measures, </w:t>
      </w:r>
      <w:r w:rsidR="00D209B9" w:rsidRPr="00CF5E11">
        <w:t xml:space="preserve">One Care plans </w:t>
      </w:r>
      <w:r w:rsidR="00953300" w:rsidRPr="00CF5E11">
        <w:t>are compared to</w:t>
      </w:r>
      <w:r w:rsidR="006F5C5A" w:rsidRPr="00CF5E11">
        <w:t xml:space="preserve"> </w:t>
      </w:r>
      <w:r>
        <w:t xml:space="preserve">MMP quality withhold benchmarks </w:t>
      </w:r>
      <w:r w:rsidR="00BF47C2">
        <w:t>that</w:t>
      </w:r>
      <w:r>
        <w:t xml:space="preserve"> were </w:t>
      </w:r>
      <w:r w:rsidR="00BF47C2">
        <w:t xml:space="preserve">determined by MassHealth in consultation with CMS. For the Medicare Advantage Prescription Drug Plan </w:t>
      </w:r>
      <w:r w:rsidR="001D132D">
        <w:t xml:space="preserve">(MA PDP) </w:t>
      </w:r>
      <w:r w:rsidR="00BF47C2">
        <w:t xml:space="preserve">CAHPS, </w:t>
      </w:r>
      <w:r w:rsidR="00B7607A">
        <w:t xml:space="preserve">One Care plans are compared to </w:t>
      </w:r>
      <w:r w:rsidR="001D132D">
        <w:t>the Medicare Advantage</w:t>
      </w:r>
      <w:r w:rsidR="00B80AA7">
        <w:t xml:space="preserve"> (MA)</w:t>
      </w:r>
      <w:r w:rsidR="001D132D">
        <w:t xml:space="preserve"> Fee </w:t>
      </w:r>
      <w:r w:rsidR="00E47CE7">
        <w:t>f</w:t>
      </w:r>
      <w:r w:rsidR="001D132D">
        <w:t>or Service</w:t>
      </w:r>
      <w:r w:rsidR="00B80AA7">
        <w:t xml:space="preserve"> (FFS)</w:t>
      </w:r>
      <w:r w:rsidR="001D132D">
        <w:t xml:space="preserve"> average.</w:t>
      </w:r>
    </w:p>
    <w:p w14:paraId="7769DDED" w14:textId="598DA2FC" w:rsidR="00462C3E" w:rsidRPr="00CF5E11" w:rsidRDefault="00462C3E" w:rsidP="00462C3E">
      <w:pPr>
        <w:pStyle w:val="ListParagraph"/>
        <w:numPr>
          <w:ilvl w:val="0"/>
          <w:numId w:val="12"/>
        </w:numPr>
      </w:pPr>
      <w:r w:rsidRPr="00CF5E11">
        <w:t xml:space="preserve">The MassHealth Weighted Mean (MHWM) rates for </w:t>
      </w:r>
      <w:r w:rsidR="001D132D">
        <w:t xml:space="preserve">three of the four state-defined measures </w:t>
      </w:r>
      <w:r w:rsidR="00B80AA7">
        <w:t xml:space="preserve">(LTS Coordinator, Tracking Demographic information, and Timely Assessment) </w:t>
      </w:r>
      <w:r w:rsidR="001D132D">
        <w:t>were lower than the Quality withhold benchmarks.</w:t>
      </w:r>
    </w:p>
    <w:p w14:paraId="3481E6A0" w14:textId="3FBC841C" w:rsidR="007B67F2" w:rsidRPr="00CF5E11" w:rsidRDefault="007D2E77" w:rsidP="00B80AA7">
      <w:pPr>
        <w:pStyle w:val="ListParagraph"/>
        <w:numPr>
          <w:ilvl w:val="0"/>
          <w:numId w:val="12"/>
        </w:numPr>
      </w:pPr>
      <w:r w:rsidRPr="00CF5E11">
        <w:lastRenderedPageBreak/>
        <w:t>The MHWM rate</w:t>
      </w:r>
      <w:r w:rsidR="001D132D">
        <w:t>s</w:t>
      </w:r>
      <w:r w:rsidRPr="00CF5E11">
        <w:t xml:space="preserve"> for </w:t>
      </w:r>
      <w:r w:rsidR="001D132D">
        <w:t xml:space="preserve">three of the </w:t>
      </w:r>
      <w:r w:rsidR="00AC6B29">
        <w:t>six</w:t>
      </w:r>
      <w:r w:rsidR="001D132D">
        <w:t xml:space="preserve"> the MA PDP CAHPS</w:t>
      </w:r>
      <w:r w:rsidR="00B80AA7">
        <w:t xml:space="preserve"> composite</w:t>
      </w:r>
      <w:r w:rsidR="001D132D">
        <w:t xml:space="preserve"> measures (Getting Appointments/Care Quickly, Customer Service, and Rating of Health Plan) were a</w:t>
      </w:r>
      <w:r w:rsidRPr="00CF5E11">
        <w:t xml:space="preserve">bove the </w:t>
      </w:r>
      <w:r w:rsidR="001D132D">
        <w:t>M</w:t>
      </w:r>
      <w:r w:rsidR="00B80AA7">
        <w:t>A</w:t>
      </w:r>
      <w:r w:rsidR="001D132D">
        <w:t xml:space="preserve"> FFS average while </w:t>
      </w:r>
      <w:r w:rsidR="00B80AA7">
        <w:t>t</w:t>
      </w:r>
      <w:r w:rsidR="00AC6B29">
        <w:t>hree</w:t>
      </w:r>
      <w:r w:rsidR="001D132D">
        <w:t xml:space="preserve"> </w:t>
      </w:r>
      <w:r w:rsidR="00B80AA7">
        <w:t>(Getting Needed Care</w:t>
      </w:r>
      <w:r w:rsidR="00AC6B29">
        <w:t>,</w:t>
      </w:r>
      <w:r w:rsidR="00B80AA7">
        <w:t xml:space="preserve"> Care Coordination</w:t>
      </w:r>
      <w:r w:rsidR="00AC6B29">
        <w:t>, and Flu Vaccine</w:t>
      </w:r>
      <w:r w:rsidR="00B80AA7">
        <w:t xml:space="preserve">) </w:t>
      </w:r>
      <w:r w:rsidR="001D132D">
        <w:t>were below the</w:t>
      </w:r>
      <w:r w:rsidRPr="00CF5E11">
        <w:t xml:space="preserve"> </w:t>
      </w:r>
      <w:r w:rsidR="00B80AA7">
        <w:t>MA FFS average.</w:t>
      </w:r>
      <w:r w:rsidRPr="00CF5E11">
        <w:t xml:space="preserve"> </w:t>
      </w:r>
    </w:p>
    <w:bookmarkEnd w:id="2"/>
    <w:p w14:paraId="5B92D93C" w14:textId="77777777" w:rsidR="00A85B73" w:rsidRDefault="00A85B73" w:rsidP="00F12E6C">
      <w:pPr>
        <w:pStyle w:val="Caption"/>
        <w:keepNext/>
        <w:spacing w:after="120"/>
        <w:rPr>
          <w:sz w:val="28"/>
          <w:szCs w:val="28"/>
        </w:rPr>
        <w:sectPr w:rsidR="00A85B73" w:rsidSect="004B5F5C">
          <w:footerReference w:type="default" r:id="rId15"/>
          <w:footerReference w:type="first" r:id="rId16"/>
          <w:pgSz w:w="15840" w:h="12240" w:orient="landscape"/>
          <w:pgMar w:top="1080" w:right="1080" w:bottom="1080" w:left="1080" w:header="720" w:footer="720" w:gutter="0"/>
          <w:cols w:space="720"/>
          <w:titlePg/>
          <w:docGrid w:linePitch="360"/>
        </w:sectPr>
      </w:pPr>
    </w:p>
    <w:p w14:paraId="00E397BF" w14:textId="3336A8BD" w:rsidR="00C717D4" w:rsidRDefault="00C717D4" w:rsidP="00F12E6C">
      <w:pPr>
        <w:pStyle w:val="Caption"/>
        <w:keepNext/>
        <w:spacing w:after="120"/>
        <w:rPr>
          <w:sz w:val="28"/>
          <w:szCs w:val="28"/>
        </w:rPr>
      </w:pPr>
      <w:r w:rsidRPr="00F12E6C">
        <w:rPr>
          <w:sz w:val="28"/>
          <w:szCs w:val="28"/>
        </w:rPr>
        <w:lastRenderedPageBreak/>
        <w:t xml:space="preserve">Table 5 </w:t>
      </w:r>
      <w:r w:rsidR="00517C2D" w:rsidRPr="00F12E6C">
        <w:rPr>
          <w:sz w:val="28"/>
          <w:szCs w:val="28"/>
        </w:rPr>
        <w:t>-</w:t>
      </w:r>
      <w:r w:rsidRPr="00F12E6C">
        <w:rPr>
          <w:sz w:val="28"/>
          <w:szCs w:val="28"/>
        </w:rPr>
        <w:t xml:space="preserve"> Massachusetts Behavioral Health Partnership (BH PIHP) Measures, 202</w:t>
      </w:r>
      <w:r w:rsidR="00062376" w:rsidRPr="00F12E6C">
        <w:rPr>
          <w:sz w:val="28"/>
          <w:szCs w:val="28"/>
        </w:rPr>
        <w:t>3</w:t>
      </w:r>
      <w:r w:rsidRPr="00F12E6C">
        <w:rPr>
          <w:sz w:val="28"/>
          <w:szCs w:val="28"/>
        </w:rPr>
        <w:t xml:space="preserve"> (Measurement Period: Calendar Year 202</w:t>
      </w:r>
      <w:r w:rsidR="00062376" w:rsidRPr="00F12E6C">
        <w:rPr>
          <w:sz w:val="28"/>
          <w:szCs w:val="28"/>
        </w:rPr>
        <w:t>2</w:t>
      </w:r>
      <w:r w:rsidRPr="00F12E6C">
        <w:rPr>
          <w:sz w:val="28"/>
          <w:szCs w:val="28"/>
        </w:rPr>
        <w:t>)</w:t>
      </w:r>
      <w:r w:rsidRPr="00CF5E11">
        <w:rPr>
          <w:sz w:val="28"/>
          <w:szCs w:val="28"/>
        </w:rPr>
        <w:t xml:space="preserve"> </w:t>
      </w:r>
    </w:p>
    <w:p w14:paraId="6070920F" w14:textId="59A030C6" w:rsidR="00724FE3" w:rsidRPr="001938AF" w:rsidRDefault="00724FE3" w:rsidP="001938AF">
      <w:pPr>
        <w:pStyle w:val="Caption"/>
        <w:keepNext/>
        <w:spacing w:after="360"/>
        <w:rPr>
          <w:b w:val="0"/>
          <w:bCs w:val="0"/>
          <w:sz w:val="28"/>
          <w:szCs w:val="28"/>
        </w:rPr>
      </w:pPr>
      <w:r w:rsidRPr="001938AF">
        <w:rPr>
          <w:rFonts w:cstheme="minorHAnsi"/>
          <w:b w:val="0"/>
          <w:bCs w:val="0"/>
          <w:color w:val="000000"/>
        </w:rPr>
        <w:t xml:space="preserve">* ↑ = BH PIHP Performance Better Than Benchmark   </w:t>
      </w:r>
      <w:r w:rsidRPr="001938AF">
        <w:rPr>
          <w:rFonts w:cstheme="minorHAnsi"/>
          <w:b w:val="0"/>
          <w:bCs w:val="0"/>
        </w:rPr>
        <w:t xml:space="preserve">↓ = </w:t>
      </w:r>
      <w:r w:rsidRPr="001938AF">
        <w:rPr>
          <w:rFonts w:cstheme="minorHAnsi"/>
          <w:b w:val="0"/>
          <w:bCs w:val="0"/>
          <w:color w:val="000000"/>
        </w:rPr>
        <w:t xml:space="preserve">BH PIHP Performance Worse Than Benchmark  </w:t>
      </w:r>
    </w:p>
    <w:tbl>
      <w:tblPr>
        <w:tblStyle w:val="MediumList2-Accent1"/>
        <w:tblW w:w="11520" w:type="dxa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ook w:val="02A0" w:firstRow="1" w:lastRow="0" w:firstColumn="1" w:lastColumn="0" w:noHBand="1" w:noVBand="0"/>
        <w:tblCaption w:val="One Care Performance Measures, 2018"/>
        <w:tblDescription w:val="2018 Measures for one care using benchmarks as comparative values."/>
      </w:tblPr>
      <w:tblGrid>
        <w:gridCol w:w="1250"/>
        <w:gridCol w:w="5757"/>
        <w:gridCol w:w="1107"/>
        <w:gridCol w:w="1696"/>
        <w:gridCol w:w="1710"/>
      </w:tblGrid>
      <w:tr w:rsidR="00B70573" w:rsidRPr="00CF5E11" w14:paraId="1A8150D7" w14:textId="77777777" w:rsidTr="004353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90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25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DDB2292" w14:textId="5291E4F0" w:rsidR="00B70573" w:rsidRPr="00B70573" w:rsidRDefault="00B70573" w:rsidP="00B7057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70573">
              <w:rPr>
                <w:rFonts w:ascii="Calibri" w:hAnsi="Calibri" w:cs="Calibri"/>
                <w:b/>
                <w:bCs/>
                <w:sz w:val="18"/>
                <w:szCs w:val="18"/>
              </w:rPr>
              <w:t>Measure Code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57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AC9E84C" w14:textId="3642F9AB" w:rsidR="00B70573" w:rsidRPr="00B70573" w:rsidRDefault="00B70573" w:rsidP="00B7057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70573">
              <w:rPr>
                <w:rFonts w:ascii="Calibri" w:hAnsi="Calibri" w:cs="Calibri"/>
                <w:b/>
                <w:bCs/>
                <w:sz w:val="18"/>
                <w:szCs w:val="18"/>
              </w:rPr>
              <w:t>Measure Name</w:t>
            </w:r>
          </w:p>
        </w:tc>
        <w:tc>
          <w:tcPr>
            <w:tcW w:w="0" w:type="auto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EE17A5D" w14:textId="7F86BC50" w:rsidR="00B70573" w:rsidRPr="00B70573" w:rsidRDefault="00B70573" w:rsidP="00B7057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70573">
              <w:rPr>
                <w:rFonts w:ascii="Calibri" w:hAnsi="Calibri" w:cs="Calibri"/>
                <w:b/>
                <w:bCs/>
                <w:sz w:val="18"/>
                <w:szCs w:val="18"/>
              </w:rPr>
              <w:t>Measure Rate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B1FF197" w14:textId="082BB1FC" w:rsidR="00B70573" w:rsidRPr="00B70573" w:rsidRDefault="00B70573" w:rsidP="00B70573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70573">
              <w:rPr>
                <w:rFonts w:ascii="Calibri" w:hAnsi="Calibri" w:cs="Calibri"/>
                <w:b/>
                <w:bCs/>
                <w:sz w:val="18"/>
                <w:szCs w:val="18"/>
              </w:rPr>
              <w:t>Nat'l Medicaid 75th Percentile*</w:t>
            </w:r>
          </w:p>
        </w:tc>
        <w:tc>
          <w:tcPr>
            <w:tcW w:w="17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384035A" w14:textId="36FC155A" w:rsidR="00B70573" w:rsidRPr="00B70573" w:rsidRDefault="00B70573" w:rsidP="00B70573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70573">
              <w:rPr>
                <w:rFonts w:ascii="Calibri" w:hAnsi="Calibri" w:cs="Calibri"/>
                <w:b/>
                <w:bCs/>
                <w:sz w:val="18"/>
                <w:szCs w:val="18"/>
              </w:rPr>
              <w:t>Nat'l Medicaid 90th Percentile*</w:t>
            </w:r>
          </w:p>
        </w:tc>
      </w:tr>
      <w:tr w:rsidR="00B70573" w:rsidRPr="00CF5E11" w14:paraId="62302FDF" w14:textId="77777777" w:rsidTr="00435347">
        <w:trPr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dxa"/>
            <w:tcBorders>
              <w:top w:val="single" w:sz="8" w:space="0" w:color="000000" w:themeColor="text1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6E0703F8" w14:textId="4AD94300" w:rsidR="00B70573" w:rsidRPr="004B0605" w:rsidRDefault="00B70573" w:rsidP="00B70573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B0605">
              <w:rPr>
                <w:rFonts w:ascii="Calibri" w:hAnsi="Calibri" w:cs="Calibri"/>
                <w:b/>
                <w:bCs/>
                <w:sz w:val="18"/>
                <w:szCs w:val="18"/>
              </w:rPr>
              <w:t>ADD - Cont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57" w:type="dxa"/>
            <w:tcBorders>
              <w:top w:val="single" w:sz="8" w:space="0" w:color="000000" w:themeColor="text1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1E304652" w14:textId="7D2C1005" w:rsidR="00B70573" w:rsidRPr="00B70573" w:rsidRDefault="00B70573" w:rsidP="00B70573">
            <w:pPr>
              <w:rPr>
                <w:rFonts w:ascii="Calibri" w:hAnsi="Calibri" w:cs="Calibri"/>
                <w:b/>
                <w:bCs/>
                <w:color w:val="1F497D" w:themeColor="text2"/>
                <w:sz w:val="18"/>
                <w:szCs w:val="18"/>
              </w:rPr>
            </w:pPr>
            <w:r w:rsidRPr="00B70573">
              <w:rPr>
                <w:rFonts w:ascii="Calibri" w:hAnsi="Calibri" w:cs="Calibri"/>
                <w:b/>
                <w:bCs/>
                <w:sz w:val="18"/>
                <w:szCs w:val="18"/>
              </w:rPr>
              <w:t>Follow-Up Care for Children Prescribed ADHD Medication - Continuation and Maintenance Phase</w:t>
            </w:r>
          </w:p>
        </w:tc>
        <w:tc>
          <w:tcPr>
            <w:tcW w:w="0" w:type="auto"/>
            <w:tcBorders>
              <w:top w:val="single" w:sz="8" w:space="0" w:color="000000" w:themeColor="text1"/>
            </w:tcBorders>
            <w:vAlign w:val="center"/>
          </w:tcPr>
          <w:p w14:paraId="3D0669C4" w14:textId="35E14500" w:rsidR="00B70573" w:rsidRPr="00B70573" w:rsidRDefault="00B70573" w:rsidP="00B705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B70573">
              <w:rPr>
                <w:rFonts w:ascii="Calibri" w:hAnsi="Calibri" w:cs="Calibri"/>
                <w:sz w:val="20"/>
                <w:szCs w:val="20"/>
              </w:rPr>
              <w:t>44.7%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6" w:type="dxa"/>
            <w:tcBorders>
              <w:top w:val="single" w:sz="8" w:space="0" w:color="000000" w:themeColor="text1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3A1463F6" w14:textId="6D968607" w:rsidR="00B70573" w:rsidRPr="00B70573" w:rsidRDefault="00B70573" w:rsidP="00B7057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70573">
              <w:rPr>
                <w:rFonts w:ascii="Calibri" w:hAnsi="Calibri" w:cs="Calibri"/>
                <w:sz w:val="20"/>
                <w:szCs w:val="20"/>
              </w:rPr>
              <w:t>↓</w:t>
            </w:r>
          </w:p>
        </w:tc>
        <w:tc>
          <w:tcPr>
            <w:tcW w:w="1710" w:type="dxa"/>
            <w:tcBorders>
              <w:top w:val="single" w:sz="8" w:space="0" w:color="000000" w:themeColor="text1"/>
            </w:tcBorders>
            <w:vAlign w:val="center"/>
          </w:tcPr>
          <w:p w14:paraId="3B4BB374" w14:textId="29FB30CA" w:rsidR="00B70573" w:rsidRPr="009D228E" w:rsidRDefault="00B70573" w:rsidP="00B705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9D228E">
              <w:rPr>
                <w:rFonts w:ascii="Calibri" w:hAnsi="Calibri" w:cs="Calibri"/>
                <w:sz w:val="20"/>
                <w:szCs w:val="20"/>
              </w:rPr>
              <w:t>↓</w:t>
            </w:r>
          </w:p>
        </w:tc>
      </w:tr>
      <w:tr w:rsidR="00B70573" w:rsidRPr="00CF5E11" w14:paraId="45B87037" w14:textId="77777777" w:rsidTr="00435347">
        <w:trPr>
          <w:trHeight w:val="40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174DF8D5" w14:textId="16E307D3" w:rsidR="00B70573" w:rsidRPr="004B0605" w:rsidRDefault="00B70573" w:rsidP="00B70573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4B0605">
              <w:rPr>
                <w:rFonts w:ascii="Calibri" w:hAnsi="Calibri" w:cs="Calibri"/>
                <w:b/>
                <w:bCs/>
                <w:sz w:val="18"/>
                <w:szCs w:val="18"/>
              </w:rPr>
              <w:t>ADD - Init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5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254FBEF3" w14:textId="5D6F5964" w:rsidR="00B70573" w:rsidRPr="00B70573" w:rsidRDefault="00B70573" w:rsidP="00B70573">
            <w:pPr>
              <w:rPr>
                <w:rFonts w:ascii="Calibri" w:hAnsi="Calibri" w:cs="Calibri"/>
                <w:b/>
                <w:bCs/>
                <w:color w:val="1F497D" w:themeColor="text2"/>
                <w:sz w:val="18"/>
                <w:szCs w:val="18"/>
              </w:rPr>
            </w:pPr>
            <w:r w:rsidRPr="00B70573">
              <w:rPr>
                <w:rFonts w:ascii="Calibri" w:hAnsi="Calibri" w:cs="Calibri"/>
                <w:b/>
                <w:bCs/>
                <w:sz w:val="18"/>
                <w:szCs w:val="18"/>
              </w:rPr>
              <w:t>Follow-Up Care for Children Prescribed ADHD Medication - Initiation Phase</w:t>
            </w:r>
          </w:p>
        </w:tc>
        <w:tc>
          <w:tcPr>
            <w:tcW w:w="0" w:type="auto"/>
            <w:vAlign w:val="center"/>
          </w:tcPr>
          <w:p w14:paraId="7F5D3342" w14:textId="0DFC0376" w:rsidR="00B70573" w:rsidRPr="00B70573" w:rsidRDefault="00B70573" w:rsidP="00B705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B70573">
              <w:rPr>
                <w:rFonts w:ascii="Calibri" w:hAnsi="Calibri" w:cs="Calibri"/>
                <w:sz w:val="20"/>
                <w:szCs w:val="20"/>
              </w:rPr>
              <w:t>39.8%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35847A04" w14:textId="3D82D99E" w:rsidR="00B70573" w:rsidRPr="00B70573" w:rsidRDefault="00B70573" w:rsidP="00B7057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70573">
              <w:rPr>
                <w:rFonts w:ascii="Calibri" w:hAnsi="Calibri" w:cs="Calibri"/>
                <w:sz w:val="20"/>
                <w:szCs w:val="20"/>
              </w:rPr>
              <w:t>↓</w:t>
            </w:r>
          </w:p>
        </w:tc>
        <w:tc>
          <w:tcPr>
            <w:tcW w:w="1710" w:type="dxa"/>
            <w:vAlign w:val="center"/>
          </w:tcPr>
          <w:p w14:paraId="3649BBDA" w14:textId="2D3A25A8" w:rsidR="00B70573" w:rsidRPr="009D228E" w:rsidRDefault="00B70573" w:rsidP="00B705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9D228E">
              <w:rPr>
                <w:rFonts w:ascii="Calibri" w:hAnsi="Calibri" w:cs="Calibri"/>
                <w:sz w:val="20"/>
                <w:szCs w:val="20"/>
              </w:rPr>
              <w:t>↓</w:t>
            </w:r>
          </w:p>
        </w:tc>
      </w:tr>
      <w:tr w:rsidR="00B70573" w:rsidRPr="00CF5E11" w14:paraId="48A8653F" w14:textId="77777777" w:rsidTr="00435347">
        <w:trPr>
          <w:trHeight w:val="43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4FB5B589" w14:textId="2661E8A1" w:rsidR="00B70573" w:rsidRPr="00045954" w:rsidRDefault="00B70573" w:rsidP="00B70573">
            <w:pPr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045954">
              <w:rPr>
                <w:rFonts w:ascii="Calibri" w:hAnsi="Calibri" w:cs="Calibri"/>
                <w:b/>
                <w:bCs/>
                <w:sz w:val="18"/>
                <w:szCs w:val="18"/>
              </w:rPr>
              <w:t>AMM - Acute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5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09023485" w14:textId="7264C064" w:rsidR="00B70573" w:rsidRPr="00B70573" w:rsidRDefault="00B70573" w:rsidP="00B70573">
            <w:pPr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B70573">
              <w:rPr>
                <w:rFonts w:ascii="Calibri" w:hAnsi="Calibri" w:cs="Calibri"/>
                <w:b/>
                <w:bCs/>
                <w:sz w:val="18"/>
                <w:szCs w:val="18"/>
              </w:rPr>
              <w:t>Antidepressant Medication Management - Effective Acute Phase</w:t>
            </w:r>
          </w:p>
        </w:tc>
        <w:tc>
          <w:tcPr>
            <w:tcW w:w="0" w:type="auto"/>
            <w:vAlign w:val="center"/>
          </w:tcPr>
          <w:p w14:paraId="34A58D70" w14:textId="0C9775B7" w:rsidR="00B70573" w:rsidRPr="00B70573" w:rsidRDefault="00B70573" w:rsidP="00B705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B70573">
              <w:rPr>
                <w:rFonts w:ascii="Calibri" w:hAnsi="Calibri" w:cs="Calibri"/>
                <w:sz w:val="20"/>
                <w:szCs w:val="20"/>
              </w:rPr>
              <w:t>71.4%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4E2FC13A" w14:textId="6B7156C5" w:rsidR="00B70573" w:rsidRPr="00B70573" w:rsidRDefault="00B70573" w:rsidP="00B7057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70573">
              <w:rPr>
                <w:rFonts w:ascii="Calibri" w:hAnsi="Calibri" w:cs="Calibri"/>
                <w:sz w:val="20"/>
                <w:szCs w:val="20"/>
              </w:rPr>
              <w:t>↑</w:t>
            </w:r>
          </w:p>
        </w:tc>
        <w:tc>
          <w:tcPr>
            <w:tcW w:w="1710" w:type="dxa"/>
            <w:vAlign w:val="center"/>
          </w:tcPr>
          <w:p w14:paraId="1914A91C" w14:textId="7A17A248" w:rsidR="00B70573" w:rsidRPr="009D228E" w:rsidRDefault="00B70573" w:rsidP="00B705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9D228E">
              <w:rPr>
                <w:rFonts w:ascii="Calibri" w:hAnsi="Calibri" w:cs="Calibri"/>
                <w:sz w:val="20"/>
                <w:szCs w:val="20"/>
              </w:rPr>
              <w:t>↓</w:t>
            </w:r>
          </w:p>
        </w:tc>
      </w:tr>
      <w:tr w:rsidR="00B70573" w:rsidRPr="00CF5E11" w14:paraId="2D34132E" w14:textId="77777777" w:rsidTr="00435347">
        <w:trPr>
          <w:trHeight w:val="43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7F410610" w14:textId="25D246F7" w:rsidR="00B70573" w:rsidRPr="00045954" w:rsidRDefault="00B70573" w:rsidP="00BC296E">
            <w:pPr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045954">
              <w:rPr>
                <w:rFonts w:ascii="Calibri" w:hAnsi="Calibri" w:cs="Calibri"/>
                <w:b/>
                <w:bCs/>
                <w:sz w:val="18"/>
                <w:szCs w:val="18"/>
              </w:rPr>
              <w:t>AMM - Cont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5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7C928E64" w14:textId="0C78F5DA" w:rsidR="00B70573" w:rsidRPr="00B70573" w:rsidRDefault="00B70573" w:rsidP="00B70573">
            <w:pPr>
              <w:rPr>
                <w:rFonts w:ascii="Calibri" w:hAnsi="Calibri" w:cs="Calibri"/>
                <w:b/>
                <w:bCs/>
                <w:color w:val="1F497D" w:themeColor="text2"/>
                <w:sz w:val="18"/>
                <w:szCs w:val="18"/>
              </w:rPr>
            </w:pPr>
            <w:r w:rsidRPr="00B70573">
              <w:rPr>
                <w:rFonts w:ascii="Calibri" w:hAnsi="Calibri" w:cs="Calibri"/>
                <w:b/>
                <w:bCs/>
                <w:sz w:val="18"/>
                <w:szCs w:val="18"/>
              </w:rPr>
              <w:t>Antidepressant Medication Management - Effective Continuation Phase</w:t>
            </w:r>
          </w:p>
        </w:tc>
        <w:tc>
          <w:tcPr>
            <w:tcW w:w="0" w:type="auto"/>
            <w:vAlign w:val="center"/>
          </w:tcPr>
          <w:p w14:paraId="1D6D98D4" w14:textId="1BE1BEF7" w:rsidR="00B70573" w:rsidRPr="00B70573" w:rsidRDefault="00B70573" w:rsidP="00B705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B70573">
              <w:rPr>
                <w:rFonts w:ascii="Calibri" w:hAnsi="Calibri" w:cs="Calibri"/>
                <w:sz w:val="20"/>
                <w:szCs w:val="20"/>
              </w:rPr>
              <w:t>56.1%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108CB24B" w14:textId="3019C62A" w:rsidR="00B70573" w:rsidRPr="00B70573" w:rsidRDefault="00B70573" w:rsidP="00B7057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70573">
              <w:rPr>
                <w:rFonts w:ascii="Calibri" w:hAnsi="Calibri" w:cs="Calibri"/>
                <w:sz w:val="20"/>
                <w:szCs w:val="20"/>
              </w:rPr>
              <w:t>↑</w:t>
            </w:r>
          </w:p>
        </w:tc>
        <w:tc>
          <w:tcPr>
            <w:tcW w:w="1710" w:type="dxa"/>
            <w:vAlign w:val="center"/>
          </w:tcPr>
          <w:p w14:paraId="00A0A058" w14:textId="4BBFD0D8" w:rsidR="00B70573" w:rsidRPr="009D228E" w:rsidRDefault="00B70573" w:rsidP="00B705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9D228E">
              <w:rPr>
                <w:rFonts w:ascii="Calibri" w:hAnsi="Calibri" w:cs="Calibri"/>
                <w:sz w:val="20"/>
                <w:szCs w:val="20"/>
              </w:rPr>
              <w:t>↓</w:t>
            </w:r>
          </w:p>
        </w:tc>
      </w:tr>
      <w:tr w:rsidR="00B70573" w:rsidRPr="00CF5E11" w14:paraId="1D5AA7D7" w14:textId="77777777" w:rsidTr="00435347">
        <w:trPr>
          <w:trHeight w:val="43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41D0A2EE" w14:textId="76035BC0" w:rsidR="00B70573" w:rsidRPr="00045954" w:rsidRDefault="00B70573" w:rsidP="00B70573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045954">
              <w:rPr>
                <w:rFonts w:ascii="Calibri" w:hAnsi="Calibri" w:cs="Calibri"/>
                <w:b/>
                <w:bCs/>
                <w:sz w:val="18"/>
                <w:szCs w:val="18"/>
              </w:rPr>
              <w:t>APM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5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7C0753EB" w14:textId="31374B60" w:rsidR="00B70573" w:rsidRPr="00B70573" w:rsidRDefault="00B70573" w:rsidP="00B70573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70573">
              <w:rPr>
                <w:rFonts w:ascii="Calibri" w:hAnsi="Calibri" w:cs="Calibri"/>
                <w:b/>
                <w:bCs/>
                <w:sz w:val="18"/>
                <w:szCs w:val="18"/>
              </w:rPr>
              <w:t>Metabolic Monitoring for Children and Adolescents on Antipsychotics (Total)</w:t>
            </w:r>
          </w:p>
        </w:tc>
        <w:tc>
          <w:tcPr>
            <w:tcW w:w="0" w:type="auto"/>
            <w:vAlign w:val="center"/>
          </w:tcPr>
          <w:p w14:paraId="5B98968F" w14:textId="5C480B1F" w:rsidR="00B70573" w:rsidRPr="00B70573" w:rsidRDefault="00B70573" w:rsidP="00B705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B70573">
              <w:rPr>
                <w:rFonts w:ascii="Calibri" w:hAnsi="Calibri" w:cs="Calibri"/>
                <w:sz w:val="20"/>
                <w:szCs w:val="20"/>
              </w:rPr>
              <w:t>36.</w:t>
            </w:r>
            <w:r w:rsidR="00D10334">
              <w:rPr>
                <w:rFonts w:ascii="Calibri" w:hAnsi="Calibri" w:cs="Calibri"/>
                <w:sz w:val="20"/>
                <w:szCs w:val="20"/>
              </w:rPr>
              <w:t>4</w:t>
            </w:r>
            <w:r w:rsidRPr="00B70573">
              <w:rPr>
                <w:rFonts w:ascii="Calibri" w:hAnsi="Calibri" w:cs="Calibri"/>
                <w:sz w:val="20"/>
                <w:szCs w:val="20"/>
              </w:rPr>
              <w:t>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07D4CBB6" w14:textId="5F31B339" w:rsidR="00B70573" w:rsidRPr="00B70573" w:rsidRDefault="00B70573" w:rsidP="00B7057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70573">
              <w:rPr>
                <w:rFonts w:ascii="Calibri" w:hAnsi="Calibri" w:cs="Calibri"/>
                <w:sz w:val="20"/>
                <w:szCs w:val="20"/>
              </w:rPr>
              <w:t>↓</w:t>
            </w:r>
          </w:p>
        </w:tc>
        <w:tc>
          <w:tcPr>
            <w:tcW w:w="1710" w:type="dxa"/>
            <w:vAlign w:val="center"/>
          </w:tcPr>
          <w:p w14:paraId="0997BDD7" w14:textId="1E4FC47A" w:rsidR="00B70573" w:rsidRPr="009D228E" w:rsidRDefault="00B70573" w:rsidP="00B705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9D228E">
              <w:rPr>
                <w:rFonts w:ascii="Calibri" w:hAnsi="Calibri" w:cs="Calibri"/>
                <w:sz w:val="20"/>
                <w:szCs w:val="20"/>
              </w:rPr>
              <w:t>↓</w:t>
            </w:r>
          </w:p>
        </w:tc>
      </w:tr>
      <w:tr w:rsidR="00B70573" w:rsidRPr="00CF5E11" w14:paraId="3874F1DE" w14:textId="77777777" w:rsidTr="00435347">
        <w:trPr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39E5A891" w14:textId="7E285291" w:rsidR="00B70573" w:rsidRPr="00045954" w:rsidRDefault="00B70573" w:rsidP="00B70573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045954">
              <w:rPr>
                <w:rFonts w:ascii="Calibri" w:hAnsi="Calibri" w:cs="Calibri"/>
                <w:b/>
                <w:bCs/>
                <w:sz w:val="18"/>
                <w:szCs w:val="18"/>
              </w:rPr>
              <w:t>FUA - 30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5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3A8084C3" w14:textId="24B116B1" w:rsidR="00B70573" w:rsidRPr="00B70573" w:rsidRDefault="00B70573" w:rsidP="00B70573">
            <w:pPr>
              <w:rPr>
                <w:rFonts w:ascii="Calibri" w:hAnsi="Calibri" w:cs="Calibri"/>
                <w:b/>
                <w:bCs/>
                <w:color w:val="1F497D" w:themeColor="text2"/>
                <w:sz w:val="18"/>
                <w:szCs w:val="18"/>
              </w:rPr>
            </w:pPr>
            <w:r w:rsidRPr="00B70573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Follow-Up After Emergency Department Visit for </w:t>
            </w:r>
            <w:r w:rsidR="00F4588E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Substance Use </w:t>
            </w:r>
            <w:r w:rsidRPr="00B70573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(30 days)</w:t>
            </w:r>
          </w:p>
        </w:tc>
        <w:tc>
          <w:tcPr>
            <w:tcW w:w="0" w:type="auto"/>
            <w:vAlign w:val="center"/>
          </w:tcPr>
          <w:p w14:paraId="05A7C52E" w14:textId="68621CD5" w:rsidR="00B70573" w:rsidRPr="00B70573" w:rsidRDefault="00B70573" w:rsidP="00B705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B70573">
              <w:rPr>
                <w:rFonts w:ascii="Calibri" w:hAnsi="Calibri" w:cs="Calibri"/>
                <w:sz w:val="20"/>
                <w:szCs w:val="20"/>
              </w:rPr>
              <w:t>53.2%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104419E8" w14:textId="6A97DCFE" w:rsidR="00B70573" w:rsidRPr="00B70573" w:rsidRDefault="00B70573" w:rsidP="00B7057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70573">
              <w:rPr>
                <w:rFonts w:ascii="Calibri" w:hAnsi="Calibri" w:cs="Calibri"/>
                <w:sz w:val="20"/>
                <w:szCs w:val="20"/>
              </w:rPr>
              <w:t>↑</w:t>
            </w:r>
          </w:p>
        </w:tc>
        <w:tc>
          <w:tcPr>
            <w:tcW w:w="1710" w:type="dxa"/>
            <w:vAlign w:val="center"/>
          </w:tcPr>
          <w:p w14:paraId="1FA2827E" w14:textId="0049CD50" w:rsidR="00B70573" w:rsidRPr="009D228E" w:rsidRDefault="00B70573" w:rsidP="00B705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9D228E">
              <w:rPr>
                <w:rFonts w:ascii="Calibri" w:hAnsi="Calibri" w:cs="Calibri"/>
                <w:sz w:val="20"/>
                <w:szCs w:val="20"/>
              </w:rPr>
              <w:t>↓</w:t>
            </w:r>
          </w:p>
        </w:tc>
      </w:tr>
      <w:tr w:rsidR="00B70573" w:rsidRPr="00CF5E11" w14:paraId="40F1AB48" w14:textId="77777777" w:rsidTr="00435347">
        <w:trPr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796FA02C" w14:textId="44793C58" w:rsidR="00B70573" w:rsidRPr="00045954" w:rsidRDefault="00B70573" w:rsidP="00B70573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045954">
              <w:rPr>
                <w:rFonts w:ascii="Calibri" w:hAnsi="Calibri" w:cs="Calibri"/>
                <w:b/>
                <w:bCs/>
                <w:sz w:val="18"/>
                <w:szCs w:val="18"/>
              </w:rPr>
              <w:t>FUA - 7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5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4A609F9C" w14:textId="38C05A8B" w:rsidR="00B70573" w:rsidRPr="00B70573" w:rsidRDefault="00B70573" w:rsidP="00B70573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70573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Follow-Up After Emergency Department Visit for </w:t>
            </w:r>
            <w:r w:rsidR="00F4588E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Substance Use </w:t>
            </w:r>
            <w:r w:rsidRPr="00B70573">
              <w:rPr>
                <w:rFonts w:ascii="Calibri" w:hAnsi="Calibri" w:cs="Calibri"/>
                <w:b/>
                <w:bCs/>
                <w:sz w:val="18"/>
                <w:szCs w:val="18"/>
              </w:rPr>
              <w:t>(7 days)</w:t>
            </w:r>
          </w:p>
        </w:tc>
        <w:tc>
          <w:tcPr>
            <w:tcW w:w="0" w:type="auto"/>
            <w:vAlign w:val="center"/>
          </w:tcPr>
          <w:p w14:paraId="355BCE4C" w14:textId="1BFC1777" w:rsidR="00B70573" w:rsidRPr="00B70573" w:rsidRDefault="00B70573" w:rsidP="00B705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B70573">
              <w:rPr>
                <w:rFonts w:ascii="Calibri" w:hAnsi="Calibri" w:cs="Calibri"/>
                <w:sz w:val="20"/>
                <w:szCs w:val="20"/>
              </w:rPr>
              <w:t>41.3%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1E05FC13" w14:textId="3EF90A2A" w:rsidR="00B70573" w:rsidRPr="00B70573" w:rsidRDefault="00B70573" w:rsidP="00B7057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70573">
              <w:rPr>
                <w:rFonts w:ascii="Calibri" w:hAnsi="Calibri" w:cs="Calibri"/>
                <w:sz w:val="20"/>
                <w:szCs w:val="20"/>
              </w:rPr>
              <w:t>↑</w:t>
            </w:r>
          </w:p>
        </w:tc>
        <w:tc>
          <w:tcPr>
            <w:tcW w:w="1710" w:type="dxa"/>
            <w:vAlign w:val="center"/>
          </w:tcPr>
          <w:p w14:paraId="66A41CCC" w14:textId="0B936596" w:rsidR="00B70573" w:rsidRPr="009D228E" w:rsidRDefault="00B70573" w:rsidP="00B705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9D228E">
              <w:rPr>
                <w:rFonts w:ascii="Calibri" w:hAnsi="Calibri" w:cs="Calibri"/>
                <w:sz w:val="20"/>
                <w:szCs w:val="20"/>
              </w:rPr>
              <w:t>↑</w:t>
            </w:r>
          </w:p>
        </w:tc>
      </w:tr>
      <w:tr w:rsidR="00B70573" w:rsidRPr="00CF5E11" w14:paraId="4B95CA9B" w14:textId="77777777" w:rsidTr="00435347">
        <w:trPr>
          <w:trHeight w:val="43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1244B596" w14:textId="73D8976B" w:rsidR="00B70573" w:rsidRPr="00045954" w:rsidRDefault="00B70573" w:rsidP="00B70573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045954">
              <w:rPr>
                <w:rFonts w:ascii="Calibri" w:hAnsi="Calibri" w:cs="Calibri"/>
                <w:b/>
                <w:bCs/>
                <w:sz w:val="18"/>
                <w:szCs w:val="18"/>
              </w:rPr>
              <w:t>FUH - 30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5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70F6F975" w14:textId="460066BD" w:rsidR="00B70573" w:rsidRPr="00B70573" w:rsidRDefault="00B70573" w:rsidP="00B70573">
            <w:pPr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B70573">
              <w:rPr>
                <w:rFonts w:ascii="Calibri" w:hAnsi="Calibri" w:cs="Calibri"/>
                <w:b/>
                <w:bCs/>
                <w:sz w:val="18"/>
                <w:szCs w:val="18"/>
              </w:rPr>
              <w:t>Follow-Up After Hospitalization for Mental Illness (30 days)</w:t>
            </w:r>
          </w:p>
        </w:tc>
        <w:tc>
          <w:tcPr>
            <w:tcW w:w="0" w:type="auto"/>
            <w:vAlign w:val="center"/>
          </w:tcPr>
          <w:p w14:paraId="4DCCDFA9" w14:textId="73EFD300" w:rsidR="00B70573" w:rsidRPr="00B70573" w:rsidRDefault="00B70573" w:rsidP="00B705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B70573">
              <w:rPr>
                <w:rFonts w:ascii="Calibri" w:hAnsi="Calibri" w:cs="Calibri"/>
                <w:sz w:val="20"/>
                <w:szCs w:val="20"/>
              </w:rPr>
              <w:t>64.3%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47AD2E6F" w14:textId="6073E11D" w:rsidR="00B70573" w:rsidRPr="00B70573" w:rsidRDefault="00B70573" w:rsidP="00B7057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70573">
              <w:rPr>
                <w:rFonts w:ascii="Calibri" w:hAnsi="Calibri" w:cs="Calibri"/>
                <w:sz w:val="20"/>
                <w:szCs w:val="20"/>
              </w:rPr>
              <w:t>↓</w:t>
            </w:r>
          </w:p>
        </w:tc>
        <w:tc>
          <w:tcPr>
            <w:tcW w:w="1710" w:type="dxa"/>
            <w:vAlign w:val="center"/>
          </w:tcPr>
          <w:p w14:paraId="59DB4292" w14:textId="29E3EDBD" w:rsidR="00B70573" w:rsidRPr="009D228E" w:rsidRDefault="00B70573" w:rsidP="00B705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9D228E">
              <w:rPr>
                <w:rFonts w:ascii="Calibri" w:hAnsi="Calibri" w:cs="Calibri"/>
                <w:sz w:val="20"/>
                <w:szCs w:val="20"/>
              </w:rPr>
              <w:t>↓</w:t>
            </w:r>
          </w:p>
        </w:tc>
      </w:tr>
      <w:tr w:rsidR="00B70573" w:rsidRPr="00CF5E11" w14:paraId="3F5C02CB" w14:textId="77777777" w:rsidTr="00435347">
        <w:trPr>
          <w:trHeight w:val="43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4C8A87E8" w14:textId="125FF31D" w:rsidR="00B70573" w:rsidRPr="00045954" w:rsidRDefault="00B70573" w:rsidP="00B70573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045954">
              <w:rPr>
                <w:rFonts w:ascii="Calibri" w:hAnsi="Calibri" w:cs="Calibri"/>
                <w:b/>
                <w:bCs/>
                <w:sz w:val="18"/>
                <w:szCs w:val="18"/>
              </w:rPr>
              <w:t>FUH - 7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5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798CA2D3" w14:textId="0C35E410" w:rsidR="00B70573" w:rsidRPr="00B70573" w:rsidRDefault="00B70573" w:rsidP="00B70573">
            <w:pPr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B70573">
              <w:rPr>
                <w:rFonts w:ascii="Calibri" w:hAnsi="Calibri" w:cs="Calibri"/>
                <w:b/>
                <w:bCs/>
                <w:sz w:val="18"/>
                <w:szCs w:val="18"/>
              </w:rPr>
              <w:t>Follow-Up After Hospitalization for Mental Illness (7 days)</w:t>
            </w:r>
          </w:p>
        </w:tc>
        <w:tc>
          <w:tcPr>
            <w:tcW w:w="0" w:type="auto"/>
            <w:vAlign w:val="center"/>
          </w:tcPr>
          <w:p w14:paraId="234F66CD" w14:textId="28FC60E9" w:rsidR="00B70573" w:rsidRPr="00B70573" w:rsidRDefault="00B70573" w:rsidP="00B705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B70573">
              <w:rPr>
                <w:rFonts w:ascii="Calibri" w:hAnsi="Calibri" w:cs="Calibri"/>
                <w:sz w:val="20"/>
                <w:szCs w:val="20"/>
              </w:rPr>
              <w:t>42.5%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38277A8C" w14:textId="30713F10" w:rsidR="00B70573" w:rsidRPr="00B70573" w:rsidRDefault="00B70573" w:rsidP="00B7057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70573">
              <w:rPr>
                <w:rFonts w:ascii="Calibri" w:hAnsi="Calibri" w:cs="Calibri"/>
                <w:sz w:val="20"/>
                <w:szCs w:val="20"/>
              </w:rPr>
              <w:t>↓</w:t>
            </w:r>
          </w:p>
        </w:tc>
        <w:tc>
          <w:tcPr>
            <w:tcW w:w="1710" w:type="dxa"/>
            <w:vAlign w:val="center"/>
          </w:tcPr>
          <w:p w14:paraId="5D952FEA" w14:textId="53BA28EA" w:rsidR="00B70573" w:rsidRPr="009D228E" w:rsidRDefault="00B70573" w:rsidP="00B705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9D228E">
              <w:rPr>
                <w:rFonts w:ascii="Calibri" w:hAnsi="Calibri" w:cs="Calibri"/>
                <w:sz w:val="20"/>
                <w:szCs w:val="20"/>
              </w:rPr>
              <w:t>↓</w:t>
            </w:r>
          </w:p>
        </w:tc>
      </w:tr>
      <w:tr w:rsidR="00B70573" w:rsidRPr="00CF5E11" w14:paraId="3478C08E" w14:textId="77777777" w:rsidTr="00435347">
        <w:trPr>
          <w:trHeight w:val="43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0F865E0A" w14:textId="1EDA2B4C" w:rsidR="00B70573" w:rsidRPr="00045954" w:rsidRDefault="00B70573" w:rsidP="00B70573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045954">
              <w:rPr>
                <w:rFonts w:ascii="Calibri" w:hAnsi="Calibri" w:cs="Calibri"/>
                <w:b/>
                <w:bCs/>
                <w:sz w:val="18"/>
                <w:szCs w:val="18"/>
              </w:rPr>
              <w:t>FUM - 30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5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30D26639" w14:textId="68676317" w:rsidR="00B70573" w:rsidRPr="00B70573" w:rsidRDefault="00B70573" w:rsidP="00B70573">
            <w:pPr>
              <w:rPr>
                <w:rFonts w:ascii="Calibri" w:hAnsi="Calibri" w:cs="Calibri"/>
                <w:b/>
                <w:bCs/>
                <w:color w:val="1F497D" w:themeColor="text2"/>
                <w:sz w:val="18"/>
                <w:szCs w:val="18"/>
              </w:rPr>
            </w:pPr>
            <w:r w:rsidRPr="00B70573">
              <w:rPr>
                <w:rFonts w:ascii="Calibri" w:hAnsi="Calibri" w:cs="Calibri"/>
                <w:b/>
                <w:bCs/>
                <w:sz w:val="18"/>
                <w:szCs w:val="18"/>
              </w:rPr>
              <w:t>Follow-Up After Emergency Department Visit for Mental Illness (30 days)</w:t>
            </w:r>
          </w:p>
        </w:tc>
        <w:tc>
          <w:tcPr>
            <w:tcW w:w="0" w:type="auto"/>
            <w:vAlign w:val="center"/>
          </w:tcPr>
          <w:p w14:paraId="60CC92B9" w14:textId="08DE808F" w:rsidR="00B70573" w:rsidRPr="00B70573" w:rsidRDefault="00B70573" w:rsidP="00B705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0573">
              <w:rPr>
                <w:rFonts w:ascii="Calibri" w:hAnsi="Calibri" w:cs="Calibri"/>
                <w:sz w:val="20"/>
                <w:szCs w:val="20"/>
              </w:rPr>
              <w:t>83.7%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2325ACA2" w14:textId="43B55798" w:rsidR="00B70573" w:rsidRPr="00B70573" w:rsidRDefault="00B70573" w:rsidP="00B7057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70573">
              <w:rPr>
                <w:rFonts w:ascii="Calibri" w:hAnsi="Calibri" w:cs="Calibri"/>
                <w:sz w:val="20"/>
                <w:szCs w:val="20"/>
              </w:rPr>
              <w:t>↑</w:t>
            </w:r>
          </w:p>
        </w:tc>
        <w:tc>
          <w:tcPr>
            <w:tcW w:w="1710" w:type="dxa"/>
            <w:vAlign w:val="center"/>
          </w:tcPr>
          <w:p w14:paraId="775C8C21" w14:textId="37293E9A" w:rsidR="00B70573" w:rsidRPr="009D228E" w:rsidRDefault="00B70573" w:rsidP="00B705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9D228E">
              <w:rPr>
                <w:rFonts w:ascii="Calibri" w:hAnsi="Calibri" w:cs="Calibri"/>
                <w:sz w:val="20"/>
                <w:szCs w:val="20"/>
              </w:rPr>
              <w:t>↑</w:t>
            </w:r>
          </w:p>
        </w:tc>
      </w:tr>
      <w:tr w:rsidR="00B70573" w:rsidRPr="00CF5E11" w14:paraId="730B16F5" w14:textId="77777777" w:rsidTr="00435347">
        <w:trPr>
          <w:trHeight w:val="437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1E6B361E" w14:textId="4E770FBF" w:rsidR="00B70573" w:rsidRPr="00045954" w:rsidRDefault="00B70573" w:rsidP="00B70573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045954">
              <w:rPr>
                <w:rFonts w:ascii="Calibri" w:hAnsi="Calibri" w:cs="Calibri"/>
                <w:b/>
                <w:bCs/>
                <w:sz w:val="18"/>
                <w:szCs w:val="18"/>
              </w:rPr>
              <w:t>FUM - 7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5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1207EF8C" w14:textId="537C40CF" w:rsidR="00B70573" w:rsidRPr="00B70573" w:rsidRDefault="00B70573" w:rsidP="00B70573">
            <w:pPr>
              <w:rPr>
                <w:rFonts w:ascii="Calibri" w:hAnsi="Calibri" w:cs="Calibri"/>
                <w:b/>
                <w:bCs/>
                <w:color w:val="1F497D" w:themeColor="text2"/>
                <w:sz w:val="18"/>
                <w:szCs w:val="18"/>
              </w:rPr>
            </w:pPr>
            <w:r w:rsidRPr="00B70573">
              <w:rPr>
                <w:rFonts w:ascii="Calibri" w:hAnsi="Calibri" w:cs="Calibri"/>
                <w:b/>
                <w:bCs/>
                <w:sz w:val="18"/>
                <w:szCs w:val="18"/>
              </w:rPr>
              <w:t>Follow-Up After Emergency Department Visit for Mental Illness (7 days)</w:t>
            </w:r>
          </w:p>
        </w:tc>
        <w:tc>
          <w:tcPr>
            <w:tcW w:w="0" w:type="auto"/>
            <w:vAlign w:val="center"/>
          </w:tcPr>
          <w:p w14:paraId="4CDA1AC4" w14:textId="08F7257E" w:rsidR="00B70573" w:rsidRPr="00B70573" w:rsidRDefault="00B70573" w:rsidP="00B705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B70573">
              <w:rPr>
                <w:rFonts w:ascii="Calibri" w:hAnsi="Calibri" w:cs="Calibri"/>
                <w:sz w:val="20"/>
                <w:szCs w:val="20"/>
              </w:rPr>
              <w:t>77.3%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6641A1D3" w14:textId="41A01032" w:rsidR="00B70573" w:rsidRPr="00B70573" w:rsidRDefault="00B70573" w:rsidP="00B7057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70573">
              <w:rPr>
                <w:rFonts w:ascii="Calibri" w:hAnsi="Calibri" w:cs="Calibri"/>
                <w:sz w:val="20"/>
                <w:szCs w:val="20"/>
              </w:rPr>
              <w:t>↑</w:t>
            </w:r>
          </w:p>
        </w:tc>
        <w:tc>
          <w:tcPr>
            <w:tcW w:w="1710" w:type="dxa"/>
            <w:vAlign w:val="center"/>
          </w:tcPr>
          <w:p w14:paraId="7EEA0692" w14:textId="1B4DA566" w:rsidR="00B70573" w:rsidRPr="009D228E" w:rsidRDefault="00B70573" w:rsidP="00B705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9D228E">
              <w:rPr>
                <w:rFonts w:ascii="Calibri" w:hAnsi="Calibri" w:cs="Calibri"/>
                <w:sz w:val="20"/>
                <w:szCs w:val="20"/>
              </w:rPr>
              <w:t>↑</w:t>
            </w:r>
          </w:p>
        </w:tc>
      </w:tr>
      <w:tr w:rsidR="00B70573" w:rsidRPr="00CF5E11" w14:paraId="54469264" w14:textId="77777777" w:rsidTr="00435347">
        <w:trPr>
          <w:trHeight w:val="50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0B7CA207" w14:textId="78AC5563" w:rsidR="00B70573" w:rsidRPr="00B70573" w:rsidRDefault="00B70573" w:rsidP="00B70573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70573">
              <w:rPr>
                <w:rFonts w:ascii="Calibri" w:hAnsi="Calibri" w:cs="Calibri"/>
                <w:b/>
                <w:bCs/>
                <w:sz w:val="18"/>
                <w:szCs w:val="18"/>
              </w:rPr>
              <w:t>IET - Eng Total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5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4760A51C" w14:textId="465E62F5" w:rsidR="00B70573" w:rsidRPr="00B70573" w:rsidRDefault="00B70573" w:rsidP="00B70573">
            <w:pPr>
              <w:rPr>
                <w:rFonts w:ascii="Calibri" w:hAnsi="Calibri" w:cs="Calibri"/>
                <w:b/>
                <w:bCs/>
                <w:color w:val="1F497D" w:themeColor="text2"/>
                <w:sz w:val="18"/>
                <w:szCs w:val="18"/>
              </w:rPr>
            </w:pPr>
            <w:r w:rsidRPr="00B70573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Initiation and Engagement of </w:t>
            </w:r>
            <w:r w:rsidR="000A519D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Substance use Disorder </w:t>
            </w:r>
            <w:r w:rsidRPr="00B70573">
              <w:rPr>
                <w:rFonts w:ascii="Calibri" w:hAnsi="Calibri" w:cs="Calibri"/>
                <w:b/>
                <w:bCs/>
                <w:sz w:val="18"/>
                <w:szCs w:val="18"/>
              </w:rPr>
              <w:t>Treatment (Engagement Total)</w:t>
            </w:r>
          </w:p>
        </w:tc>
        <w:tc>
          <w:tcPr>
            <w:tcW w:w="0" w:type="auto"/>
            <w:vAlign w:val="center"/>
          </w:tcPr>
          <w:p w14:paraId="61AAF059" w14:textId="3B51548A" w:rsidR="00B70573" w:rsidRPr="00B70573" w:rsidRDefault="00B70573" w:rsidP="00B705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B70573">
              <w:rPr>
                <w:rFonts w:ascii="Calibri" w:hAnsi="Calibri" w:cs="Calibri"/>
                <w:sz w:val="20"/>
                <w:szCs w:val="20"/>
              </w:rPr>
              <w:t>16.9%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75D3639D" w14:textId="386ED678" w:rsidR="00B70573" w:rsidRPr="00B70573" w:rsidRDefault="00B70573" w:rsidP="00B7057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70573">
              <w:rPr>
                <w:rFonts w:ascii="Calibri" w:hAnsi="Calibri" w:cs="Calibri"/>
                <w:sz w:val="20"/>
                <w:szCs w:val="20"/>
              </w:rPr>
              <w:t>↓</w:t>
            </w:r>
          </w:p>
        </w:tc>
        <w:tc>
          <w:tcPr>
            <w:tcW w:w="1710" w:type="dxa"/>
            <w:vAlign w:val="center"/>
          </w:tcPr>
          <w:p w14:paraId="49A183B5" w14:textId="544C4E02" w:rsidR="00B70573" w:rsidRPr="009D228E" w:rsidRDefault="00B70573" w:rsidP="00B705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9D228E">
              <w:rPr>
                <w:rFonts w:ascii="Calibri" w:hAnsi="Calibri" w:cs="Calibri"/>
                <w:sz w:val="20"/>
                <w:szCs w:val="20"/>
              </w:rPr>
              <w:t>↓</w:t>
            </w:r>
          </w:p>
        </w:tc>
      </w:tr>
      <w:tr w:rsidR="00B70573" w:rsidRPr="00CF5E11" w14:paraId="051CAACD" w14:textId="77777777" w:rsidTr="00435347">
        <w:trPr>
          <w:trHeight w:val="50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326AE5CA" w14:textId="18C7C6F7" w:rsidR="00B70573" w:rsidRPr="00B70573" w:rsidRDefault="00B70573" w:rsidP="00B70573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70573">
              <w:rPr>
                <w:rFonts w:ascii="Calibri" w:hAnsi="Calibri" w:cs="Calibri"/>
                <w:b/>
                <w:bCs/>
                <w:sz w:val="18"/>
                <w:szCs w:val="18"/>
              </w:rPr>
              <w:t>IET - Init Total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5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49FE3998" w14:textId="64D82892" w:rsidR="00B70573" w:rsidRPr="00B70573" w:rsidRDefault="00B70573" w:rsidP="00B70573">
            <w:pPr>
              <w:rPr>
                <w:rFonts w:ascii="Calibri" w:hAnsi="Calibri" w:cs="Calibri"/>
                <w:b/>
                <w:bCs/>
                <w:color w:val="1F497D" w:themeColor="text2"/>
                <w:sz w:val="18"/>
                <w:szCs w:val="18"/>
              </w:rPr>
            </w:pPr>
            <w:r w:rsidRPr="00B70573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Initiation and Engagement of </w:t>
            </w:r>
            <w:r w:rsidR="000A519D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Substance use Disorder </w:t>
            </w:r>
            <w:r w:rsidRPr="00B70573">
              <w:rPr>
                <w:rFonts w:ascii="Calibri" w:hAnsi="Calibri" w:cs="Calibri"/>
                <w:b/>
                <w:bCs/>
                <w:sz w:val="18"/>
                <w:szCs w:val="18"/>
              </w:rPr>
              <w:t xml:space="preserve"> Treatment (Initiation Total)</w:t>
            </w:r>
          </w:p>
        </w:tc>
        <w:tc>
          <w:tcPr>
            <w:tcW w:w="0" w:type="auto"/>
            <w:vAlign w:val="center"/>
          </w:tcPr>
          <w:p w14:paraId="38F45370" w14:textId="64193AD0" w:rsidR="00B70573" w:rsidRPr="00B70573" w:rsidRDefault="00B70573" w:rsidP="00B705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20"/>
                <w:szCs w:val="20"/>
              </w:rPr>
            </w:pPr>
            <w:r w:rsidRPr="00B70573">
              <w:rPr>
                <w:rFonts w:ascii="Calibri" w:hAnsi="Calibri" w:cs="Calibri"/>
                <w:sz w:val="20"/>
                <w:szCs w:val="20"/>
              </w:rPr>
              <w:t>44.2%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1031B3A7" w14:textId="044CCFFE" w:rsidR="00B70573" w:rsidRPr="00B70573" w:rsidRDefault="00B70573" w:rsidP="00B7057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70573">
              <w:rPr>
                <w:rFonts w:ascii="Calibri" w:hAnsi="Calibri" w:cs="Calibri"/>
                <w:sz w:val="20"/>
                <w:szCs w:val="20"/>
              </w:rPr>
              <w:t>↓</w:t>
            </w:r>
          </w:p>
        </w:tc>
        <w:tc>
          <w:tcPr>
            <w:tcW w:w="1710" w:type="dxa"/>
            <w:vAlign w:val="center"/>
          </w:tcPr>
          <w:p w14:paraId="5DC5B77A" w14:textId="0DBBFDC2" w:rsidR="00B70573" w:rsidRPr="009D228E" w:rsidRDefault="00B70573" w:rsidP="00B705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9D228E">
              <w:rPr>
                <w:rFonts w:ascii="Calibri" w:hAnsi="Calibri" w:cs="Calibri"/>
                <w:sz w:val="20"/>
                <w:szCs w:val="20"/>
              </w:rPr>
              <w:t>↓</w:t>
            </w:r>
          </w:p>
        </w:tc>
      </w:tr>
      <w:tr w:rsidR="00B70573" w:rsidRPr="00CF5E11" w14:paraId="2306492E" w14:textId="77777777" w:rsidTr="00435347">
        <w:trPr>
          <w:trHeight w:val="43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37D12808" w14:textId="03E46276" w:rsidR="00B70573" w:rsidRPr="00B70573" w:rsidRDefault="00B70573" w:rsidP="00B70573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045954">
              <w:rPr>
                <w:rFonts w:ascii="Calibri" w:hAnsi="Calibri" w:cs="Calibri"/>
                <w:b/>
                <w:bCs/>
                <w:sz w:val="18"/>
                <w:szCs w:val="18"/>
              </w:rPr>
              <w:t>POD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57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6DF97F2A" w14:textId="3F664678" w:rsidR="00B70573" w:rsidRPr="00B70573" w:rsidRDefault="00B70573" w:rsidP="00B70573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70573">
              <w:rPr>
                <w:rFonts w:ascii="Calibri" w:hAnsi="Calibri" w:cs="Calibri"/>
                <w:b/>
                <w:bCs/>
                <w:sz w:val="18"/>
                <w:szCs w:val="18"/>
              </w:rPr>
              <w:t>Pharmacotherapy for Opioid Use Disorder</w:t>
            </w:r>
          </w:p>
        </w:tc>
        <w:tc>
          <w:tcPr>
            <w:tcW w:w="0" w:type="auto"/>
            <w:vAlign w:val="center"/>
          </w:tcPr>
          <w:p w14:paraId="17E5397B" w14:textId="0937EA0A" w:rsidR="00B70573" w:rsidRPr="00B70573" w:rsidRDefault="00B70573" w:rsidP="00B705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B70573">
              <w:rPr>
                <w:rFonts w:ascii="Calibri" w:hAnsi="Calibri" w:cs="Calibri"/>
                <w:sz w:val="20"/>
                <w:szCs w:val="20"/>
              </w:rPr>
              <w:t>47.2%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4FDAE0AD" w14:textId="2421141B" w:rsidR="00B70573" w:rsidRPr="00B70573" w:rsidRDefault="00B70573" w:rsidP="00B7057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70573">
              <w:rPr>
                <w:rFonts w:ascii="Calibri" w:hAnsi="Calibri" w:cs="Calibri"/>
                <w:sz w:val="20"/>
                <w:szCs w:val="20"/>
              </w:rPr>
              <w:t>↑</w:t>
            </w:r>
          </w:p>
        </w:tc>
        <w:tc>
          <w:tcPr>
            <w:tcW w:w="1710" w:type="dxa"/>
            <w:vAlign w:val="center"/>
          </w:tcPr>
          <w:p w14:paraId="1AEA2125" w14:textId="26152D39" w:rsidR="00B70573" w:rsidRPr="009D228E" w:rsidRDefault="00B70573" w:rsidP="00B705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9D228E">
              <w:rPr>
                <w:rFonts w:ascii="Calibri" w:hAnsi="Calibri" w:cs="Calibri"/>
                <w:sz w:val="20"/>
                <w:szCs w:val="20"/>
              </w:rPr>
              <w:t>↑</w:t>
            </w:r>
          </w:p>
        </w:tc>
      </w:tr>
      <w:tr w:rsidR="00B70573" w:rsidRPr="00E17DC1" w14:paraId="00E6B992" w14:textId="77777777" w:rsidTr="00435347">
        <w:trPr>
          <w:trHeight w:val="485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25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52475159" w14:textId="3784D8F8" w:rsidR="00B70573" w:rsidRPr="00B70573" w:rsidRDefault="00B70573" w:rsidP="00B70573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70573">
              <w:rPr>
                <w:rFonts w:ascii="Calibri" w:hAnsi="Calibri" w:cs="Calibri"/>
                <w:b/>
                <w:bCs/>
                <w:sz w:val="18"/>
                <w:szCs w:val="18"/>
              </w:rPr>
              <w:t>SSD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5757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vAlign w:val="center"/>
          </w:tcPr>
          <w:p w14:paraId="1508A411" w14:textId="384077C7" w:rsidR="00B70573" w:rsidRPr="00B70573" w:rsidRDefault="00B70573" w:rsidP="00B70573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B70573">
              <w:rPr>
                <w:rFonts w:ascii="Calibri" w:hAnsi="Calibri" w:cs="Calibri"/>
                <w:b/>
                <w:bCs/>
                <w:sz w:val="18"/>
                <w:szCs w:val="18"/>
              </w:rPr>
              <w:t>Diabetes Screening for People with Schizophrenia or Bipolar Disorder who are using Antipsychotic Medications</w:t>
            </w:r>
          </w:p>
        </w:tc>
        <w:tc>
          <w:tcPr>
            <w:tcW w:w="0" w:type="auto"/>
            <w:vAlign w:val="center"/>
          </w:tcPr>
          <w:p w14:paraId="078AE6C3" w14:textId="595C62FD" w:rsidR="00B70573" w:rsidRPr="00B70573" w:rsidRDefault="00B70573" w:rsidP="00B705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B70573">
              <w:rPr>
                <w:rFonts w:ascii="Calibri" w:hAnsi="Calibri" w:cs="Calibri"/>
                <w:sz w:val="20"/>
                <w:szCs w:val="20"/>
              </w:rPr>
              <w:t>77.8%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696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vAlign w:val="center"/>
          </w:tcPr>
          <w:p w14:paraId="76C37E5C" w14:textId="484E7461" w:rsidR="00B70573" w:rsidRPr="00B70573" w:rsidRDefault="00B70573" w:rsidP="00B70573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 w:rsidRPr="00B70573">
              <w:rPr>
                <w:rFonts w:ascii="Calibri" w:hAnsi="Calibri" w:cs="Calibri"/>
                <w:sz w:val="20"/>
                <w:szCs w:val="20"/>
              </w:rPr>
              <w:t>↓</w:t>
            </w:r>
          </w:p>
        </w:tc>
        <w:tc>
          <w:tcPr>
            <w:tcW w:w="1710" w:type="dxa"/>
            <w:vAlign w:val="center"/>
          </w:tcPr>
          <w:p w14:paraId="44D3801D" w14:textId="04D3795F" w:rsidR="00B70573" w:rsidRPr="009D228E" w:rsidRDefault="00B70573" w:rsidP="00B7057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 w:rsidRPr="009D228E">
              <w:rPr>
                <w:rFonts w:ascii="Calibri" w:hAnsi="Calibri" w:cs="Calibri"/>
                <w:sz w:val="20"/>
                <w:szCs w:val="20"/>
              </w:rPr>
              <w:t>↓</w:t>
            </w:r>
          </w:p>
        </w:tc>
      </w:tr>
    </w:tbl>
    <w:p w14:paraId="7A531AF6" w14:textId="77777777" w:rsidR="00D95EF7" w:rsidRDefault="00D95EF7" w:rsidP="00D95EF7">
      <w:pPr>
        <w:spacing w:before="240"/>
      </w:pPr>
    </w:p>
    <w:p w14:paraId="0D29FDD2" w14:textId="69BED530" w:rsidR="00114A15" w:rsidRPr="00CF5E11" w:rsidRDefault="00D95EF7" w:rsidP="00D95EF7">
      <w:r>
        <w:br w:type="page"/>
      </w:r>
      <w:r w:rsidR="007E41F6" w:rsidRPr="00CF5E11">
        <w:lastRenderedPageBreak/>
        <w:t xml:space="preserve">Massachusetts </w:t>
      </w:r>
      <w:r w:rsidR="00076100" w:rsidRPr="00CF5E11">
        <w:t>B</w:t>
      </w:r>
      <w:r w:rsidR="007E41F6" w:rsidRPr="00CF5E11">
        <w:t xml:space="preserve">ehavioral </w:t>
      </w:r>
      <w:r w:rsidR="00076100" w:rsidRPr="00CF5E11">
        <w:t>H</w:t>
      </w:r>
      <w:r w:rsidR="007E41F6" w:rsidRPr="00CF5E11">
        <w:t xml:space="preserve">ealth </w:t>
      </w:r>
      <w:r w:rsidR="00076100" w:rsidRPr="00CF5E11">
        <w:t>P</w:t>
      </w:r>
      <w:r w:rsidR="007E41F6" w:rsidRPr="00CF5E11">
        <w:t>artnership (</w:t>
      </w:r>
      <w:r w:rsidR="00452130" w:rsidRPr="00CF5E11">
        <w:t>BH PIHP</w:t>
      </w:r>
      <w:r w:rsidR="007E41F6" w:rsidRPr="00CF5E11">
        <w:t>)</w:t>
      </w:r>
      <w:r w:rsidR="00114A15" w:rsidRPr="00CF5E11">
        <w:t xml:space="preserve"> measures are compared to the Medicaid 90</w:t>
      </w:r>
      <w:r w:rsidR="00114A15" w:rsidRPr="00CF5E11">
        <w:rPr>
          <w:vertAlign w:val="superscript"/>
        </w:rPr>
        <w:t>th</w:t>
      </w:r>
      <w:r w:rsidR="00114A15" w:rsidRPr="00CF5E11">
        <w:t xml:space="preserve"> and 75</w:t>
      </w:r>
      <w:r w:rsidR="00114A15" w:rsidRPr="00CF5E11">
        <w:rPr>
          <w:vertAlign w:val="superscript"/>
        </w:rPr>
        <w:t>th</w:t>
      </w:r>
      <w:r w:rsidR="00114A15" w:rsidRPr="00CF5E11">
        <w:t xml:space="preserve"> percentiles in the table above.</w:t>
      </w:r>
    </w:p>
    <w:p w14:paraId="74267F0A" w14:textId="3AB9BB85" w:rsidR="007E41F6" w:rsidRPr="00CF5E11" w:rsidRDefault="007E41F6" w:rsidP="007E41F6">
      <w:pPr>
        <w:pStyle w:val="ListParagraph"/>
        <w:numPr>
          <w:ilvl w:val="0"/>
          <w:numId w:val="11"/>
        </w:numPr>
      </w:pPr>
      <w:r w:rsidRPr="00CF5E11">
        <w:t>The MassHealth Weighted Mean (MHWM) rates for FUM (7 and 30</w:t>
      </w:r>
      <w:r w:rsidR="00045954">
        <w:t xml:space="preserve"> </w:t>
      </w:r>
      <w:r w:rsidRPr="00CF5E11">
        <w:t>day follow-up)</w:t>
      </w:r>
      <w:r w:rsidR="00247B68">
        <w:t xml:space="preserve">, FUA (7 day follow-up) and POD </w:t>
      </w:r>
      <w:r w:rsidRPr="00CF5E11">
        <w:t>are above the national Medicaid 90</w:t>
      </w:r>
      <w:r w:rsidRPr="00CF5E11">
        <w:rPr>
          <w:vertAlign w:val="superscript"/>
        </w:rPr>
        <w:t>th</w:t>
      </w:r>
      <w:r w:rsidRPr="00CF5E11">
        <w:t xml:space="preserve"> percentile benchmark.</w:t>
      </w:r>
    </w:p>
    <w:p w14:paraId="03E49474" w14:textId="3EB95160" w:rsidR="007E41F6" w:rsidRPr="00CF5E11" w:rsidRDefault="007E41F6" w:rsidP="007E41F6">
      <w:pPr>
        <w:pStyle w:val="ListParagraph"/>
        <w:numPr>
          <w:ilvl w:val="0"/>
          <w:numId w:val="11"/>
        </w:numPr>
      </w:pPr>
      <w:r w:rsidRPr="00CF5E11">
        <w:t>The MHWM rates for AMM (</w:t>
      </w:r>
      <w:r w:rsidR="0072429C" w:rsidRPr="00CF5E11">
        <w:t>Acute</w:t>
      </w:r>
      <w:r w:rsidR="00247B68">
        <w:t xml:space="preserve"> and Continuation</w:t>
      </w:r>
      <w:r w:rsidRPr="00CF5E11">
        <w:t>)</w:t>
      </w:r>
      <w:r w:rsidR="004B0605">
        <w:t xml:space="preserve"> and </w:t>
      </w:r>
      <w:r w:rsidRPr="00CF5E11">
        <w:t>FUA (30</w:t>
      </w:r>
      <w:r w:rsidR="00045954">
        <w:t xml:space="preserve"> </w:t>
      </w:r>
      <w:r w:rsidRPr="00CF5E11">
        <w:t>day follow-up), are above the Medicaid 75</w:t>
      </w:r>
      <w:r w:rsidRPr="00CF5E11">
        <w:rPr>
          <w:vertAlign w:val="superscript"/>
        </w:rPr>
        <w:t>th</w:t>
      </w:r>
      <w:r w:rsidRPr="00CF5E11">
        <w:t xml:space="preserve"> percentile.</w:t>
      </w:r>
    </w:p>
    <w:p w14:paraId="30076E82" w14:textId="2ED36DCB" w:rsidR="009F2E7B" w:rsidRPr="00CF5E11" w:rsidRDefault="007E41F6" w:rsidP="007E41F6">
      <w:pPr>
        <w:pStyle w:val="ListParagraph"/>
        <w:numPr>
          <w:ilvl w:val="0"/>
          <w:numId w:val="11"/>
        </w:numPr>
      </w:pPr>
      <w:r w:rsidRPr="00CF5E11">
        <w:t>The MHWM rates for ADD</w:t>
      </w:r>
      <w:r w:rsidR="004B0605">
        <w:t xml:space="preserve"> (both cohorts)</w:t>
      </w:r>
      <w:r w:rsidR="003A6B5A" w:rsidRPr="00CF5E11">
        <w:t xml:space="preserve">, </w:t>
      </w:r>
      <w:r w:rsidRPr="00CF5E11">
        <w:t xml:space="preserve">APM, </w:t>
      </w:r>
      <w:r w:rsidR="004B0605">
        <w:t xml:space="preserve">FUH (7 and 30 day follow-up), </w:t>
      </w:r>
      <w:r w:rsidRPr="00CF5E11">
        <w:t xml:space="preserve">IET (initiation and engagement </w:t>
      </w:r>
      <w:r w:rsidR="0064162C" w:rsidRPr="00CF5E11">
        <w:t>sub measures</w:t>
      </w:r>
      <w:r w:rsidRPr="00CF5E11">
        <w:t>), and SSD are below the Medicaid 75</w:t>
      </w:r>
      <w:r w:rsidRPr="00CF5E11">
        <w:rPr>
          <w:vertAlign w:val="superscript"/>
        </w:rPr>
        <w:t>th</w:t>
      </w:r>
      <w:r w:rsidRPr="00CF5E11">
        <w:t xml:space="preserve"> </w:t>
      </w:r>
      <w:r w:rsidR="0064162C" w:rsidRPr="00CF5E11">
        <w:t>percentile</w:t>
      </w:r>
      <w:r w:rsidRPr="00CF5E11">
        <w:t>.</w:t>
      </w:r>
    </w:p>
    <w:p w14:paraId="6ED3ECAE" w14:textId="77777777" w:rsidR="009356F9" w:rsidRDefault="009356F9">
      <w:pPr>
        <w:rPr>
          <w:sz w:val="28"/>
          <w:szCs w:val="28"/>
        </w:rPr>
      </w:pPr>
    </w:p>
    <w:p w14:paraId="510BFAE9" w14:textId="77777777" w:rsidR="009356F9" w:rsidRDefault="009356F9">
      <w:pPr>
        <w:rPr>
          <w:sz w:val="28"/>
          <w:szCs w:val="28"/>
        </w:rPr>
      </w:pPr>
    </w:p>
    <w:p w14:paraId="1567E3BE" w14:textId="77777777" w:rsidR="009356F9" w:rsidRDefault="009356F9">
      <w:pPr>
        <w:rPr>
          <w:sz w:val="28"/>
          <w:szCs w:val="28"/>
        </w:rPr>
      </w:pPr>
    </w:p>
    <w:p w14:paraId="7731EFB9" w14:textId="77777777" w:rsidR="009356F9" w:rsidRDefault="009356F9">
      <w:pPr>
        <w:rPr>
          <w:sz w:val="28"/>
          <w:szCs w:val="28"/>
        </w:rPr>
      </w:pPr>
    </w:p>
    <w:p w14:paraId="4A4FFB18" w14:textId="77777777" w:rsidR="009356F9" w:rsidRDefault="009356F9">
      <w:pPr>
        <w:rPr>
          <w:sz w:val="28"/>
          <w:szCs w:val="28"/>
        </w:rPr>
      </w:pPr>
    </w:p>
    <w:p w14:paraId="4C8F251F" w14:textId="77777777" w:rsidR="009356F9" w:rsidRDefault="009356F9">
      <w:pPr>
        <w:rPr>
          <w:sz w:val="28"/>
          <w:szCs w:val="28"/>
        </w:rPr>
      </w:pPr>
    </w:p>
    <w:p w14:paraId="6CD2FFF2" w14:textId="77777777" w:rsidR="009356F9" w:rsidRDefault="009356F9">
      <w:pPr>
        <w:rPr>
          <w:sz w:val="28"/>
          <w:szCs w:val="28"/>
        </w:rPr>
      </w:pPr>
    </w:p>
    <w:p w14:paraId="42C31540" w14:textId="77777777" w:rsidR="009356F9" w:rsidRDefault="009356F9">
      <w:pPr>
        <w:rPr>
          <w:sz w:val="28"/>
          <w:szCs w:val="28"/>
        </w:rPr>
      </w:pPr>
    </w:p>
    <w:p w14:paraId="38025BE0" w14:textId="77777777" w:rsidR="009356F9" w:rsidRDefault="009356F9">
      <w:pPr>
        <w:rPr>
          <w:sz w:val="28"/>
          <w:szCs w:val="28"/>
        </w:rPr>
      </w:pPr>
    </w:p>
    <w:p w14:paraId="591A0485" w14:textId="77777777" w:rsidR="00B95BB9" w:rsidRDefault="00B95BB9">
      <w:pPr>
        <w:rPr>
          <w:b/>
          <w:bCs/>
          <w:color w:val="4F81BD" w:themeColor="accent1"/>
          <w:sz w:val="28"/>
          <w:szCs w:val="28"/>
          <w:highlight w:val="green"/>
        </w:rPr>
      </w:pPr>
      <w:r>
        <w:rPr>
          <w:sz w:val="28"/>
          <w:szCs w:val="28"/>
          <w:highlight w:val="green"/>
        </w:rPr>
        <w:br w:type="page"/>
      </w:r>
    </w:p>
    <w:p w14:paraId="7960A17B" w14:textId="6C782B17" w:rsidR="009356F9" w:rsidRPr="00CF5E11" w:rsidRDefault="009356F9" w:rsidP="009356F9">
      <w:pPr>
        <w:pStyle w:val="Caption"/>
        <w:keepNext/>
        <w:spacing w:after="0"/>
        <w:rPr>
          <w:sz w:val="28"/>
          <w:szCs w:val="28"/>
        </w:rPr>
      </w:pPr>
      <w:r w:rsidRPr="00B95BB9">
        <w:rPr>
          <w:sz w:val="28"/>
          <w:szCs w:val="28"/>
        </w:rPr>
        <w:lastRenderedPageBreak/>
        <w:t>Tables 6 &amp; 7 - ACO Performance Measures, 2023 (Measurement Period: Calendar Year 2022)</w:t>
      </w:r>
    </w:p>
    <w:p w14:paraId="0B1FDCC1" w14:textId="77777777" w:rsidR="009356F9" w:rsidRPr="00CF5E11" w:rsidRDefault="009356F9" w:rsidP="009356F9">
      <w:pPr>
        <w:pStyle w:val="Caption"/>
        <w:keepNext/>
        <w:spacing w:after="0"/>
        <w:rPr>
          <w:sz w:val="28"/>
          <w:szCs w:val="28"/>
        </w:rPr>
      </w:pPr>
      <w:r w:rsidRPr="00CF5E11">
        <w:rPr>
          <w:sz w:val="24"/>
          <w:szCs w:val="24"/>
        </w:rPr>
        <w:t xml:space="preserve">Table 6 </w:t>
      </w:r>
      <w:r>
        <w:rPr>
          <w:sz w:val="24"/>
          <w:szCs w:val="24"/>
        </w:rPr>
        <w:t>-</w:t>
      </w:r>
      <w:r w:rsidRPr="00CF5E11">
        <w:rPr>
          <w:sz w:val="24"/>
          <w:szCs w:val="24"/>
        </w:rPr>
        <w:t xml:space="preserve"> ACO Performance Measures, Allways Health Plan </w:t>
      </w:r>
      <w:r>
        <w:rPr>
          <w:sz w:val="24"/>
          <w:szCs w:val="24"/>
        </w:rPr>
        <w:t>-</w:t>
      </w:r>
      <w:r w:rsidRPr="00CF5E11">
        <w:rPr>
          <w:sz w:val="24"/>
          <w:szCs w:val="24"/>
        </w:rPr>
        <w:t xml:space="preserve"> Fallon</w:t>
      </w:r>
    </w:p>
    <w:p w14:paraId="60648F55" w14:textId="77777777" w:rsidR="009356F9" w:rsidRPr="00CF5E11" w:rsidRDefault="009356F9" w:rsidP="00B95BB9">
      <w:pPr>
        <w:spacing w:before="120" w:after="0" w:line="240" w:lineRule="auto"/>
        <w:rPr>
          <w:sz w:val="18"/>
          <w:szCs w:val="18"/>
        </w:rPr>
      </w:pPr>
      <w:r w:rsidRPr="00CF5E11">
        <w:rPr>
          <w:sz w:val="18"/>
          <w:szCs w:val="18"/>
        </w:rPr>
        <w:t>Table Legend:</w:t>
      </w:r>
    </w:p>
    <w:p w14:paraId="0CDBAB11" w14:textId="77777777" w:rsidR="009356F9" w:rsidRPr="00CF5E11" w:rsidRDefault="009356F9" w:rsidP="009356F9">
      <w:pPr>
        <w:spacing w:after="0" w:line="240" w:lineRule="auto"/>
        <w:rPr>
          <w:sz w:val="18"/>
          <w:szCs w:val="18"/>
        </w:rPr>
      </w:pPr>
      <w:r w:rsidRPr="00CF5E11">
        <w:rPr>
          <w:sz w:val="18"/>
          <w:szCs w:val="18"/>
          <w:vertAlign w:val="superscript"/>
        </w:rPr>
        <w:t xml:space="preserve">1 </w:t>
      </w:r>
      <w:r w:rsidRPr="00CF5E11">
        <w:rPr>
          <w:sz w:val="18"/>
          <w:szCs w:val="18"/>
        </w:rPr>
        <w:t>A lower score represents better performance.</w:t>
      </w:r>
    </w:p>
    <w:p w14:paraId="623E4FF7" w14:textId="77777777" w:rsidR="009356F9" w:rsidRDefault="009356F9" w:rsidP="009356F9">
      <w:pPr>
        <w:spacing w:after="0" w:line="240" w:lineRule="auto"/>
        <w:rPr>
          <w:sz w:val="18"/>
          <w:szCs w:val="18"/>
        </w:rPr>
      </w:pPr>
      <w:r w:rsidRPr="00CF5E11">
        <w:rPr>
          <w:sz w:val="18"/>
          <w:szCs w:val="18"/>
          <w:vertAlign w:val="superscript"/>
        </w:rPr>
        <w:t xml:space="preserve">2 </w:t>
      </w:r>
      <w:r w:rsidRPr="00CF5E11">
        <w:rPr>
          <w:sz w:val="18"/>
          <w:szCs w:val="18"/>
        </w:rPr>
        <w:t>ACO weighted mean includes the 17 ACOs in Table 6 and Table 7.</w:t>
      </w:r>
    </w:p>
    <w:p w14:paraId="537DE8B1" w14:textId="2054B388" w:rsidR="00B95BB9" w:rsidRDefault="00B95BB9" w:rsidP="00B95BB9">
      <w:pPr>
        <w:spacing w:after="360" w:line="240" w:lineRule="auto"/>
        <w:rPr>
          <w:sz w:val="18"/>
          <w:szCs w:val="18"/>
        </w:rPr>
      </w:pPr>
      <w:r w:rsidRPr="00CF5E11">
        <w:rPr>
          <w:sz w:val="18"/>
          <w:szCs w:val="18"/>
        </w:rPr>
        <w:t>* ↑ = Weighted Mean Performance Better Than Benchmark   ↓ = Weighted Mean Performance Worse Than Benchma</w:t>
      </w:r>
      <w:r>
        <w:rPr>
          <w:sz w:val="18"/>
          <w:szCs w:val="18"/>
        </w:rPr>
        <w:t>rk</w:t>
      </w:r>
    </w:p>
    <w:p w14:paraId="650BF974" w14:textId="243DF5CE" w:rsidR="00B6407A" w:rsidRPr="00B6407A" w:rsidRDefault="00B6407A" w:rsidP="00B6407A">
      <w:pPr>
        <w:spacing w:after="0" w:line="240" w:lineRule="auto"/>
      </w:pPr>
      <w:r w:rsidRPr="00AC7633">
        <w:t xml:space="preserve">Table </w:t>
      </w:r>
      <w:r>
        <w:t>6</w:t>
      </w:r>
      <w:r w:rsidRPr="00AC7633">
        <w:t>.a: HEDIS Measures</w:t>
      </w:r>
    </w:p>
    <w:tbl>
      <w:tblPr>
        <w:tblStyle w:val="MediumList2-Accent1"/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2A0" w:firstRow="1" w:lastRow="0" w:firstColumn="1" w:lastColumn="0" w:noHBand="1" w:noVBand="0"/>
        <w:tblCaption w:val="SCO Performance Measures, 2018 "/>
        <w:tblDescription w:val="2018 Measures for senior care options using benchmarks as comparative values."/>
      </w:tblPr>
      <w:tblGrid>
        <w:gridCol w:w="1430"/>
        <w:gridCol w:w="3162"/>
        <w:gridCol w:w="720"/>
        <w:gridCol w:w="720"/>
        <w:gridCol w:w="720"/>
        <w:gridCol w:w="720"/>
        <w:gridCol w:w="720"/>
        <w:gridCol w:w="720"/>
        <w:gridCol w:w="720"/>
        <w:gridCol w:w="720"/>
        <w:gridCol w:w="924"/>
        <w:gridCol w:w="810"/>
        <w:gridCol w:w="1134"/>
        <w:gridCol w:w="1080"/>
      </w:tblGrid>
      <w:tr w:rsidR="001F0D4E" w:rsidRPr="00CF5E11" w14:paraId="40FEFFF2" w14:textId="77777777" w:rsidTr="00435347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0"/>
          <w:tblHeader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B9ACCDC" w14:textId="6FE1DB8C" w:rsidR="00E7404E" w:rsidRPr="001C1DA0" w:rsidRDefault="00E7404E" w:rsidP="00E7404E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Measure Code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6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CB1BD5B" w14:textId="46B06A71" w:rsidR="00E7404E" w:rsidRPr="001C1DA0" w:rsidRDefault="00E7404E" w:rsidP="00E7404E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Measure Name</w:t>
            </w:r>
          </w:p>
        </w:tc>
        <w:tc>
          <w:tcPr>
            <w:tcW w:w="7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9BA370E" w14:textId="78F05022" w:rsidR="00E7404E" w:rsidRPr="001C1DA0" w:rsidRDefault="00E7404E" w:rsidP="00E7404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AHP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7DEFC9C" w14:textId="363F1573" w:rsidR="00E7404E" w:rsidRPr="001C1DA0" w:rsidRDefault="00E7404E" w:rsidP="00E7404E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C3</w:t>
            </w:r>
          </w:p>
        </w:tc>
        <w:tc>
          <w:tcPr>
            <w:tcW w:w="7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7E2DE2E" w14:textId="2D26A23D" w:rsidR="00E7404E" w:rsidRPr="001C1DA0" w:rsidRDefault="00E7404E" w:rsidP="00E7404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FH 365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08DD56D" w14:textId="3E2AC03F" w:rsidR="00E7404E" w:rsidRPr="001C1DA0" w:rsidRDefault="00E7404E" w:rsidP="00E7404E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FH BERK</w:t>
            </w:r>
          </w:p>
        </w:tc>
        <w:tc>
          <w:tcPr>
            <w:tcW w:w="7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42D70F8" w14:textId="091E12AC" w:rsidR="00E7404E" w:rsidRPr="001C1DA0" w:rsidRDefault="00E7404E" w:rsidP="00E7404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FH WFC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E53CC83" w14:textId="61BF0588" w:rsidR="00E7404E" w:rsidRPr="001C1DA0" w:rsidRDefault="00E7404E" w:rsidP="00E7404E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HNE</w:t>
            </w:r>
          </w:p>
        </w:tc>
        <w:tc>
          <w:tcPr>
            <w:tcW w:w="7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FD97F27" w14:textId="78442352" w:rsidR="00E7404E" w:rsidRPr="001C1DA0" w:rsidRDefault="00E7404E" w:rsidP="00E7404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LAHEY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5EFD28A" w14:textId="690BF6B9" w:rsidR="00E7404E" w:rsidRPr="001C1DA0" w:rsidRDefault="00E7404E" w:rsidP="00E7404E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MGB</w:t>
            </w:r>
          </w:p>
        </w:tc>
        <w:tc>
          <w:tcPr>
            <w:tcW w:w="92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C6CA3AB" w14:textId="0B0513D1" w:rsidR="00E7404E" w:rsidRPr="001C1DA0" w:rsidRDefault="00E7404E" w:rsidP="00FC29C3">
            <w:pPr>
              <w:ind w:right="-110"/>
              <w:jc w:val="both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STEWARD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ECF9F0D" w14:textId="163F9891" w:rsidR="00E7404E" w:rsidRPr="001C1DA0" w:rsidRDefault="00E7404E" w:rsidP="00E7404E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ACO MHWM</w:t>
            </w:r>
          </w:p>
        </w:tc>
        <w:tc>
          <w:tcPr>
            <w:tcW w:w="113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E159DF2" w14:textId="20CCAEEC" w:rsidR="00E7404E" w:rsidRPr="001C1DA0" w:rsidRDefault="00E7404E" w:rsidP="00E7404E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Nat’l Medicaid 75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vertAlign w:val="superscript"/>
              </w:rPr>
              <w:t>th</w:t>
            </w: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 Percentile*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E594026" w14:textId="675F48B5" w:rsidR="00E7404E" w:rsidRPr="001C1DA0" w:rsidRDefault="00E7404E" w:rsidP="00E7404E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Nat'l Medicaid 90th Percentile*</w:t>
            </w:r>
          </w:p>
        </w:tc>
      </w:tr>
      <w:tr w:rsidR="00A11B3C" w:rsidRPr="00CF5E11" w14:paraId="2C5D9FFD" w14:textId="77777777" w:rsidTr="00435347">
        <w:trPr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0" w:type="dxa"/>
            <w:tcBorders>
              <w:top w:val="single" w:sz="8" w:space="0" w:color="000000" w:themeColor="text1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11ADB06C" w14:textId="4D7531B4" w:rsidR="00E7404E" w:rsidRPr="00087458" w:rsidRDefault="00E7404E" w:rsidP="00E7404E">
            <w:pPr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AMR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62" w:type="dxa"/>
            <w:tcBorders>
              <w:top w:val="single" w:sz="8" w:space="0" w:color="000000" w:themeColor="text1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4F55D9FA" w14:textId="24009A16" w:rsidR="00E7404E" w:rsidRPr="001C1DA0" w:rsidRDefault="00E7404E" w:rsidP="00E7404E">
            <w:pPr>
              <w:rPr>
                <w:rFonts w:ascii="Calibri" w:hAnsi="Calibri" w:cs="Calibri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Asthma Medication Ratio (Total)</w:t>
            </w:r>
          </w:p>
        </w:tc>
        <w:tc>
          <w:tcPr>
            <w:tcW w:w="720" w:type="dxa"/>
            <w:tcBorders>
              <w:top w:val="single" w:sz="8" w:space="0" w:color="000000" w:themeColor="text1"/>
            </w:tcBorders>
            <w:vAlign w:val="center"/>
          </w:tcPr>
          <w:p w14:paraId="2B98353F" w14:textId="462413B6" w:rsidR="00E7404E" w:rsidRPr="00844131" w:rsidRDefault="00E7404E" w:rsidP="00E740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61.9%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tcBorders>
              <w:top w:val="single" w:sz="8" w:space="0" w:color="000000" w:themeColor="text1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093F7B2C" w14:textId="7114FF29" w:rsidR="00E7404E" w:rsidRPr="00844131" w:rsidRDefault="00E7404E" w:rsidP="00E7404E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63.4%</w:t>
            </w:r>
          </w:p>
        </w:tc>
        <w:tc>
          <w:tcPr>
            <w:tcW w:w="720" w:type="dxa"/>
            <w:tcBorders>
              <w:top w:val="single" w:sz="8" w:space="0" w:color="000000" w:themeColor="text1"/>
            </w:tcBorders>
            <w:vAlign w:val="center"/>
          </w:tcPr>
          <w:p w14:paraId="62791B33" w14:textId="4D8DC420" w:rsidR="00E7404E" w:rsidRPr="00844131" w:rsidRDefault="00E7404E" w:rsidP="00E740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58.9%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tcBorders>
              <w:top w:val="single" w:sz="8" w:space="0" w:color="000000" w:themeColor="text1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6364ECD2" w14:textId="52A9DFC2" w:rsidR="00E7404E" w:rsidRPr="00844131" w:rsidRDefault="00E7404E" w:rsidP="00E7404E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55.3%</w:t>
            </w:r>
          </w:p>
        </w:tc>
        <w:tc>
          <w:tcPr>
            <w:tcW w:w="720" w:type="dxa"/>
            <w:tcBorders>
              <w:top w:val="single" w:sz="8" w:space="0" w:color="000000" w:themeColor="text1"/>
            </w:tcBorders>
            <w:vAlign w:val="center"/>
          </w:tcPr>
          <w:p w14:paraId="3301096C" w14:textId="59F9F10A" w:rsidR="00E7404E" w:rsidRPr="00844131" w:rsidRDefault="00E7404E" w:rsidP="00E740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55.6%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tcBorders>
              <w:top w:val="single" w:sz="8" w:space="0" w:color="000000" w:themeColor="text1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49D34B00" w14:textId="64A0E51F" w:rsidR="00E7404E" w:rsidRPr="00844131" w:rsidRDefault="00E7404E" w:rsidP="00E7404E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58.4%</w:t>
            </w:r>
          </w:p>
        </w:tc>
        <w:tc>
          <w:tcPr>
            <w:tcW w:w="720" w:type="dxa"/>
            <w:tcBorders>
              <w:top w:val="single" w:sz="8" w:space="0" w:color="000000" w:themeColor="text1"/>
            </w:tcBorders>
            <w:vAlign w:val="center"/>
          </w:tcPr>
          <w:p w14:paraId="49F125E0" w14:textId="0B82C3F6" w:rsidR="00E7404E" w:rsidRPr="00844131" w:rsidRDefault="00E7404E" w:rsidP="00E740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56.9%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tcBorders>
              <w:top w:val="single" w:sz="8" w:space="0" w:color="000000" w:themeColor="text1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4346EB46" w14:textId="32A464D9" w:rsidR="00E7404E" w:rsidRPr="00844131" w:rsidRDefault="00E7404E" w:rsidP="00E7404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58.5%</w:t>
            </w:r>
          </w:p>
        </w:tc>
        <w:tc>
          <w:tcPr>
            <w:tcW w:w="924" w:type="dxa"/>
            <w:tcBorders>
              <w:top w:val="single" w:sz="8" w:space="0" w:color="000000" w:themeColor="text1"/>
            </w:tcBorders>
            <w:vAlign w:val="center"/>
          </w:tcPr>
          <w:p w14:paraId="12BCC1A9" w14:textId="67BDA050" w:rsidR="00E7404E" w:rsidRPr="00844131" w:rsidRDefault="00E7404E" w:rsidP="00E740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58.0%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tcBorders>
              <w:top w:val="single" w:sz="8" w:space="0" w:color="000000" w:themeColor="text1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6E5E3314" w14:textId="70BC01D7" w:rsidR="00E7404E" w:rsidRPr="00844131" w:rsidRDefault="00E7404E" w:rsidP="00E7404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60.7%</w:t>
            </w:r>
          </w:p>
        </w:tc>
        <w:tc>
          <w:tcPr>
            <w:tcW w:w="1134" w:type="dxa"/>
            <w:tcBorders>
              <w:top w:val="single" w:sz="8" w:space="0" w:color="000000" w:themeColor="text1"/>
            </w:tcBorders>
            <w:vAlign w:val="center"/>
          </w:tcPr>
          <w:p w14:paraId="2EDA796F" w14:textId="779F7AB5" w:rsidR="00E7404E" w:rsidRPr="00844131" w:rsidRDefault="00E7404E" w:rsidP="00E740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↓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top w:val="single" w:sz="8" w:space="0" w:color="000000" w:themeColor="text1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0E7151D9" w14:textId="3C335748" w:rsidR="00E7404E" w:rsidRPr="00844131" w:rsidRDefault="00E7404E" w:rsidP="00E7404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↓</w:t>
            </w:r>
          </w:p>
        </w:tc>
      </w:tr>
      <w:tr w:rsidR="00A11B3C" w:rsidRPr="00CF5E11" w14:paraId="678E3B29" w14:textId="77777777" w:rsidTr="00435347">
        <w:trPr>
          <w:trHeight w:val="36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1ECF828E" w14:textId="18A843CB" w:rsidR="00E7404E" w:rsidRPr="00087458" w:rsidRDefault="00E7404E" w:rsidP="00E7404E">
            <w:pPr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APM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6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19D04CAB" w14:textId="0A3D8609" w:rsidR="00E7404E" w:rsidRPr="001C1DA0" w:rsidRDefault="00E7404E" w:rsidP="00E7404E">
            <w:pPr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Metabolic Monitoring for Children and Adolescents on Antipsychotics (Total)</w:t>
            </w:r>
          </w:p>
        </w:tc>
        <w:tc>
          <w:tcPr>
            <w:tcW w:w="720" w:type="dxa"/>
            <w:vAlign w:val="center"/>
          </w:tcPr>
          <w:p w14:paraId="6719EFBF" w14:textId="754BBF17" w:rsidR="00E7404E" w:rsidRPr="00844131" w:rsidRDefault="00E7404E" w:rsidP="00E740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52.1%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690F51FE" w14:textId="75EEBB8E" w:rsidR="00E7404E" w:rsidRPr="00844131" w:rsidRDefault="00E7404E" w:rsidP="00E7404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57.3%</w:t>
            </w:r>
          </w:p>
        </w:tc>
        <w:tc>
          <w:tcPr>
            <w:tcW w:w="720" w:type="dxa"/>
            <w:vAlign w:val="center"/>
          </w:tcPr>
          <w:p w14:paraId="74C55D83" w14:textId="629E2D7F" w:rsidR="00E7404E" w:rsidRPr="00844131" w:rsidRDefault="00E7404E" w:rsidP="00E740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31.5%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0BC974CA" w14:textId="6944452A" w:rsidR="00E7404E" w:rsidRPr="00844131" w:rsidRDefault="00E7404E" w:rsidP="00E7404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30.0%</w:t>
            </w:r>
          </w:p>
        </w:tc>
        <w:tc>
          <w:tcPr>
            <w:tcW w:w="720" w:type="dxa"/>
            <w:vAlign w:val="center"/>
          </w:tcPr>
          <w:p w14:paraId="60C92858" w14:textId="7B1E48E7" w:rsidR="00E7404E" w:rsidRPr="00844131" w:rsidRDefault="00E7404E" w:rsidP="00E740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32.8%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201DA777" w14:textId="53DFAE4B" w:rsidR="00E7404E" w:rsidRPr="00844131" w:rsidRDefault="00E7404E" w:rsidP="00E7404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51.0%</w:t>
            </w:r>
          </w:p>
        </w:tc>
        <w:tc>
          <w:tcPr>
            <w:tcW w:w="720" w:type="dxa"/>
            <w:vAlign w:val="center"/>
          </w:tcPr>
          <w:p w14:paraId="2CAE3E7F" w14:textId="472E4E22" w:rsidR="00E7404E" w:rsidRPr="00844131" w:rsidRDefault="00E7404E" w:rsidP="00E740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14.3%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33A065CE" w14:textId="567854DA" w:rsidR="00E7404E" w:rsidRPr="00844131" w:rsidRDefault="00E7404E" w:rsidP="00E7404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33.8%</w:t>
            </w:r>
          </w:p>
        </w:tc>
        <w:tc>
          <w:tcPr>
            <w:tcW w:w="924" w:type="dxa"/>
            <w:vAlign w:val="center"/>
          </w:tcPr>
          <w:p w14:paraId="2B6E573F" w14:textId="615C1B9D" w:rsidR="00E7404E" w:rsidRPr="00844131" w:rsidRDefault="00E7404E" w:rsidP="00E740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43.6%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4315C355" w14:textId="259C4FDF" w:rsidR="00E7404E" w:rsidRPr="00844131" w:rsidRDefault="00E7404E" w:rsidP="00E7404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41.8%</w:t>
            </w:r>
          </w:p>
        </w:tc>
        <w:tc>
          <w:tcPr>
            <w:tcW w:w="1134" w:type="dxa"/>
            <w:vAlign w:val="center"/>
          </w:tcPr>
          <w:p w14:paraId="34F37D9B" w14:textId="78B0DED2" w:rsidR="00E7404E" w:rsidRPr="00844131" w:rsidRDefault="00E7404E" w:rsidP="00E740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↓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7C266218" w14:textId="34612310" w:rsidR="00E7404E" w:rsidRPr="00844131" w:rsidRDefault="00E7404E" w:rsidP="00E7404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↓</w:t>
            </w:r>
          </w:p>
        </w:tc>
      </w:tr>
      <w:tr w:rsidR="00A11B3C" w:rsidRPr="00CF5E11" w14:paraId="36D7D8D4" w14:textId="77777777" w:rsidTr="00B6407A">
        <w:trPr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0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vAlign w:val="center"/>
          </w:tcPr>
          <w:p w14:paraId="56808B41" w14:textId="0D8AF18F" w:rsidR="00E7404E" w:rsidRPr="00087458" w:rsidRDefault="00E7404E" w:rsidP="00E7404E">
            <w:pPr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CBP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62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vAlign w:val="center"/>
          </w:tcPr>
          <w:p w14:paraId="1C6B2404" w14:textId="2661BF23" w:rsidR="00E7404E" w:rsidRPr="001C1DA0" w:rsidRDefault="00E7404E" w:rsidP="00E7404E">
            <w:pPr>
              <w:rPr>
                <w:rFonts w:ascii="Calibri" w:hAnsi="Calibri" w:cs="Calibri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Controlling High Blood Pressure  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55517A67" w14:textId="0EEE606F" w:rsidR="00E7404E" w:rsidRPr="00844131" w:rsidRDefault="00E7404E" w:rsidP="00E740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69.3%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vAlign w:val="center"/>
          </w:tcPr>
          <w:p w14:paraId="31D1B02A" w14:textId="69F63712" w:rsidR="00E7404E" w:rsidRPr="00844131" w:rsidRDefault="00E7404E" w:rsidP="00E7404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67.9%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6AB76204" w14:textId="25ABA8F3" w:rsidR="00E7404E" w:rsidRPr="00844131" w:rsidRDefault="00E7404E" w:rsidP="00E740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70.4%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vAlign w:val="center"/>
          </w:tcPr>
          <w:p w14:paraId="54600091" w14:textId="457D2BF9" w:rsidR="00E7404E" w:rsidRPr="00844131" w:rsidRDefault="00E7404E" w:rsidP="00E7404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67.9%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38223C76" w14:textId="6E0CC40C" w:rsidR="00E7404E" w:rsidRPr="00844131" w:rsidRDefault="00E7404E" w:rsidP="00E740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67.2%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vAlign w:val="center"/>
          </w:tcPr>
          <w:p w14:paraId="14765589" w14:textId="7ACA0355" w:rsidR="00E7404E" w:rsidRPr="00844131" w:rsidRDefault="00E7404E" w:rsidP="00E7404E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54.2%</w:t>
            </w:r>
          </w:p>
        </w:tc>
        <w:tc>
          <w:tcPr>
            <w:tcW w:w="720" w:type="dxa"/>
            <w:tcBorders>
              <w:bottom w:val="single" w:sz="4" w:space="0" w:color="auto"/>
            </w:tcBorders>
            <w:vAlign w:val="center"/>
          </w:tcPr>
          <w:p w14:paraId="1ABC2B02" w14:textId="32EEC133" w:rsidR="00E7404E" w:rsidRPr="00844131" w:rsidRDefault="00E7404E" w:rsidP="00E740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68.6%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vAlign w:val="center"/>
          </w:tcPr>
          <w:p w14:paraId="3FCAB515" w14:textId="0C769BF8" w:rsidR="00E7404E" w:rsidRPr="00844131" w:rsidRDefault="00E7404E" w:rsidP="00E7404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60.9%</w:t>
            </w:r>
          </w:p>
        </w:tc>
        <w:tc>
          <w:tcPr>
            <w:tcW w:w="924" w:type="dxa"/>
            <w:tcBorders>
              <w:bottom w:val="single" w:sz="4" w:space="0" w:color="auto"/>
            </w:tcBorders>
            <w:vAlign w:val="center"/>
          </w:tcPr>
          <w:p w14:paraId="5E91B9CC" w14:textId="3D4A35C9" w:rsidR="00E7404E" w:rsidRPr="00844131" w:rsidRDefault="00E7404E" w:rsidP="00E740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73.5%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vAlign w:val="center"/>
          </w:tcPr>
          <w:p w14:paraId="1791B8C7" w14:textId="62FE3ECD" w:rsidR="00E7404E" w:rsidRPr="00844131" w:rsidRDefault="00E7404E" w:rsidP="00E7404E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67.2%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vAlign w:val="center"/>
          </w:tcPr>
          <w:p w14:paraId="4C6A72D3" w14:textId="4EBC360F" w:rsidR="00E7404E" w:rsidRPr="00844131" w:rsidRDefault="00E7404E" w:rsidP="00E7404E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↓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vAlign w:val="center"/>
          </w:tcPr>
          <w:p w14:paraId="2AC3DBE6" w14:textId="2572B365" w:rsidR="00E7404E" w:rsidRPr="00844131" w:rsidRDefault="00E7404E" w:rsidP="00E7404E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↓</w:t>
            </w:r>
          </w:p>
        </w:tc>
      </w:tr>
      <w:tr w:rsidR="00B6407A" w:rsidRPr="00CF5E11" w14:paraId="17D047DF" w14:textId="77777777" w:rsidTr="00B6407A">
        <w:trPr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C07D0" w14:textId="2A5CBF1B" w:rsidR="00B6407A" w:rsidRDefault="00B6407A" w:rsidP="00B6407A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CIS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4A65A" w14:textId="431C2A4D" w:rsidR="00B6407A" w:rsidRDefault="00B6407A" w:rsidP="00B6407A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Childhood Immunization Status (Combo 10)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8ECB32" w14:textId="2A8FAE5B" w:rsidR="00B6407A" w:rsidRDefault="00B6407A" w:rsidP="00B640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33.1%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62AB5" w14:textId="65209F7D" w:rsidR="00B6407A" w:rsidRDefault="00B6407A" w:rsidP="00B640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58.2%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715107" w14:textId="2F9374B9" w:rsidR="00B6407A" w:rsidRDefault="00B6407A" w:rsidP="00B640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60.4%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3E22E8" w14:textId="46F1AFC7" w:rsidR="00B6407A" w:rsidRDefault="00B6407A" w:rsidP="00B640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45.1%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CDDBF2" w14:textId="40F14593" w:rsidR="00B6407A" w:rsidRDefault="00B6407A" w:rsidP="00B640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49.4%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BBF8F" w14:textId="030701E8" w:rsidR="00B6407A" w:rsidRDefault="00B6407A" w:rsidP="00B640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36.0%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70B953" w14:textId="3EE0CB2B" w:rsidR="00B6407A" w:rsidRDefault="00B6407A" w:rsidP="00B640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20.0%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827FF7" w14:textId="50DEF8B4" w:rsidR="00B6407A" w:rsidRDefault="00B6407A" w:rsidP="00B640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54.5%</w:t>
            </w:r>
          </w:p>
        </w:tc>
        <w:tc>
          <w:tcPr>
            <w:tcW w:w="9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40643" w14:textId="14F7F832" w:rsidR="00B6407A" w:rsidRDefault="00B6407A" w:rsidP="00B640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48.3%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2128E1" w14:textId="07F951BC" w:rsidR="00B6407A" w:rsidRDefault="00B6407A" w:rsidP="00B640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52.5%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2A3958" w14:textId="02C15C49" w:rsidR="00B6407A" w:rsidRDefault="00B6407A" w:rsidP="00B640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↑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6DD9B" w14:textId="4EFE1ED5" w:rsidR="00B6407A" w:rsidRDefault="00B6407A" w:rsidP="00B640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↑</w:t>
            </w:r>
          </w:p>
        </w:tc>
      </w:tr>
      <w:tr w:rsidR="00B6407A" w:rsidRPr="00CF5E11" w14:paraId="64B00149" w14:textId="77777777" w:rsidTr="00B6407A">
        <w:trPr>
          <w:trHeight w:val="23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0" w:type="dxa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4393401D" w14:textId="6915E25F" w:rsidR="00B6407A" w:rsidRPr="00087458" w:rsidRDefault="00B6407A" w:rsidP="00B6407A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FUH - 7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62" w:type="dxa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030F71B4" w14:textId="079A37B3" w:rsidR="00B6407A" w:rsidRPr="001C1DA0" w:rsidRDefault="00B6407A" w:rsidP="00B6407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Follow-Up After Hospitalization for Mental Illness (7 days)</w:t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14:paraId="0289BFB7" w14:textId="42577D28" w:rsidR="00B6407A" w:rsidRPr="00844131" w:rsidRDefault="00B6407A" w:rsidP="00B640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35.5%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798C813B" w14:textId="31694B0A" w:rsidR="00B6407A" w:rsidRPr="00844131" w:rsidRDefault="00B6407A" w:rsidP="00B640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45.3%</w:t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14:paraId="1D2E3ED8" w14:textId="2F707A80" w:rsidR="00B6407A" w:rsidRPr="00844131" w:rsidRDefault="00B6407A" w:rsidP="00B640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49.5%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1E46BCA7" w14:textId="09185F5D" w:rsidR="00B6407A" w:rsidRPr="00844131" w:rsidRDefault="00B6407A" w:rsidP="00B640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48.4%</w:t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14:paraId="53E0C94D" w14:textId="070F249E" w:rsidR="00B6407A" w:rsidRPr="00844131" w:rsidRDefault="00B6407A" w:rsidP="00B640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39.5%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71977B64" w14:textId="6AFC6CDB" w:rsidR="00B6407A" w:rsidRPr="00844131" w:rsidRDefault="00B6407A" w:rsidP="00B640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50.7%</w:t>
            </w:r>
          </w:p>
        </w:tc>
        <w:tc>
          <w:tcPr>
            <w:tcW w:w="720" w:type="dxa"/>
            <w:tcBorders>
              <w:top w:val="single" w:sz="4" w:space="0" w:color="auto"/>
            </w:tcBorders>
            <w:vAlign w:val="center"/>
          </w:tcPr>
          <w:p w14:paraId="5B65A529" w14:textId="70E8F4E2" w:rsidR="00B6407A" w:rsidRPr="00844131" w:rsidRDefault="00B6407A" w:rsidP="00B640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47.5%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657DFD38" w14:textId="34076E86" w:rsidR="00B6407A" w:rsidRPr="00844131" w:rsidRDefault="00B6407A" w:rsidP="00B640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48.4%</w:t>
            </w:r>
          </w:p>
        </w:tc>
        <w:tc>
          <w:tcPr>
            <w:tcW w:w="924" w:type="dxa"/>
            <w:tcBorders>
              <w:top w:val="single" w:sz="4" w:space="0" w:color="auto"/>
            </w:tcBorders>
            <w:vAlign w:val="center"/>
          </w:tcPr>
          <w:p w14:paraId="2D6839B1" w14:textId="1C27DE3A" w:rsidR="00B6407A" w:rsidRPr="00844131" w:rsidRDefault="00B6407A" w:rsidP="00B640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42.0%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127A07CE" w14:textId="40851EDA" w:rsidR="00B6407A" w:rsidRPr="00844131" w:rsidRDefault="00B6407A" w:rsidP="00B6407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46.4%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vAlign w:val="center"/>
          </w:tcPr>
          <w:p w14:paraId="6E8A2EC4" w14:textId="4DFD6B7C" w:rsidR="00B6407A" w:rsidRPr="00844131" w:rsidRDefault="00B6407A" w:rsidP="00B640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↑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top w:val="single" w:sz="4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4631199A" w14:textId="0E11492B" w:rsidR="00B6407A" w:rsidRPr="00844131" w:rsidRDefault="00B6407A" w:rsidP="00B640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↓</w:t>
            </w:r>
          </w:p>
        </w:tc>
      </w:tr>
      <w:tr w:rsidR="00B6407A" w:rsidRPr="00CF5E11" w14:paraId="3D4727EC" w14:textId="77777777" w:rsidTr="00435347">
        <w:trPr>
          <w:trHeight w:val="2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4F2E2D47" w14:textId="4830B749" w:rsidR="00B6407A" w:rsidRPr="00087458" w:rsidRDefault="00B6407A" w:rsidP="00B6407A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FUM - 7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6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398BDBE1" w14:textId="0FF43BFF" w:rsidR="00B6407A" w:rsidRPr="001C1DA0" w:rsidRDefault="00B6407A" w:rsidP="00B6407A">
            <w:pPr>
              <w:rPr>
                <w:rFonts w:ascii="Calibri" w:hAnsi="Calibri" w:cs="Calibri"/>
                <w:b/>
                <w:bCs/>
                <w:sz w:val="18"/>
                <w:szCs w:val="18"/>
                <w:vertAlign w:val="superscript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Follow-Up After Emergency Department Visit for Mental Illness (7 days)</w:t>
            </w:r>
          </w:p>
        </w:tc>
        <w:tc>
          <w:tcPr>
            <w:tcW w:w="720" w:type="dxa"/>
            <w:vAlign w:val="center"/>
          </w:tcPr>
          <w:p w14:paraId="457F0D78" w14:textId="27AE5C43" w:rsidR="00B6407A" w:rsidRPr="00844131" w:rsidRDefault="00B6407A" w:rsidP="00B640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74.7%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3634A06B" w14:textId="671639C6" w:rsidR="00B6407A" w:rsidRPr="00844131" w:rsidRDefault="00B6407A" w:rsidP="00B640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68.7%</w:t>
            </w:r>
          </w:p>
        </w:tc>
        <w:tc>
          <w:tcPr>
            <w:tcW w:w="720" w:type="dxa"/>
            <w:vAlign w:val="center"/>
          </w:tcPr>
          <w:p w14:paraId="44565887" w14:textId="5AB34D0D" w:rsidR="00B6407A" w:rsidRPr="00844131" w:rsidRDefault="00B6407A" w:rsidP="00B640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85.1%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1BFAEAF6" w14:textId="2B9FC9AF" w:rsidR="00B6407A" w:rsidRPr="00844131" w:rsidRDefault="00B6407A" w:rsidP="00B640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73.9%</w:t>
            </w:r>
          </w:p>
        </w:tc>
        <w:tc>
          <w:tcPr>
            <w:tcW w:w="720" w:type="dxa"/>
            <w:vAlign w:val="center"/>
          </w:tcPr>
          <w:p w14:paraId="2582EC6F" w14:textId="2C090FDF" w:rsidR="00B6407A" w:rsidRPr="00844131" w:rsidRDefault="00B6407A" w:rsidP="00B640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80.7%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2AB528E1" w14:textId="72B2BAEC" w:rsidR="00B6407A" w:rsidRPr="00844131" w:rsidRDefault="00B6407A" w:rsidP="00B640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80.9%</w:t>
            </w:r>
          </w:p>
        </w:tc>
        <w:tc>
          <w:tcPr>
            <w:tcW w:w="720" w:type="dxa"/>
            <w:vAlign w:val="center"/>
          </w:tcPr>
          <w:p w14:paraId="02EE0F51" w14:textId="4DB9D290" w:rsidR="00B6407A" w:rsidRPr="00844131" w:rsidRDefault="00B6407A" w:rsidP="00B640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74.7%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01CE4629" w14:textId="6CCFCEA1" w:rsidR="00B6407A" w:rsidRPr="00844131" w:rsidRDefault="00B6407A" w:rsidP="00B640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75.2%</w:t>
            </w:r>
          </w:p>
        </w:tc>
        <w:tc>
          <w:tcPr>
            <w:tcW w:w="924" w:type="dxa"/>
            <w:vAlign w:val="center"/>
          </w:tcPr>
          <w:p w14:paraId="61663B0F" w14:textId="7B36DB0A" w:rsidR="00B6407A" w:rsidRPr="00844131" w:rsidRDefault="00B6407A" w:rsidP="00B640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72.7%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29F486B6" w14:textId="027E05D9" w:rsidR="00B6407A" w:rsidRPr="00844131" w:rsidRDefault="00B6407A" w:rsidP="00B6407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74.7%</w:t>
            </w:r>
          </w:p>
        </w:tc>
        <w:tc>
          <w:tcPr>
            <w:tcW w:w="1134" w:type="dxa"/>
            <w:vAlign w:val="center"/>
          </w:tcPr>
          <w:p w14:paraId="24E0C544" w14:textId="37B30902" w:rsidR="00B6407A" w:rsidRPr="00844131" w:rsidRDefault="00B6407A" w:rsidP="00B640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↑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5DFC90AD" w14:textId="6A6D6DE3" w:rsidR="00B6407A" w:rsidRPr="00844131" w:rsidRDefault="00B6407A" w:rsidP="00B640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↑</w:t>
            </w:r>
          </w:p>
        </w:tc>
      </w:tr>
      <w:tr w:rsidR="00B6407A" w:rsidRPr="00CF5E11" w14:paraId="1A108CA6" w14:textId="77777777" w:rsidTr="00435347">
        <w:trPr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6DD351DD" w14:textId="031D9E58" w:rsidR="00B6407A" w:rsidRPr="00087458" w:rsidRDefault="00B6407A" w:rsidP="00B6407A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HBD - Poor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6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5EF86FEA" w14:textId="04A56376" w:rsidR="00B6407A" w:rsidRPr="001C1DA0" w:rsidRDefault="00B6407A" w:rsidP="00B6407A">
            <w:pPr>
              <w:rPr>
                <w:rFonts w:ascii="Calibri" w:hAnsi="Calibri" w:cs="Calibri"/>
                <w:b/>
                <w:bCs/>
                <w:sz w:val="18"/>
                <w:szCs w:val="18"/>
                <w:vertAlign w:val="superscript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Hemoglobin A1c Control for Patients with Diabetes - Poor HbA1c Control </w:t>
            </w:r>
            <w:r w:rsidRPr="00FC29C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720" w:type="dxa"/>
            <w:vAlign w:val="center"/>
          </w:tcPr>
          <w:p w14:paraId="7BEA3BBF" w14:textId="7F8B5026" w:rsidR="00B6407A" w:rsidRPr="00844131" w:rsidRDefault="00B6407A" w:rsidP="00B640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30.9%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64030320" w14:textId="1E8ED0C5" w:rsidR="00B6407A" w:rsidRPr="00844131" w:rsidRDefault="00B6407A" w:rsidP="00B640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37.0%</w:t>
            </w:r>
          </w:p>
        </w:tc>
        <w:tc>
          <w:tcPr>
            <w:tcW w:w="720" w:type="dxa"/>
            <w:vAlign w:val="center"/>
          </w:tcPr>
          <w:p w14:paraId="7D3D237A" w14:textId="67EBDEEB" w:rsidR="00B6407A" w:rsidRPr="00844131" w:rsidRDefault="00B6407A" w:rsidP="00B640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25.3%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629BBC76" w14:textId="5ED3D6E7" w:rsidR="00B6407A" w:rsidRPr="00844131" w:rsidRDefault="00B6407A" w:rsidP="00B640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35.0%</w:t>
            </w:r>
          </w:p>
        </w:tc>
        <w:tc>
          <w:tcPr>
            <w:tcW w:w="720" w:type="dxa"/>
            <w:vAlign w:val="center"/>
          </w:tcPr>
          <w:p w14:paraId="2C08614F" w14:textId="7FE84D95" w:rsidR="00B6407A" w:rsidRPr="00844131" w:rsidRDefault="00B6407A" w:rsidP="00B640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29.8%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5889E1EC" w14:textId="0DF53C07" w:rsidR="00B6407A" w:rsidRPr="00844131" w:rsidRDefault="00B6407A" w:rsidP="00B640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38.3%</w:t>
            </w:r>
          </w:p>
        </w:tc>
        <w:tc>
          <w:tcPr>
            <w:tcW w:w="720" w:type="dxa"/>
            <w:vAlign w:val="center"/>
          </w:tcPr>
          <w:p w14:paraId="3CAD0CDA" w14:textId="140C856E" w:rsidR="00B6407A" w:rsidRPr="00844131" w:rsidRDefault="00B6407A" w:rsidP="00B640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23.7%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55D2D32C" w14:textId="3F6778DF" w:rsidR="00B6407A" w:rsidRPr="00844131" w:rsidRDefault="00B6407A" w:rsidP="00B640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43.3%</w:t>
            </w:r>
          </w:p>
        </w:tc>
        <w:tc>
          <w:tcPr>
            <w:tcW w:w="924" w:type="dxa"/>
            <w:vAlign w:val="center"/>
          </w:tcPr>
          <w:p w14:paraId="13FC1FDF" w14:textId="7F94C76B" w:rsidR="00B6407A" w:rsidRPr="00844131" w:rsidRDefault="00B6407A" w:rsidP="00B640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36.2%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4A5F5C2B" w14:textId="09B34DDC" w:rsidR="00B6407A" w:rsidRPr="00844131" w:rsidRDefault="00B6407A" w:rsidP="00B6407A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34.1%</w:t>
            </w:r>
          </w:p>
        </w:tc>
        <w:tc>
          <w:tcPr>
            <w:tcW w:w="1134" w:type="dxa"/>
            <w:vAlign w:val="center"/>
          </w:tcPr>
          <w:p w14:paraId="475FB344" w14:textId="3EBE994F" w:rsidR="00B6407A" w:rsidRPr="00844131" w:rsidRDefault="00B6407A" w:rsidP="00B640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↑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3D6D02C8" w14:textId="310C41DE" w:rsidR="00B6407A" w:rsidRPr="00844131" w:rsidRDefault="00B6407A" w:rsidP="00B640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↑</w:t>
            </w:r>
          </w:p>
        </w:tc>
      </w:tr>
      <w:tr w:rsidR="00B6407A" w:rsidRPr="00CF5E11" w14:paraId="52EC9BB0" w14:textId="77777777" w:rsidTr="00435347">
        <w:trPr>
          <w:trHeight w:val="23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68686955" w14:textId="235ECECA" w:rsidR="00B6407A" w:rsidRPr="00FC29C3" w:rsidRDefault="00B6407A" w:rsidP="00B6407A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IET - Eng Total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6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089DDC9D" w14:textId="39E100D3" w:rsidR="00B6407A" w:rsidRPr="001C1DA0" w:rsidRDefault="00B6407A" w:rsidP="00B6407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Initiation and Engagement of Substance use Disorder Treatment (Engagement Total)</w:t>
            </w:r>
          </w:p>
        </w:tc>
        <w:tc>
          <w:tcPr>
            <w:tcW w:w="720" w:type="dxa"/>
            <w:vAlign w:val="center"/>
          </w:tcPr>
          <w:p w14:paraId="2B253ABE" w14:textId="5189CF4C" w:rsidR="00B6407A" w:rsidRPr="00844131" w:rsidRDefault="00B6407A" w:rsidP="00B640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12.8%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4E4B5E58" w14:textId="2EE281D5" w:rsidR="00B6407A" w:rsidRPr="00844131" w:rsidRDefault="00B6407A" w:rsidP="00B640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32.8%</w:t>
            </w:r>
          </w:p>
        </w:tc>
        <w:tc>
          <w:tcPr>
            <w:tcW w:w="720" w:type="dxa"/>
            <w:vAlign w:val="center"/>
          </w:tcPr>
          <w:p w14:paraId="6EE506CD" w14:textId="429B9F72" w:rsidR="00B6407A" w:rsidRPr="00844131" w:rsidRDefault="00B6407A" w:rsidP="00B640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18.0%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3C6F2F35" w14:textId="6740B4CC" w:rsidR="00B6407A" w:rsidRPr="00844131" w:rsidRDefault="00B6407A" w:rsidP="00B640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28.3%</w:t>
            </w:r>
          </w:p>
        </w:tc>
        <w:tc>
          <w:tcPr>
            <w:tcW w:w="720" w:type="dxa"/>
            <w:vAlign w:val="center"/>
          </w:tcPr>
          <w:p w14:paraId="23AA9A47" w14:textId="3864F4E4" w:rsidR="00B6407A" w:rsidRPr="00844131" w:rsidRDefault="00B6407A" w:rsidP="00B640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15.8%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62ED6105" w14:textId="14138F32" w:rsidR="00B6407A" w:rsidRPr="00844131" w:rsidRDefault="00B6407A" w:rsidP="00B640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36.4%</w:t>
            </w:r>
          </w:p>
        </w:tc>
        <w:tc>
          <w:tcPr>
            <w:tcW w:w="720" w:type="dxa"/>
            <w:vAlign w:val="center"/>
          </w:tcPr>
          <w:p w14:paraId="47AFE4BE" w14:textId="4D6925C3" w:rsidR="00B6407A" w:rsidRPr="00844131" w:rsidRDefault="00B6407A" w:rsidP="00B640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22.1%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41E72464" w14:textId="55DA974F" w:rsidR="00B6407A" w:rsidRPr="00844131" w:rsidRDefault="00B6407A" w:rsidP="00B640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18.3%</w:t>
            </w:r>
          </w:p>
        </w:tc>
        <w:tc>
          <w:tcPr>
            <w:tcW w:w="924" w:type="dxa"/>
            <w:vAlign w:val="center"/>
          </w:tcPr>
          <w:p w14:paraId="5B6BE239" w14:textId="3DEB9A00" w:rsidR="00B6407A" w:rsidRPr="00844131" w:rsidRDefault="00B6407A" w:rsidP="00B640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22.6%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54D29300" w14:textId="127FC5D9" w:rsidR="00B6407A" w:rsidRPr="00844131" w:rsidRDefault="00B6407A" w:rsidP="00B640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22.9%</w:t>
            </w:r>
          </w:p>
        </w:tc>
        <w:tc>
          <w:tcPr>
            <w:tcW w:w="1134" w:type="dxa"/>
            <w:vAlign w:val="center"/>
          </w:tcPr>
          <w:p w14:paraId="2D5E4F3A" w14:textId="4AD5D31F" w:rsidR="00B6407A" w:rsidRPr="00844131" w:rsidRDefault="00B6407A" w:rsidP="00B640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↑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161230F3" w14:textId="08113C6F" w:rsidR="00B6407A" w:rsidRPr="00844131" w:rsidRDefault="00B6407A" w:rsidP="00B640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↓</w:t>
            </w:r>
          </w:p>
        </w:tc>
      </w:tr>
      <w:tr w:rsidR="00B6407A" w:rsidRPr="00CF5E11" w14:paraId="6B6792A4" w14:textId="77777777" w:rsidTr="00435347">
        <w:trPr>
          <w:trHeight w:val="23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5A1D9EBB" w14:textId="18481E95" w:rsidR="00B6407A" w:rsidRPr="00FC29C3" w:rsidRDefault="00B6407A" w:rsidP="00B6407A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IET - Init Total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6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3D5F4613" w14:textId="57E55B11" w:rsidR="00B6407A" w:rsidRPr="001C1DA0" w:rsidRDefault="00B6407A" w:rsidP="00B6407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Initiation and Engagement of Substance use Disorder Treatment (Initiation Total)</w:t>
            </w:r>
          </w:p>
        </w:tc>
        <w:tc>
          <w:tcPr>
            <w:tcW w:w="720" w:type="dxa"/>
            <w:vAlign w:val="center"/>
          </w:tcPr>
          <w:p w14:paraId="0B100E16" w14:textId="5A8AA688" w:rsidR="00B6407A" w:rsidRPr="00844131" w:rsidRDefault="00B6407A" w:rsidP="00B640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38.5%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01F92AE7" w14:textId="142393E3" w:rsidR="00B6407A" w:rsidRPr="00844131" w:rsidRDefault="00B6407A" w:rsidP="00B640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56.2%</w:t>
            </w:r>
          </w:p>
        </w:tc>
        <w:tc>
          <w:tcPr>
            <w:tcW w:w="720" w:type="dxa"/>
            <w:vAlign w:val="center"/>
          </w:tcPr>
          <w:p w14:paraId="04B7D3BD" w14:textId="33ED3532" w:rsidR="00B6407A" w:rsidRPr="00844131" w:rsidRDefault="00B6407A" w:rsidP="00B640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74.6%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4EEF8947" w14:textId="2E1E8ED0" w:rsidR="00B6407A" w:rsidRPr="00844131" w:rsidRDefault="00B6407A" w:rsidP="00B640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69.1%</w:t>
            </w:r>
          </w:p>
        </w:tc>
        <w:tc>
          <w:tcPr>
            <w:tcW w:w="720" w:type="dxa"/>
            <w:vAlign w:val="center"/>
          </w:tcPr>
          <w:p w14:paraId="79FA17EF" w14:textId="65599E9F" w:rsidR="00B6407A" w:rsidRPr="00844131" w:rsidRDefault="00B6407A" w:rsidP="00B640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41.9%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0A753180" w14:textId="3A272A88" w:rsidR="00B6407A" w:rsidRPr="00844131" w:rsidRDefault="00B6407A" w:rsidP="00B640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64.2%</w:t>
            </w:r>
          </w:p>
        </w:tc>
        <w:tc>
          <w:tcPr>
            <w:tcW w:w="720" w:type="dxa"/>
            <w:vAlign w:val="center"/>
          </w:tcPr>
          <w:p w14:paraId="4CF8B0C6" w14:textId="0B97650C" w:rsidR="00B6407A" w:rsidRPr="00844131" w:rsidRDefault="00B6407A" w:rsidP="00B640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51.1%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7BA27B63" w14:textId="4A0C3555" w:rsidR="00B6407A" w:rsidRPr="00844131" w:rsidRDefault="00B6407A" w:rsidP="00B640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44.6%</w:t>
            </w:r>
          </w:p>
        </w:tc>
        <w:tc>
          <w:tcPr>
            <w:tcW w:w="924" w:type="dxa"/>
            <w:vAlign w:val="center"/>
          </w:tcPr>
          <w:p w14:paraId="23646E8A" w14:textId="5166CBA7" w:rsidR="00B6407A" w:rsidRPr="00844131" w:rsidRDefault="00B6407A" w:rsidP="00B640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46.8%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5EF17B6C" w14:textId="6F9FB456" w:rsidR="00B6407A" w:rsidRPr="00844131" w:rsidRDefault="00B6407A" w:rsidP="00B640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50.9%</w:t>
            </w:r>
          </w:p>
        </w:tc>
        <w:tc>
          <w:tcPr>
            <w:tcW w:w="1134" w:type="dxa"/>
            <w:vAlign w:val="center"/>
          </w:tcPr>
          <w:p w14:paraId="7118CF86" w14:textId="5CD62BF2" w:rsidR="00B6407A" w:rsidRPr="00844131" w:rsidRDefault="00B6407A" w:rsidP="00B640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↑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5FDE3A18" w14:textId="1F60C18D" w:rsidR="00B6407A" w:rsidRPr="00844131" w:rsidRDefault="00B6407A" w:rsidP="00B640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↓</w:t>
            </w:r>
          </w:p>
        </w:tc>
      </w:tr>
      <w:tr w:rsidR="00B6407A" w:rsidRPr="00CF5E11" w14:paraId="659636ED" w14:textId="77777777" w:rsidTr="00435347">
        <w:trPr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7F719B4E" w14:textId="5DEE0182" w:rsidR="00B6407A" w:rsidRPr="00FC29C3" w:rsidRDefault="00B6407A" w:rsidP="00B6407A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IMA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6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445FF7BF" w14:textId="0EBCB66A" w:rsidR="00B6407A" w:rsidRPr="001C1DA0" w:rsidRDefault="00B6407A" w:rsidP="00B6407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Immunization for Adolescents (Combo 2)</w:t>
            </w:r>
          </w:p>
        </w:tc>
        <w:tc>
          <w:tcPr>
            <w:tcW w:w="720" w:type="dxa"/>
            <w:vAlign w:val="center"/>
          </w:tcPr>
          <w:p w14:paraId="30B03055" w14:textId="78AEC058" w:rsidR="00B6407A" w:rsidRPr="00844131" w:rsidRDefault="00B6407A" w:rsidP="00B640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33.1%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723AED77" w14:textId="6315E6E1" w:rsidR="00B6407A" w:rsidRPr="00844131" w:rsidRDefault="00B6407A" w:rsidP="00B640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58.2%</w:t>
            </w:r>
          </w:p>
        </w:tc>
        <w:tc>
          <w:tcPr>
            <w:tcW w:w="720" w:type="dxa"/>
            <w:vAlign w:val="center"/>
          </w:tcPr>
          <w:p w14:paraId="36F5C31C" w14:textId="5A4729C4" w:rsidR="00B6407A" w:rsidRPr="00844131" w:rsidRDefault="00B6407A" w:rsidP="00B640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60.4%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59B4DE19" w14:textId="771A30D9" w:rsidR="00B6407A" w:rsidRPr="00844131" w:rsidRDefault="00B6407A" w:rsidP="00B640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45.1%</w:t>
            </w:r>
          </w:p>
        </w:tc>
        <w:tc>
          <w:tcPr>
            <w:tcW w:w="720" w:type="dxa"/>
            <w:vAlign w:val="center"/>
          </w:tcPr>
          <w:p w14:paraId="00C968BD" w14:textId="42D0DD35" w:rsidR="00B6407A" w:rsidRPr="00844131" w:rsidRDefault="00B6407A" w:rsidP="00B640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49.4%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49C3B975" w14:textId="61C31524" w:rsidR="00B6407A" w:rsidRPr="00844131" w:rsidRDefault="00B6407A" w:rsidP="00B640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36.0%</w:t>
            </w:r>
          </w:p>
        </w:tc>
        <w:tc>
          <w:tcPr>
            <w:tcW w:w="720" w:type="dxa"/>
            <w:vAlign w:val="center"/>
          </w:tcPr>
          <w:p w14:paraId="74AE8A14" w14:textId="140EEC95" w:rsidR="00B6407A" w:rsidRPr="00844131" w:rsidRDefault="00B6407A" w:rsidP="00B640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20.0%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66F41EFE" w14:textId="1B96D630" w:rsidR="00B6407A" w:rsidRPr="00844131" w:rsidRDefault="00B6407A" w:rsidP="00B640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54.5%</w:t>
            </w:r>
          </w:p>
        </w:tc>
        <w:tc>
          <w:tcPr>
            <w:tcW w:w="924" w:type="dxa"/>
            <w:vAlign w:val="center"/>
          </w:tcPr>
          <w:p w14:paraId="3E55EEAF" w14:textId="04A3C2E9" w:rsidR="00B6407A" w:rsidRPr="00844131" w:rsidRDefault="00B6407A" w:rsidP="00B640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48.3%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01B28572" w14:textId="19792576" w:rsidR="00B6407A" w:rsidRPr="00844131" w:rsidRDefault="00B6407A" w:rsidP="00B640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52.5%</w:t>
            </w:r>
          </w:p>
        </w:tc>
        <w:tc>
          <w:tcPr>
            <w:tcW w:w="1134" w:type="dxa"/>
            <w:vAlign w:val="center"/>
          </w:tcPr>
          <w:p w14:paraId="38B62009" w14:textId="579ED7EA" w:rsidR="00B6407A" w:rsidRPr="00844131" w:rsidRDefault="00B6407A" w:rsidP="00B640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↑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3DF7C6E6" w14:textId="03CE00C1" w:rsidR="00B6407A" w:rsidRPr="00844131" w:rsidRDefault="00B6407A" w:rsidP="00B640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↑</w:t>
            </w:r>
          </w:p>
        </w:tc>
      </w:tr>
      <w:tr w:rsidR="00B6407A" w:rsidRPr="00CF5E11" w14:paraId="7BF153A8" w14:textId="77777777" w:rsidTr="00435347">
        <w:trPr>
          <w:trHeight w:val="23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30C41402" w14:textId="77366260" w:rsidR="00B6407A" w:rsidRPr="00FC29C3" w:rsidRDefault="00B6407A" w:rsidP="00B6407A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PCR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62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6D404F70" w14:textId="616E8945" w:rsidR="00B6407A" w:rsidRPr="001C1DA0" w:rsidRDefault="00B6407A" w:rsidP="00B6407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Plan All-Cause Readmission (observed to expected ratio) </w:t>
            </w:r>
            <w:r w:rsidRPr="00FC29C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720" w:type="dxa"/>
            <w:vAlign w:val="center"/>
          </w:tcPr>
          <w:p w14:paraId="57347D2A" w14:textId="6895166C" w:rsidR="00B6407A" w:rsidRPr="00844131" w:rsidRDefault="00B6407A" w:rsidP="00B640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1.33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13B2894E" w14:textId="3A8A1ED4" w:rsidR="00B6407A" w:rsidRPr="00844131" w:rsidRDefault="00B6407A" w:rsidP="00B640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1.19</w:t>
            </w:r>
          </w:p>
        </w:tc>
        <w:tc>
          <w:tcPr>
            <w:tcW w:w="720" w:type="dxa"/>
            <w:vAlign w:val="center"/>
          </w:tcPr>
          <w:p w14:paraId="274C9A65" w14:textId="5FCD6C94" w:rsidR="00B6407A" w:rsidRPr="00844131" w:rsidRDefault="00B6407A" w:rsidP="00B640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1.56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434A2F08" w14:textId="66CB4121" w:rsidR="00B6407A" w:rsidRPr="00844131" w:rsidRDefault="00B6407A" w:rsidP="00B640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1.36</w:t>
            </w:r>
          </w:p>
        </w:tc>
        <w:tc>
          <w:tcPr>
            <w:tcW w:w="720" w:type="dxa"/>
            <w:vAlign w:val="center"/>
          </w:tcPr>
          <w:p w14:paraId="2F347D1D" w14:textId="1E8E8740" w:rsidR="00B6407A" w:rsidRPr="00844131" w:rsidRDefault="00B6407A" w:rsidP="00B640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1.60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0BB0887F" w14:textId="5CE76A2E" w:rsidR="00B6407A" w:rsidRPr="00844131" w:rsidRDefault="00B6407A" w:rsidP="00B640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1.31</w:t>
            </w:r>
          </w:p>
        </w:tc>
        <w:tc>
          <w:tcPr>
            <w:tcW w:w="720" w:type="dxa"/>
            <w:vAlign w:val="center"/>
          </w:tcPr>
          <w:p w14:paraId="0E712424" w14:textId="34E14EF0" w:rsidR="00B6407A" w:rsidRPr="00844131" w:rsidRDefault="00B6407A" w:rsidP="00B640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1.33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25842ECE" w14:textId="429E1A10" w:rsidR="00B6407A" w:rsidRPr="00844131" w:rsidRDefault="00B6407A" w:rsidP="00B640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1.09</w:t>
            </w:r>
          </w:p>
        </w:tc>
        <w:tc>
          <w:tcPr>
            <w:tcW w:w="924" w:type="dxa"/>
            <w:vAlign w:val="center"/>
          </w:tcPr>
          <w:p w14:paraId="5B045160" w14:textId="465ABF97" w:rsidR="00B6407A" w:rsidRPr="00844131" w:rsidRDefault="00B6407A" w:rsidP="00B640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1.02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4FB2C716" w14:textId="2274CD4A" w:rsidR="00B6407A" w:rsidRPr="00844131" w:rsidRDefault="00B6407A" w:rsidP="00B640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1.29</w:t>
            </w:r>
          </w:p>
        </w:tc>
        <w:tc>
          <w:tcPr>
            <w:tcW w:w="1134" w:type="dxa"/>
            <w:vAlign w:val="center"/>
          </w:tcPr>
          <w:p w14:paraId="188C7076" w14:textId="75F443A8" w:rsidR="00B6407A" w:rsidRPr="00844131" w:rsidRDefault="00B6407A" w:rsidP="00B640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↑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5EC30DB2" w14:textId="36D47194" w:rsidR="00B6407A" w:rsidRPr="00844131" w:rsidRDefault="00B6407A" w:rsidP="00B640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↑</w:t>
            </w:r>
          </w:p>
        </w:tc>
      </w:tr>
      <w:tr w:rsidR="00B6407A" w:rsidRPr="00CF5E11" w14:paraId="1A0A4B9D" w14:textId="77777777" w:rsidTr="00B6407A">
        <w:trPr>
          <w:trHeight w:val="44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742346BE" w14:textId="0F1603D3" w:rsidR="00B6407A" w:rsidRPr="00FC29C3" w:rsidRDefault="00B6407A" w:rsidP="00B6407A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PPC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62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vAlign w:val="center"/>
          </w:tcPr>
          <w:p w14:paraId="085DEAD3" w14:textId="5A9D6CF3" w:rsidR="00B6407A" w:rsidRPr="001C1DA0" w:rsidRDefault="00B6407A" w:rsidP="00B6407A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Timeliness of Prenatal Care </w:t>
            </w:r>
          </w:p>
        </w:tc>
        <w:tc>
          <w:tcPr>
            <w:tcW w:w="720" w:type="dxa"/>
            <w:vAlign w:val="center"/>
          </w:tcPr>
          <w:p w14:paraId="1606679D" w14:textId="64698210" w:rsidR="00B6407A" w:rsidRPr="00844131" w:rsidRDefault="00B6407A" w:rsidP="00B640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96.0%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vAlign w:val="center"/>
          </w:tcPr>
          <w:p w14:paraId="0EC1A60A" w14:textId="3EAF8D35" w:rsidR="00B6407A" w:rsidRPr="00844131" w:rsidRDefault="00B6407A" w:rsidP="00B640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92.5%</w:t>
            </w:r>
          </w:p>
        </w:tc>
        <w:tc>
          <w:tcPr>
            <w:tcW w:w="720" w:type="dxa"/>
            <w:vAlign w:val="center"/>
          </w:tcPr>
          <w:p w14:paraId="7497D5A3" w14:textId="6FC90B95" w:rsidR="00B6407A" w:rsidRPr="00844131" w:rsidRDefault="00B6407A" w:rsidP="00B640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95.0%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vAlign w:val="center"/>
          </w:tcPr>
          <w:p w14:paraId="360B835B" w14:textId="0ECE5176" w:rsidR="00B6407A" w:rsidRPr="00844131" w:rsidRDefault="00B6407A" w:rsidP="00B640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88.6%</w:t>
            </w:r>
          </w:p>
        </w:tc>
        <w:tc>
          <w:tcPr>
            <w:tcW w:w="720" w:type="dxa"/>
            <w:vAlign w:val="center"/>
          </w:tcPr>
          <w:p w14:paraId="0F530095" w14:textId="1C17D8F0" w:rsidR="00B6407A" w:rsidRPr="00844131" w:rsidRDefault="00B6407A" w:rsidP="00B640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74.4%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vAlign w:val="center"/>
          </w:tcPr>
          <w:p w14:paraId="7E4A074D" w14:textId="59EA2416" w:rsidR="00B6407A" w:rsidRPr="00844131" w:rsidRDefault="00B6407A" w:rsidP="00B640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84.2%</w:t>
            </w:r>
          </w:p>
        </w:tc>
        <w:tc>
          <w:tcPr>
            <w:tcW w:w="720" w:type="dxa"/>
            <w:vAlign w:val="center"/>
          </w:tcPr>
          <w:p w14:paraId="7907177F" w14:textId="067742FA" w:rsidR="00B6407A" w:rsidRPr="00844131" w:rsidRDefault="00B6407A" w:rsidP="00B640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78.1%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vAlign w:val="center"/>
          </w:tcPr>
          <w:p w14:paraId="201D4D2A" w14:textId="28512246" w:rsidR="00B6407A" w:rsidRPr="00844131" w:rsidRDefault="00B6407A" w:rsidP="00B640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75.0%</w:t>
            </w:r>
          </w:p>
        </w:tc>
        <w:tc>
          <w:tcPr>
            <w:tcW w:w="924" w:type="dxa"/>
            <w:vAlign w:val="center"/>
          </w:tcPr>
          <w:p w14:paraId="1F25F8A3" w14:textId="4B9CACC6" w:rsidR="00B6407A" w:rsidRPr="00844131" w:rsidRDefault="00B6407A" w:rsidP="00B640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90.7%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vAlign w:val="center"/>
          </w:tcPr>
          <w:p w14:paraId="0EC0376C" w14:textId="549CFD7F" w:rsidR="00B6407A" w:rsidRPr="00844131" w:rsidRDefault="00B6407A" w:rsidP="00B640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86.8%</w:t>
            </w:r>
          </w:p>
        </w:tc>
        <w:tc>
          <w:tcPr>
            <w:tcW w:w="1134" w:type="dxa"/>
            <w:vAlign w:val="center"/>
          </w:tcPr>
          <w:p w14:paraId="7F1AD22B" w14:textId="25B5DB9D" w:rsidR="00B6407A" w:rsidRPr="00844131" w:rsidRDefault="00B6407A" w:rsidP="00B640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↓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80" w:type="dxa"/>
            <w:tcBorders>
              <w:top w:val="none" w:sz="0" w:space="0" w:color="auto"/>
              <w:left w:val="none" w:sz="0" w:space="0" w:color="auto"/>
              <w:right w:val="none" w:sz="0" w:space="0" w:color="auto"/>
            </w:tcBorders>
            <w:vAlign w:val="center"/>
          </w:tcPr>
          <w:p w14:paraId="42FDB4B5" w14:textId="4CB6CDC8" w:rsidR="00B6407A" w:rsidRPr="00844131" w:rsidRDefault="00B6407A" w:rsidP="00B640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↓</w:t>
            </w:r>
          </w:p>
        </w:tc>
      </w:tr>
    </w:tbl>
    <w:p w14:paraId="47B9DABA" w14:textId="77777777" w:rsidR="00260749" w:rsidRDefault="00260749" w:rsidP="005B5B18">
      <w:pPr>
        <w:pStyle w:val="Caption"/>
        <w:rPr>
          <w:sz w:val="24"/>
          <w:szCs w:val="24"/>
          <w:highlight w:val="green"/>
        </w:rPr>
        <w:sectPr w:rsidR="00260749" w:rsidSect="004B5F5C">
          <w:pgSz w:w="15840" w:h="12240" w:orient="landscape"/>
          <w:pgMar w:top="1440" w:right="450" w:bottom="1440" w:left="540" w:header="720" w:footer="720" w:gutter="0"/>
          <w:cols w:space="720"/>
          <w:titlePg/>
          <w:docGrid w:linePitch="360"/>
        </w:sectPr>
      </w:pPr>
    </w:p>
    <w:p w14:paraId="08C0F88C" w14:textId="059F8CAD" w:rsidR="00B6407A" w:rsidRPr="00B6407A" w:rsidRDefault="00B6407A" w:rsidP="00B6407A">
      <w:pPr>
        <w:spacing w:after="0" w:line="240" w:lineRule="auto"/>
      </w:pPr>
      <w:r w:rsidRPr="00AC7633">
        <w:lastRenderedPageBreak/>
        <w:t xml:space="preserve">Table </w:t>
      </w:r>
      <w:r>
        <w:t>6</w:t>
      </w:r>
      <w:r w:rsidRPr="00AC7633">
        <w:t>.</w:t>
      </w:r>
      <w:r>
        <w:t>b</w:t>
      </w:r>
      <w:r w:rsidRPr="00AC7633">
        <w:t xml:space="preserve">: </w:t>
      </w:r>
      <w:r>
        <w:t>State-Defined and CG-CAHPS Measures</w:t>
      </w:r>
    </w:p>
    <w:tbl>
      <w:tblPr>
        <w:tblStyle w:val="MediumList2-Accent1"/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2A0" w:firstRow="1" w:lastRow="0" w:firstColumn="1" w:lastColumn="0" w:noHBand="1" w:noVBand="0"/>
      </w:tblPr>
      <w:tblGrid>
        <w:gridCol w:w="1430"/>
        <w:gridCol w:w="3162"/>
        <w:gridCol w:w="720"/>
        <w:gridCol w:w="720"/>
        <w:gridCol w:w="720"/>
        <w:gridCol w:w="720"/>
        <w:gridCol w:w="720"/>
        <w:gridCol w:w="720"/>
        <w:gridCol w:w="720"/>
        <w:gridCol w:w="720"/>
        <w:gridCol w:w="978"/>
        <w:gridCol w:w="810"/>
        <w:gridCol w:w="1170"/>
        <w:gridCol w:w="990"/>
      </w:tblGrid>
      <w:tr w:rsidR="00B6407A" w:rsidRPr="00844131" w14:paraId="2B9BC521" w14:textId="77777777" w:rsidTr="004050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74889C8" w14:textId="7D64067B" w:rsidR="00B6407A" w:rsidRDefault="00B6407A" w:rsidP="00B6407A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Measure Code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6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04DA6812" w14:textId="01598A28" w:rsidR="00B6407A" w:rsidRDefault="00B6407A" w:rsidP="00B6407A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Measure Name</w:t>
            </w:r>
          </w:p>
        </w:tc>
        <w:tc>
          <w:tcPr>
            <w:tcW w:w="7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9D726AC" w14:textId="6315E28B" w:rsidR="00B6407A" w:rsidRDefault="00B6407A" w:rsidP="00B6407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AHP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DF36DCC" w14:textId="59A0C94F" w:rsidR="00B6407A" w:rsidRDefault="00B6407A" w:rsidP="00B640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C3</w:t>
            </w:r>
          </w:p>
        </w:tc>
        <w:tc>
          <w:tcPr>
            <w:tcW w:w="7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EC818BA" w14:textId="0857C6B3" w:rsidR="00B6407A" w:rsidRDefault="00B6407A" w:rsidP="00B6407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FH 365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D698DCF" w14:textId="2A6E8331" w:rsidR="00B6407A" w:rsidRDefault="00B6407A" w:rsidP="00B640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FH BERK</w:t>
            </w:r>
          </w:p>
        </w:tc>
        <w:tc>
          <w:tcPr>
            <w:tcW w:w="7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57209CE" w14:textId="6CABB12F" w:rsidR="00B6407A" w:rsidRDefault="00B6407A" w:rsidP="00B6407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FH WFC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2EEE1E0" w14:textId="11B955BB" w:rsidR="00B6407A" w:rsidRDefault="00B6407A" w:rsidP="00B640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HNE</w:t>
            </w:r>
          </w:p>
        </w:tc>
        <w:tc>
          <w:tcPr>
            <w:tcW w:w="7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15C3780" w14:textId="0E1AB1F1" w:rsidR="00B6407A" w:rsidRDefault="00B6407A" w:rsidP="00B6407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LAHEY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9C9FD45" w14:textId="31291736" w:rsidR="00B6407A" w:rsidRDefault="00B6407A" w:rsidP="00B640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MGB</w:t>
            </w:r>
          </w:p>
        </w:tc>
        <w:tc>
          <w:tcPr>
            <w:tcW w:w="97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5061CC1" w14:textId="106C2FFD" w:rsidR="00B6407A" w:rsidRDefault="00B6407A" w:rsidP="00B6407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STEWARD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689E60A" w14:textId="2179A752" w:rsidR="00B6407A" w:rsidRDefault="00B6407A" w:rsidP="00B6407A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ACO MHWM</w:t>
            </w:r>
          </w:p>
        </w:tc>
        <w:tc>
          <w:tcPr>
            <w:tcW w:w="117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34AE3E1" w14:textId="5A9AF578" w:rsidR="00B6407A" w:rsidRPr="00405038" w:rsidRDefault="00405038" w:rsidP="00B6407A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40503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Attainment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4" w:space="0" w:color="auto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B14E4D6" w14:textId="73D9F33E" w:rsidR="00B6407A" w:rsidRPr="00405038" w:rsidRDefault="00405038" w:rsidP="0040503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Goal</w:t>
            </w:r>
          </w:p>
        </w:tc>
      </w:tr>
      <w:tr w:rsidR="001A4A70" w:rsidRPr="00844131" w14:paraId="62093EFA" w14:textId="77777777" w:rsidTr="00405038">
        <w:trPr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D729D2" w14:textId="77777777" w:rsidR="001A4A70" w:rsidRPr="00087458" w:rsidRDefault="001A4A70" w:rsidP="001A4A7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CG-CAHPS AD Communication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6C533B" w14:textId="77777777" w:rsidR="001A4A70" w:rsidRPr="001C1DA0" w:rsidRDefault="001A4A70" w:rsidP="001A4A7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Adult: Overall Rating and Care Delivery: Communication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1AE29" w14:textId="77777777" w:rsidR="001A4A70" w:rsidRPr="00844131" w:rsidRDefault="001A4A70" w:rsidP="001A4A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85.9%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434FC9" w14:textId="77777777" w:rsidR="001A4A70" w:rsidRPr="00844131" w:rsidRDefault="001A4A70" w:rsidP="001A4A7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84.5%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589348" w14:textId="77777777" w:rsidR="001A4A70" w:rsidRPr="00844131" w:rsidRDefault="001A4A70" w:rsidP="001A4A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87.7%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71303" w14:textId="77777777" w:rsidR="001A4A70" w:rsidRPr="00844131" w:rsidRDefault="001A4A70" w:rsidP="001A4A7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87.4%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413C78" w14:textId="77777777" w:rsidR="001A4A70" w:rsidRPr="00844131" w:rsidRDefault="001A4A70" w:rsidP="001A4A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88.5%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B9B477" w14:textId="77777777" w:rsidR="001A4A70" w:rsidRPr="00844131" w:rsidRDefault="001A4A70" w:rsidP="001A4A7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86.1%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D1025" w14:textId="77777777" w:rsidR="001A4A70" w:rsidRPr="00844131" w:rsidRDefault="001A4A70" w:rsidP="001A4A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86.4%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715042" w14:textId="77777777" w:rsidR="001A4A70" w:rsidRPr="00844131" w:rsidRDefault="001A4A70" w:rsidP="001A4A7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89.9%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20AE46" w14:textId="77777777" w:rsidR="001A4A70" w:rsidRPr="00844131" w:rsidRDefault="001A4A70" w:rsidP="001A4A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88.3%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A730C" w14:textId="77777777" w:rsidR="001A4A70" w:rsidRPr="00844131" w:rsidRDefault="001A4A70" w:rsidP="001A4A7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86.9%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AC4F01" w14:textId="2B2D80E4" w:rsidR="001A4A70" w:rsidRPr="00844131" w:rsidRDefault="001A4A70" w:rsidP="001A4A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↑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FA352" w14:textId="300F479E" w:rsidR="001A4A70" w:rsidRPr="00844131" w:rsidRDefault="001A4A70" w:rsidP="001A4A70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↓</w:t>
            </w:r>
          </w:p>
        </w:tc>
      </w:tr>
      <w:tr w:rsidR="001A4A70" w:rsidRPr="00844131" w14:paraId="469476C5" w14:textId="77777777" w:rsidTr="00405038">
        <w:trPr>
          <w:trHeight w:val="504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1F3E2" w14:textId="77777777" w:rsidR="001A4A70" w:rsidRPr="00087458" w:rsidRDefault="001A4A70" w:rsidP="001A4A70">
            <w:pPr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CG-CAHPS AD Integration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5F0A2" w14:textId="77777777" w:rsidR="001A4A70" w:rsidRPr="001C1DA0" w:rsidRDefault="001A4A70" w:rsidP="001A4A70">
            <w:pPr>
              <w:rPr>
                <w:rFonts w:ascii="Calibri" w:hAnsi="Calibri" w:cs="Calibri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Adult: Person-Centered Integrated Care: Integration of Care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DD2DED" w14:textId="77777777" w:rsidR="001A4A70" w:rsidRPr="00844131" w:rsidRDefault="001A4A70" w:rsidP="001A4A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72.4%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37A3FB" w14:textId="77777777" w:rsidR="001A4A70" w:rsidRPr="00844131" w:rsidRDefault="001A4A70" w:rsidP="001A4A70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72.7%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9AA795" w14:textId="77777777" w:rsidR="001A4A70" w:rsidRPr="00844131" w:rsidRDefault="001A4A70" w:rsidP="001A4A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79.8%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1BB8F9" w14:textId="77777777" w:rsidR="001A4A70" w:rsidRPr="00844131" w:rsidRDefault="001A4A70" w:rsidP="001A4A70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76.1%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40AFD" w14:textId="77777777" w:rsidR="001A4A70" w:rsidRPr="00844131" w:rsidRDefault="001A4A70" w:rsidP="001A4A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79.2%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66047" w14:textId="77777777" w:rsidR="001A4A70" w:rsidRPr="00844131" w:rsidRDefault="001A4A70" w:rsidP="001A4A70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75.8%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5871DD" w14:textId="77777777" w:rsidR="001A4A70" w:rsidRPr="00844131" w:rsidRDefault="001A4A70" w:rsidP="001A4A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78.4%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14FE9B" w14:textId="77777777" w:rsidR="001A4A70" w:rsidRPr="00844131" w:rsidRDefault="001A4A70" w:rsidP="001A4A70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80.2%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8598D" w14:textId="77777777" w:rsidR="001A4A70" w:rsidRPr="00844131" w:rsidRDefault="001A4A70" w:rsidP="001A4A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77.6%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103683" w14:textId="77777777" w:rsidR="001A4A70" w:rsidRPr="00844131" w:rsidRDefault="001A4A70" w:rsidP="001A4A7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78.1%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81396" w14:textId="6F779A8E" w:rsidR="001A4A70" w:rsidRPr="00844131" w:rsidRDefault="001A4A70" w:rsidP="001A4A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↑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E42CB8" w14:textId="5BB2AF2A" w:rsidR="001A4A70" w:rsidRPr="00844131" w:rsidRDefault="001A4A70" w:rsidP="001A4A70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↓</w:t>
            </w:r>
          </w:p>
        </w:tc>
      </w:tr>
      <w:tr w:rsidR="001A4A70" w:rsidRPr="00844131" w14:paraId="2FA62885" w14:textId="77777777" w:rsidTr="00405038">
        <w:trPr>
          <w:trHeight w:val="23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D3AEF" w14:textId="77777777" w:rsidR="001A4A70" w:rsidRPr="00087458" w:rsidRDefault="001A4A70" w:rsidP="001A4A70">
            <w:pPr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CG-CAHPS AD Knowledge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EAB4B8" w14:textId="77777777" w:rsidR="001A4A70" w:rsidRPr="001C1DA0" w:rsidRDefault="001A4A70" w:rsidP="001A4A70">
            <w:pPr>
              <w:rPr>
                <w:rFonts w:ascii="Calibri" w:hAnsi="Calibri" w:cs="Calibri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Adult: Person-Centered Integrated Care: Knowledge of Patient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23E524" w14:textId="77777777" w:rsidR="001A4A70" w:rsidRPr="00844131" w:rsidRDefault="001A4A70" w:rsidP="001A4A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80.0%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A57F1" w14:textId="77777777" w:rsidR="001A4A70" w:rsidRPr="00844131" w:rsidRDefault="001A4A70" w:rsidP="001A4A70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78.4%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AC856D" w14:textId="77777777" w:rsidR="001A4A70" w:rsidRPr="00844131" w:rsidRDefault="001A4A70" w:rsidP="001A4A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82.7%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878E5F" w14:textId="77777777" w:rsidR="001A4A70" w:rsidRPr="00844131" w:rsidRDefault="001A4A70" w:rsidP="001A4A70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82.2%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DC261" w14:textId="77777777" w:rsidR="001A4A70" w:rsidRPr="00844131" w:rsidRDefault="001A4A70" w:rsidP="001A4A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84.5%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6E459" w14:textId="77777777" w:rsidR="001A4A70" w:rsidRPr="00844131" w:rsidRDefault="001A4A70" w:rsidP="001A4A70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80.6%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32ED66" w14:textId="77777777" w:rsidR="001A4A70" w:rsidRPr="00844131" w:rsidRDefault="001A4A70" w:rsidP="001A4A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81.2%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A04F9" w14:textId="77777777" w:rsidR="001A4A70" w:rsidRPr="00844131" w:rsidRDefault="001A4A70" w:rsidP="001A4A70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84.7%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2D90A9" w14:textId="77777777" w:rsidR="001A4A70" w:rsidRPr="00844131" w:rsidRDefault="001A4A70" w:rsidP="001A4A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82.9%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38134" w14:textId="77777777" w:rsidR="001A4A70" w:rsidRPr="00844131" w:rsidRDefault="001A4A70" w:rsidP="001A4A7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81.5%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50919E" w14:textId="1801F9A9" w:rsidR="001A4A70" w:rsidRPr="00844131" w:rsidRDefault="001A4A70" w:rsidP="001A4A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↑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EF1930" w14:textId="45C1D494" w:rsidR="001A4A70" w:rsidRPr="00844131" w:rsidRDefault="001A4A70" w:rsidP="001A4A70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↓</w:t>
            </w:r>
          </w:p>
        </w:tc>
      </w:tr>
      <w:tr w:rsidR="001A4A70" w:rsidRPr="00844131" w14:paraId="277256EA" w14:textId="77777777" w:rsidTr="00405038">
        <w:trPr>
          <w:trHeight w:val="23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6D473E" w14:textId="77777777" w:rsidR="001A4A70" w:rsidRPr="00FC29C3" w:rsidRDefault="001A4A70" w:rsidP="001A4A7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CG-CAHPS AD Willingness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52CF98" w14:textId="77777777" w:rsidR="001A4A70" w:rsidRPr="001C1DA0" w:rsidRDefault="001A4A70" w:rsidP="001A4A70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Adult: Overall Rating and Care Delivery: Willingness to recommend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F2CB4A" w14:textId="77777777" w:rsidR="001A4A70" w:rsidRPr="00844131" w:rsidRDefault="001A4A70" w:rsidP="001A4A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83.2%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6DC441" w14:textId="77777777" w:rsidR="001A4A70" w:rsidRPr="00844131" w:rsidRDefault="001A4A70" w:rsidP="001A4A70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79.9%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0EBA72" w14:textId="77777777" w:rsidR="001A4A70" w:rsidRPr="00844131" w:rsidRDefault="001A4A70" w:rsidP="001A4A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87.5%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13702C" w14:textId="77777777" w:rsidR="001A4A70" w:rsidRPr="00844131" w:rsidRDefault="001A4A70" w:rsidP="001A4A70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86.1%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C309C5" w14:textId="77777777" w:rsidR="001A4A70" w:rsidRPr="00844131" w:rsidRDefault="001A4A70" w:rsidP="001A4A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85.6%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5AB6D6" w14:textId="77777777" w:rsidR="001A4A70" w:rsidRPr="00844131" w:rsidRDefault="001A4A70" w:rsidP="001A4A70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83.0%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251BA3" w14:textId="77777777" w:rsidR="001A4A70" w:rsidRPr="00844131" w:rsidRDefault="001A4A70" w:rsidP="001A4A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84.1%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A22BA2" w14:textId="77777777" w:rsidR="001A4A70" w:rsidRPr="00844131" w:rsidRDefault="001A4A70" w:rsidP="001A4A70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88.0%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0C382" w14:textId="77777777" w:rsidR="001A4A70" w:rsidRPr="00844131" w:rsidRDefault="001A4A70" w:rsidP="001A4A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85.1%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95461" w14:textId="77777777" w:rsidR="001A4A70" w:rsidRPr="00844131" w:rsidRDefault="001A4A70" w:rsidP="001A4A7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84.5%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F6D458" w14:textId="32B406A4" w:rsidR="001A4A70" w:rsidRPr="00844131" w:rsidRDefault="001A4A70" w:rsidP="001A4A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↑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3D1C45" w14:textId="35F3FB76" w:rsidR="001A4A70" w:rsidRPr="00844131" w:rsidRDefault="001A4A70" w:rsidP="001A4A70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↓</w:t>
            </w:r>
          </w:p>
        </w:tc>
      </w:tr>
      <w:tr w:rsidR="001A4A70" w:rsidRPr="00844131" w14:paraId="08E42EC0" w14:textId="77777777" w:rsidTr="00405038">
        <w:trPr>
          <w:trHeight w:val="38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7D0C4C" w14:textId="77777777" w:rsidR="001A4A70" w:rsidRPr="00FC29C3" w:rsidRDefault="001A4A70" w:rsidP="001A4A70">
            <w:pPr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CG-CAHPS CH Communication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4DAFC7" w14:textId="77777777" w:rsidR="001A4A70" w:rsidRPr="001C1DA0" w:rsidRDefault="001A4A70" w:rsidP="001A4A70">
            <w:pPr>
              <w:rPr>
                <w:rFonts w:ascii="Calibri" w:hAnsi="Calibri" w:cs="Calibri"/>
                <w:b/>
                <w:bCs/>
                <w:color w:val="FF0000"/>
                <w:sz w:val="18"/>
                <w:szCs w:val="18"/>
                <w:vertAlign w:val="superscript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Child: Overall Rating and Care Delivery: Communication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5D3BE9" w14:textId="77777777" w:rsidR="001A4A70" w:rsidRPr="00844131" w:rsidRDefault="001A4A70" w:rsidP="001A4A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89.4%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D03296" w14:textId="77777777" w:rsidR="001A4A70" w:rsidRPr="00844131" w:rsidRDefault="001A4A70" w:rsidP="001A4A70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89.0%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316F45" w14:textId="77777777" w:rsidR="001A4A70" w:rsidRPr="00844131" w:rsidRDefault="001A4A70" w:rsidP="001A4A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91.6%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868E8C" w14:textId="77777777" w:rsidR="001A4A70" w:rsidRPr="00844131" w:rsidRDefault="001A4A70" w:rsidP="001A4A70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87.3%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175A98" w14:textId="77777777" w:rsidR="001A4A70" w:rsidRPr="00844131" w:rsidRDefault="001A4A70" w:rsidP="001A4A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91.1%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FB2282" w14:textId="77777777" w:rsidR="001A4A70" w:rsidRPr="00844131" w:rsidRDefault="001A4A70" w:rsidP="001A4A70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89.8%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678BEC" w14:textId="77777777" w:rsidR="001A4A70" w:rsidRPr="00844131" w:rsidRDefault="001A4A70" w:rsidP="001A4A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96.7%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6FCD81" w14:textId="77777777" w:rsidR="001A4A70" w:rsidRPr="00844131" w:rsidRDefault="001A4A70" w:rsidP="001A4A70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91.8%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BA682" w14:textId="77777777" w:rsidR="001A4A70" w:rsidRPr="00844131" w:rsidRDefault="001A4A70" w:rsidP="001A4A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90.9%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9F7822" w14:textId="77777777" w:rsidR="001A4A70" w:rsidRPr="00844131" w:rsidRDefault="001A4A70" w:rsidP="001A4A7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90.4%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D07EF3" w14:textId="093DD5CA" w:rsidR="001A4A70" w:rsidRPr="00844131" w:rsidRDefault="001A4A70" w:rsidP="001A4A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↑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A31EDF" w14:textId="3FDE25F6" w:rsidR="001A4A70" w:rsidRPr="00844131" w:rsidRDefault="001A4A70" w:rsidP="001A4A70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↓</w:t>
            </w:r>
          </w:p>
        </w:tc>
      </w:tr>
      <w:tr w:rsidR="001A4A70" w:rsidRPr="00844131" w14:paraId="67ED1C17" w14:textId="77777777" w:rsidTr="00405038">
        <w:trPr>
          <w:trHeight w:val="34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E23825" w14:textId="77777777" w:rsidR="001A4A70" w:rsidRPr="00087458" w:rsidRDefault="001A4A70" w:rsidP="001A4A70">
            <w:pPr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CG-CAHPS CH Integration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90A65A" w14:textId="77777777" w:rsidR="001A4A70" w:rsidRPr="001C1DA0" w:rsidRDefault="001A4A70" w:rsidP="001A4A70">
            <w:pPr>
              <w:rPr>
                <w:rFonts w:ascii="Calibri" w:hAnsi="Calibri" w:cs="Calibri"/>
                <w:b/>
                <w:bCs/>
                <w:color w:val="FF0000"/>
                <w:sz w:val="18"/>
                <w:szCs w:val="18"/>
                <w:vertAlign w:val="superscript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Child: Person-Centered Integrated Care: Integration of Care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4AAC66" w14:textId="77777777" w:rsidR="001A4A70" w:rsidRPr="00844131" w:rsidRDefault="001A4A70" w:rsidP="001A4A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73.3%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4BFDD" w14:textId="77777777" w:rsidR="001A4A70" w:rsidRPr="00844131" w:rsidRDefault="001A4A70" w:rsidP="001A4A70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73.0%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15009" w14:textId="77777777" w:rsidR="001A4A70" w:rsidRPr="00844131" w:rsidRDefault="001A4A70" w:rsidP="001A4A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78.3%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83F6F" w14:textId="77777777" w:rsidR="001A4A70" w:rsidRPr="00844131" w:rsidRDefault="001A4A70" w:rsidP="001A4A70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76.1%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56812F" w14:textId="77777777" w:rsidR="001A4A70" w:rsidRPr="00844131" w:rsidRDefault="001A4A70" w:rsidP="001A4A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77.6%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A6A537" w14:textId="77777777" w:rsidR="001A4A70" w:rsidRPr="00844131" w:rsidRDefault="001A4A70" w:rsidP="001A4A70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72.9%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1D1137" w14:textId="77777777" w:rsidR="001A4A70" w:rsidRPr="00844131" w:rsidRDefault="001A4A70" w:rsidP="001A4A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95.2%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2A3A7B" w14:textId="77777777" w:rsidR="001A4A70" w:rsidRPr="00844131" w:rsidRDefault="001A4A70" w:rsidP="001A4A70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78.3%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24FCE" w14:textId="77777777" w:rsidR="001A4A70" w:rsidRPr="00844131" w:rsidRDefault="001A4A70" w:rsidP="001A4A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79.3%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8C8AD8" w14:textId="77777777" w:rsidR="001A4A70" w:rsidRPr="00844131" w:rsidRDefault="001A4A70" w:rsidP="001A4A7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78.6%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B767CC" w14:textId="2E30558B" w:rsidR="001A4A70" w:rsidRPr="00844131" w:rsidRDefault="001A4A70" w:rsidP="001A4A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↑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5C32C" w14:textId="4A8E6E6C" w:rsidR="001A4A70" w:rsidRPr="00844131" w:rsidRDefault="001A4A70" w:rsidP="001A4A70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↓</w:t>
            </w:r>
          </w:p>
        </w:tc>
      </w:tr>
      <w:tr w:rsidR="001A4A70" w:rsidRPr="00844131" w14:paraId="47A0B29C" w14:textId="77777777" w:rsidTr="00405038">
        <w:trPr>
          <w:trHeight w:val="4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5B8589" w14:textId="77777777" w:rsidR="001A4A70" w:rsidRPr="00087458" w:rsidRDefault="001A4A70" w:rsidP="001A4A70">
            <w:pPr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CG-CAHPS CH Knowledge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1E90D0" w14:textId="77777777" w:rsidR="001A4A70" w:rsidRPr="001C1DA0" w:rsidRDefault="001A4A70" w:rsidP="001A4A70">
            <w:pPr>
              <w:rPr>
                <w:rFonts w:ascii="Calibri" w:hAnsi="Calibri" w:cs="Calibri"/>
                <w:b/>
                <w:bCs/>
                <w:color w:val="FF0000"/>
                <w:sz w:val="18"/>
                <w:szCs w:val="18"/>
                <w:vertAlign w:val="superscript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Child: Person-Centered Integrated Care: Knowledge of Patient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A676AB" w14:textId="77777777" w:rsidR="001A4A70" w:rsidRPr="00844131" w:rsidRDefault="001A4A70" w:rsidP="001A4A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82.5%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2368AB" w14:textId="77777777" w:rsidR="001A4A70" w:rsidRPr="00844131" w:rsidRDefault="001A4A70" w:rsidP="001A4A70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84.3%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734D5A" w14:textId="77777777" w:rsidR="001A4A70" w:rsidRPr="00844131" w:rsidRDefault="001A4A70" w:rsidP="001A4A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87.5%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6B3863" w14:textId="77777777" w:rsidR="001A4A70" w:rsidRPr="00844131" w:rsidRDefault="001A4A70" w:rsidP="001A4A70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81.5%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5ED468" w14:textId="77777777" w:rsidR="001A4A70" w:rsidRPr="00844131" w:rsidRDefault="001A4A70" w:rsidP="001A4A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87.5%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07543A" w14:textId="77777777" w:rsidR="001A4A70" w:rsidRPr="00844131" w:rsidRDefault="001A4A70" w:rsidP="001A4A70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85.0%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37029E" w14:textId="77777777" w:rsidR="001A4A70" w:rsidRPr="00844131" w:rsidRDefault="001A4A70" w:rsidP="001A4A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86.5%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C6786" w14:textId="77777777" w:rsidR="001A4A70" w:rsidRPr="00844131" w:rsidRDefault="001A4A70" w:rsidP="001A4A70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87.8%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CC70E5" w14:textId="77777777" w:rsidR="001A4A70" w:rsidRPr="00844131" w:rsidRDefault="001A4A70" w:rsidP="001A4A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87.3%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13ECB7" w14:textId="77777777" w:rsidR="001A4A70" w:rsidRPr="00844131" w:rsidRDefault="001A4A70" w:rsidP="001A4A70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86.2%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CF50F" w14:textId="3896BDA2" w:rsidR="001A4A70" w:rsidRPr="00844131" w:rsidRDefault="001A4A70" w:rsidP="001A4A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↑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20C59" w14:textId="08F07713" w:rsidR="001A4A70" w:rsidRPr="00844131" w:rsidRDefault="001A4A70" w:rsidP="001A4A70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↓</w:t>
            </w:r>
          </w:p>
        </w:tc>
      </w:tr>
      <w:tr w:rsidR="001A4A70" w:rsidRPr="00844131" w14:paraId="30FA0572" w14:textId="77777777" w:rsidTr="00405038">
        <w:trPr>
          <w:trHeight w:val="23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0E34F" w14:textId="77777777" w:rsidR="001A4A70" w:rsidRPr="001C1DA0" w:rsidRDefault="001A4A70" w:rsidP="001A4A70">
            <w:pPr>
              <w:rPr>
                <w:rFonts w:ascii="Calibri" w:hAnsi="Calibri" w:cs="Calibri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CG-CAHPS CH Willingness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4D4956" w14:textId="77777777" w:rsidR="001A4A70" w:rsidRPr="001C1DA0" w:rsidRDefault="001A4A70" w:rsidP="001A4A70">
            <w:pPr>
              <w:rPr>
                <w:rFonts w:ascii="Calibri" w:hAnsi="Calibri" w:cs="Calibri"/>
                <w:b/>
                <w:bCs/>
                <w:color w:val="FF0000"/>
                <w:sz w:val="18"/>
                <w:szCs w:val="18"/>
                <w:vertAlign w:val="superscript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Child: Overall Rating and Care Delivery: Willingness to recommend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0310A1" w14:textId="77777777" w:rsidR="001A4A70" w:rsidRPr="00844131" w:rsidRDefault="001A4A70" w:rsidP="001A4A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86.2%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1C6A8" w14:textId="77777777" w:rsidR="001A4A70" w:rsidRPr="00844131" w:rsidRDefault="001A4A70" w:rsidP="001A4A70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86.8%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4EF085" w14:textId="77777777" w:rsidR="001A4A70" w:rsidRPr="00844131" w:rsidRDefault="001A4A70" w:rsidP="001A4A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91.0%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E2830" w14:textId="77777777" w:rsidR="001A4A70" w:rsidRPr="00844131" w:rsidRDefault="001A4A70" w:rsidP="001A4A70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82.8%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8754E" w14:textId="77777777" w:rsidR="001A4A70" w:rsidRPr="00844131" w:rsidRDefault="001A4A70" w:rsidP="001A4A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91.2%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91032" w14:textId="77777777" w:rsidR="001A4A70" w:rsidRPr="00844131" w:rsidRDefault="001A4A70" w:rsidP="001A4A70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87.2%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3F265B" w14:textId="77777777" w:rsidR="001A4A70" w:rsidRPr="00844131" w:rsidRDefault="001A4A70" w:rsidP="001A4A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98.2%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AF42E1" w14:textId="77777777" w:rsidR="001A4A70" w:rsidRPr="00844131" w:rsidRDefault="001A4A70" w:rsidP="001A4A70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90.8%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59912" w14:textId="77777777" w:rsidR="001A4A70" w:rsidRPr="00844131" w:rsidRDefault="001A4A70" w:rsidP="001A4A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90.5%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EDE73C" w14:textId="77777777" w:rsidR="001A4A70" w:rsidRPr="00844131" w:rsidRDefault="001A4A70" w:rsidP="001A4A70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89.2%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CCBC45" w14:textId="33955080" w:rsidR="001A4A70" w:rsidRPr="00844131" w:rsidRDefault="001A4A70" w:rsidP="001A4A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↑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5F7AE1" w14:textId="31906859" w:rsidR="001A4A70" w:rsidRPr="00844131" w:rsidRDefault="001A4A70" w:rsidP="001A4A70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↓</w:t>
            </w:r>
          </w:p>
        </w:tc>
      </w:tr>
      <w:tr w:rsidR="001A4A70" w:rsidRPr="00844131" w14:paraId="79FD75AD" w14:textId="77777777" w:rsidTr="00405038">
        <w:trPr>
          <w:trHeight w:val="24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FBC10" w14:textId="77777777" w:rsidR="001A4A70" w:rsidRPr="001C1DA0" w:rsidRDefault="001A4A70" w:rsidP="001A4A70">
            <w:pPr>
              <w:rPr>
                <w:rFonts w:ascii="Calibri" w:hAnsi="Calibri" w:cs="Calibri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CPE - BH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E5687" w14:textId="77777777" w:rsidR="001A4A70" w:rsidRPr="001C1DA0" w:rsidRDefault="001A4A70" w:rsidP="001A4A70">
            <w:pPr>
              <w:rPr>
                <w:rFonts w:ascii="Calibri" w:hAnsi="Calibri" w:cs="Calibri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Behavioral Health Community Partner Engagement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A5309" w14:textId="77777777" w:rsidR="001A4A70" w:rsidRPr="00844131" w:rsidRDefault="001A4A70" w:rsidP="001A4A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13.3%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B05084" w14:textId="77777777" w:rsidR="001A4A70" w:rsidRPr="00844131" w:rsidRDefault="001A4A70" w:rsidP="001A4A70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8.1%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0DC665" w14:textId="77777777" w:rsidR="001A4A70" w:rsidRPr="00844131" w:rsidRDefault="001A4A70" w:rsidP="001A4A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10.3%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810702" w14:textId="77777777" w:rsidR="001A4A70" w:rsidRPr="00844131" w:rsidRDefault="001A4A70" w:rsidP="001A4A70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15.3%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F683EE" w14:textId="77777777" w:rsidR="001A4A70" w:rsidRPr="00844131" w:rsidRDefault="001A4A70" w:rsidP="001A4A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26.6%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30481C" w14:textId="77777777" w:rsidR="001A4A70" w:rsidRPr="00844131" w:rsidRDefault="001A4A70" w:rsidP="001A4A70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11.9%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4B28EC" w14:textId="77777777" w:rsidR="001A4A70" w:rsidRPr="00844131" w:rsidRDefault="001A4A70" w:rsidP="001A4A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8.8%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DBBE8" w14:textId="77777777" w:rsidR="001A4A70" w:rsidRPr="00844131" w:rsidRDefault="001A4A70" w:rsidP="001A4A70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10.0%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E626A" w14:textId="77777777" w:rsidR="001A4A70" w:rsidRPr="00844131" w:rsidRDefault="001A4A70" w:rsidP="001A4A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8.5%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239A6" w14:textId="77777777" w:rsidR="001A4A70" w:rsidRPr="00844131" w:rsidRDefault="001A4A70" w:rsidP="001A4A70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10.6%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8A778A" w14:textId="76D09FAE" w:rsidR="001A4A70" w:rsidRPr="00844131" w:rsidRDefault="001A4A70" w:rsidP="001A4A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↑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18A1A2" w14:textId="72C72559" w:rsidR="001A4A70" w:rsidRPr="00844131" w:rsidRDefault="001A4A70" w:rsidP="001A4A70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↓</w:t>
            </w:r>
          </w:p>
        </w:tc>
      </w:tr>
      <w:tr w:rsidR="001A4A70" w:rsidRPr="00844131" w14:paraId="70CAEFDD" w14:textId="77777777" w:rsidTr="00405038">
        <w:trPr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986609" w14:textId="77777777" w:rsidR="001A4A70" w:rsidRPr="001C1DA0" w:rsidRDefault="001A4A70" w:rsidP="001A4A70">
            <w:pPr>
              <w:rPr>
                <w:rFonts w:ascii="Calibri" w:hAnsi="Calibri" w:cs="Calibri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CPE - LTSS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8F283B" w14:textId="77777777" w:rsidR="001A4A70" w:rsidRPr="001C1DA0" w:rsidRDefault="001A4A70" w:rsidP="001A4A70">
            <w:pPr>
              <w:rPr>
                <w:rFonts w:ascii="Calibri" w:hAnsi="Calibri" w:cs="Calibri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LTSS Community Partner Engagement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074BC8" w14:textId="77777777" w:rsidR="001A4A70" w:rsidRPr="00844131" w:rsidRDefault="001A4A70" w:rsidP="001A4A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13.6%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F30450" w14:textId="77777777" w:rsidR="001A4A70" w:rsidRPr="00844131" w:rsidRDefault="001A4A70" w:rsidP="001A4A70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10.1%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F91D92" w14:textId="77777777" w:rsidR="001A4A70" w:rsidRPr="00844131" w:rsidRDefault="001A4A70" w:rsidP="001A4A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12.8%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F03FD5" w14:textId="77777777" w:rsidR="001A4A70" w:rsidRPr="00844131" w:rsidRDefault="001A4A70" w:rsidP="001A4A70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6.3%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DA765" w14:textId="77777777" w:rsidR="001A4A70" w:rsidRPr="00844131" w:rsidRDefault="001A4A70" w:rsidP="001A4A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23.4%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B9F71" w14:textId="77777777" w:rsidR="001A4A70" w:rsidRPr="00844131" w:rsidRDefault="001A4A70" w:rsidP="001A4A70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3.7%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406C0C" w14:textId="77777777" w:rsidR="001A4A70" w:rsidRPr="00844131" w:rsidRDefault="001A4A70" w:rsidP="001A4A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10.5%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7DD276" w14:textId="77777777" w:rsidR="001A4A70" w:rsidRPr="00844131" w:rsidRDefault="001A4A70" w:rsidP="001A4A70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7.4%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FFEB5C" w14:textId="77777777" w:rsidR="001A4A70" w:rsidRPr="00844131" w:rsidRDefault="001A4A70" w:rsidP="001A4A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4.5%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4F0E2" w14:textId="77777777" w:rsidR="001A4A70" w:rsidRPr="00844131" w:rsidRDefault="001A4A70" w:rsidP="001A4A70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7.5%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C9B404" w14:textId="31D83A4B" w:rsidR="001A4A70" w:rsidRPr="00844131" w:rsidRDefault="001A4A70" w:rsidP="001A4A7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↑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0BD3D8" w14:textId="7F424CA5" w:rsidR="001A4A70" w:rsidRPr="00844131" w:rsidRDefault="001A4A70" w:rsidP="001A4A70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↓</w:t>
            </w:r>
          </w:p>
        </w:tc>
      </w:tr>
      <w:tr w:rsidR="00BE4E0A" w:rsidRPr="00844131" w14:paraId="7706BB45" w14:textId="77777777" w:rsidTr="00405038">
        <w:trPr>
          <w:trHeight w:val="23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60EECB" w14:textId="77777777" w:rsidR="00BE4E0A" w:rsidRPr="001C1DA0" w:rsidRDefault="00BE4E0A" w:rsidP="00BE4E0A">
            <w:pPr>
              <w:rPr>
                <w:rFonts w:ascii="Calibri" w:hAnsi="Calibri" w:cs="Calibri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CT - BSP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B59ED1" w14:textId="77777777" w:rsidR="00BE4E0A" w:rsidRPr="001C1DA0" w:rsidRDefault="00BE4E0A" w:rsidP="00BE4E0A">
            <w:pPr>
              <w:rPr>
                <w:rFonts w:ascii="Calibri" w:hAnsi="Calibri" w:cs="Calibri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Community Tenure - BSP (Risk adjusted O/E ratio) </w:t>
            </w:r>
            <w:r w:rsidRPr="00FC29C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9A6CD4" w14:textId="77777777" w:rsidR="00BE4E0A" w:rsidRPr="00844131" w:rsidRDefault="00BE4E0A" w:rsidP="00BE4E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0.70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4DBDA1" w14:textId="77777777" w:rsidR="00BE4E0A" w:rsidRPr="00844131" w:rsidRDefault="00BE4E0A" w:rsidP="00BE4E0A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70C7AB" w14:textId="77777777" w:rsidR="00BE4E0A" w:rsidRPr="00844131" w:rsidRDefault="00BE4E0A" w:rsidP="00BE4E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0.49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8C077" w14:textId="77777777" w:rsidR="00BE4E0A" w:rsidRPr="00844131" w:rsidRDefault="00BE4E0A" w:rsidP="00BE4E0A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0.58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EC6ACD" w14:textId="77777777" w:rsidR="00BE4E0A" w:rsidRPr="00844131" w:rsidRDefault="00BE4E0A" w:rsidP="00BE4E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0.85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C9FE95" w14:textId="77777777" w:rsidR="00BE4E0A" w:rsidRPr="00844131" w:rsidRDefault="00BE4E0A" w:rsidP="00BE4E0A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0.73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38783E" w14:textId="77777777" w:rsidR="00BE4E0A" w:rsidRPr="00844131" w:rsidRDefault="00BE4E0A" w:rsidP="00BE4E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0.71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699B65" w14:textId="77777777" w:rsidR="00BE4E0A" w:rsidRPr="00844131" w:rsidRDefault="00BE4E0A" w:rsidP="00BE4E0A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1.18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7B465C" w14:textId="77777777" w:rsidR="00BE4E0A" w:rsidRPr="00844131" w:rsidRDefault="00BE4E0A" w:rsidP="00BE4E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1.17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471B01" w14:textId="77777777" w:rsidR="00BE4E0A" w:rsidRPr="00844131" w:rsidRDefault="00BE4E0A" w:rsidP="00BE4E0A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0.82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E3B833" w14:textId="14FD6563" w:rsidR="00BE4E0A" w:rsidRPr="00844131" w:rsidRDefault="00BE4E0A" w:rsidP="00BE4E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↑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1E5745" w14:textId="7569C22A" w:rsidR="00BE4E0A" w:rsidRPr="00844131" w:rsidRDefault="00BE4E0A" w:rsidP="00BE4E0A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↓</w:t>
            </w:r>
          </w:p>
        </w:tc>
      </w:tr>
      <w:tr w:rsidR="00BE4E0A" w:rsidRPr="00844131" w14:paraId="03A9F977" w14:textId="77777777" w:rsidTr="00405038">
        <w:trPr>
          <w:trHeight w:val="23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B31AA" w14:textId="77777777" w:rsidR="00BE4E0A" w:rsidRPr="001C1DA0" w:rsidRDefault="00BE4E0A" w:rsidP="00BE4E0A">
            <w:pPr>
              <w:rPr>
                <w:rFonts w:ascii="Calibri" w:hAnsi="Calibri" w:cs="Calibri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CT - LTSS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BD1A4D" w14:textId="77777777" w:rsidR="00BE4E0A" w:rsidRPr="001C1DA0" w:rsidRDefault="00BE4E0A" w:rsidP="00BE4E0A">
            <w:pPr>
              <w:rPr>
                <w:rFonts w:ascii="Calibri" w:hAnsi="Calibri" w:cs="Calibri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Community Tenure - LTSS Risk adjusted O/E ratio </w:t>
            </w:r>
            <w:r w:rsidRPr="00FC29C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A6EA1F" w14:textId="77777777" w:rsidR="00BE4E0A" w:rsidRPr="00844131" w:rsidRDefault="00BE4E0A" w:rsidP="00BE4E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1.33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705B2F" w14:textId="77777777" w:rsidR="00BE4E0A" w:rsidRPr="00844131" w:rsidRDefault="00BE4E0A" w:rsidP="00BE4E0A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1.86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67158E" w14:textId="77777777" w:rsidR="00BE4E0A" w:rsidRPr="00844131" w:rsidRDefault="00BE4E0A" w:rsidP="00BE4E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0.50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B2CF9C" w14:textId="77777777" w:rsidR="00BE4E0A" w:rsidRPr="00844131" w:rsidRDefault="00BE4E0A" w:rsidP="00BE4E0A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0.75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38A82" w14:textId="77777777" w:rsidR="00BE4E0A" w:rsidRPr="00844131" w:rsidRDefault="00BE4E0A" w:rsidP="00BE4E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0.96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57A36" w14:textId="77777777" w:rsidR="00BE4E0A" w:rsidRPr="00844131" w:rsidRDefault="00BE4E0A" w:rsidP="00BE4E0A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0.82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DE536B" w14:textId="77777777" w:rsidR="00BE4E0A" w:rsidRPr="00844131" w:rsidRDefault="00BE4E0A" w:rsidP="00BE4E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1.08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2F5A2" w14:textId="77777777" w:rsidR="00BE4E0A" w:rsidRPr="00844131" w:rsidRDefault="00BE4E0A" w:rsidP="00BE4E0A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1.57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05FF72" w14:textId="77777777" w:rsidR="00BE4E0A" w:rsidRPr="00844131" w:rsidRDefault="00BE4E0A" w:rsidP="00BE4E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1.71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5B013" w14:textId="77777777" w:rsidR="00BE4E0A" w:rsidRPr="00844131" w:rsidRDefault="00BE4E0A" w:rsidP="00BE4E0A">
            <w:pPr>
              <w:jc w:val="center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1.13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E0A5E4" w14:textId="51E4C1D6" w:rsidR="00BE4E0A" w:rsidRPr="00844131" w:rsidRDefault="00BE4E0A" w:rsidP="00BE4E0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↑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48DF44" w14:textId="53D0C967" w:rsidR="00BE4E0A" w:rsidRPr="00844131" w:rsidRDefault="00BE4E0A" w:rsidP="00BE4E0A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↓</w:t>
            </w:r>
          </w:p>
        </w:tc>
      </w:tr>
      <w:tr w:rsidR="00832008" w:rsidRPr="00844131" w14:paraId="6EECBB9D" w14:textId="77777777" w:rsidTr="00405038">
        <w:trPr>
          <w:trHeight w:val="4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401D4" w14:textId="77777777" w:rsidR="00832008" w:rsidRPr="001C1DA0" w:rsidRDefault="00832008" w:rsidP="00832008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DRR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56F351" w14:textId="77777777" w:rsidR="00832008" w:rsidRPr="001C1DA0" w:rsidRDefault="00832008" w:rsidP="00832008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Depression Remission or Response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C120F8" w14:textId="77777777" w:rsidR="00832008" w:rsidRPr="00844131" w:rsidRDefault="00832008" w:rsidP="008320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5.6%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1AD34A" w14:textId="77777777" w:rsidR="00832008" w:rsidRPr="00844131" w:rsidRDefault="00832008" w:rsidP="0083200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7.9%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2887D6" w14:textId="77777777" w:rsidR="00832008" w:rsidRPr="00844131" w:rsidRDefault="00832008" w:rsidP="008320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3.6%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F0014C" w14:textId="77777777" w:rsidR="00832008" w:rsidRPr="00844131" w:rsidRDefault="00832008" w:rsidP="0083200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6.0%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6E9150" w14:textId="77777777" w:rsidR="00832008" w:rsidRPr="00844131" w:rsidRDefault="00832008" w:rsidP="008320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7.0%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C94F3A" w14:textId="77777777" w:rsidR="00832008" w:rsidRPr="00844131" w:rsidRDefault="00832008" w:rsidP="0083200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0.5%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F14182" w14:textId="77777777" w:rsidR="00832008" w:rsidRPr="00844131" w:rsidRDefault="00832008" w:rsidP="008320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5.3%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ADF1B" w14:textId="77777777" w:rsidR="00832008" w:rsidRPr="00844131" w:rsidRDefault="00832008" w:rsidP="0083200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2.4%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FE0892" w14:textId="77777777" w:rsidR="00832008" w:rsidRPr="00844131" w:rsidRDefault="00832008" w:rsidP="008320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2.5%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9B82F5" w14:textId="77777777" w:rsidR="00832008" w:rsidRPr="00844131" w:rsidRDefault="00832008" w:rsidP="0083200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6.6%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BDA81" w14:textId="62A6AC9F" w:rsidR="00832008" w:rsidRPr="00844131" w:rsidRDefault="001A4A70" w:rsidP="008320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↑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FA571D" w14:textId="213F2A31" w:rsidR="00832008" w:rsidRPr="00844131" w:rsidRDefault="001A4A70" w:rsidP="0083200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↓</w:t>
            </w:r>
          </w:p>
        </w:tc>
      </w:tr>
      <w:tr w:rsidR="00832008" w:rsidRPr="00844131" w14:paraId="2B009837" w14:textId="77777777" w:rsidTr="00405038">
        <w:trPr>
          <w:trHeight w:val="23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E66C33" w14:textId="77777777" w:rsidR="00832008" w:rsidRPr="001C1DA0" w:rsidRDefault="00832008" w:rsidP="00832008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CDF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1A53D" w14:textId="77777777" w:rsidR="00832008" w:rsidRPr="001C1DA0" w:rsidRDefault="00832008" w:rsidP="00832008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Screening for Depression and Follow-Up Plan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CDE4A" w14:textId="77777777" w:rsidR="00832008" w:rsidRPr="00844131" w:rsidRDefault="00832008" w:rsidP="008320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38.4%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8A184" w14:textId="77777777" w:rsidR="00832008" w:rsidRPr="00844131" w:rsidRDefault="00832008" w:rsidP="0083200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51.9%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48F641" w14:textId="77777777" w:rsidR="00832008" w:rsidRPr="00844131" w:rsidRDefault="00832008" w:rsidP="008320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42.2%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1C0962" w14:textId="77777777" w:rsidR="00832008" w:rsidRPr="00844131" w:rsidRDefault="00832008" w:rsidP="0083200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26.8%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A0D269" w14:textId="77777777" w:rsidR="00832008" w:rsidRPr="00844131" w:rsidRDefault="00832008" w:rsidP="008320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41.1%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B4EFDE" w14:textId="77777777" w:rsidR="00832008" w:rsidRPr="00844131" w:rsidRDefault="00832008" w:rsidP="0083200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42.3%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62FCCD" w14:textId="77777777" w:rsidR="00832008" w:rsidRPr="00844131" w:rsidRDefault="00832008" w:rsidP="008320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34.1%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8926B5" w14:textId="77777777" w:rsidR="00832008" w:rsidRPr="00844131" w:rsidRDefault="00832008" w:rsidP="0083200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41.8%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9EA641" w14:textId="77777777" w:rsidR="00832008" w:rsidRPr="00844131" w:rsidRDefault="00832008" w:rsidP="008320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40.4%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5CBD71" w14:textId="77777777" w:rsidR="00832008" w:rsidRPr="00844131" w:rsidRDefault="00832008" w:rsidP="00832008">
            <w:pPr>
              <w:jc w:val="center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46.2%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C755F" w14:textId="364D9B90" w:rsidR="00832008" w:rsidRPr="00844131" w:rsidRDefault="001A4A70" w:rsidP="008320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↑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8F857A" w14:textId="013BE4B2" w:rsidR="00832008" w:rsidRPr="00844131" w:rsidRDefault="001A4A70" w:rsidP="0083200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↓</w:t>
            </w:r>
          </w:p>
        </w:tc>
      </w:tr>
      <w:tr w:rsidR="00832008" w:rsidRPr="00844131" w14:paraId="41BBEC97" w14:textId="77777777" w:rsidTr="00405038">
        <w:trPr>
          <w:trHeight w:val="2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C2D94" w14:textId="77777777" w:rsidR="00832008" w:rsidRPr="001C1DA0" w:rsidRDefault="00832008" w:rsidP="00832008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ED SMI/SUD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CD5811" w14:textId="77777777" w:rsidR="00832008" w:rsidRPr="001C1DA0" w:rsidRDefault="00832008" w:rsidP="00832008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Risk adjusted ratio (obs/exp) of ED visits for members with SMI/SUD/co-occurring conditions </w:t>
            </w:r>
            <w:r w:rsidRPr="00FC29C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B83AB9" w14:textId="77777777" w:rsidR="00832008" w:rsidRPr="00844131" w:rsidRDefault="00832008" w:rsidP="008320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0.98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B1AE0A" w14:textId="77777777" w:rsidR="00832008" w:rsidRPr="00844131" w:rsidRDefault="00832008" w:rsidP="0083200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1.03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E7F84" w14:textId="77777777" w:rsidR="00832008" w:rsidRPr="00844131" w:rsidRDefault="00832008" w:rsidP="008320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0.61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1EA22D" w14:textId="77777777" w:rsidR="00832008" w:rsidRPr="00844131" w:rsidRDefault="00832008" w:rsidP="0083200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0.83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06D2B" w14:textId="77777777" w:rsidR="00832008" w:rsidRPr="00844131" w:rsidRDefault="00832008" w:rsidP="008320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0.94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A8D5C7" w14:textId="77777777" w:rsidR="00832008" w:rsidRPr="00844131" w:rsidRDefault="00832008" w:rsidP="0083200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0.74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1DEDE3" w14:textId="77777777" w:rsidR="00832008" w:rsidRPr="00844131" w:rsidRDefault="00832008" w:rsidP="008320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0.86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3BF8F5" w14:textId="77777777" w:rsidR="00832008" w:rsidRPr="00844131" w:rsidRDefault="00832008" w:rsidP="0083200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0.83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CA7A2A" w14:textId="77777777" w:rsidR="00832008" w:rsidRPr="00844131" w:rsidRDefault="00832008" w:rsidP="008320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BD68B7" w14:textId="77777777" w:rsidR="00832008" w:rsidRPr="00844131" w:rsidRDefault="00832008" w:rsidP="0083200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0.87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66FB97" w14:textId="7390DEF5" w:rsidR="00832008" w:rsidRPr="00844131" w:rsidRDefault="00BE4E0A" w:rsidP="008320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↑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CE91CB" w14:textId="2DC7C509" w:rsidR="00832008" w:rsidRPr="00844131" w:rsidRDefault="00BE4E0A" w:rsidP="0083200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↑</w:t>
            </w:r>
          </w:p>
        </w:tc>
      </w:tr>
      <w:tr w:rsidR="00832008" w14:paraId="20C194DC" w14:textId="77777777" w:rsidTr="00405038">
        <w:trPr>
          <w:trHeight w:val="2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04082" w14:textId="77777777" w:rsidR="00832008" w:rsidRDefault="00832008" w:rsidP="00832008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HRSN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7AB65" w14:textId="77777777" w:rsidR="00832008" w:rsidRDefault="00832008" w:rsidP="00832008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Health-Related Social Needs Screening 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7184E" w14:textId="77777777" w:rsidR="00832008" w:rsidRDefault="00832008" w:rsidP="008320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24.1%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DC67A5" w14:textId="77777777" w:rsidR="00832008" w:rsidRDefault="00832008" w:rsidP="0083200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28.7%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80C95C" w14:textId="77777777" w:rsidR="00832008" w:rsidRDefault="00832008" w:rsidP="008320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22.6%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B98C89" w14:textId="77777777" w:rsidR="00832008" w:rsidRDefault="00832008" w:rsidP="0083200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4.9%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5153DD" w14:textId="77777777" w:rsidR="00832008" w:rsidRDefault="00832008" w:rsidP="008320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10.5%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B14EF" w14:textId="77777777" w:rsidR="00832008" w:rsidRDefault="00832008" w:rsidP="0083200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22.4%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2EF1E2" w14:textId="77777777" w:rsidR="00832008" w:rsidRDefault="00832008" w:rsidP="008320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N/A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025BDF" w14:textId="77777777" w:rsidR="00832008" w:rsidRDefault="00832008" w:rsidP="0083200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34.1%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8B3BBA" w14:textId="77777777" w:rsidR="00832008" w:rsidRDefault="00832008" w:rsidP="008320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8.8%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F0D82" w14:textId="77777777" w:rsidR="00832008" w:rsidRDefault="00832008" w:rsidP="0083200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29.5%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36243E" w14:textId="22414124" w:rsidR="00832008" w:rsidRDefault="001A4A70" w:rsidP="008320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↑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94D90" w14:textId="3F14DCA4" w:rsidR="00832008" w:rsidRDefault="001A4A70" w:rsidP="0083200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↑</w:t>
            </w:r>
          </w:p>
        </w:tc>
      </w:tr>
      <w:tr w:rsidR="00832008" w14:paraId="4AE75E40" w14:textId="77777777" w:rsidTr="00405038">
        <w:trPr>
          <w:trHeight w:val="2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88607" w14:textId="77777777" w:rsidR="00832008" w:rsidRDefault="00832008" w:rsidP="00832008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OHE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16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A86AB" w14:textId="77777777" w:rsidR="00832008" w:rsidRDefault="00832008" w:rsidP="00832008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Oral Health Evaluation  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CD3CF1" w14:textId="77777777" w:rsidR="00832008" w:rsidRDefault="00832008" w:rsidP="008320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54.3%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A7B5D5" w14:textId="77777777" w:rsidR="00832008" w:rsidRDefault="00832008" w:rsidP="0083200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53.7%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F75C68" w14:textId="77777777" w:rsidR="00832008" w:rsidRDefault="00832008" w:rsidP="008320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57.7%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A0EC2E" w14:textId="77777777" w:rsidR="00832008" w:rsidRDefault="00832008" w:rsidP="0083200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36.5%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177DA" w14:textId="77777777" w:rsidR="00832008" w:rsidRDefault="00832008" w:rsidP="008320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55.1%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AFC98D" w14:textId="77777777" w:rsidR="00832008" w:rsidRDefault="00832008" w:rsidP="0083200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50.6%</w:t>
            </w:r>
          </w:p>
        </w:tc>
        <w:tc>
          <w:tcPr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D3FA85" w14:textId="77777777" w:rsidR="00832008" w:rsidRDefault="00832008" w:rsidP="008320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42.8%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E810F" w14:textId="77777777" w:rsidR="00832008" w:rsidRDefault="00832008" w:rsidP="0083200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56.0%</w:t>
            </w:r>
          </w:p>
        </w:tc>
        <w:tc>
          <w:tcPr>
            <w:tcW w:w="9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E9CD87" w14:textId="77777777" w:rsidR="00832008" w:rsidRDefault="00832008" w:rsidP="008320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50.7%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7E8CE8" w14:textId="77777777" w:rsidR="00832008" w:rsidRDefault="00832008" w:rsidP="0083200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53.3%</w:t>
            </w:r>
          </w:p>
        </w:tc>
        <w:tc>
          <w:tcPr>
            <w:tcW w:w="11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F08A75" w14:textId="2F35358A" w:rsidR="00832008" w:rsidRDefault="001A4A70" w:rsidP="0083200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↑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FC6CD2" w14:textId="1509CE11" w:rsidR="00832008" w:rsidRDefault="001A4A70" w:rsidP="0083200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↑</w:t>
            </w:r>
          </w:p>
        </w:tc>
      </w:tr>
    </w:tbl>
    <w:p w14:paraId="72978265" w14:textId="717A0CDB" w:rsidR="00B6407A" w:rsidRDefault="00B6407A" w:rsidP="005B612F">
      <w:pPr>
        <w:pStyle w:val="Caption"/>
        <w:spacing w:after="120"/>
        <w:rPr>
          <w:sz w:val="24"/>
          <w:szCs w:val="24"/>
        </w:rPr>
      </w:pPr>
    </w:p>
    <w:p w14:paraId="6F5A9D4A" w14:textId="77777777" w:rsidR="00B6407A" w:rsidRDefault="00B6407A" w:rsidP="005B612F">
      <w:pPr>
        <w:pStyle w:val="Caption"/>
        <w:spacing w:after="120"/>
        <w:rPr>
          <w:sz w:val="24"/>
          <w:szCs w:val="24"/>
        </w:rPr>
      </w:pPr>
    </w:p>
    <w:p w14:paraId="7D2C602F" w14:textId="77777777" w:rsidR="00C937B9" w:rsidRDefault="00C937B9" w:rsidP="005B612F">
      <w:pPr>
        <w:pStyle w:val="Caption"/>
        <w:spacing w:after="120"/>
        <w:rPr>
          <w:sz w:val="24"/>
          <w:szCs w:val="24"/>
        </w:rPr>
      </w:pPr>
    </w:p>
    <w:p w14:paraId="37D4A03D" w14:textId="3FA37781" w:rsidR="00733842" w:rsidRPr="00CF5E11" w:rsidRDefault="00733A72" w:rsidP="005B612F">
      <w:pPr>
        <w:pStyle w:val="Caption"/>
        <w:spacing w:after="120"/>
        <w:rPr>
          <w:sz w:val="24"/>
          <w:szCs w:val="24"/>
        </w:rPr>
      </w:pPr>
      <w:r w:rsidRPr="005B612F">
        <w:rPr>
          <w:sz w:val="24"/>
          <w:szCs w:val="24"/>
        </w:rPr>
        <w:lastRenderedPageBreak/>
        <w:t xml:space="preserve">Table 7 </w:t>
      </w:r>
      <w:r w:rsidR="00517C2D" w:rsidRPr="005B612F">
        <w:rPr>
          <w:sz w:val="24"/>
          <w:szCs w:val="24"/>
        </w:rPr>
        <w:t>-</w:t>
      </w:r>
      <w:r w:rsidRPr="005B612F">
        <w:rPr>
          <w:sz w:val="24"/>
          <w:szCs w:val="24"/>
        </w:rPr>
        <w:t xml:space="preserve"> ACO Performance Measures, Health New England </w:t>
      </w:r>
      <w:r w:rsidR="00517C2D" w:rsidRPr="005B612F">
        <w:rPr>
          <w:sz w:val="24"/>
          <w:szCs w:val="24"/>
        </w:rPr>
        <w:t>-</w:t>
      </w:r>
      <w:r w:rsidRPr="005B612F">
        <w:rPr>
          <w:sz w:val="24"/>
          <w:szCs w:val="24"/>
        </w:rPr>
        <w:t xml:space="preserve"> Tufts</w:t>
      </w:r>
    </w:p>
    <w:p w14:paraId="77635BE4" w14:textId="77777777" w:rsidR="005B5B18" w:rsidRPr="00CF5E11" w:rsidRDefault="005B5B18" w:rsidP="005B5B18">
      <w:pPr>
        <w:spacing w:after="0" w:line="240" w:lineRule="auto"/>
        <w:rPr>
          <w:sz w:val="18"/>
          <w:szCs w:val="18"/>
        </w:rPr>
      </w:pPr>
      <w:r w:rsidRPr="00CF5E11">
        <w:rPr>
          <w:sz w:val="18"/>
          <w:szCs w:val="18"/>
        </w:rPr>
        <w:t>Table Legend:</w:t>
      </w:r>
    </w:p>
    <w:p w14:paraId="39C928DF" w14:textId="77777777" w:rsidR="005B5B18" w:rsidRPr="00CF5E11" w:rsidRDefault="005B5B18" w:rsidP="005B5B18">
      <w:pPr>
        <w:spacing w:after="0" w:line="240" w:lineRule="auto"/>
        <w:rPr>
          <w:sz w:val="18"/>
          <w:szCs w:val="18"/>
        </w:rPr>
      </w:pPr>
      <w:r w:rsidRPr="00CF5E11">
        <w:rPr>
          <w:sz w:val="18"/>
          <w:szCs w:val="18"/>
          <w:vertAlign w:val="superscript"/>
        </w:rPr>
        <w:t xml:space="preserve">1 </w:t>
      </w:r>
      <w:r w:rsidRPr="00CF5E11">
        <w:rPr>
          <w:sz w:val="18"/>
          <w:szCs w:val="18"/>
        </w:rPr>
        <w:t>A lower score represents better performance.</w:t>
      </w:r>
    </w:p>
    <w:p w14:paraId="7531D457" w14:textId="77777777" w:rsidR="005B5B18" w:rsidRPr="00CF5E11" w:rsidRDefault="005B5B18" w:rsidP="005B5B18">
      <w:pPr>
        <w:spacing w:after="0" w:line="240" w:lineRule="auto"/>
        <w:rPr>
          <w:sz w:val="18"/>
          <w:szCs w:val="18"/>
        </w:rPr>
      </w:pPr>
      <w:r w:rsidRPr="00CF5E11">
        <w:rPr>
          <w:sz w:val="18"/>
          <w:szCs w:val="18"/>
          <w:vertAlign w:val="superscript"/>
        </w:rPr>
        <w:t xml:space="preserve">2 </w:t>
      </w:r>
      <w:r w:rsidRPr="00CF5E11">
        <w:rPr>
          <w:sz w:val="18"/>
          <w:szCs w:val="18"/>
        </w:rPr>
        <w:t>ACO weighted mean includes the 17 ACOs in Table 6 and Table 7.</w:t>
      </w:r>
    </w:p>
    <w:p w14:paraId="1F67C2E9" w14:textId="231AB3AC" w:rsidR="007022E9" w:rsidRDefault="005B5B18" w:rsidP="00FC29C3">
      <w:pPr>
        <w:widowControl w:val="0"/>
        <w:tabs>
          <w:tab w:val="left" w:pos="90"/>
        </w:tabs>
        <w:spacing w:after="360" w:line="240" w:lineRule="auto"/>
        <w:rPr>
          <w:sz w:val="18"/>
          <w:szCs w:val="18"/>
        </w:rPr>
      </w:pPr>
      <w:r w:rsidRPr="00CF5E11">
        <w:rPr>
          <w:sz w:val="18"/>
          <w:szCs w:val="18"/>
        </w:rPr>
        <w:t>* ↑ = Weighted Mean Performance Better Than Benchmark   ↓ = Weighted Mean Performance Worse Than Benchmark</w:t>
      </w:r>
    </w:p>
    <w:p w14:paraId="5E5A5073" w14:textId="015ECD9F" w:rsidR="007022E9" w:rsidRPr="007022E9" w:rsidRDefault="007022E9" w:rsidP="007022E9">
      <w:pPr>
        <w:spacing w:after="0" w:line="240" w:lineRule="auto"/>
      </w:pPr>
      <w:r w:rsidRPr="00AC7633">
        <w:t xml:space="preserve">Table </w:t>
      </w:r>
      <w:r w:rsidR="00190203">
        <w:t>7</w:t>
      </w:r>
      <w:r w:rsidRPr="00AC7633">
        <w:t>.a: HEDIS Measures</w:t>
      </w:r>
    </w:p>
    <w:tbl>
      <w:tblPr>
        <w:tblStyle w:val="MediumList2-Accent1"/>
        <w:tblW w:w="0" w:type="auto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Layout w:type="fixed"/>
        <w:tblLook w:val="02A0" w:firstRow="1" w:lastRow="0" w:firstColumn="1" w:lastColumn="0" w:noHBand="1" w:noVBand="0"/>
        <w:tblCaption w:val="SCO Performance Measures, 2018 "/>
        <w:tblDescription w:val="SCO Performance Measures, 2018 "/>
      </w:tblPr>
      <w:tblGrid>
        <w:gridCol w:w="1430"/>
        <w:gridCol w:w="3420"/>
        <w:gridCol w:w="810"/>
        <w:gridCol w:w="810"/>
        <w:gridCol w:w="752"/>
        <w:gridCol w:w="1138"/>
        <w:gridCol w:w="810"/>
        <w:gridCol w:w="786"/>
        <w:gridCol w:w="843"/>
        <w:gridCol w:w="843"/>
        <w:gridCol w:w="843"/>
        <w:gridCol w:w="974"/>
        <w:gridCol w:w="972"/>
      </w:tblGrid>
      <w:tr w:rsidR="001F0D4E" w:rsidRPr="00CF5E11" w14:paraId="66437254" w14:textId="77777777" w:rsidTr="007022E9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700"/>
          <w:tblHeader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3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904097B" w14:textId="13375077" w:rsidR="00423947" w:rsidRPr="00F10037" w:rsidRDefault="00423947" w:rsidP="0042394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Measure Code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2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3AEC84FB" w14:textId="4C169782" w:rsidR="00423947" w:rsidRPr="00F10037" w:rsidRDefault="00423947" w:rsidP="0042394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Measure Name</w:t>
            </w:r>
          </w:p>
        </w:tc>
        <w:tc>
          <w:tcPr>
            <w:tcW w:w="8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EB66E19" w14:textId="19BF2B7F" w:rsidR="00423947" w:rsidRPr="00F10037" w:rsidRDefault="00423947" w:rsidP="0042394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THP ATRIUS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57AA718C" w14:textId="55F475BC" w:rsidR="00423947" w:rsidRPr="00F10037" w:rsidRDefault="00423947" w:rsidP="0042394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THP BIDCO</w:t>
            </w:r>
          </w:p>
        </w:tc>
        <w:tc>
          <w:tcPr>
            <w:tcW w:w="75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0D2F81A" w14:textId="1E559BE5" w:rsidR="00423947" w:rsidRPr="00F10037" w:rsidRDefault="00423947" w:rsidP="0042394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highlight w:val="yellow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THP CHA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8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884DB07" w14:textId="554A5790" w:rsidR="00423947" w:rsidRPr="00F10037" w:rsidRDefault="00423947" w:rsidP="00FC29C3">
            <w:pPr>
              <w:ind w:left="-65" w:right="-15"/>
              <w:jc w:val="center"/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THP CHILDREN'S</w:t>
            </w:r>
          </w:p>
        </w:tc>
        <w:tc>
          <w:tcPr>
            <w:tcW w:w="810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BD396BA" w14:textId="200E1212" w:rsidR="00423947" w:rsidRPr="00F10037" w:rsidRDefault="00423947" w:rsidP="0042394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18"/>
                <w:szCs w:val="18"/>
                <w:highlight w:val="yellow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WLS BACO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6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1F4A28BA" w14:textId="56D7FF73" w:rsidR="00423947" w:rsidRPr="00F10037" w:rsidRDefault="00423947" w:rsidP="0042394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WLS MERCY</w:t>
            </w:r>
          </w:p>
        </w:tc>
        <w:tc>
          <w:tcPr>
            <w:tcW w:w="84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7B092229" w14:textId="376FC07C" w:rsidR="00423947" w:rsidRPr="00F10037" w:rsidRDefault="00423947" w:rsidP="0042394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WLS SCOAST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4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87080BF" w14:textId="5538297D" w:rsidR="00423947" w:rsidRPr="00F10037" w:rsidRDefault="00423947" w:rsidP="0042394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WLS SIGN</w:t>
            </w:r>
          </w:p>
        </w:tc>
        <w:tc>
          <w:tcPr>
            <w:tcW w:w="843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6EB4C5F7" w14:textId="201E2BFB" w:rsidR="00423947" w:rsidRPr="00F10037" w:rsidRDefault="00423947" w:rsidP="0042394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ACO MHWM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4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281B8D71" w14:textId="4089EF6F" w:rsidR="00423947" w:rsidRPr="00F10037" w:rsidRDefault="00423947" w:rsidP="00423947">
            <w:pPr>
              <w:jc w:val="center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Nat’l Medicaid 75th Percentile*</w:t>
            </w:r>
          </w:p>
        </w:tc>
        <w:tc>
          <w:tcPr>
            <w:tcW w:w="972" w:type="dxa"/>
            <w:tcBorders>
              <w:top w:val="single" w:sz="8" w:space="0" w:color="000000" w:themeColor="text1"/>
              <w:left w:val="single" w:sz="8" w:space="0" w:color="000000" w:themeColor="text1"/>
              <w:bottom w:val="single" w:sz="8" w:space="0" w:color="000000" w:themeColor="text1"/>
              <w:right w:val="single" w:sz="8" w:space="0" w:color="000000" w:themeColor="text1"/>
            </w:tcBorders>
            <w:shd w:val="clear" w:color="auto" w:fill="D9D9D9" w:themeFill="background1" w:themeFillShade="D9"/>
            <w:vAlign w:val="center"/>
          </w:tcPr>
          <w:p w14:paraId="440DF381" w14:textId="06B35875" w:rsidR="00423947" w:rsidRPr="00F10037" w:rsidRDefault="00423947" w:rsidP="00423947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Nat'l Medicaid 90th Percentile*</w:t>
            </w:r>
          </w:p>
        </w:tc>
      </w:tr>
      <w:tr w:rsidR="00FC29C3" w:rsidRPr="00CF5E11" w14:paraId="2691EBD2" w14:textId="77777777" w:rsidTr="00435347">
        <w:trPr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0" w:type="dxa"/>
            <w:tcBorders>
              <w:top w:val="single" w:sz="8" w:space="0" w:color="000000" w:themeColor="text1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4485F1E2" w14:textId="29553FE5" w:rsidR="00423947" w:rsidRPr="00021283" w:rsidRDefault="00423947" w:rsidP="00423947">
            <w:pPr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02128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AMR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20" w:type="dxa"/>
            <w:tcBorders>
              <w:top w:val="single" w:sz="8" w:space="0" w:color="000000" w:themeColor="text1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619D3E1F" w14:textId="4681014B" w:rsidR="00423947" w:rsidRPr="00F10037" w:rsidRDefault="00423947" w:rsidP="00423947">
            <w:pPr>
              <w:rPr>
                <w:rFonts w:ascii="Calibri" w:hAnsi="Calibri" w:cs="Calibri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Asthma Medication Ratio (Total)</w:t>
            </w:r>
          </w:p>
        </w:tc>
        <w:tc>
          <w:tcPr>
            <w:tcW w:w="810" w:type="dxa"/>
            <w:tcBorders>
              <w:top w:val="single" w:sz="8" w:space="0" w:color="000000" w:themeColor="text1"/>
            </w:tcBorders>
            <w:vAlign w:val="center"/>
          </w:tcPr>
          <w:p w14:paraId="68650EFD" w14:textId="5E1B7090" w:rsidR="00423947" w:rsidRPr="00F10037" w:rsidRDefault="00423947" w:rsidP="004239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61.5%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tcBorders>
              <w:top w:val="single" w:sz="8" w:space="0" w:color="000000" w:themeColor="text1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07FCF70D" w14:textId="5DBA27BE" w:rsidR="00423947" w:rsidRPr="00F10037" w:rsidRDefault="00423947" w:rsidP="00423947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58.0%</w:t>
            </w:r>
          </w:p>
        </w:tc>
        <w:tc>
          <w:tcPr>
            <w:tcW w:w="752" w:type="dxa"/>
            <w:tcBorders>
              <w:top w:val="single" w:sz="8" w:space="0" w:color="000000" w:themeColor="text1"/>
            </w:tcBorders>
            <w:vAlign w:val="center"/>
          </w:tcPr>
          <w:p w14:paraId="0E9E59DC" w14:textId="49937F49" w:rsidR="00423947" w:rsidRPr="00F10037" w:rsidRDefault="00423947" w:rsidP="004239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52.1%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8" w:type="dxa"/>
            <w:tcBorders>
              <w:top w:val="single" w:sz="8" w:space="0" w:color="000000" w:themeColor="text1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6BE9FFDF" w14:textId="3A86F680" w:rsidR="00423947" w:rsidRPr="00F10037" w:rsidRDefault="00423947" w:rsidP="00FC29C3">
            <w:pPr>
              <w:ind w:left="-65" w:right="-45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65.9%</w:t>
            </w:r>
          </w:p>
        </w:tc>
        <w:tc>
          <w:tcPr>
            <w:tcW w:w="810" w:type="dxa"/>
            <w:tcBorders>
              <w:top w:val="single" w:sz="8" w:space="0" w:color="000000" w:themeColor="text1"/>
            </w:tcBorders>
            <w:vAlign w:val="center"/>
          </w:tcPr>
          <w:p w14:paraId="0B09FBA3" w14:textId="66AB6450" w:rsidR="00423947" w:rsidRPr="00F10037" w:rsidRDefault="00423947" w:rsidP="004239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61.9%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6" w:type="dxa"/>
            <w:tcBorders>
              <w:top w:val="single" w:sz="8" w:space="0" w:color="000000" w:themeColor="text1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190745CE" w14:textId="58344CC5" w:rsidR="00423947" w:rsidRPr="00F10037" w:rsidRDefault="00423947" w:rsidP="00423947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68.8%</w:t>
            </w:r>
          </w:p>
        </w:tc>
        <w:tc>
          <w:tcPr>
            <w:tcW w:w="843" w:type="dxa"/>
            <w:tcBorders>
              <w:top w:val="single" w:sz="8" w:space="0" w:color="000000" w:themeColor="text1"/>
            </w:tcBorders>
            <w:vAlign w:val="center"/>
          </w:tcPr>
          <w:p w14:paraId="470D9C0B" w14:textId="6971F722" w:rsidR="00423947" w:rsidRPr="00F10037" w:rsidRDefault="00423947" w:rsidP="004239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61.6%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43" w:type="dxa"/>
            <w:tcBorders>
              <w:top w:val="single" w:sz="8" w:space="0" w:color="000000" w:themeColor="text1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70283247" w14:textId="5422BDD3" w:rsidR="00423947" w:rsidRPr="00F10037" w:rsidRDefault="00423947" w:rsidP="0042394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64.0%</w:t>
            </w:r>
          </w:p>
        </w:tc>
        <w:tc>
          <w:tcPr>
            <w:tcW w:w="843" w:type="dxa"/>
            <w:tcBorders>
              <w:top w:val="single" w:sz="8" w:space="0" w:color="000000" w:themeColor="text1"/>
            </w:tcBorders>
            <w:vAlign w:val="center"/>
          </w:tcPr>
          <w:p w14:paraId="7C0D887E" w14:textId="53D925C3" w:rsidR="00423947" w:rsidRPr="00F10037" w:rsidRDefault="00423947" w:rsidP="004239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60.7%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4" w:type="dxa"/>
            <w:tcBorders>
              <w:top w:val="single" w:sz="8" w:space="0" w:color="000000" w:themeColor="text1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2E3A3838" w14:textId="4C8A8913" w:rsidR="00423947" w:rsidRPr="00F10037" w:rsidRDefault="00423947" w:rsidP="0042394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↓</w:t>
            </w:r>
          </w:p>
        </w:tc>
        <w:tc>
          <w:tcPr>
            <w:tcW w:w="972" w:type="dxa"/>
            <w:tcBorders>
              <w:top w:val="single" w:sz="8" w:space="0" w:color="000000" w:themeColor="text1"/>
            </w:tcBorders>
            <w:vAlign w:val="center"/>
          </w:tcPr>
          <w:p w14:paraId="0A8B8C4C" w14:textId="79B97291" w:rsidR="00423947" w:rsidRPr="00F10037" w:rsidRDefault="00423947" w:rsidP="004239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↓</w:t>
            </w:r>
          </w:p>
        </w:tc>
      </w:tr>
      <w:tr w:rsidR="00FC29C3" w:rsidRPr="00CF5E11" w14:paraId="21A0767D" w14:textId="77777777" w:rsidTr="00435347">
        <w:trPr>
          <w:trHeight w:val="369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47109135" w14:textId="5A6D2E9E" w:rsidR="00423947" w:rsidRPr="00021283" w:rsidRDefault="00423947" w:rsidP="00423947">
            <w:pPr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02128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APM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2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619F87C0" w14:textId="29A24CAD" w:rsidR="00423947" w:rsidRPr="00F10037" w:rsidRDefault="00423947" w:rsidP="00423947">
            <w:pPr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Metabolic Monitoring for Children and Adolescents on Antipsychotics (Total)</w:t>
            </w:r>
          </w:p>
        </w:tc>
        <w:tc>
          <w:tcPr>
            <w:tcW w:w="810" w:type="dxa"/>
            <w:vAlign w:val="center"/>
          </w:tcPr>
          <w:p w14:paraId="4027C75D" w14:textId="52644431" w:rsidR="00423947" w:rsidRPr="00F10037" w:rsidRDefault="00423947" w:rsidP="004239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46.3%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511802DE" w14:textId="6B98E03E" w:rsidR="00423947" w:rsidRPr="00F10037" w:rsidRDefault="00423947" w:rsidP="00423947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28.6%</w:t>
            </w:r>
          </w:p>
        </w:tc>
        <w:tc>
          <w:tcPr>
            <w:tcW w:w="752" w:type="dxa"/>
            <w:vAlign w:val="center"/>
          </w:tcPr>
          <w:p w14:paraId="2132CE73" w14:textId="62DF9F8F" w:rsidR="00423947" w:rsidRPr="00F10037" w:rsidRDefault="00423947" w:rsidP="004239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31.0%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8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3526D66A" w14:textId="37F926AA" w:rsidR="00423947" w:rsidRPr="00F10037" w:rsidRDefault="00423947" w:rsidP="00FC29C3">
            <w:pPr>
              <w:ind w:left="-65" w:right="-45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41.0%</w:t>
            </w:r>
          </w:p>
        </w:tc>
        <w:tc>
          <w:tcPr>
            <w:tcW w:w="810" w:type="dxa"/>
            <w:vAlign w:val="center"/>
          </w:tcPr>
          <w:p w14:paraId="2DFC62AC" w14:textId="6C4D08F1" w:rsidR="00423947" w:rsidRPr="00F10037" w:rsidRDefault="00423947" w:rsidP="004239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46.7%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6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466222DF" w14:textId="625D06CD" w:rsidR="00423947" w:rsidRPr="00F10037" w:rsidRDefault="00423947" w:rsidP="00423947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42.4%</w:t>
            </w:r>
          </w:p>
        </w:tc>
        <w:tc>
          <w:tcPr>
            <w:tcW w:w="843" w:type="dxa"/>
            <w:vAlign w:val="center"/>
          </w:tcPr>
          <w:p w14:paraId="3DE09C4E" w14:textId="25DACD0D" w:rsidR="00423947" w:rsidRPr="00F10037" w:rsidRDefault="00423947" w:rsidP="004239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34.9%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43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6CD92743" w14:textId="55F938BF" w:rsidR="00423947" w:rsidRPr="00F10037" w:rsidRDefault="00423947" w:rsidP="0042394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66.7%</w:t>
            </w:r>
          </w:p>
        </w:tc>
        <w:tc>
          <w:tcPr>
            <w:tcW w:w="843" w:type="dxa"/>
            <w:vAlign w:val="center"/>
          </w:tcPr>
          <w:p w14:paraId="3D35FF0A" w14:textId="5502ED19" w:rsidR="00423947" w:rsidRPr="00F10037" w:rsidRDefault="00423947" w:rsidP="004239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41.8%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4" w:type="dxa"/>
            <w:tcBorders>
              <w:top w:val="none" w:sz="0" w:space="0" w:color="auto"/>
              <w:left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14:paraId="5B85F9FF" w14:textId="6C4EBFA1" w:rsidR="00423947" w:rsidRPr="00F10037" w:rsidRDefault="00423947" w:rsidP="0042394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↓</w:t>
            </w:r>
          </w:p>
        </w:tc>
        <w:tc>
          <w:tcPr>
            <w:tcW w:w="972" w:type="dxa"/>
            <w:vAlign w:val="center"/>
          </w:tcPr>
          <w:p w14:paraId="3DD4A3E6" w14:textId="241A84BE" w:rsidR="00423947" w:rsidRPr="00F10037" w:rsidRDefault="00423947" w:rsidP="004239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↓</w:t>
            </w:r>
          </w:p>
        </w:tc>
      </w:tr>
      <w:tr w:rsidR="00FC29C3" w:rsidRPr="00CF5E11" w14:paraId="7389CAA6" w14:textId="77777777" w:rsidTr="007022E9">
        <w:trPr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0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vAlign w:val="center"/>
          </w:tcPr>
          <w:p w14:paraId="23EE5B46" w14:textId="28632D3D" w:rsidR="00423947" w:rsidRPr="00021283" w:rsidRDefault="00423947" w:rsidP="00423947">
            <w:pPr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02128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CBP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20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vAlign w:val="center"/>
          </w:tcPr>
          <w:p w14:paraId="0A30594F" w14:textId="7FCB4A2F" w:rsidR="00423947" w:rsidRPr="00F10037" w:rsidRDefault="00423947" w:rsidP="00423947">
            <w:pPr>
              <w:rPr>
                <w:rFonts w:ascii="Calibri" w:hAnsi="Calibri" w:cs="Calibri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Controlling High Blood Pressure  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7BDEED1C" w14:textId="34E9E2CA" w:rsidR="00423947" w:rsidRPr="00F10037" w:rsidRDefault="00423947" w:rsidP="004239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78.0%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vAlign w:val="center"/>
          </w:tcPr>
          <w:p w14:paraId="323B3AF7" w14:textId="0BAE20A6" w:rsidR="00423947" w:rsidRPr="00F10037" w:rsidRDefault="00423947" w:rsidP="00423947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67.4%</w:t>
            </w:r>
          </w:p>
        </w:tc>
        <w:tc>
          <w:tcPr>
            <w:tcW w:w="752" w:type="dxa"/>
            <w:tcBorders>
              <w:bottom w:val="single" w:sz="4" w:space="0" w:color="auto"/>
            </w:tcBorders>
            <w:vAlign w:val="center"/>
          </w:tcPr>
          <w:p w14:paraId="2551EFDF" w14:textId="32273BCD" w:rsidR="00423947" w:rsidRPr="00F10037" w:rsidRDefault="00423947" w:rsidP="004239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65.6%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8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vAlign w:val="center"/>
          </w:tcPr>
          <w:p w14:paraId="536C0531" w14:textId="262DE37E" w:rsidR="00423947" w:rsidRPr="00F10037" w:rsidRDefault="00423947" w:rsidP="00FC29C3">
            <w:pPr>
              <w:ind w:left="-65" w:right="-45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62.3%</w:t>
            </w:r>
          </w:p>
        </w:tc>
        <w:tc>
          <w:tcPr>
            <w:tcW w:w="810" w:type="dxa"/>
            <w:tcBorders>
              <w:bottom w:val="single" w:sz="4" w:space="0" w:color="auto"/>
            </w:tcBorders>
            <w:vAlign w:val="center"/>
          </w:tcPr>
          <w:p w14:paraId="72101811" w14:textId="497D1F35" w:rsidR="00423947" w:rsidRPr="00F10037" w:rsidRDefault="00423947" w:rsidP="004239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63.5%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6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vAlign w:val="center"/>
          </w:tcPr>
          <w:p w14:paraId="6E783A43" w14:textId="60230433" w:rsidR="00423947" w:rsidRPr="00F10037" w:rsidRDefault="00423947" w:rsidP="00423947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68.4%</w:t>
            </w:r>
          </w:p>
        </w:tc>
        <w:tc>
          <w:tcPr>
            <w:tcW w:w="843" w:type="dxa"/>
            <w:tcBorders>
              <w:bottom w:val="single" w:sz="4" w:space="0" w:color="auto"/>
            </w:tcBorders>
            <w:vAlign w:val="center"/>
          </w:tcPr>
          <w:p w14:paraId="1560005F" w14:textId="3A651176" w:rsidR="00423947" w:rsidRPr="00F10037" w:rsidRDefault="00423947" w:rsidP="004239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70.1%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43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vAlign w:val="center"/>
          </w:tcPr>
          <w:p w14:paraId="1EFB02DF" w14:textId="525BBC26" w:rsidR="00423947" w:rsidRPr="00F10037" w:rsidRDefault="00423947" w:rsidP="0042394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78.6%</w:t>
            </w:r>
          </w:p>
        </w:tc>
        <w:tc>
          <w:tcPr>
            <w:tcW w:w="843" w:type="dxa"/>
            <w:tcBorders>
              <w:bottom w:val="single" w:sz="4" w:space="0" w:color="auto"/>
            </w:tcBorders>
            <w:vAlign w:val="center"/>
          </w:tcPr>
          <w:p w14:paraId="781BFFF6" w14:textId="244DE74E" w:rsidR="00423947" w:rsidRPr="00F10037" w:rsidRDefault="00423947" w:rsidP="004239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67.2%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4" w:type="dxa"/>
            <w:tcBorders>
              <w:top w:val="none" w:sz="0" w:space="0" w:color="auto"/>
              <w:left w:val="none" w:sz="0" w:space="0" w:color="auto"/>
              <w:bottom w:val="single" w:sz="4" w:space="0" w:color="auto"/>
              <w:right w:val="none" w:sz="0" w:space="0" w:color="auto"/>
            </w:tcBorders>
            <w:vAlign w:val="center"/>
          </w:tcPr>
          <w:p w14:paraId="653786A3" w14:textId="5BAF6B95" w:rsidR="00423947" w:rsidRPr="00F10037" w:rsidRDefault="00423947" w:rsidP="00423947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↓</w:t>
            </w:r>
          </w:p>
        </w:tc>
        <w:tc>
          <w:tcPr>
            <w:tcW w:w="972" w:type="dxa"/>
            <w:tcBorders>
              <w:bottom w:val="single" w:sz="4" w:space="0" w:color="auto"/>
            </w:tcBorders>
            <w:vAlign w:val="center"/>
          </w:tcPr>
          <w:p w14:paraId="1E35083D" w14:textId="73BF2192" w:rsidR="00423947" w:rsidRPr="00F10037" w:rsidRDefault="00423947" w:rsidP="00423947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↓</w:t>
            </w:r>
          </w:p>
        </w:tc>
      </w:tr>
      <w:tr w:rsidR="007022E9" w:rsidRPr="00CF5E11" w14:paraId="29FE8785" w14:textId="77777777" w:rsidTr="007022E9">
        <w:trPr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25D643" w14:textId="0D5A20F8" w:rsidR="007022E9" w:rsidRPr="00021283" w:rsidRDefault="007022E9" w:rsidP="007022E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02128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CIS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99C65E" w14:textId="55AF7D32" w:rsidR="007022E9" w:rsidRDefault="007022E9" w:rsidP="007022E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Childhood Immunization Status (Combo 10)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5BF1EC" w14:textId="4862BC5B" w:rsidR="007022E9" w:rsidRDefault="007022E9" w:rsidP="007022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56.2%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CA242" w14:textId="0EE0DD0F" w:rsidR="007022E9" w:rsidRDefault="007022E9" w:rsidP="007022E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55.6%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9884F" w14:textId="638D2E70" w:rsidR="007022E9" w:rsidRDefault="007022E9" w:rsidP="007022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56.1%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EF95E" w14:textId="3A3B5C0D" w:rsidR="007022E9" w:rsidRDefault="007022E9" w:rsidP="007022E9">
            <w:pPr>
              <w:ind w:left="-65" w:right="-45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56.1%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16D9A" w14:textId="12471EA4" w:rsidR="007022E9" w:rsidRDefault="007022E9" w:rsidP="007022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53.6%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6A0B6" w14:textId="4D6F2ABB" w:rsidR="007022E9" w:rsidRDefault="007022E9" w:rsidP="007022E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36.5%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031F1" w14:textId="3CC727C4" w:rsidR="007022E9" w:rsidRDefault="007022E9" w:rsidP="007022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34.3%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D8E3DD" w14:textId="3F4D7041" w:rsidR="007022E9" w:rsidRDefault="007022E9" w:rsidP="007022E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49.3%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AA4BC2" w14:textId="18D85697" w:rsidR="007022E9" w:rsidRDefault="007022E9" w:rsidP="007022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52.5%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292D58" w14:textId="3E7EA4B0" w:rsidR="007022E9" w:rsidRDefault="007022E9" w:rsidP="007022E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↑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BD309B" w14:textId="1B80D8DE" w:rsidR="007022E9" w:rsidRDefault="007022E9" w:rsidP="007022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↑</w:t>
            </w:r>
          </w:p>
        </w:tc>
      </w:tr>
      <w:tr w:rsidR="007022E9" w:rsidRPr="00CF5E11" w14:paraId="5CD138B7" w14:textId="77777777" w:rsidTr="007022E9">
        <w:trPr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3E174D" w14:textId="626239D6" w:rsidR="007022E9" w:rsidRPr="00021283" w:rsidRDefault="007022E9" w:rsidP="007022E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02128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FUH - 7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109F91" w14:textId="6D51B15D" w:rsidR="007022E9" w:rsidRDefault="007022E9" w:rsidP="007022E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Follow-Up After Hospitalization for Mental Illness (7 days)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C6592B" w14:textId="720E28D4" w:rsidR="007022E9" w:rsidRDefault="007022E9" w:rsidP="007022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41.1%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771C7" w14:textId="24414A86" w:rsidR="007022E9" w:rsidRDefault="007022E9" w:rsidP="007022E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42.0%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B4D11D" w14:textId="77D4B3BE" w:rsidR="007022E9" w:rsidRDefault="007022E9" w:rsidP="007022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57.5%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6F5B6" w14:textId="360081A6" w:rsidR="007022E9" w:rsidRDefault="007022E9" w:rsidP="007022E9">
            <w:pPr>
              <w:ind w:left="-65" w:right="-45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52.2%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CD3F74" w14:textId="4C7AA06F" w:rsidR="007022E9" w:rsidRDefault="007022E9" w:rsidP="007022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43.2%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081431" w14:textId="1769A814" w:rsidR="007022E9" w:rsidRDefault="007022E9" w:rsidP="007022E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51.5%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B677A" w14:textId="4B61D45E" w:rsidR="007022E9" w:rsidRDefault="007022E9" w:rsidP="007022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48.0%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BD9EB2" w14:textId="031CF078" w:rsidR="007022E9" w:rsidRDefault="007022E9" w:rsidP="007022E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54.3%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7DD160" w14:textId="0841E8AA" w:rsidR="007022E9" w:rsidRDefault="007022E9" w:rsidP="007022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46.4%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6515A" w14:textId="638776A8" w:rsidR="007022E9" w:rsidRDefault="007022E9" w:rsidP="007022E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↑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FBBEBE" w14:textId="5EE00501" w:rsidR="007022E9" w:rsidRDefault="007022E9" w:rsidP="007022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↓</w:t>
            </w:r>
          </w:p>
        </w:tc>
      </w:tr>
      <w:tr w:rsidR="007022E9" w:rsidRPr="00CF5E11" w14:paraId="4D572C76" w14:textId="77777777" w:rsidTr="007022E9">
        <w:trPr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9BF70" w14:textId="532CDD31" w:rsidR="007022E9" w:rsidRPr="00021283" w:rsidRDefault="007022E9" w:rsidP="007022E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02128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FUM - 7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B2084D" w14:textId="7B2E74DE" w:rsidR="007022E9" w:rsidRDefault="007022E9" w:rsidP="007022E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Follow-Up After Emergency Department Visit for Mental Illness (7 days)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538EE" w14:textId="40466135" w:rsidR="007022E9" w:rsidRDefault="007022E9" w:rsidP="007022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77.8%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95DCD3" w14:textId="670C1222" w:rsidR="007022E9" w:rsidRDefault="007022E9" w:rsidP="007022E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71.8%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4566BD" w14:textId="5520810F" w:rsidR="007022E9" w:rsidRDefault="007022E9" w:rsidP="007022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73.7%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34390" w14:textId="5B040D11" w:rsidR="007022E9" w:rsidRDefault="007022E9" w:rsidP="007022E9">
            <w:pPr>
              <w:ind w:left="-65" w:right="-45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83.9%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C3E287" w14:textId="45761F3D" w:rsidR="007022E9" w:rsidRDefault="007022E9" w:rsidP="007022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71.4%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D60825" w14:textId="5F994DBC" w:rsidR="007022E9" w:rsidRDefault="007022E9" w:rsidP="007022E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69.4%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348A2" w14:textId="174818B0" w:rsidR="007022E9" w:rsidRDefault="007022E9" w:rsidP="007022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71.6%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065CD9" w14:textId="43E7E749" w:rsidR="007022E9" w:rsidRDefault="007022E9" w:rsidP="007022E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77.8%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4BD30" w14:textId="32A0C312" w:rsidR="007022E9" w:rsidRDefault="007022E9" w:rsidP="007022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74.7%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7A9170" w14:textId="5C68646D" w:rsidR="007022E9" w:rsidRDefault="007022E9" w:rsidP="007022E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↑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2A3599" w14:textId="2BE1901A" w:rsidR="007022E9" w:rsidRDefault="007022E9" w:rsidP="007022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↑</w:t>
            </w:r>
          </w:p>
        </w:tc>
      </w:tr>
      <w:tr w:rsidR="007022E9" w:rsidRPr="00CF5E11" w14:paraId="0F03DA58" w14:textId="77777777" w:rsidTr="007022E9">
        <w:trPr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18AB4" w14:textId="0761FB82" w:rsidR="007022E9" w:rsidRPr="00021283" w:rsidRDefault="007022E9" w:rsidP="007022E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02128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HBD - Poor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42DB14" w14:textId="54FA5755" w:rsidR="007022E9" w:rsidRDefault="007022E9" w:rsidP="007022E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Hemoglobin A1c Control for Patients with Diabetes - Poor HbA1c Control </w:t>
            </w:r>
            <w:r w:rsidRPr="00FC29C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DB773E" w14:textId="22F53F0F" w:rsidR="007022E9" w:rsidRDefault="007022E9" w:rsidP="007022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30.0%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A4B5C" w14:textId="3580DA7F" w:rsidR="007022E9" w:rsidRDefault="007022E9" w:rsidP="007022E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25.9%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A9C6FE" w14:textId="2B4B0EE2" w:rsidR="007022E9" w:rsidRDefault="007022E9" w:rsidP="007022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32.9%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43A517" w14:textId="7986B848" w:rsidR="007022E9" w:rsidRDefault="007022E9" w:rsidP="007022E9">
            <w:pPr>
              <w:ind w:left="-65" w:right="-45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58.3%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211A48" w14:textId="4058AD99" w:rsidR="007022E9" w:rsidRDefault="007022E9" w:rsidP="007022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29.8%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9F51A" w14:textId="2508A1C6" w:rsidR="007022E9" w:rsidRDefault="007022E9" w:rsidP="007022E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37.0%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3CC215" w14:textId="5732DE94" w:rsidR="007022E9" w:rsidRDefault="007022E9" w:rsidP="007022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37.7%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E7F17" w14:textId="5591AFB4" w:rsidR="007022E9" w:rsidRDefault="007022E9" w:rsidP="007022E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19.5%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8E5892" w14:textId="510E615C" w:rsidR="007022E9" w:rsidRDefault="007022E9" w:rsidP="007022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34.1%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E889E5" w14:textId="2FB9DF83" w:rsidR="007022E9" w:rsidRDefault="007022E9" w:rsidP="007022E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↑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FEDA27" w14:textId="08C07D4F" w:rsidR="007022E9" w:rsidRDefault="007022E9" w:rsidP="007022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↑</w:t>
            </w:r>
          </w:p>
        </w:tc>
      </w:tr>
      <w:tr w:rsidR="007022E9" w:rsidRPr="00CF5E11" w14:paraId="3D3B8A2B" w14:textId="77777777" w:rsidTr="007022E9">
        <w:trPr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870476" w14:textId="573AE9F2" w:rsidR="007022E9" w:rsidRPr="00021283" w:rsidRDefault="007022E9" w:rsidP="007022E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02128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IET - Eng Total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C30F84" w14:textId="0A2DC860" w:rsidR="007022E9" w:rsidRDefault="007022E9" w:rsidP="007022E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Initiation and Engagement of Substance Use Treatment (Engagement Total)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36FCF6" w14:textId="196CCE17" w:rsidR="007022E9" w:rsidRDefault="007022E9" w:rsidP="007022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18.6%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936A8B" w14:textId="7E2AF935" w:rsidR="007022E9" w:rsidRDefault="007022E9" w:rsidP="007022E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17.6%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B3607" w14:textId="51A75094" w:rsidR="007022E9" w:rsidRDefault="007022E9" w:rsidP="007022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19.3%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049B16" w14:textId="1ACB0E04" w:rsidR="007022E9" w:rsidRDefault="007022E9" w:rsidP="007022E9">
            <w:pPr>
              <w:ind w:left="-65" w:right="-45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28.2%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E6E17" w14:textId="7AE57788" w:rsidR="007022E9" w:rsidRDefault="007022E9" w:rsidP="007022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19.2%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922CB0" w14:textId="50279291" w:rsidR="007022E9" w:rsidRDefault="007022E9" w:rsidP="007022E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21.0%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C94EF4" w14:textId="192EAFC0" w:rsidR="007022E9" w:rsidRDefault="007022E9" w:rsidP="007022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16.0%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E6B996" w14:textId="2F1921E2" w:rsidR="007022E9" w:rsidRDefault="007022E9" w:rsidP="007022E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22.5%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6A8C41" w14:textId="7235995D" w:rsidR="007022E9" w:rsidRDefault="007022E9" w:rsidP="007022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22.9%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936E82" w14:textId="0D4982D1" w:rsidR="007022E9" w:rsidRDefault="007022E9" w:rsidP="007022E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↑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034359" w14:textId="582C537B" w:rsidR="007022E9" w:rsidRDefault="007022E9" w:rsidP="007022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↓</w:t>
            </w:r>
          </w:p>
        </w:tc>
      </w:tr>
      <w:tr w:rsidR="007022E9" w:rsidRPr="00CF5E11" w14:paraId="3B824F82" w14:textId="77777777" w:rsidTr="007022E9">
        <w:trPr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306F7C" w14:textId="378B816E" w:rsidR="007022E9" w:rsidRPr="00021283" w:rsidRDefault="007022E9" w:rsidP="007022E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02128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IET - Init Total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D31B60C" w14:textId="7DF13A70" w:rsidR="007022E9" w:rsidRDefault="007022E9" w:rsidP="007022E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Initiation and Engagement of Substance Use Treatment (Initiation Total)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21C793" w14:textId="2A5BE6F4" w:rsidR="007022E9" w:rsidRDefault="007022E9" w:rsidP="007022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35.8%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20461" w14:textId="22B7F9AE" w:rsidR="007022E9" w:rsidRDefault="007022E9" w:rsidP="007022E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49.9%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9EDD00" w14:textId="06F2564A" w:rsidR="007022E9" w:rsidRDefault="007022E9" w:rsidP="007022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63.3%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9101B9" w14:textId="19E512B4" w:rsidR="007022E9" w:rsidRDefault="007022E9" w:rsidP="007022E9">
            <w:pPr>
              <w:ind w:left="-65" w:right="-45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51.4%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BDCF1" w14:textId="040B3140" w:rsidR="007022E9" w:rsidRDefault="007022E9" w:rsidP="007022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48.8%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57CF02" w14:textId="3C6D1E05" w:rsidR="007022E9" w:rsidRDefault="007022E9" w:rsidP="007022E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46.2%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AD682E" w14:textId="41258161" w:rsidR="007022E9" w:rsidRDefault="007022E9" w:rsidP="007022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38.9%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26821" w14:textId="56E13EBA" w:rsidR="007022E9" w:rsidRDefault="007022E9" w:rsidP="007022E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53.0%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E19568" w14:textId="1A305345" w:rsidR="007022E9" w:rsidRDefault="007022E9" w:rsidP="007022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50.9%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2D71F9" w14:textId="4AF72E8B" w:rsidR="007022E9" w:rsidRDefault="007022E9" w:rsidP="007022E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↑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7A4A54" w14:textId="07C17858" w:rsidR="007022E9" w:rsidRDefault="007022E9" w:rsidP="007022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↓</w:t>
            </w:r>
          </w:p>
        </w:tc>
      </w:tr>
      <w:tr w:rsidR="007022E9" w:rsidRPr="00CF5E11" w14:paraId="4670B98C" w14:textId="77777777" w:rsidTr="007022E9">
        <w:trPr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3103A6" w14:textId="24328663" w:rsidR="007022E9" w:rsidRPr="00021283" w:rsidRDefault="007022E9" w:rsidP="007022E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02128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IMA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65AD7B" w14:textId="415A4334" w:rsidR="007022E9" w:rsidRDefault="007022E9" w:rsidP="007022E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Immunization for Adolescents (Combo 2)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BD07AB" w14:textId="3ED1076B" w:rsidR="007022E9" w:rsidRDefault="007022E9" w:rsidP="007022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56.2%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DC2FF8" w14:textId="7416726E" w:rsidR="007022E9" w:rsidRDefault="007022E9" w:rsidP="007022E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55.6%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918E1" w14:textId="1C30C8A5" w:rsidR="007022E9" w:rsidRDefault="007022E9" w:rsidP="007022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56.1%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C5D22" w14:textId="168E1DF6" w:rsidR="007022E9" w:rsidRDefault="007022E9" w:rsidP="007022E9">
            <w:pPr>
              <w:ind w:left="-65" w:right="-45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56.1%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7DC2AE" w14:textId="65202CCC" w:rsidR="007022E9" w:rsidRDefault="007022E9" w:rsidP="007022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53.6%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A28B8A" w14:textId="1E63846C" w:rsidR="007022E9" w:rsidRDefault="007022E9" w:rsidP="007022E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36.5%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01090" w14:textId="6ADBF5CE" w:rsidR="007022E9" w:rsidRDefault="007022E9" w:rsidP="007022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34.3%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183F93" w14:textId="1371C01F" w:rsidR="007022E9" w:rsidRDefault="007022E9" w:rsidP="007022E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49.3%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4BCD62" w14:textId="0DE4287A" w:rsidR="007022E9" w:rsidRDefault="007022E9" w:rsidP="007022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52.5%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3006B" w14:textId="04F1812D" w:rsidR="007022E9" w:rsidRDefault="007022E9" w:rsidP="007022E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↑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03DE38" w14:textId="3FF55F4F" w:rsidR="007022E9" w:rsidRDefault="007022E9" w:rsidP="007022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↑</w:t>
            </w:r>
          </w:p>
        </w:tc>
      </w:tr>
      <w:tr w:rsidR="007022E9" w:rsidRPr="00CF5E11" w14:paraId="6F073450" w14:textId="77777777" w:rsidTr="007022E9">
        <w:trPr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8B1A55" w14:textId="2ACC095E" w:rsidR="007022E9" w:rsidRPr="00021283" w:rsidRDefault="007022E9" w:rsidP="007022E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02128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PCR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E23FF" w14:textId="709025B3" w:rsidR="007022E9" w:rsidRDefault="007022E9" w:rsidP="007022E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Plan All-Cause Readmission (observed to expected ratio) </w:t>
            </w:r>
            <w:r w:rsidRPr="00FC29C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79D84" w14:textId="650339F6" w:rsidR="007022E9" w:rsidRDefault="007022E9" w:rsidP="007022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1.33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A2AD6B" w14:textId="47D38EF9" w:rsidR="007022E9" w:rsidRDefault="007022E9" w:rsidP="007022E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1.21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39AE3" w14:textId="1A20C2EC" w:rsidR="007022E9" w:rsidRDefault="007022E9" w:rsidP="007022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1.27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B9FF6F" w14:textId="75E290C0" w:rsidR="007022E9" w:rsidRDefault="007022E9" w:rsidP="007022E9">
            <w:pPr>
              <w:ind w:left="-65" w:right="-45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1.40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8920AA" w14:textId="0FD81EB9" w:rsidR="007022E9" w:rsidRDefault="007022E9" w:rsidP="007022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1.27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6DD58" w14:textId="711F542E" w:rsidR="007022E9" w:rsidRDefault="007022E9" w:rsidP="007022E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1.28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564CAA" w14:textId="59ED52A9" w:rsidR="007022E9" w:rsidRDefault="007022E9" w:rsidP="007022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0.94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C7EB79" w14:textId="0088F13E" w:rsidR="007022E9" w:rsidRDefault="007022E9" w:rsidP="007022E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1.37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A1795F" w14:textId="209B94D1" w:rsidR="007022E9" w:rsidRDefault="007022E9" w:rsidP="007022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1.29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9E104" w14:textId="0BA8DFBC" w:rsidR="007022E9" w:rsidRDefault="007022E9" w:rsidP="007022E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↑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FA366F" w14:textId="689BEB0D" w:rsidR="007022E9" w:rsidRDefault="007022E9" w:rsidP="007022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↑</w:t>
            </w:r>
          </w:p>
        </w:tc>
      </w:tr>
      <w:tr w:rsidR="007022E9" w:rsidRPr="00CF5E11" w14:paraId="55A61D5F" w14:textId="77777777" w:rsidTr="007022E9">
        <w:trPr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236C9B" w14:textId="40953950" w:rsidR="007022E9" w:rsidRPr="00021283" w:rsidRDefault="007022E9" w:rsidP="007022E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02128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PPC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0A3208" w14:textId="37C47D4B" w:rsidR="007022E9" w:rsidRDefault="007022E9" w:rsidP="007022E9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Timeliness of Prenatal Care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2E0777" w14:textId="080767D0" w:rsidR="007022E9" w:rsidRDefault="007022E9" w:rsidP="007022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69.8%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E157AA" w14:textId="1F264791" w:rsidR="007022E9" w:rsidRDefault="007022E9" w:rsidP="007022E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83.7%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ECC9BC" w14:textId="1A945793" w:rsidR="007022E9" w:rsidRDefault="007022E9" w:rsidP="007022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87.8%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03F4E3" w14:textId="47F06A55" w:rsidR="007022E9" w:rsidRDefault="007022E9" w:rsidP="007022E9">
            <w:pPr>
              <w:ind w:left="-65" w:right="-45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63.7%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655CC" w14:textId="6D2C271A" w:rsidR="007022E9" w:rsidRDefault="007022E9" w:rsidP="007022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88.2%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A648D3" w14:textId="51E503AF" w:rsidR="007022E9" w:rsidRDefault="007022E9" w:rsidP="007022E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73.9%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44BF0F" w14:textId="59CB3880" w:rsidR="007022E9" w:rsidRDefault="007022E9" w:rsidP="007022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92.9%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629EAD" w14:textId="64435DDD" w:rsidR="007022E9" w:rsidRDefault="007022E9" w:rsidP="007022E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87.7%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6E5932" w14:textId="0774DF8D" w:rsidR="007022E9" w:rsidRDefault="007022E9" w:rsidP="007022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86.8%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97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460A0DD" w14:textId="29B0C5CB" w:rsidR="007022E9" w:rsidRDefault="007022E9" w:rsidP="007022E9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↓</w:t>
            </w:r>
          </w:p>
        </w:tc>
        <w:tc>
          <w:tcPr>
            <w:tcW w:w="9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825FC" w14:textId="7DA0BE9B" w:rsidR="007022E9" w:rsidRDefault="007022E9" w:rsidP="007022E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↓</w:t>
            </w:r>
          </w:p>
        </w:tc>
      </w:tr>
    </w:tbl>
    <w:p w14:paraId="29314B09" w14:textId="77777777" w:rsidR="00485890" w:rsidRDefault="00485890" w:rsidP="00485890">
      <w:r>
        <w:br w:type="page"/>
      </w:r>
    </w:p>
    <w:p w14:paraId="76CF9A7E" w14:textId="0203D041" w:rsidR="00190203" w:rsidRDefault="00190203" w:rsidP="00190203">
      <w:pPr>
        <w:spacing w:after="0" w:line="240" w:lineRule="auto"/>
      </w:pPr>
      <w:r w:rsidRPr="00AC7633">
        <w:lastRenderedPageBreak/>
        <w:t xml:space="preserve">Table </w:t>
      </w:r>
      <w:r>
        <w:t>7</w:t>
      </w:r>
      <w:r w:rsidRPr="00AC7633">
        <w:t>.</w:t>
      </w:r>
      <w:r>
        <w:t>b</w:t>
      </w:r>
      <w:r w:rsidRPr="00AC7633">
        <w:t xml:space="preserve">: </w:t>
      </w:r>
      <w:r>
        <w:t>State-Defined and CG-CAHPS Measures</w:t>
      </w:r>
    </w:p>
    <w:tbl>
      <w:tblPr>
        <w:tblStyle w:val="MediumList2-Accent1"/>
        <w:tblW w:w="0" w:type="auto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2A0" w:firstRow="1" w:lastRow="0" w:firstColumn="1" w:lastColumn="0" w:noHBand="1" w:noVBand="0"/>
      </w:tblPr>
      <w:tblGrid>
        <w:gridCol w:w="1430"/>
        <w:gridCol w:w="3420"/>
        <w:gridCol w:w="810"/>
        <w:gridCol w:w="810"/>
        <w:gridCol w:w="752"/>
        <w:gridCol w:w="1138"/>
        <w:gridCol w:w="810"/>
        <w:gridCol w:w="786"/>
        <w:gridCol w:w="843"/>
        <w:gridCol w:w="843"/>
        <w:gridCol w:w="843"/>
        <w:gridCol w:w="1095"/>
        <w:gridCol w:w="851"/>
      </w:tblGrid>
      <w:tr w:rsidR="00405038" w14:paraId="4894FC4B" w14:textId="77777777" w:rsidTr="0040503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312"/>
          <w:jc w:val="center"/>
        </w:trPr>
        <w:tc>
          <w:tcPr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W w:w="143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FE17C16" w14:textId="77777777" w:rsidR="00405038" w:rsidRPr="00021283" w:rsidRDefault="00405038" w:rsidP="0040503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Measure Code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2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786212CF" w14:textId="77777777" w:rsidR="00405038" w:rsidRDefault="00405038" w:rsidP="00405038">
            <w:pPr>
              <w:jc w:val="center"/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Measure Name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5787F97" w14:textId="77777777" w:rsidR="00405038" w:rsidRDefault="00405038" w:rsidP="0040503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THP ATRIUS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5AC3AF60" w14:textId="77777777" w:rsidR="00405038" w:rsidRDefault="00405038" w:rsidP="0040503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THP BIDCO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02BE8D1" w14:textId="77777777" w:rsidR="00405038" w:rsidRDefault="00405038" w:rsidP="0040503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THP CHA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8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F8F65D4" w14:textId="77777777" w:rsidR="00405038" w:rsidRDefault="00405038" w:rsidP="00405038">
            <w:pPr>
              <w:ind w:left="-65" w:right="-45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THP CHILDREN'S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B424FEE" w14:textId="77777777" w:rsidR="00405038" w:rsidRDefault="00405038" w:rsidP="0040503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WLS BACO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4A01361A" w14:textId="77777777" w:rsidR="00405038" w:rsidRDefault="00405038" w:rsidP="0040503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WLS MERCY</w:t>
            </w:r>
          </w:p>
        </w:tc>
        <w:tc>
          <w:tcPr>
            <w:tcW w:w="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2B8558B7" w14:textId="77777777" w:rsidR="00405038" w:rsidRDefault="00405038" w:rsidP="0040503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WLS SCOAST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5A93315" w14:textId="77777777" w:rsidR="00405038" w:rsidRDefault="00405038" w:rsidP="0040503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WLS SIGN</w:t>
            </w:r>
          </w:p>
        </w:tc>
        <w:tc>
          <w:tcPr>
            <w:tcW w:w="843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371974DC" w14:textId="77777777" w:rsidR="00405038" w:rsidRDefault="00405038" w:rsidP="0040503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ACO MHWM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6A4F9A8" w14:textId="15E5F912" w:rsidR="00405038" w:rsidRDefault="00405038" w:rsidP="0040503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 w:rsidRPr="00405038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Attainment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D9D9D9" w:themeFill="background1" w:themeFillShade="D9"/>
            <w:vAlign w:val="center"/>
          </w:tcPr>
          <w:p w14:paraId="620A84C9" w14:textId="3290F803" w:rsidR="00405038" w:rsidRDefault="00405038" w:rsidP="00405038">
            <w:pPr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Goal</w:t>
            </w:r>
          </w:p>
        </w:tc>
      </w:tr>
      <w:tr w:rsidR="00405038" w:rsidRPr="00F10037" w14:paraId="4E4040A5" w14:textId="77777777" w:rsidTr="00405038">
        <w:trPr>
          <w:trHeight w:val="31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FAAF5" w14:textId="77777777" w:rsidR="00405038" w:rsidRPr="00021283" w:rsidRDefault="00405038" w:rsidP="00405038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02128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CG-CAHPS AD Communication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2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6E2717" w14:textId="77777777" w:rsidR="00405038" w:rsidRPr="00F10037" w:rsidRDefault="00405038" w:rsidP="00405038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Adult: Overall Rating and Care Delivery: Communication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E45AB" w14:textId="77777777" w:rsidR="00405038" w:rsidRPr="00F10037" w:rsidRDefault="00405038" w:rsidP="004050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89.1%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38052" w14:textId="77777777" w:rsidR="00405038" w:rsidRPr="00F10037" w:rsidRDefault="00405038" w:rsidP="0040503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86.4%</w:t>
            </w:r>
          </w:p>
        </w:tc>
        <w:tc>
          <w:tcPr>
            <w:tcW w:w="752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FEA368" w14:textId="77777777" w:rsidR="00405038" w:rsidRPr="00F10037" w:rsidRDefault="00405038" w:rsidP="004050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86.0%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8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F898D" w14:textId="77777777" w:rsidR="00405038" w:rsidRPr="00F10037" w:rsidRDefault="00405038" w:rsidP="00405038">
            <w:pPr>
              <w:ind w:left="-65" w:right="-45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92.5%</w:t>
            </w:r>
          </w:p>
        </w:tc>
        <w:tc>
          <w:tcPr>
            <w:tcW w:w="810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DCA59C" w14:textId="77777777" w:rsidR="00405038" w:rsidRPr="00F10037" w:rsidRDefault="00405038" w:rsidP="004050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86.2%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CA4523" w14:textId="77777777" w:rsidR="00405038" w:rsidRPr="00F10037" w:rsidRDefault="00405038" w:rsidP="0040503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80.2%</w:t>
            </w:r>
          </w:p>
        </w:tc>
        <w:tc>
          <w:tcPr>
            <w:tcW w:w="8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CB2609" w14:textId="77777777" w:rsidR="00405038" w:rsidRPr="00F10037" w:rsidRDefault="00405038" w:rsidP="004050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88.1%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7EE455" w14:textId="77777777" w:rsidR="00405038" w:rsidRPr="00F10037" w:rsidRDefault="00405038" w:rsidP="0040503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85.0%</w:t>
            </w:r>
          </w:p>
        </w:tc>
        <w:tc>
          <w:tcPr>
            <w:tcW w:w="843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0A9281" w14:textId="77777777" w:rsidR="00405038" w:rsidRPr="00F10037" w:rsidRDefault="00405038" w:rsidP="004050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86.9%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95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A341FE" w14:textId="4810FC3A" w:rsidR="00405038" w:rsidRPr="00CD1EB3" w:rsidRDefault="00405038" w:rsidP="00405038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↑</w:t>
            </w:r>
          </w:p>
        </w:tc>
        <w:tc>
          <w:tcPr>
            <w:tcW w:w="851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279308" w14:textId="0DE330F6" w:rsidR="00405038" w:rsidRPr="00CD1EB3" w:rsidRDefault="00405038" w:rsidP="004050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↓</w:t>
            </w:r>
          </w:p>
        </w:tc>
      </w:tr>
      <w:tr w:rsidR="00405038" w:rsidRPr="00F10037" w14:paraId="72B886A6" w14:textId="77777777" w:rsidTr="00405038">
        <w:trPr>
          <w:trHeight w:val="23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FCD043" w14:textId="77777777" w:rsidR="00405038" w:rsidRPr="00021283" w:rsidRDefault="00405038" w:rsidP="00405038">
            <w:pPr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02128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CG-CAHPS AD Integration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CE5768" w14:textId="77777777" w:rsidR="00405038" w:rsidRPr="00F10037" w:rsidRDefault="00405038" w:rsidP="00405038">
            <w:pPr>
              <w:rPr>
                <w:rFonts w:ascii="Calibri" w:hAnsi="Calibri" w:cs="Calibri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Adult: Person-Centered Integrated Care: Integration of Care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C0C0B" w14:textId="77777777" w:rsidR="00405038" w:rsidRPr="00F10037" w:rsidRDefault="00405038" w:rsidP="004050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81.5%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66E4FB" w14:textId="77777777" w:rsidR="00405038" w:rsidRPr="00F10037" w:rsidRDefault="00405038" w:rsidP="00405038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78.3%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6B22A2" w14:textId="77777777" w:rsidR="00405038" w:rsidRPr="00F10037" w:rsidRDefault="00405038" w:rsidP="004050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77.0%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1C9C8F" w14:textId="77777777" w:rsidR="00405038" w:rsidRPr="00F10037" w:rsidRDefault="00405038" w:rsidP="00405038">
            <w:pPr>
              <w:ind w:left="-65" w:right="-45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82.0%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EEF98" w14:textId="77777777" w:rsidR="00405038" w:rsidRPr="00F10037" w:rsidRDefault="00405038" w:rsidP="004050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74.9%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2A654B" w14:textId="77777777" w:rsidR="00405038" w:rsidRPr="00F10037" w:rsidRDefault="00405038" w:rsidP="00405038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70.8%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CEE99" w14:textId="77777777" w:rsidR="00405038" w:rsidRPr="00F10037" w:rsidRDefault="00405038" w:rsidP="004050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79.8%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DA4343" w14:textId="77777777" w:rsidR="00405038" w:rsidRPr="00F10037" w:rsidRDefault="00405038" w:rsidP="00405038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74.7%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535FD2" w14:textId="77777777" w:rsidR="00405038" w:rsidRPr="00F10037" w:rsidRDefault="00405038" w:rsidP="004050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78.1%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8FC625" w14:textId="24B4CD9B" w:rsidR="00405038" w:rsidRPr="00CD1EB3" w:rsidRDefault="00405038" w:rsidP="00405038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↑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B13E86" w14:textId="4992EDD0" w:rsidR="00405038" w:rsidRPr="00CD1EB3" w:rsidRDefault="00405038" w:rsidP="004050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↓</w:t>
            </w:r>
          </w:p>
        </w:tc>
      </w:tr>
      <w:tr w:rsidR="00405038" w:rsidRPr="00F10037" w14:paraId="73702A15" w14:textId="77777777" w:rsidTr="00405038">
        <w:trPr>
          <w:trHeight w:val="23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1284B1" w14:textId="77777777" w:rsidR="00405038" w:rsidRPr="00021283" w:rsidRDefault="00405038" w:rsidP="00405038">
            <w:pPr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02128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CG-CAHPS AD Knowledge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7953D7" w14:textId="77777777" w:rsidR="00405038" w:rsidRPr="00F10037" w:rsidRDefault="00405038" w:rsidP="00405038">
            <w:pPr>
              <w:rPr>
                <w:rFonts w:ascii="Calibri" w:hAnsi="Calibri" w:cs="Calibri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Adult: Person-Centered Integrated Care: Knowledge of Patient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23B45" w14:textId="77777777" w:rsidR="00405038" w:rsidRPr="00F10037" w:rsidRDefault="00405038" w:rsidP="004050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84.6%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F88995" w14:textId="77777777" w:rsidR="00405038" w:rsidRPr="00F10037" w:rsidRDefault="00405038" w:rsidP="0040503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81.3%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C2BF7D" w14:textId="77777777" w:rsidR="00405038" w:rsidRPr="00F10037" w:rsidRDefault="00405038" w:rsidP="004050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80.6%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91E9D" w14:textId="77777777" w:rsidR="00405038" w:rsidRPr="00F10037" w:rsidRDefault="00405038" w:rsidP="00405038">
            <w:pPr>
              <w:ind w:left="-65" w:right="-45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88.9%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583EC8" w14:textId="77777777" w:rsidR="00405038" w:rsidRPr="00F10037" w:rsidRDefault="00405038" w:rsidP="004050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80.6%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6D5F03" w14:textId="77777777" w:rsidR="00405038" w:rsidRPr="00F10037" w:rsidRDefault="00405038" w:rsidP="0040503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72.8%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E2E690" w14:textId="77777777" w:rsidR="00405038" w:rsidRPr="00F10037" w:rsidRDefault="00405038" w:rsidP="004050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82.7%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B3C813" w14:textId="77777777" w:rsidR="00405038" w:rsidRPr="00F10037" w:rsidRDefault="00405038" w:rsidP="00405038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78.5%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0F6FB9" w14:textId="77777777" w:rsidR="00405038" w:rsidRPr="00F10037" w:rsidRDefault="00405038" w:rsidP="004050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81.5%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B3DD87C" w14:textId="101AF782" w:rsidR="00405038" w:rsidRPr="00CD1EB3" w:rsidRDefault="00405038" w:rsidP="00405038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↑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A6E370" w14:textId="09913F3A" w:rsidR="00405038" w:rsidRPr="00CD1EB3" w:rsidRDefault="00405038" w:rsidP="004050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↓</w:t>
            </w:r>
          </w:p>
        </w:tc>
      </w:tr>
      <w:tr w:rsidR="00405038" w:rsidRPr="00F10037" w14:paraId="368971BC" w14:textId="77777777" w:rsidTr="00405038">
        <w:trPr>
          <w:trHeight w:val="23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0B6523" w14:textId="77777777" w:rsidR="00405038" w:rsidRPr="00021283" w:rsidRDefault="00405038" w:rsidP="00405038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 w:rsidRPr="0002128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CG-CAHPS AD Willingness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33ACC9" w14:textId="77777777" w:rsidR="00405038" w:rsidRPr="00F10037" w:rsidRDefault="00405038" w:rsidP="00405038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Adult: Overall Rating and Care Delivery: Willingness to recommend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784FEB" w14:textId="77777777" w:rsidR="00405038" w:rsidRPr="00F10037" w:rsidRDefault="00405038" w:rsidP="004050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88.2%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9ECD5A" w14:textId="77777777" w:rsidR="00405038" w:rsidRPr="00F10037" w:rsidRDefault="00405038" w:rsidP="0040503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84.3%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38CD83" w14:textId="77777777" w:rsidR="00405038" w:rsidRPr="00F10037" w:rsidRDefault="00405038" w:rsidP="004050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85.7%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30EFEF" w14:textId="77777777" w:rsidR="00405038" w:rsidRPr="00F10037" w:rsidRDefault="00405038" w:rsidP="00405038">
            <w:pPr>
              <w:ind w:left="-65" w:right="-45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91.7%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17964" w14:textId="77777777" w:rsidR="00405038" w:rsidRPr="00F10037" w:rsidRDefault="00405038" w:rsidP="004050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84.1%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4ADBCD" w14:textId="77777777" w:rsidR="00405038" w:rsidRPr="00F10037" w:rsidRDefault="00405038" w:rsidP="0040503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75.0%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F2596" w14:textId="77777777" w:rsidR="00405038" w:rsidRPr="00F10037" w:rsidRDefault="00405038" w:rsidP="004050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86.9%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1A45D" w14:textId="77777777" w:rsidR="00405038" w:rsidRPr="00F10037" w:rsidRDefault="00405038" w:rsidP="0040503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82.4%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FB5874" w14:textId="77777777" w:rsidR="00405038" w:rsidRPr="00F10037" w:rsidRDefault="00405038" w:rsidP="004050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84.5%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7D3DB8" w14:textId="15BA32F8" w:rsidR="00405038" w:rsidRPr="00CD1EB3" w:rsidRDefault="00405038" w:rsidP="00405038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↑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B5A50B" w14:textId="5BD433FB" w:rsidR="00405038" w:rsidRPr="00CD1EB3" w:rsidRDefault="00405038" w:rsidP="004050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↓</w:t>
            </w:r>
          </w:p>
        </w:tc>
      </w:tr>
      <w:tr w:rsidR="00405038" w:rsidRPr="00F10037" w14:paraId="6D20C256" w14:textId="77777777" w:rsidTr="00405038">
        <w:trPr>
          <w:trHeight w:val="38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D11DD" w14:textId="77777777" w:rsidR="00405038" w:rsidRPr="00021283" w:rsidRDefault="00405038" w:rsidP="00405038">
            <w:pPr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02128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CG-CAHPS CH Communication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031996" w14:textId="77777777" w:rsidR="00405038" w:rsidRPr="00F10037" w:rsidRDefault="00405038" w:rsidP="00405038">
            <w:pPr>
              <w:rPr>
                <w:rFonts w:ascii="Calibri" w:hAnsi="Calibri" w:cs="Calibri"/>
                <w:b/>
                <w:bCs/>
                <w:color w:val="FF0000"/>
                <w:sz w:val="18"/>
                <w:szCs w:val="18"/>
                <w:vertAlign w:val="superscript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Child: Overall Rating and Care Delivery: Communication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F96236" w14:textId="77777777" w:rsidR="00405038" w:rsidRPr="00F10037" w:rsidRDefault="00405038" w:rsidP="004050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91.7%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399FD6" w14:textId="77777777" w:rsidR="00405038" w:rsidRPr="00F10037" w:rsidRDefault="00405038" w:rsidP="0040503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88.6%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B5B613" w14:textId="77777777" w:rsidR="00405038" w:rsidRPr="00F10037" w:rsidRDefault="00405038" w:rsidP="004050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88.0%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6CEDF" w14:textId="77777777" w:rsidR="00405038" w:rsidRPr="00F10037" w:rsidRDefault="00405038" w:rsidP="00405038">
            <w:pPr>
              <w:ind w:left="-65" w:right="-45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92.5%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0AFDED" w14:textId="77777777" w:rsidR="00405038" w:rsidRPr="00F10037" w:rsidRDefault="00405038" w:rsidP="004050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89.3%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C60C9" w14:textId="77777777" w:rsidR="00405038" w:rsidRPr="00F10037" w:rsidRDefault="00405038" w:rsidP="0040503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84.6%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D9EA3E" w14:textId="77777777" w:rsidR="00405038" w:rsidRPr="00F10037" w:rsidRDefault="00405038" w:rsidP="004050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eastAsia="Times New Roman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92.8%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FC23AA" w14:textId="77777777" w:rsidR="00405038" w:rsidRPr="00F10037" w:rsidRDefault="00405038" w:rsidP="00405038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88.6%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F1141E" w14:textId="77777777" w:rsidR="00405038" w:rsidRPr="00F10037" w:rsidRDefault="00405038" w:rsidP="004050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90.4%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D70D5" w14:textId="3620C99C" w:rsidR="00405038" w:rsidRPr="00CD1EB3" w:rsidRDefault="00405038" w:rsidP="00405038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↑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FE5C1E" w14:textId="370F1B9A" w:rsidR="00405038" w:rsidRPr="00CD1EB3" w:rsidRDefault="00405038" w:rsidP="004050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↓</w:t>
            </w:r>
          </w:p>
        </w:tc>
      </w:tr>
      <w:tr w:rsidR="00405038" w:rsidRPr="00F10037" w14:paraId="19DCD969" w14:textId="77777777" w:rsidTr="00405038">
        <w:trPr>
          <w:trHeight w:val="34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C5C79" w14:textId="77777777" w:rsidR="00405038" w:rsidRPr="00021283" w:rsidRDefault="00405038" w:rsidP="00405038">
            <w:pPr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02128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CG-CAHPS CH Integration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0451EA" w14:textId="77777777" w:rsidR="00405038" w:rsidRPr="00F10037" w:rsidRDefault="00405038" w:rsidP="00405038">
            <w:pPr>
              <w:rPr>
                <w:rFonts w:ascii="Calibri" w:hAnsi="Calibri" w:cs="Calibri"/>
                <w:b/>
                <w:bCs/>
                <w:color w:val="FF0000"/>
                <w:sz w:val="18"/>
                <w:szCs w:val="18"/>
                <w:vertAlign w:val="superscript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Child: Person-Centered Integrated Care: Integration of Care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C7748C" w14:textId="77777777" w:rsidR="00405038" w:rsidRPr="00F10037" w:rsidRDefault="00405038" w:rsidP="004050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79.3%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CEDFF9" w14:textId="77777777" w:rsidR="00405038" w:rsidRPr="00F10037" w:rsidRDefault="00405038" w:rsidP="00405038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76.3%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732761" w14:textId="77777777" w:rsidR="00405038" w:rsidRPr="00F10037" w:rsidRDefault="00405038" w:rsidP="004050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74.4%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A787F" w14:textId="77777777" w:rsidR="00405038" w:rsidRPr="00F10037" w:rsidRDefault="00405038" w:rsidP="00405038">
            <w:pPr>
              <w:ind w:left="-65" w:right="-45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80.7%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AD8C2F" w14:textId="77777777" w:rsidR="00405038" w:rsidRPr="00F10037" w:rsidRDefault="00405038" w:rsidP="004050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73.8%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7BE37" w14:textId="77777777" w:rsidR="00405038" w:rsidRPr="00F10037" w:rsidRDefault="00405038" w:rsidP="00405038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79.6%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792756" w14:textId="77777777" w:rsidR="00405038" w:rsidRPr="00F10037" w:rsidRDefault="00405038" w:rsidP="004050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80.7%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E6E289" w14:textId="77777777" w:rsidR="00405038" w:rsidRPr="00F10037" w:rsidRDefault="00405038" w:rsidP="00405038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71.4%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8D88DE" w14:textId="77777777" w:rsidR="00405038" w:rsidRPr="00F10037" w:rsidRDefault="00405038" w:rsidP="004050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78.6%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8AA75" w14:textId="63B23AC2" w:rsidR="00405038" w:rsidRPr="00CD1EB3" w:rsidRDefault="00405038" w:rsidP="00405038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↑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3FFD16" w14:textId="522308D9" w:rsidR="00405038" w:rsidRPr="00CD1EB3" w:rsidRDefault="00405038" w:rsidP="004050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↓</w:t>
            </w:r>
          </w:p>
        </w:tc>
      </w:tr>
      <w:tr w:rsidR="00405038" w:rsidRPr="00F10037" w14:paraId="2B78C8D3" w14:textId="77777777" w:rsidTr="00405038">
        <w:trPr>
          <w:trHeight w:val="431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8D4F43" w14:textId="77777777" w:rsidR="00405038" w:rsidRPr="00021283" w:rsidRDefault="00405038" w:rsidP="00405038">
            <w:pPr>
              <w:rPr>
                <w:rFonts w:ascii="Calibri" w:hAnsi="Calibri" w:cs="Calibri"/>
                <w:b/>
                <w:bCs/>
                <w:color w:val="auto"/>
                <w:sz w:val="18"/>
                <w:szCs w:val="18"/>
              </w:rPr>
            </w:pPr>
            <w:r w:rsidRPr="0002128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CG-CAHPS CH Knowledge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268711" w14:textId="77777777" w:rsidR="00405038" w:rsidRPr="00F10037" w:rsidRDefault="00405038" w:rsidP="00405038">
            <w:pPr>
              <w:rPr>
                <w:rFonts w:ascii="Calibri" w:hAnsi="Calibri" w:cs="Calibri"/>
                <w:b/>
                <w:bCs/>
                <w:color w:val="FF0000"/>
                <w:sz w:val="18"/>
                <w:szCs w:val="18"/>
                <w:vertAlign w:val="superscript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Child: Person-Centered Integrated Care: Knowledge of Patient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88D31" w14:textId="77777777" w:rsidR="00405038" w:rsidRPr="00F10037" w:rsidRDefault="00405038" w:rsidP="004050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88.1%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ED4792" w14:textId="77777777" w:rsidR="00405038" w:rsidRPr="00F10037" w:rsidRDefault="00405038" w:rsidP="00405038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84.4%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DFA3C7" w14:textId="77777777" w:rsidR="00405038" w:rsidRPr="00F10037" w:rsidRDefault="00405038" w:rsidP="004050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83.5%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AC6F5" w14:textId="77777777" w:rsidR="00405038" w:rsidRPr="00F10037" w:rsidRDefault="00405038" w:rsidP="00405038">
            <w:pPr>
              <w:ind w:left="-65" w:right="-45"/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88.5%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CCF91A7" w14:textId="77777777" w:rsidR="00405038" w:rsidRPr="00F10037" w:rsidRDefault="00405038" w:rsidP="004050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85.1%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1375AE" w14:textId="77777777" w:rsidR="00405038" w:rsidRPr="00F10037" w:rsidRDefault="00405038" w:rsidP="00405038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79.5%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966F06" w14:textId="77777777" w:rsidR="00405038" w:rsidRPr="00F10037" w:rsidRDefault="00405038" w:rsidP="004050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89.2%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E18B7" w14:textId="77777777" w:rsidR="00405038" w:rsidRPr="00F10037" w:rsidRDefault="00405038" w:rsidP="00405038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82.0%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6EEA9" w14:textId="77777777" w:rsidR="00405038" w:rsidRPr="00F10037" w:rsidRDefault="00405038" w:rsidP="004050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86.2%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5AE9C7D" w14:textId="546DB77A" w:rsidR="00405038" w:rsidRPr="00CD1EB3" w:rsidRDefault="00405038" w:rsidP="00405038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↑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B6521B" w14:textId="2371B5D7" w:rsidR="00405038" w:rsidRPr="00CD1EB3" w:rsidRDefault="00405038" w:rsidP="004050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↓</w:t>
            </w:r>
          </w:p>
        </w:tc>
      </w:tr>
      <w:tr w:rsidR="00405038" w:rsidRPr="00F10037" w14:paraId="0A11EC59" w14:textId="77777777" w:rsidTr="00405038">
        <w:trPr>
          <w:trHeight w:val="233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BD1986" w14:textId="77777777" w:rsidR="00405038" w:rsidRPr="00021283" w:rsidRDefault="00405038" w:rsidP="00405038">
            <w:pPr>
              <w:rPr>
                <w:rFonts w:ascii="Calibri" w:hAnsi="Calibri" w:cs="Calibri"/>
                <w:b/>
                <w:bCs/>
                <w:color w:val="FF0000"/>
                <w:sz w:val="18"/>
                <w:szCs w:val="18"/>
              </w:rPr>
            </w:pPr>
            <w:r w:rsidRPr="0002128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CG-CAHPS CH Willingness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88FF7A" w14:textId="77777777" w:rsidR="00405038" w:rsidRPr="00F10037" w:rsidRDefault="00405038" w:rsidP="00405038">
            <w:pPr>
              <w:rPr>
                <w:rFonts w:ascii="Calibri" w:hAnsi="Calibri" w:cs="Calibri"/>
                <w:b/>
                <w:bCs/>
                <w:color w:val="FF0000"/>
                <w:sz w:val="18"/>
                <w:szCs w:val="18"/>
                <w:vertAlign w:val="superscript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Child: Overall Rating and Care Delivery: Willingness to recommend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BD9DF8" w14:textId="77777777" w:rsidR="00405038" w:rsidRPr="00F10037" w:rsidRDefault="00405038" w:rsidP="004050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92.4%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622B34" w14:textId="77777777" w:rsidR="00405038" w:rsidRPr="00F10037" w:rsidRDefault="00405038" w:rsidP="0040503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87.5%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204A3F" w14:textId="77777777" w:rsidR="00405038" w:rsidRPr="00F10037" w:rsidRDefault="00405038" w:rsidP="004050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90.1%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CD435C" w14:textId="77777777" w:rsidR="00405038" w:rsidRPr="00F10037" w:rsidRDefault="00405038" w:rsidP="00405038">
            <w:pPr>
              <w:ind w:left="-65" w:right="-45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91.6%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9DC630" w14:textId="77777777" w:rsidR="00405038" w:rsidRPr="00F10037" w:rsidRDefault="00405038" w:rsidP="004050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86.8%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8E7E5" w14:textId="77777777" w:rsidR="00405038" w:rsidRPr="00F10037" w:rsidRDefault="00405038" w:rsidP="0040503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79.0%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750878" w14:textId="77777777" w:rsidR="00405038" w:rsidRPr="00F10037" w:rsidRDefault="00405038" w:rsidP="004050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92.4%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D2B9FD" w14:textId="77777777" w:rsidR="00405038" w:rsidRPr="00F10037" w:rsidRDefault="00405038" w:rsidP="0040503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84.8%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35E2F2" w14:textId="77777777" w:rsidR="00405038" w:rsidRPr="00F10037" w:rsidRDefault="00405038" w:rsidP="004050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89.2%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50350E" w14:textId="02952FB5" w:rsidR="00405038" w:rsidRPr="00CD1EB3" w:rsidRDefault="00405038" w:rsidP="00405038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↑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103D72" w14:textId="7B15B591" w:rsidR="00405038" w:rsidRPr="00CD1EB3" w:rsidRDefault="00405038" w:rsidP="004050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↓</w:t>
            </w:r>
          </w:p>
        </w:tc>
      </w:tr>
      <w:tr w:rsidR="00405038" w:rsidRPr="00F10037" w14:paraId="73865081" w14:textId="77777777" w:rsidTr="00405038">
        <w:trPr>
          <w:trHeight w:val="24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4D312" w14:textId="77777777" w:rsidR="00405038" w:rsidRPr="00021283" w:rsidRDefault="00405038" w:rsidP="00405038">
            <w:pPr>
              <w:rPr>
                <w:rFonts w:ascii="Calibri" w:hAnsi="Calibri" w:cs="Calibri"/>
                <w:b/>
                <w:bCs/>
                <w:color w:val="FF0000"/>
                <w:sz w:val="18"/>
                <w:szCs w:val="18"/>
              </w:rPr>
            </w:pPr>
            <w:r w:rsidRPr="0002128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CPE - BH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423EA4" w14:textId="77777777" w:rsidR="00405038" w:rsidRPr="00F10037" w:rsidRDefault="00405038" w:rsidP="00405038">
            <w:pPr>
              <w:rPr>
                <w:rFonts w:ascii="Calibri" w:hAnsi="Calibri" w:cs="Calibri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Behavioral Health Community Partner Engagement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69C69D" w14:textId="77777777" w:rsidR="00405038" w:rsidRPr="00F10037" w:rsidRDefault="00405038" w:rsidP="004050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25.1%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F52EE1" w14:textId="77777777" w:rsidR="00405038" w:rsidRPr="00F10037" w:rsidRDefault="00405038" w:rsidP="0040503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12.0%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145044" w14:textId="77777777" w:rsidR="00405038" w:rsidRPr="00F10037" w:rsidRDefault="00405038" w:rsidP="004050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10.0%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583B6F" w14:textId="77777777" w:rsidR="00405038" w:rsidRPr="00F10037" w:rsidRDefault="00405038" w:rsidP="00405038">
            <w:pPr>
              <w:ind w:left="-65" w:right="-45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N/A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ECFF8C" w14:textId="77777777" w:rsidR="00405038" w:rsidRPr="00F10037" w:rsidRDefault="00405038" w:rsidP="004050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11.6%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1458C0" w14:textId="77777777" w:rsidR="00405038" w:rsidRPr="00F10037" w:rsidRDefault="00405038" w:rsidP="0040503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7.3%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9DB51C" w14:textId="77777777" w:rsidR="00405038" w:rsidRPr="00F10037" w:rsidRDefault="00405038" w:rsidP="004050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14.2%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39DAA7" w14:textId="77777777" w:rsidR="00405038" w:rsidRPr="00F10037" w:rsidRDefault="00405038" w:rsidP="0040503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16.3%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85E64D" w14:textId="77777777" w:rsidR="00405038" w:rsidRPr="00F10037" w:rsidRDefault="00405038" w:rsidP="004050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10.6%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E0E333" w14:textId="204C393C" w:rsidR="00405038" w:rsidRPr="00CD1EB3" w:rsidRDefault="00405038" w:rsidP="00405038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↑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90374" w14:textId="0B5C5649" w:rsidR="00405038" w:rsidRPr="00CD1EB3" w:rsidRDefault="00405038" w:rsidP="004050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↓</w:t>
            </w:r>
          </w:p>
        </w:tc>
      </w:tr>
      <w:tr w:rsidR="00405038" w:rsidRPr="00F10037" w14:paraId="13E8E378" w14:textId="77777777" w:rsidTr="00405038">
        <w:trPr>
          <w:trHeight w:val="35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CB5D21" w14:textId="77777777" w:rsidR="00405038" w:rsidRPr="00F10037" w:rsidRDefault="00405038" w:rsidP="00405038">
            <w:pPr>
              <w:rPr>
                <w:rFonts w:ascii="Calibri" w:hAnsi="Calibri" w:cs="Calibri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CPE - LTSS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C05CA1" w14:textId="77777777" w:rsidR="00405038" w:rsidRPr="00F10037" w:rsidRDefault="00405038" w:rsidP="00405038">
            <w:pPr>
              <w:rPr>
                <w:rFonts w:ascii="Calibri" w:hAnsi="Calibri" w:cs="Calibri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LTSS Community Partner Engagement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AE7BAF" w14:textId="77777777" w:rsidR="00405038" w:rsidRPr="00F10037" w:rsidRDefault="00405038" w:rsidP="004050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35.4%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BC854" w14:textId="77777777" w:rsidR="00405038" w:rsidRPr="00F10037" w:rsidRDefault="00405038" w:rsidP="0040503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13.0%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D143F6" w14:textId="77777777" w:rsidR="00405038" w:rsidRPr="00F10037" w:rsidRDefault="00405038" w:rsidP="004050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13.1%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29218A" w14:textId="77777777" w:rsidR="00405038" w:rsidRPr="00F10037" w:rsidRDefault="00405038" w:rsidP="00405038">
            <w:pPr>
              <w:ind w:left="-65" w:right="-45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14.7%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F87790" w14:textId="77777777" w:rsidR="00405038" w:rsidRPr="00F10037" w:rsidRDefault="00405038" w:rsidP="004050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7.9%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0F8D47" w14:textId="77777777" w:rsidR="00405038" w:rsidRPr="00F10037" w:rsidRDefault="00405038" w:rsidP="0040503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6.8%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ABBEF4" w14:textId="77777777" w:rsidR="00405038" w:rsidRPr="00F10037" w:rsidRDefault="00405038" w:rsidP="004050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9.0%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C9482C" w14:textId="77777777" w:rsidR="00405038" w:rsidRPr="00F10037" w:rsidRDefault="00405038" w:rsidP="0040503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8.4%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E275EE" w14:textId="77777777" w:rsidR="00405038" w:rsidRPr="00F10037" w:rsidRDefault="00405038" w:rsidP="004050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7.5%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D32346" w14:textId="7CE85489" w:rsidR="00405038" w:rsidRPr="00CD1EB3" w:rsidRDefault="00405038" w:rsidP="00405038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↑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FCF8FD" w14:textId="362C82FB" w:rsidR="00405038" w:rsidRPr="00CD1EB3" w:rsidRDefault="00405038" w:rsidP="004050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↓</w:t>
            </w:r>
          </w:p>
        </w:tc>
      </w:tr>
      <w:tr w:rsidR="00405038" w:rsidRPr="00F10037" w14:paraId="1729C943" w14:textId="77777777" w:rsidTr="00405038">
        <w:trPr>
          <w:trHeight w:val="23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6B3919" w14:textId="77777777" w:rsidR="00405038" w:rsidRPr="00F10037" w:rsidRDefault="00405038" w:rsidP="00405038">
            <w:pPr>
              <w:rPr>
                <w:rFonts w:ascii="Calibri" w:hAnsi="Calibri" w:cs="Calibri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CT - BSP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7A715C" w14:textId="77777777" w:rsidR="00405038" w:rsidRPr="00F10037" w:rsidRDefault="00405038" w:rsidP="00405038">
            <w:pPr>
              <w:rPr>
                <w:rFonts w:ascii="Calibri" w:hAnsi="Calibri" w:cs="Calibri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Community Tenure - BSP (Risk adjusted O/E ratio) </w:t>
            </w:r>
            <w:r w:rsidRPr="00FC29C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5BCB3D" w14:textId="77777777" w:rsidR="00405038" w:rsidRPr="00F10037" w:rsidRDefault="00405038" w:rsidP="004050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0.51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09D88" w14:textId="77777777" w:rsidR="00405038" w:rsidRPr="00F10037" w:rsidRDefault="00405038" w:rsidP="0040503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0.74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830FE" w14:textId="77777777" w:rsidR="00405038" w:rsidRPr="00F10037" w:rsidRDefault="00405038" w:rsidP="004050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0.53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C37CB" w14:textId="77777777" w:rsidR="00405038" w:rsidRPr="00F10037" w:rsidRDefault="00405038" w:rsidP="00405038">
            <w:pPr>
              <w:ind w:left="-65" w:right="-45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0.52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755771" w14:textId="77777777" w:rsidR="00405038" w:rsidRPr="00F10037" w:rsidRDefault="00405038" w:rsidP="004050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1.09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A844B8" w14:textId="77777777" w:rsidR="00405038" w:rsidRPr="00F10037" w:rsidRDefault="00405038" w:rsidP="0040503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1.02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61294C" w14:textId="77777777" w:rsidR="00405038" w:rsidRPr="00F10037" w:rsidRDefault="00405038" w:rsidP="004050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0.95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7A3C61" w14:textId="77777777" w:rsidR="00405038" w:rsidRPr="00F10037" w:rsidRDefault="00405038" w:rsidP="0040503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1.03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6AFAB5" w14:textId="77777777" w:rsidR="00405038" w:rsidRPr="00F10037" w:rsidRDefault="00405038" w:rsidP="004050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0.82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209E56" w14:textId="1A5E6FDA" w:rsidR="00405038" w:rsidRPr="00CD1EB3" w:rsidRDefault="00405038" w:rsidP="00405038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↑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672601" w14:textId="1556177C" w:rsidR="00405038" w:rsidRPr="00CD1EB3" w:rsidRDefault="00405038" w:rsidP="004050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↓</w:t>
            </w:r>
          </w:p>
        </w:tc>
      </w:tr>
      <w:tr w:rsidR="00405038" w:rsidRPr="00F10037" w14:paraId="27A3B370" w14:textId="77777777" w:rsidTr="00405038">
        <w:trPr>
          <w:trHeight w:val="236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1ABB19" w14:textId="77777777" w:rsidR="00405038" w:rsidRPr="00F10037" w:rsidRDefault="00405038" w:rsidP="00405038">
            <w:pPr>
              <w:rPr>
                <w:rFonts w:ascii="Calibri" w:hAnsi="Calibri" w:cs="Calibri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CT - LTSS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88AEB" w14:textId="77777777" w:rsidR="00405038" w:rsidRPr="00F10037" w:rsidRDefault="00405038" w:rsidP="00405038">
            <w:pPr>
              <w:rPr>
                <w:rFonts w:ascii="Calibri" w:hAnsi="Calibri" w:cs="Calibri"/>
                <w:b/>
                <w:bCs/>
                <w:color w:val="FF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Community Tenure - LTSS Risk adjusted O/E ratio </w:t>
            </w:r>
            <w:r w:rsidRPr="00FC29C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46353B" w14:textId="77777777" w:rsidR="00405038" w:rsidRPr="00F10037" w:rsidRDefault="00405038" w:rsidP="004050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0.72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750CCC" w14:textId="77777777" w:rsidR="00405038" w:rsidRPr="00F10037" w:rsidRDefault="00405038" w:rsidP="0040503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1.22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78CB65" w14:textId="77777777" w:rsidR="00405038" w:rsidRPr="00F10037" w:rsidRDefault="00405038" w:rsidP="004050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1.12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1FC100" w14:textId="77777777" w:rsidR="00405038" w:rsidRPr="00F10037" w:rsidRDefault="00405038" w:rsidP="00405038">
            <w:pPr>
              <w:ind w:left="-65" w:right="-45"/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0.87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3BF8A4" w14:textId="77777777" w:rsidR="00405038" w:rsidRPr="00F10037" w:rsidRDefault="00405038" w:rsidP="004050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1.40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BE64AC" w14:textId="77777777" w:rsidR="00405038" w:rsidRPr="00F10037" w:rsidRDefault="00405038" w:rsidP="0040503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1.01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29040F" w14:textId="77777777" w:rsidR="00405038" w:rsidRPr="00F10037" w:rsidRDefault="00405038" w:rsidP="004050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0.98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8D8ABD" w14:textId="77777777" w:rsidR="00405038" w:rsidRPr="00F10037" w:rsidRDefault="00405038" w:rsidP="00405038">
            <w:pPr>
              <w:jc w:val="center"/>
              <w:rPr>
                <w:rFonts w:ascii="Calibri" w:hAnsi="Calibri" w:cs="Calibri"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1.24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1065F3" w14:textId="77777777" w:rsidR="00405038" w:rsidRPr="00F10037" w:rsidRDefault="00405038" w:rsidP="004050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FF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1.13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240DB2" w14:textId="730A0C86" w:rsidR="00405038" w:rsidRPr="00CD1EB3" w:rsidRDefault="00405038" w:rsidP="00405038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↑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2E273B" w14:textId="16927162" w:rsidR="00405038" w:rsidRPr="00CD1EB3" w:rsidRDefault="00405038" w:rsidP="004050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↓</w:t>
            </w:r>
          </w:p>
        </w:tc>
      </w:tr>
      <w:tr w:rsidR="00405038" w:rsidRPr="00F10037" w14:paraId="05A340F8" w14:textId="77777777" w:rsidTr="00405038">
        <w:trPr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27A195" w14:textId="77777777" w:rsidR="00405038" w:rsidRPr="00F10037" w:rsidRDefault="00405038" w:rsidP="00405038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DRR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6EBF6C" w14:textId="77777777" w:rsidR="00405038" w:rsidRPr="00F10037" w:rsidRDefault="00405038" w:rsidP="00405038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Depression Remission or Response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B27A75" w14:textId="77777777" w:rsidR="00405038" w:rsidRPr="00F10037" w:rsidRDefault="00405038" w:rsidP="004050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3.9%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10CDBF" w14:textId="77777777" w:rsidR="00405038" w:rsidRPr="00F10037" w:rsidRDefault="00405038" w:rsidP="0040503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9.2%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B1D9F3" w14:textId="77777777" w:rsidR="00405038" w:rsidRPr="00F10037" w:rsidRDefault="00405038" w:rsidP="004050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4.3%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0316A4" w14:textId="77777777" w:rsidR="00405038" w:rsidRPr="00F10037" w:rsidRDefault="00405038" w:rsidP="00405038">
            <w:pPr>
              <w:ind w:left="-65" w:right="-45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8.2%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8889D7" w14:textId="77777777" w:rsidR="00405038" w:rsidRPr="00F10037" w:rsidRDefault="00405038" w:rsidP="004050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12.2%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1CC509" w14:textId="77777777" w:rsidR="00405038" w:rsidRPr="00F10037" w:rsidRDefault="00405038" w:rsidP="0040503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9.1%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BFD27F" w14:textId="77777777" w:rsidR="00405038" w:rsidRPr="00F10037" w:rsidRDefault="00405038" w:rsidP="004050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2.4%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B1F04" w14:textId="77777777" w:rsidR="00405038" w:rsidRPr="00F10037" w:rsidRDefault="00405038" w:rsidP="0040503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32.7%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19DDD" w14:textId="77777777" w:rsidR="00405038" w:rsidRPr="00F10037" w:rsidRDefault="00405038" w:rsidP="004050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6.6%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721715" w14:textId="32571DF8" w:rsidR="00405038" w:rsidRPr="00CD1EB3" w:rsidRDefault="00405038" w:rsidP="00405038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↑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EC3467" w14:textId="16A01608" w:rsidR="00405038" w:rsidRPr="00CD1EB3" w:rsidRDefault="00405038" w:rsidP="004050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↓</w:t>
            </w:r>
          </w:p>
        </w:tc>
      </w:tr>
      <w:tr w:rsidR="00405038" w:rsidRPr="00F10037" w14:paraId="672FEF52" w14:textId="77777777" w:rsidTr="00405038">
        <w:trPr>
          <w:trHeight w:val="36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000CA2" w14:textId="77777777" w:rsidR="00405038" w:rsidRPr="00F10037" w:rsidRDefault="00405038" w:rsidP="00405038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DSF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3F198F1" w14:textId="77777777" w:rsidR="00405038" w:rsidRPr="00F10037" w:rsidRDefault="00405038" w:rsidP="00405038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Screening for Depression and Follow-Up Plan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851338" w14:textId="77777777" w:rsidR="00405038" w:rsidRPr="00F10037" w:rsidRDefault="00405038" w:rsidP="004050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35.3%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3F11A1" w14:textId="77777777" w:rsidR="00405038" w:rsidRPr="00F10037" w:rsidRDefault="00405038" w:rsidP="0040503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43.6%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40F80" w14:textId="77777777" w:rsidR="00405038" w:rsidRPr="00F10037" w:rsidRDefault="00405038" w:rsidP="004050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42.1%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237C50" w14:textId="77777777" w:rsidR="00405038" w:rsidRPr="00F10037" w:rsidRDefault="00405038" w:rsidP="00405038">
            <w:pPr>
              <w:ind w:left="-65" w:right="-45"/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63.0%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64E898" w14:textId="77777777" w:rsidR="00405038" w:rsidRPr="00F10037" w:rsidRDefault="00405038" w:rsidP="004050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57.1%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3BFFC2" w14:textId="77777777" w:rsidR="00405038" w:rsidRPr="00F10037" w:rsidRDefault="00405038" w:rsidP="0040503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28.7%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CFAF16" w14:textId="77777777" w:rsidR="00405038" w:rsidRPr="00F10037" w:rsidRDefault="00405038" w:rsidP="004050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44.5%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CB143" w14:textId="77777777" w:rsidR="00405038" w:rsidRPr="00F10037" w:rsidRDefault="00405038" w:rsidP="00405038">
            <w:pPr>
              <w:jc w:val="center"/>
              <w:rPr>
                <w:rFonts w:ascii="Calibri" w:hAnsi="Calibri" w:cs="Calibri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70.0%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1A9421D" w14:textId="77777777" w:rsidR="00405038" w:rsidRPr="00F10037" w:rsidRDefault="00405038" w:rsidP="004050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46.2%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5A2628" w14:textId="624C021E" w:rsidR="00405038" w:rsidRPr="00CD1EB3" w:rsidRDefault="00405038" w:rsidP="00405038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↑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769B48" w14:textId="6020F3E8" w:rsidR="00405038" w:rsidRPr="00CD1EB3" w:rsidRDefault="00405038" w:rsidP="004050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↓</w:t>
            </w:r>
          </w:p>
        </w:tc>
      </w:tr>
      <w:tr w:rsidR="00405038" w:rsidRPr="00F10037" w14:paraId="70CC2BB6" w14:textId="77777777" w:rsidTr="00405038">
        <w:trPr>
          <w:trHeight w:val="278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FD18A6" w14:textId="77777777" w:rsidR="00405038" w:rsidRPr="00F10037" w:rsidRDefault="00405038" w:rsidP="00405038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ED SMI/SUD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A75572" w14:textId="77777777" w:rsidR="00405038" w:rsidRPr="00F10037" w:rsidRDefault="00405038" w:rsidP="00405038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 xml:space="preserve">Risk adjusted ratio (obs/exp) of ED visits for members with SMI/SUD/co-occurring conditions </w:t>
            </w:r>
            <w:r w:rsidRPr="00FC29C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  <w:vertAlign w:val="superscript"/>
              </w:rPr>
              <w:t>1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85D8A5" w14:textId="77777777" w:rsidR="00405038" w:rsidRPr="00F10037" w:rsidRDefault="00405038" w:rsidP="004050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0.74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BD510E1" w14:textId="77777777" w:rsidR="00405038" w:rsidRPr="00F10037" w:rsidRDefault="00405038" w:rsidP="0040503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0.95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54089" w14:textId="77777777" w:rsidR="00405038" w:rsidRPr="00F10037" w:rsidRDefault="00405038" w:rsidP="004050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1.04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B99579" w14:textId="77777777" w:rsidR="00405038" w:rsidRPr="00F10037" w:rsidRDefault="00405038" w:rsidP="00405038">
            <w:pPr>
              <w:ind w:left="-65" w:right="-45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0.85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A8044C" w14:textId="77777777" w:rsidR="00405038" w:rsidRPr="00F10037" w:rsidRDefault="00405038" w:rsidP="004050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1.00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B99A13" w14:textId="77777777" w:rsidR="00405038" w:rsidRPr="00F10037" w:rsidRDefault="00405038" w:rsidP="0040503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0.83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5882CC" w14:textId="77777777" w:rsidR="00405038" w:rsidRPr="00F10037" w:rsidRDefault="00405038" w:rsidP="004050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0.78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9EB948" w14:textId="77777777" w:rsidR="00405038" w:rsidRPr="00F10037" w:rsidRDefault="00405038" w:rsidP="0040503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0.85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36D733" w14:textId="77777777" w:rsidR="00405038" w:rsidRPr="00F10037" w:rsidRDefault="00405038" w:rsidP="004050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b/>
                <w:bCs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0.87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EA836A" w14:textId="2801C28E" w:rsidR="00405038" w:rsidRPr="00CD1EB3" w:rsidRDefault="00405038" w:rsidP="00405038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↑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C042B7" w14:textId="7B2414D8" w:rsidR="00405038" w:rsidRPr="00CD1EB3" w:rsidRDefault="00405038" w:rsidP="004050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↑</w:t>
            </w:r>
          </w:p>
        </w:tc>
      </w:tr>
      <w:tr w:rsidR="00405038" w:rsidRPr="00F10037" w14:paraId="2534997D" w14:textId="77777777" w:rsidTr="00405038">
        <w:trPr>
          <w:trHeight w:val="422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B5DF06" w14:textId="77777777" w:rsidR="00405038" w:rsidRPr="00021283" w:rsidRDefault="00405038" w:rsidP="00405038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02128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HRSN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39D766" w14:textId="77777777" w:rsidR="00405038" w:rsidRPr="00F10037" w:rsidRDefault="00405038" w:rsidP="00405038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Health-Related Social Needs Screening 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09454F" w14:textId="77777777" w:rsidR="00405038" w:rsidRPr="00F10037" w:rsidRDefault="00405038" w:rsidP="004050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37.5%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B4DF10" w14:textId="77777777" w:rsidR="00405038" w:rsidRPr="00F10037" w:rsidRDefault="00405038" w:rsidP="0040503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14.1%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0DE29EE" w14:textId="77777777" w:rsidR="00405038" w:rsidRPr="00F10037" w:rsidRDefault="00405038" w:rsidP="004050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42.3%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FB3D05" w14:textId="77777777" w:rsidR="00405038" w:rsidRPr="00F10037" w:rsidRDefault="00405038" w:rsidP="00405038">
            <w:pPr>
              <w:ind w:left="-65" w:right="-45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56.2%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60AD15" w14:textId="77777777" w:rsidR="00405038" w:rsidRPr="00F10037" w:rsidRDefault="00405038" w:rsidP="004050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38.9%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C9DF3" w14:textId="77777777" w:rsidR="00405038" w:rsidRPr="00F10037" w:rsidRDefault="00405038" w:rsidP="0040503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24.8%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A44A46" w14:textId="77777777" w:rsidR="00405038" w:rsidRPr="00F10037" w:rsidRDefault="00405038" w:rsidP="004050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33.4%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C2257E" w14:textId="77777777" w:rsidR="00405038" w:rsidRPr="00F10037" w:rsidRDefault="00405038" w:rsidP="0040503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42.1%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24FFE1" w14:textId="77777777" w:rsidR="00405038" w:rsidRPr="00F10037" w:rsidRDefault="00405038" w:rsidP="004050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29.5%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7941EA" w14:textId="4CA7EE97" w:rsidR="00405038" w:rsidRPr="00CD1EB3" w:rsidRDefault="00405038" w:rsidP="00405038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↑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E28C7F" w14:textId="64AB93F0" w:rsidR="00405038" w:rsidRPr="00CD1EB3" w:rsidRDefault="00405038" w:rsidP="004050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↑</w:t>
            </w:r>
          </w:p>
        </w:tc>
      </w:tr>
      <w:tr w:rsidR="00405038" w:rsidRPr="00F10037" w14:paraId="00C379F4" w14:textId="77777777" w:rsidTr="00405038">
        <w:trPr>
          <w:trHeight w:val="360"/>
          <w:jc w:val="center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4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F11079" w14:textId="77777777" w:rsidR="00405038" w:rsidRPr="00021283" w:rsidRDefault="00405038" w:rsidP="00405038">
            <w:pP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</w:pPr>
            <w:r w:rsidRPr="00021283"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OHE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34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11D769" w14:textId="77777777" w:rsidR="00405038" w:rsidRPr="00F10037" w:rsidRDefault="00405038" w:rsidP="00405038">
            <w:pPr>
              <w:rPr>
                <w:rFonts w:ascii="Calibri" w:hAnsi="Calibri" w:cs="Calibri"/>
                <w:b/>
                <w:bCs/>
                <w:sz w:val="18"/>
                <w:szCs w:val="18"/>
              </w:rPr>
            </w:pPr>
            <w:r>
              <w:rPr>
                <w:rFonts w:ascii="Calibri" w:hAnsi="Calibri" w:cs="Calibri"/>
                <w:b/>
                <w:bCs/>
                <w:color w:val="000000"/>
                <w:sz w:val="18"/>
                <w:szCs w:val="18"/>
              </w:rPr>
              <w:t>Oral Health Evaluation  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1AEE3" w14:textId="77777777" w:rsidR="00405038" w:rsidRPr="00F10037" w:rsidRDefault="00405038" w:rsidP="004050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56.0%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1F08D7" w14:textId="77777777" w:rsidR="00405038" w:rsidRPr="00F10037" w:rsidRDefault="00405038" w:rsidP="0040503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57.7%</w:t>
            </w:r>
          </w:p>
        </w:tc>
        <w:tc>
          <w:tcPr>
            <w:tcW w:w="7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A2F9CB" w14:textId="77777777" w:rsidR="00405038" w:rsidRPr="00F10037" w:rsidRDefault="00405038" w:rsidP="004050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52.4%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1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55CAD7" w14:textId="77777777" w:rsidR="00405038" w:rsidRPr="00F10037" w:rsidRDefault="00405038" w:rsidP="00405038">
            <w:pPr>
              <w:ind w:left="-65" w:right="-45"/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54.2%</w:t>
            </w:r>
          </w:p>
        </w:tc>
        <w:tc>
          <w:tcPr>
            <w:tcW w:w="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53A219" w14:textId="77777777" w:rsidR="00405038" w:rsidRPr="00F10037" w:rsidRDefault="00405038" w:rsidP="004050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48.5%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7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7E8CFF" w14:textId="77777777" w:rsidR="00405038" w:rsidRPr="00F10037" w:rsidRDefault="00405038" w:rsidP="0040503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54.5%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7F3EC7A" w14:textId="77777777" w:rsidR="00405038" w:rsidRPr="00F10037" w:rsidRDefault="00405038" w:rsidP="004050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46.5%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C3D5FF" w14:textId="77777777" w:rsidR="00405038" w:rsidRPr="00F10037" w:rsidRDefault="00405038" w:rsidP="00405038">
            <w:pPr>
              <w:jc w:val="center"/>
              <w:rPr>
                <w:rFonts w:ascii="Calibri" w:hAnsi="Calibri" w:cs="Calibri"/>
                <w:color w:val="000000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53.4%</w:t>
            </w:r>
          </w:p>
        </w:tc>
        <w:tc>
          <w:tcPr>
            <w:tcW w:w="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54AAA" w14:textId="77777777" w:rsidR="00405038" w:rsidRPr="00F10037" w:rsidRDefault="00405038" w:rsidP="004050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000000"/>
                <w:sz w:val="20"/>
                <w:szCs w:val="20"/>
                <w:highlight w:val="yellow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53.3%</w:t>
            </w:r>
          </w:p>
        </w:tc>
        <w:tc>
          <w:tcPr>
            <w:cnfStyle w:val="000010000000" w:firstRow="0" w:lastRow="0" w:firstColumn="0" w:lastColumn="0" w:oddVBand="1" w:evenVBand="0" w:oddHBand="0" w:evenHBand="0" w:firstRowFirstColumn="0" w:firstRowLastColumn="0" w:lastRowFirstColumn="0" w:lastRowLastColumn="0"/>
            <w:tcW w:w="1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F3E29FC" w14:textId="78E1A0E2" w:rsidR="00405038" w:rsidRPr="00CD1EB3" w:rsidRDefault="00405038" w:rsidP="00405038">
            <w:pPr>
              <w:jc w:val="center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↑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DD744D" w14:textId="1E8310EA" w:rsidR="00405038" w:rsidRPr="00CD1EB3" w:rsidRDefault="00405038" w:rsidP="0040503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cs="Calibri"/>
                <w:color w:val="auto"/>
                <w:sz w:val="20"/>
                <w:szCs w:val="20"/>
              </w:rPr>
            </w:pPr>
            <w:r>
              <w:rPr>
                <w:rFonts w:ascii="Calibri" w:hAnsi="Calibri" w:cs="Calibri"/>
                <w:color w:val="000000"/>
                <w:sz w:val="20"/>
                <w:szCs w:val="20"/>
              </w:rPr>
              <w:t>↑</w:t>
            </w:r>
          </w:p>
        </w:tc>
      </w:tr>
    </w:tbl>
    <w:p w14:paraId="20F69C93" w14:textId="77777777" w:rsidR="00190203" w:rsidRDefault="00190203" w:rsidP="00485890"/>
    <w:p w14:paraId="5E349682" w14:textId="77777777" w:rsidR="00190203" w:rsidRDefault="00190203" w:rsidP="00485890"/>
    <w:p w14:paraId="0F279F39" w14:textId="77777777" w:rsidR="00190203" w:rsidRDefault="00190203" w:rsidP="00485890"/>
    <w:p w14:paraId="0A6EAFDB" w14:textId="41B0181F" w:rsidR="00935D91" w:rsidRPr="00CF5E11" w:rsidRDefault="00113069" w:rsidP="00EF19E5">
      <w:pPr>
        <w:pStyle w:val="ListParagraph"/>
        <w:numPr>
          <w:ilvl w:val="0"/>
          <w:numId w:val="17"/>
        </w:numPr>
      </w:pPr>
      <w:r w:rsidRPr="00CF5E11">
        <w:lastRenderedPageBreak/>
        <w:t>The MHWM rates for CIS (Combo 10)</w:t>
      </w:r>
      <w:r w:rsidR="008446BB">
        <w:t>,</w:t>
      </w:r>
      <w:r w:rsidR="007F3BDB">
        <w:t xml:space="preserve"> IMA (Combo 2)</w:t>
      </w:r>
      <w:r w:rsidRPr="00CF5E11">
        <w:t xml:space="preserve"> and FUM (7 day) were above the Medicaid 90</w:t>
      </w:r>
      <w:r w:rsidRPr="00EF19E5">
        <w:rPr>
          <w:vertAlign w:val="superscript"/>
        </w:rPr>
        <w:t>th</w:t>
      </w:r>
      <w:r w:rsidRPr="00CF5E11">
        <w:t xml:space="preserve"> percentile.</w:t>
      </w:r>
    </w:p>
    <w:p w14:paraId="79301C07" w14:textId="13BDD32D" w:rsidR="00113069" w:rsidRPr="00CF5E11" w:rsidRDefault="00113069" w:rsidP="00935D91">
      <w:pPr>
        <w:pStyle w:val="ListParagraph"/>
        <w:numPr>
          <w:ilvl w:val="0"/>
          <w:numId w:val="5"/>
        </w:numPr>
      </w:pPr>
      <w:r w:rsidRPr="00CF5E11">
        <w:t xml:space="preserve">The MHWM rates for </w:t>
      </w:r>
      <w:r w:rsidR="001208BA" w:rsidRPr="00CF5E11">
        <w:t>FUH (7 day)</w:t>
      </w:r>
      <w:r w:rsidR="00633576">
        <w:t xml:space="preserve"> and IET (both cohorts)</w:t>
      </w:r>
      <w:r w:rsidR="00BB3B15">
        <w:t xml:space="preserve"> </w:t>
      </w:r>
      <w:r w:rsidRPr="00CF5E11">
        <w:t>were above the Medicaid 75</w:t>
      </w:r>
      <w:r w:rsidRPr="00CF5E11">
        <w:rPr>
          <w:vertAlign w:val="superscript"/>
        </w:rPr>
        <w:t>th</w:t>
      </w:r>
      <w:r w:rsidRPr="00CF5E11">
        <w:t xml:space="preserve"> percentile, but below the Medicaid 90</w:t>
      </w:r>
      <w:r w:rsidRPr="00CF5E11">
        <w:rPr>
          <w:vertAlign w:val="superscript"/>
        </w:rPr>
        <w:t>th</w:t>
      </w:r>
      <w:r w:rsidRPr="00CF5E11">
        <w:t xml:space="preserve"> percentile.</w:t>
      </w:r>
    </w:p>
    <w:p w14:paraId="6C039885" w14:textId="6BCB213B" w:rsidR="00113069" w:rsidRPr="00CF5E11" w:rsidRDefault="00113069" w:rsidP="00935D91">
      <w:pPr>
        <w:pStyle w:val="ListParagraph"/>
        <w:numPr>
          <w:ilvl w:val="0"/>
          <w:numId w:val="5"/>
        </w:numPr>
      </w:pPr>
      <w:r w:rsidRPr="00CF5E11">
        <w:t xml:space="preserve">The MHWM rates for </w:t>
      </w:r>
      <w:r w:rsidR="00633576">
        <w:t xml:space="preserve">APM, </w:t>
      </w:r>
      <w:r w:rsidRPr="00CF5E11">
        <w:t xml:space="preserve">PPC (Timeliness), CBP, </w:t>
      </w:r>
      <w:r w:rsidR="006965E2">
        <w:t xml:space="preserve">and </w:t>
      </w:r>
      <w:r w:rsidRPr="00CF5E11">
        <w:t>AMR</w:t>
      </w:r>
      <w:r w:rsidR="006965E2">
        <w:t xml:space="preserve"> </w:t>
      </w:r>
      <w:r w:rsidRPr="00CF5E11">
        <w:t>were below the Medicaid 75</w:t>
      </w:r>
      <w:r w:rsidRPr="00CF5E11">
        <w:rPr>
          <w:vertAlign w:val="superscript"/>
        </w:rPr>
        <w:t>th</w:t>
      </w:r>
      <w:r w:rsidRPr="00CF5E11">
        <w:t xml:space="preserve"> percentile.</w:t>
      </w:r>
    </w:p>
    <w:p w14:paraId="122C190B" w14:textId="714DC565" w:rsidR="00935D91" w:rsidRDefault="00935D91" w:rsidP="00935D91">
      <w:pPr>
        <w:pStyle w:val="ListParagraph"/>
        <w:numPr>
          <w:ilvl w:val="0"/>
          <w:numId w:val="5"/>
        </w:numPr>
      </w:pPr>
      <w:r w:rsidRPr="00CF5E11">
        <w:t xml:space="preserve">The </w:t>
      </w:r>
      <w:r w:rsidR="006965E2">
        <w:t>MHWM</w:t>
      </w:r>
      <w:r w:rsidRPr="00CF5E11">
        <w:t xml:space="preserve"> rate</w:t>
      </w:r>
      <w:r w:rsidR="006965E2">
        <w:t>s</w:t>
      </w:r>
      <w:r w:rsidRPr="00CF5E11">
        <w:t xml:space="preserve"> for </w:t>
      </w:r>
      <w:r w:rsidR="00836A04">
        <w:t>HBD</w:t>
      </w:r>
      <w:r w:rsidR="00836A04" w:rsidRPr="00CF5E11">
        <w:t xml:space="preserve"> </w:t>
      </w:r>
      <w:r w:rsidRPr="00CF5E11">
        <w:t>(Poor Control)</w:t>
      </w:r>
      <w:r w:rsidR="006965E2">
        <w:t xml:space="preserve"> and PCR</w:t>
      </w:r>
      <w:r w:rsidRPr="00CF5E11">
        <w:t xml:space="preserve"> </w:t>
      </w:r>
      <w:r w:rsidR="006965E2">
        <w:t>were</w:t>
      </w:r>
      <w:r w:rsidRPr="00CF5E11">
        <w:t xml:space="preserve"> higher than both the 90</w:t>
      </w:r>
      <w:r w:rsidRPr="00CF5E11">
        <w:rPr>
          <w:vertAlign w:val="superscript"/>
        </w:rPr>
        <w:t>th</w:t>
      </w:r>
      <w:r w:rsidRPr="00CF5E11">
        <w:t xml:space="preserve"> and 75</w:t>
      </w:r>
      <w:r w:rsidRPr="00CF5E11">
        <w:rPr>
          <w:vertAlign w:val="superscript"/>
        </w:rPr>
        <w:t>th</w:t>
      </w:r>
      <w:r w:rsidRPr="00CF5E11">
        <w:t xml:space="preserve"> percentile, meaning that plan performance failed to meet those benchmarks (because a lower rate signifies better performance).  </w:t>
      </w:r>
    </w:p>
    <w:p w14:paraId="30EE02AC" w14:textId="3BDCB6EB" w:rsidR="00BF1E74" w:rsidRDefault="00BF1E74" w:rsidP="00935D91">
      <w:pPr>
        <w:pStyle w:val="ListParagraph"/>
        <w:numPr>
          <w:ilvl w:val="0"/>
          <w:numId w:val="5"/>
        </w:numPr>
      </w:pPr>
      <w:r>
        <w:t>The MHWM rates for all State-Defined and CG-CAHPS measures were above the Attainment thresholds set by EHS.</w:t>
      </w:r>
    </w:p>
    <w:p w14:paraId="6444BB92" w14:textId="0471C1BC" w:rsidR="00BF1E74" w:rsidRPr="00CF5E11" w:rsidRDefault="00BF1E74" w:rsidP="00935D91">
      <w:pPr>
        <w:pStyle w:val="ListParagraph"/>
        <w:numPr>
          <w:ilvl w:val="0"/>
          <w:numId w:val="5"/>
        </w:numPr>
      </w:pPr>
      <w:r>
        <w:t>The MHWM rates for ED SMI/SUD, HRSN, and OHE were higher than the Goal benchmark set by EHS; rates for all other State-Defined and CG-CAHPS measures were below the Goal benchmark.</w:t>
      </w:r>
    </w:p>
    <w:p w14:paraId="6B41B974" w14:textId="77777777" w:rsidR="00850151" w:rsidRPr="00DC02B7" w:rsidRDefault="00850151" w:rsidP="00DC02B7">
      <w:pPr>
        <w:rPr>
          <w:b/>
          <w:bCs/>
        </w:rPr>
      </w:pPr>
    </w:p>
    <w:sectPr w:rsidR="00850151" w:rsidRPr="00DC02B7" w:rsidSect="004B5F5C">
      <w:pgSz w:w="15840" w:h="12240" w:orient="landscape"/>
      <w:pgMar w:top="1080" w:right="547" w:bottom="1080" w:left="547" w:header="720" w:footer="720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6B262C7" w14:textId="77777777" w:rsidR="004B5F5C" w:rsidRDefault="004B5F5C" w:rsidP="00E108DD">
      <w:pPr>
        <w:spacing w:after="0" w:line="240" w:lineRule="auto"/>
      </w:pPr>
      <w:r>
        <w:separator/>
      </w:r>
    </w:p>
  </w:endnote>
  <w:endnote w:type="continuationSeparator" w:id="0">
    <w:p w14:paraId="5C6A52BC" w14:textId="77777777" w:rsidR="004B5F5C" w:rsidRDefault="004B5F5C" w:rsidP="00E108D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4668562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67825DB" w14:textId="3281BEB1" w:rsidR="007C28DC" w:rsidRDefault="007C28D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2A512730" w14:textId="77777777" w:rsidR="007C28DC" w:rsidRDefault="007C28DC" w:rsidP="00D209B9">
    <w:pPr>
      <w:pStyle w:val="Footer"/>
      <w:jc w:val="righ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-82074850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C2C40B4" w14:textId="38C2F359" w:rsidR="007C28DC" w:rsidRDefault="007C28D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6</w:t>
        </w:r>
        <w:r>
          <w:rPr>
            <w:noProof/>
          </w:rPr>
          <w:fldChar w:fldCharType="end"/>
        </w:r>
      </w:p>
    </w:sdtContent>
  </w:sdt>
  <w:p w14:paraId="68BAF375" w14:textId="77777777" w:rsidR="007C28DC" w:rsidRPr="009E5776" w:rsidRDefault="007C28DC" w:rsidP="009E577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879430117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94ED38F" w14:textId="3B62D7EC" w:rsidR="007C28DC" w:rsidRDefault="007C28D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8</w:t>
        </w:r>
        <w:r>
          <w:rPr>
            <w:noProof/>
          </w:rPr>
          <w:fldChar w:fldCharType="end"/>
        </w:r>
      </w:p>
    </w:sdtContent>
  </w:sdt>
  <w:p w14:paraId="3016DDC8" w14:textId="77777777" w:rsidR="007C28DC" w:rsidRPr="009E5776" w:rsidRDefault="007C28DC" w:rsidP="009E5776">
    <w:pPr>
      <w:pStyle w:val="Footer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15749939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5867464B" w14:textId="1FFE1DE1" w:rsidR="007C28DC" w:rsidRDefault="007C28DC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7</w:t>
        </w:r>
        <w:r>
          <w:rPr>
            <w:noProof/>
          </w:rPr>
          <w:fldChar w:fldCharType="end"/>
        </w:r>
      </w:p>
    </w:sdtContent>
  </w:sdt>
  <w:p w14:paraId="0D0097AC" w14:textId="77777777" w:rsidR="007C28DC" w:rsidRDefault="007C28DC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2C6036" w14:textId="77777777" w:rsidR="004B5F5C" w:rsidRDefault="004B5F5C" w:rsidP="00E108DD">
      <w:pPr>
        <w:spacing w:after="0" w:line="240" w:lineRule="auto"/>
      </w:pPr>
      <w:r>
        <w:separator/>
      </w:r>
    </w:p>
  </w:footnote>
  <w:footnote w:type="continuationSeparator" w:id="0">
    <w:p w14:paraId="683AD516" w14:textId="77777777" w:rsidR="004B5F5C" w:rsidRDefault="004B5F5C" w:rsidP="00E108D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27C9F7" w14:textId="77777777" w:rsidR="007C28DC" w:rsidRPr="00322E40" w:rsidRDefault="007C28DC" w:rsidP="00322E40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390346E"/>
    <w:multiLevelType w:val="hybridMultilevel"/>
    <w:tmpl w:val="0FEE64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F20C30"/>
    <w:multiLevelType w:val="hybridMultilevel"/>
    <w:tmpl w:val="0FEE647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FE11065"/>
    <w:multiLevelType w:val="hybridMultilevel"/>
    <w:tmpl w:val="C9C2B67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174735E"/>
    <w:multiLevelType w:val="hybridMultilevel"/>
    <w:tmpl w:val="60B6859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49D3187"/>
    <w:multiLevelType w:val="hybridMultilevel"/>
    <w:tmpl w:val="943EA95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4CC2AC5"/>
    <w:multiLevelType w:val="hybridMultilevel"/>
    <w:tmpl w:val="DEF4E26A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3C497BF9"/>
    <w:multiLevelType w:val="hybridMultilevel"/>
    <w:tmpl w:val="8AD46C38"/>
    <w:lvl w:ilvl="0" w:tplc="C18E178A"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3F9339FA"/>
    <w:multiLevelType w:val="hybridMultilevel"/>
    <w:tmpl w:val="F6247BAC"/>
    <w:lvl w:ilvl="0" w:tplc="04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4B41326F"/>
    <w:multiLevelType w:val="hybridMultilevel"/>
    <w:tmpl w:val="0D3CFD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F2C1932"/>
    <w:multiLevelType w:val="hybridMultilevel"/>
    <w:tmpl w:val="8026BA4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380295A"/>
    <w:multiLevelType w:val="hybridMultilevel"/>
    <w:tmpl w:val="5106C8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79074D5"/>
    <w:multiLevelType w:val="hybridMultilevel"/>
    <w:tmpl w:val="C9AA120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6EE01C7"/>
    <w:multiLevelType w:val="hybridMultilevel"/>
    <w:tmpl w:val="9C06327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B905361"/>
    <w:multiLevelType w:val="hybridMultilevel"/>
    <w:tmpl w:val="CDAE3D4E"/>
    <w:lvl w:ilvl="0" w:tplc="5BA410BE">
      <w:start w:val="2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75C01A88"/>
    <w:multiLevelType w:val="hybridMultilevel"/>
    <w:tmpl w:val="F71C71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7BB63713"/>
    <w:multiLevelType w:val="hybridMultilevel"/>
    <w:tmpl w:val="008EC44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741705780">
    <w:abstractNumId w:val="6"/>
  </w:num>
  <w:num w:numId="2" w16cid:durableId="1642230122">
    <w:abstractNumId w:val="6"/>
  </w:num>
  <w:num w:numId="3" w16cid:durableId="2107462915">
    <w:abstractNumId w:val="15"/>
  </w:num>
  <w:num w:numId="4" w16cid:durableId="167604942">
    <w:abstractNumId w:val="3"/>
  </w:num>
  <w:num w:numId="5" w16cid:durableId="1332952754">
    <w:abstractNumId w:val="2"/>
  </w:num>
  <w:num w:numId="6" w16cid:durableId="998730171">
    <w:abstractNumId w:val="5"/>
  </w:num>
  <w:num w:numId="7" w16cid:durableId="1894850519">
    <w:abstractNumId w:val="7"/>
  </w:num>
  <w:num w:numId="8" w16cid:durableId="554246391">
    <w:abstractNumId w:val="11"/>
  </w:num>
  <w:num w:numId="9" w16cid:durableId="1118529960">
    <w:abstractNumId w:val="8"/>
  </w:num>
  <w:num w:numId="10" w16cid:durableId="1687096225">
    <w:abstractNumId w:val="10"/>
  </w:num>
  <w:num w:numId="11" w16cid:durableId="1848861225">
    <w:abstractNumId w:val="12"/>
  </w:num>
  <w:num w:numId="12" w16cid:durableId="788281997">
    <w:abstractNumId w:val="4"/>
  </w:num>
  <w:num w:numId="13" w16cid:durableId="1701474502">
    <w:abstractNumId w:val="9"/>
  </w:num>
  <w:num w:numId="14" w16cid:durableId="78908101">
    <w:abstractNumId w:val="1"/>
  </w:num>
  <w:num w:numId="15" w16cid:durableId="137117026">
    <w:abstractNumId w:val="0"/>
  </w:num>
  <w:num w:numId="16" w16cid:durableId="759643377">
    <w:abstractNumId w:val="13"/>
  </w:num>
  <w:num w:numId="17" w16cid:durableId="325404632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3A66"/>
    <w:rsid w:val="00000FA1"/>
    <w:rsid w:val="00001AD6"/>
    <w:rsid w:val="00001E23"/>
    <w:rsid w:val="00002071"/>
    <w:rsid w:val="000034A0"/>
    <w:rsid w:val="000063A3"/>
    <w:rsid w:val="000066AA"/>
    <w:rsid w:val="0000746F"/>
    <w:rsid w:val="00007B2F"/>
    <w:rsid w:val="0001213F"/>
    <w:rsid w:val="000139CB"/>
    <w:rsid w:val="0001614E"/>
    <w:rsid w:val="00016D3E"/>
    <w:rsid w:val="0002120B"/>
    <w:rsid w:val="00021283"/>
    <w:rsid w:val="00022055"/>
    <w:rsid w:val="00022084"/>
    <w:rsid w:val="0002266C"/>
    <w:rsid w:val="000235C6"/>
    <w:rsid w:val="0002375B"/>
    <w:rsid w:val="00023F09"/>
    <w:rsid w:val="00024637"/>
    <w:rsid w:val="0002794B"/>
    <w:rsid w:val="00032894"/>
    <w:rsid w:val="00034204"/>
    <w:rsid w:val="00035DDB"/>
    <w:rsid w:val="00036429"/>
    <w:rsid w:val="00036971"/>
    <w:rsid w:val="00040746"/>
    <w:rsid w:val="00041035"/>
    <w:rsid w:val="00041292"/>
    <w:rsid w:val="00043393"/>
    <w:rsid w:val="00043B9A"/>
    <w:rsid w:val="00044078"/>
    <w:rsid w:val="000450B0"/>
    <w:rsid w:val="00045954"/>
    <w:rsid w:val="00046086"/>
    <w:rsid w:val="00050442"/>
    <w:rsid w:val="00051737"/>
    <w:rsid w:val="000521AB"/>
    <w:rsid w:val="00052D75"/>
    <w:rsid w:val="00053772"/>
    <w:rsid w:val="0005507F"/>
    <w:rsid w:val="00055C55"/>
    <w:rsid w:val="00055FDF"/>
    <w:rsid w:val="00057FBF"/>
    <w:rsid w:val="00060728"/>
    <w:rsid w:val="000614A1"/>
    <w:rsid w:val="00062376"/>
    <w:rsid w:val="00064075"/>
    <w:rsid w:val="000646F2"/>
    <w:rsid w:val="00064A97"/>
    <w:rsid w:val="0006701B"/>
    <w:rsid w:val="00067926"/>
    <w:rsid w:val="00067FB1"/>
    <w:rsid w:val="00070541"/>
    <w:rsid w:val="00072235"/>
    <w:rsid w:val="00072241"/>
    <w:rsid w:val="00073F3E"/>
    <w:rsid w:val="00076100"/>
    <w:rsid w:val="000766F5"/>
    <w:rsid w:val="0008003C"/>
    <w:rsid w:val="00080A13"/>
    <w:rsid w:val="00080E6C"/>
    <w:rsid w:val="00080F4E"/>
    <w:rsid w:val="000821C6"/>
    <w:rsid w:val="00082DF6"/>
    <w:rsid w:val="0008422D"/>
    <w:rsid w:val="0008489E"/>
    <w:rsid w:val="00087458"/>
    <w:rsid w:val="0008787A"/>
    <w:rsid w:val="00087E09"/>
    <w:rsid w:val="00090886"/>
    <w:rsid w:val="00090B13"/>
    <w:rsid w:val="00090F69"/>
    <w:rsid w:val="00095376"/>
    <w:rsid w:val="000953FC"/>
    <w:rsid w:val="000957EA"/>
    <w:rsid w:val="00096FA8"/>
    <w:rsid w:val="00097DEF"/>
    <w:rsid w:val="000A114B"/>
    <w:rsid w:val="000A177B"/>
    <w:rsid w:val="000A19D4"/>
    <w:rsid w:val="000A1D52"/>
    <w:rsid w:val="000A3C48"/>
    <w:rsid w:val="000A519D"/>
    <w:rsid w:val="000A5417"/>
    <w:rsid w:val="000A7979"/>
    <w:rsid w:val="000B0091"/>
    <w:rsid w:val="000B0225"/>
    <w:rsid w:val="000B3153"/>
    <w:rsid w:val="000B4E7E"/>
    <w:rsid w:val="000B556F"/>
    <w:rsid w:val="000B5E02"/>
    <w:rsid w:val="000B7A78"/>
    <w:rsid w:val="000C0DD2"/>
    <w:rsid w:val="000C100F"/>
    <w:rsid w:val="000C2823"/>
    <w:rsid w:val="000C2DBE"/>
    <w:rsid w:val="000C4059"/>
    <w:rsid w:val="000C467C"/>
    <w:rsid w:val="000C5BA3"/>
    <w:rsid w:val="000C5E1F"/>
    <w:rsid w:val="000C6A39"/>
    <w:rsid w:val="000D11AC"/>
    <w:rsid w:val="000D1D64"/>
    <w:rsid w:val="000D4CB5"/>
    <w:rsid w:val="000D5896"/>
    <w:rsid w:val="000D5916"/>
    <w:rsid w:val="000E0761"/>
    <w:rsid w:val="000E1098"/>
    <w:rsid w:val="000E1646"/>
    <w:rsid w:val="000E4945"/>
    <w:rsid w:val="000E5ADE"/>
    <w:rsid w:val="000F16B0"/>
    <w:rsid w:val="000F311C"/>
    <w:rsid w:val="000F3B57"/>
    <w:rsid w:val="000F4AE7"/>
    <w:rsid w:val="000F4D4A"/>
    <w:rsid w:val="000F5DE2"/>
    <w:rsid w:val="000F6BBA"/>
    <w:rsid w:val="000F6C2A"/>
    <w:rsid w:val="000F7067"/>
    <w:rsid w:val="000F7462"/>
    <w:rsid w:val="00100344"/>
    <w:rsid w:val="00100F1A"/>
    <w:rsid w:val="001010B6"/>
    <w:rsid w:val="001016B3"/>
    <w:rsid w:val="00101D90"/>
    <w:rsid w:val="00102EA2"/>
    <w:rsid w:val="00104022"/>
    <w:rsid w:val="00105A8E"/>
    <w:rsid w:val="00105FBA"/>
    <w:rsid w:val="00106646"/>
    <w:rsid w:val="00106659"/>
    <w:rsid w:val="00106AE3"/>
    <w:rsid w:val="00106D5C"/>
    <w:rsid w:val="0010750C"/>
    <w:rsid w:val="001116A2"/>
    <w:rsid w:val="00113069"/>
    <w:rsid w:val="0011310F"/>
    <w:rsid w:val="00114A15"/>
    <w:rsid w:val="0011605F"/>
    <w:rsid w:val="00116D5E"/>
    <w:rsid w:val="001208BA"/>
    <w:rsid w:val="00120954"/>
    <w:rsid w:val="00123A15"/>
    <w:rsid w:val="00127B7A"/>
    <w:rsid w:val="001303AE"/>
    <w:rsid w:val="00130488"/>
    <w:rsid w:val="001311F3"/>
    <w:rsid w:val="0013194A"/>
    <w:rsid w:val="001324A9"/>
    <w:rsid w:val="0013617E"/>
    <w:rsid w:val="00136497"/>
    <w:rsid w:val="0013699B"/>
    <w:rsid w:val="0013752D"/>
    <w:rsid w:val="001378F1"/>
    <w:rsid w:val="0014015E"/>
    <w:rsid w:val="00141AF5"/>
    <w:rsid w:val="001423D9"/>
    <w:rsid w:val="001427E9"/>
    <w:rsid w:val="00142D04"/>
    <w:rsid w:val="00143C77"/>
    <w:rsid w:val="0014555C"/>
    <w:rsid w:val="00150FBA"/>
    <w:rsid w:val="001528A1"/>
    <w:rsid w:val="00156194"/>
    <w:rsid w:val="0015737E"/>
    <w:rsid w:val="00160F9D"/>
    <w:rsid w:val="0016135C"/>
    <w:rsid w:val="001627A9"/>
    <w:rsid w:val="00162986"/>
    <w:rsid w:val="00162CCB"/>
    <w:rsid w:val="001630D5"/>
    <w:rsid w:val="00163C9C"/>
    <w:rsid w:val="001642EE"/>
    <w:rsid w:val="001648E7"/>
    <w:rsid w:val="00164FB5"/>
    <w:rsid w:val="00167BB8"/>
    <w:rsid w:val="001701CC"/>
    <w:rsid w:val="00170996"/>
    <w:rsid w:val="001713E4"/>
    <w:rsid w:val="001714E4"/>
    <w:rsid w:val="00172614"/>
    <w:rsid w:val="00172801"/>
    <w:rsid w:val="00174E2A"/>
    <w:rsid w:val="00176A0B"/>
    <w:rsid w:val="00182589"/>
    <w:rsid w:val="0018342D"/>
    <w:rsid w:val="0018426D"/>
    <w:rsid w:val="00185960"/>
    <w:rsid w:val="00185B31"/>
    <w:rsid w:val="0018678A"/>
    <w:rsid w:val="001867FE"/>
    <w:rsid w:val="00190203"/>
    <w:rsid w:val="001906AC"/>
    <w:rsid w:val="0019131A"/>
    <w:rsid w:val="001916BB"/>
    <w:rsid w:val="0019231B"/>
    <w:rsid w:val="001938AF"/>
    <w:rsid w:val="0019674D"/>
    <w:rsid w:val="00197523"/>
    <w:rsid w:val="001977CD"/>
    <w:rsid w:val="0019783A"/>
    <w:rsid w:val="001A0E44"/>
    <w:rsid w:val="001A14F6"/>
    <w:rsid w:val="001A2F34"/>
    <w:rsid w:val="001A2FF8"/>
    <w:rsid w:val="001A33CB"/>
    <w:rsid w:val="001A42BA"/>
    <w:rsid w:val="001A4A70"/>
    <w:rsid w:val="001A54DE"/>
    <w:rsid w:val="001A5A54"/>
    <w:rsid w:val="001A7BA4"/>
    <w:rsid w:val="001A7EEF"/>
    <w:rsid w:val="001B6595"/>
    <w:rsid w:val="001C1C0B"/>
    <w:rsid w:val="001C1DA0"/>
    <w:rsid w:val="001C2E48"/>
    <w:rsid w:val="001C315C"/>
    <w:rsid w:val="001C40DC"/>
    <w:rsid w:val="001C5140"/>
    <w:rsid w:val="001C55AF"/>
    <w:rsid w:val="001C6B3A"/>
    <w:rsid w:val="001D132D"/>
    <w:rsid w:val="001D17E0"/>
    <w:rsid w:val="001D19EA"/>
    <w:rsid w:val="001D20C6"/>
    <w:rsid w:val="001D2C9D"/>
    <w:rsid w:val="001D3FFC"/>
    <w:rsid w:val="001D7149"/>
    <w:rsid w:val="001D744B"/>
    <w:rsid w:val="001E1002"/>
    <w:rsid w:val="001E10A5"/>
    <w:rsid w:val="001E1B5C"/>
    <w:rsid w:val="001E2A51"/>
    <w:rsid w:val="001E4BB7"/>
    <w:rsid w:val="001E4C3E"/>
    <w:rsid w:val="001E4C6E"/>
    <w:rsid w:val="001E67E2"/>
    <w:rsid w:val="001E763D"/>
    <w:rsid w:val="001E7CBF"/>
    <w:rsid w:val="001F00A6"/>
    <w:rsid w:val="001F0D4E"/>
    <w:rsid w:val="001F3194"/>
    <w:rsid w:val="001F382A"/>
    <w:rsid w:val="001F3D57"/>
    <w:rsid w:val="001F5671"/>
    <w:rsid w:val="001F6534"/>
    <w:rsid w:val="001F6882"/>
    <w:rsid w:val="001F6E52"/>
    <w:rsid w:val="001F7099"/>
    <w:rsid w:val="002015F7"/>
    <w:rsid w:val="002028B1"/>
    <w:rsid w:val="00206FB0"/>
    <w:rsid w:val="00207DC7"/>
    <w:rsid w:val="0021023A"/>
    <w:rsid w:val="00210398"/>
    <w:rsid w:val="002134EF"/>
    <w:rsid w:val="0021615D"/>
    <w:rsid w:val="00217999"/>
    <w:rsid w:val="00217B7F"/>
    <w:rsid w:val="0022069F"/>
    <w:rsid w:val="0022154F"/>
    <w:rsid w:val="00225305"/>
    <w:rsid w:val="00226252"/>
    <w:rsid w:val="00227E95"/>
    <w:rsid w:val="00231340"/>
    <w:rsid w:val="002348AE"/>
    <w:rsid w:val="00234902"/>
    <w:rsid w:val="00235904"/>
    <w:rsid w:val="00236832"/>
    <w:rsid w:val="002372FC"/>
    <w:rsid w:val="0024099A"/>
    <w:rsid w:val="00240C29"/>
    <w:rsid w:val="002410B1"/>
    <w:rsid w:val="00241D75"/>
    <w:rsid w:val="00244CA2"/>
    <w:rsid w:val="00245CB0"/>
    <w:rsid w:val="00246417"/>
    <w:rsid w:val="0024713A"/>
    <w:rsid w:val="00247B68"/>
    <w:rsid w:val="00247D78"/>
    <w:rsid w:val="002517EB"/>
    <w:rsid w:val="00251DAD"/>
    <w:rsid w:val="002524F7"/>
    <w:rsid w:val="00253B62"/>
    <w:rsid w:val="00254C6A"/>
    <w:rsid w:val="00255288"/>
    <w:rsid w:val="0025658A"/>
    <w:rsid w:val="002572DC"/>
    <w:rsid w:val="00260749"/>
    <w:rsid w:val="00261869"/>
    <w:rsid w:val="00262544"/>
    <w:rsid w:val="0026361E"/>
    <w:rsid w:val="00263ADF"/>
    <w:rsid w:val="00263DBB"/>
    <w:rsid w:val="0026562B"/>
    <w:rsid w:val="00265D2D"/>
    <w:rsid w:val="0026683C"/>
    <w:rsid w:val="0026773C"/>
    <w:rsid w:val="002718CD"/>
    <w:rsid w:val="00273E16"/>
    <w:rsid w:val="002755CD"/>
    <w:rsid w:val="002762EA"/>
    <w:rsid w:val="00276D5E"/>
    <w:rsid w:val="002805B5"/>
    <w:rsid w:val="0028083D"/>
    <w:rsid w:val="0028395A"/>
    <w:rsid w:val="00283DAD"/>
    <w:rsid w:val="002846F6"/>
    <w:rsid w:val="00284FBE"/>
    <w:rsid w:val="002850A0"/>
    <w:rsid w:val="0028752B"/>
    <w:rsid w:val="002937CB"/>
    <w:rsid w:val="00297F63"/>
    <w:rsid w:val="002A2FEE"/>
    <w:rsid w:val="002A3753"/>
    <w:rsid w:val="002A3C14"/>
    <w:rsid w:val="002A4ADA"/>
    <w:rsid w:val="002A5CDA"/>
    <w:rsid w:val="002A62A3"/>
    <w:rsid w:val="002A6807"/>
    <w:rsid w:val="002A7405"/>
    <w:rsid w:val="002B0E0E"/>
    <w:rsid w:val="002B116E"/>
    <w:rsid w:val="002B12C0"/>
    <w:rsid w:val="002B30FE"/>
    <w:rsid w:val="002B34D9"/>
    <w:rsid w:val="002B4069"/>
    <w:rsid w:val="002B4A57"/>
    <w:rsid w:val="002B4A9A"/>
    <w:rsid w:val="002C0543"/>
    <w:rsid w:val="002C3415"/>
    <w:rsid w:val="002C345C"/>
    <w:rsid w:val="002C39B5"/>
    <w:rsid w:val="002C4EFA"/>
    <w:rsid w:val="002C5326"/>
    <w:rsid w:val="002C542C"/>
    <w:rsid w:val="002D0199"/>
    <w:rsid w:val="002D2AB0"/>
    <w:rsid w:val="002D3413"/>
    <w:rsid w:val="002D5579"/>
    <w:rsid w:val="002E1CF4"/>
    <w:rsid w:val="002E1D56"/>
    <w:rsid w:val="002E3372"/>
    <w:rsid w:val="002E3680"/>
    <w:rsid w:val="002E554B"/>
    <w:rsid w:val="002E6D05"/>
    <w:rsid w:val="002E7704"/>
    <w:rsid w:val="002F0898"/>
    <w:rsid w:val="002F1454"/>
    <w:rsid w:val="002F2D59"/>
    <w:rsid w:val="002F37AC"/>
    <w:rsid w:val="002F6BDC"/>
    <w:rsid w:val="002F7ABA"/>
    <w:rsid w:val="00300801"/>
    <w:rsid w:val="00300876"/>
    <w:rsid w:val="003011A0"/>
    <w:rsid w:val="003027D1"/>
    <w:rsid w:val="00304C12"/>
    <w:rsid w:val="00306632"/>
    <w:rsid w:val="003105CB"/>
    <w:rsid w:val="00313958"/>
    <w:rsid w:val="00313C3B"/>
    <w:rsid w:val="003144E6"/>
    <w:rsid w:val="00316B91"/>
    <w:rsid w:val="003207EC"/>
    <w:rsid w:val="003212AD"/>
    <w:rsid w:val="00322E40"/>
    <w:rsid w:val="00323606"/>
    <w:rsid w:val="003240AC"/>
    <w:rsid w:val="00327CB8"/>
    <w:rsid w:val="003318EF"/>
    <w:rsid w:val="00332FF8"/>
    <w:rsid w:val="00333BA3"/>
    <w:rsid w:val="00334195"/>
    <w:rsid w:val="003341E1"/>
    <w:rsid w:val="00334E14"/>
    <w:rsid w:val="0033730A"/>
    <w:rsid w:val="00340893"/>
    <w:rsid w:val="00345A98"/>
    <w:rsid w:val="00346414"/>
    <w:rsid w:val="00350BF8"/>
    <w:rsid w:val="00351229"/>
    <w:rsid w:val="00352272"/>
    <w:rsid w:val="003540DD"/>
    <w:rsid w:val="003543A5"/>
    <w:rsid w:val="00355CE2"/>
    <w:rsid w:val="00361E64"/>
    <w:rsid w:val="003637D0"/>
    <w:rsid w:val="0036637F"/>
    <w:rsid w:val="003666FF"/>
    <w:rsid w:val="00372349"/>
    <w:rsid w:val="0037317C"/>
    <w:rsid w:val="003735FA"/>
    <w:rsid w:val="0037466A"/>
    <w:rsid w:val="0037506A"/>
    <w:rsid w:val="00375E61"/>
    <w:rsid w:val="00377F62"/>
    <w:rsid w:val="00381294"/>
    <w:rsid w:val="003827C1"/>
    <w:rsid w:val="003848C3"/>
    <w:rsid w:val="003849D5"/>
    <w:rsid w:val="00384B6C"/>
    <w:rsid w:val="00385374"/>
    <w:rsid w:val="00385F64"/>
    <w:rsid w:val="003861B3"/>
    <w:rsid w:val="003863F8"/>
    <w:rsid w:val="00386749"/>
    <w:rsid w:val="00387229"/>
    <w:rsid w:val="00395378"/>
    <w:rsid w:val="00395AFF"/>
    <w:rsid w:val="003A195A"/>
    <w:rsid w:val="003A4037"/>
    <w:rsid w:val="003A4C21"/>
    <w:rsid w:val="003A4DFC"/>
    <w:rsid w:val="003A6B5A"/>
    <w:rsid w:val="003A706F"/>
    <w:rsid w:val="003A7D6D"/>
    <w:rsid w:val="003B020B"/>
    <w:rsid w:val="003B0CE5"/>
    <w:rsid w:val="003B1D8F"/>
    <w:rsid w:val="003B4D16"/>
    <w:rsid w:val="003B5D14"/>
    <w:rsid w:val="003B7B41"/>
    <w:rsid w:val="003C2391"/>
    <w:rsid w:val="003C3F75"/>
    <w:rsid w:val="003C428F"/>
    <w:rsid w:val="003C4B2E"/>
    <w:rsid w:val="003D0314"/>
    <w:rsid w:val="003D0624"/>
    <w:rsid w:val="003D643E"/>
    <w:rsid w:val="003D7E1B"/>
    <w:rsid w:val="003E0B81"/>
    <w:rsid w:val="003E2DF9"/>
    <w:rsid w:val="003E38A8"/>
    <w:rsid w:val="003E4769"/>
    <w:rsid w:val="003E4E4C"/>
    <w:rsid w:val="003E55F0"/>
    <w:rsid w:val="003E60AD"/>
    <w:rsid w:val="003E6C98"/>
    <w:rsid w:val="003E6E02"/>
    <w:rsid w:val="003E6E29"/>
    <w:rsid w:val="003F080C"/>
    <w:rsid w:val="003F19F4"/>
    <w:rsid w:val="003F3AE3"/>
    <w:rsid w:val="003F3EBD"/>
    <w:rsid w:val="003F5D30"/>
    <w:rsid w:val="003F64C0"/>
    <w:rsid w:val="0040167A"/>
    <w:rsid w:val="004027C5"/>
    <w:rsid w:val="00402C19"/>
    <w:rsid w:val="00403837"/>
    <w:rsid w:val="004047DE"/>
    <w:rsid w:val="00404C59"/>
    <w:rsid w:val="00405038"/>
    <w:rsid w:val="0040522D"/>
    <w:rsid w:val="00405558"/>
    <w:rsid w:val="00406061"/>
    <w:rsid w:val="004100A3"/>
    <w:rsid w:val="0041102A"/>
    <w:rsid w:val="004112C9"/>
    <w:rsid w:val="004120F7"/>
    <w:rsid w:val="00415B2B"/>
    <w:rsid w:val="00415BE2"/>
    <w:rsid w:val="00415C86"/>
    <w:rsid w:val="004163D0"/>
    <w:rsid w:val="00420C85"/>
    <w:rsid w:val="00421998"/>
    <w:rsid w:val="00421B4B"/>
    <w:rsid w:val="00422EAB"/>
    <w:rsid w:val="00423947"/>
    <w:rsid w:val="00425740"/>
    <w:rsid w:val="00425DC4"/>
    <w:rsid w:val="00425F29"/>
    <w:rsid w:val="00426D74"/>
    <w:rsid w:val="00427667"/>
    <w:rsid w:val="00427DC0"/>
    <w:rsid w:val="00431831"/>
    <w:rsid w:val="00431D6F"/>
    <w:rsid w:val="00435347"/>
    <w:rsid w:val="00435735"/>
    <w:rsid w:val="00436B77"/>
    <w:rsid w:val="00437547"/>
    <w:rsid w:val="0043763F"/>
    <w:rsid w:val="00443A2B"/>
    <w:rsid w:val="00444B1F"/>
    <w:rsid w:val="0044628F"/>
    <w:rsid w:val="0044643F"/>
    <w:rsid w:val="00446F04"/>
    <w:rsid w:val="00447703"/>
    <w:rsid w:val="0045108A"/>
    <w:rsid w:val="004519F0"/>
    <w:rsid w:val="00452130"/>
    <w:rsid w:val="00452F36"/>
    <w:rsid w:val="00453CBC"/>
    <w:rsid w:val="00455F04"/>
    <w:rsid w:val="00457C24"/>
    <w:rsid w:val="00462C3E"/>
    <w:rsid w:val="00463339"/>
    <w:rsid w:val="00463387"/>
    <w:rsid w:val="00464C42"/>
    <w:rsid w:val="00467A47"/>
    <w:rsid w:val="00470600"/>
    <w:rsid w:val="00470C17"/>
    <w:rsid w:val="00471894"/>
    <w:rsid w:val="00473E2A"/>
    <w:rsid w:val="0047617A"/>
    <w:rsid w:val="00477744"/>
    <w:rsid w:val="004777E0"/>
    <w:rsid w:val="00477D46"/>
    <w:rsid w:val="00481896"/>
    <w:rsid w:val="00482714"/>
    <w:rsid w:val="00483455"/>
    <w:rsid w:val="00484999"/>
    <w:rsid w:val="00484BDB"/>
    <w:rsid w:val="00485038"/>
    <w:rsid w:val="00485890"/>
    <w:rsid w:val="00490796"/>
    <w:rsid w:val="0049330B"/>
    <w:rsid w:val="00493948"/>
    <w:rsid w:val="0049439F"/>
    <w:rsid w:val="00494EBB"/>
    <w:rsid w:val="00495831"/>
    <w:rsid w:val="00495845"/>
    <w:rsid w:val="00497446"/>
    <w:rsid w:val="004A01DD"/>
    <w:rsid w:val="004A0D96"/>
    <w:rsid w:val="004A1018"/>
    <w:rsid w:val="004A27D1"/>
    <w:rsid w:val="004A313A"/>
    <w:rsid w:val="004A44EC"/>
    <w:rsid w:val="004A4770"/>
    <w:rsid w:val="004A522C"/>
    <w:rsid w:val="004A6377"/>
    <w:rsid w:val="004A78B1"/>
    <w:rsid w:val="004B0605"/>
    <w:rsid w:val="004B33E2"/>
    <w:rsid w:val="004B43B7"/>
    <w:rsid w:val="004B56C0"/>
    <w:rsid w:val="004B5F5C"/>
    <w:rsid w:val="004B6C10"/>
    <w:rsid w:val="004B7B9B"/>
    <w:rsid w:val="004C00CB"/>
    <w:rsid w:val="004C07AB"/>
    <w:rsid w:val="004C2201"/>
    <w:rsid w:val="004C23B5"/>
    <w:rsid w:val="004C3DAC"/>
    <w:rsid w:val="004C4E49"/>
    <w:rsid w:val="004C55CD"/>
    <w:rsid w:val="004C6D29"/>
    <w:rsid w:val="004C730D"/>
    <w:rsid w:val="004C7B32"/>
    <w:rsid w:val="004D0A7D"/>
    <w:rsid w:val="004D12F9"/>
    <w:rsid w:val="004D1519"/>
    <w:rsid w:val="004D1C0E"/>
    <w:rsid w:val="004D58B1"/>
    <w:rsid w:val="004D6082"/>
    <w:rsid w:val="004D76B3"/>
    <w:rsid w:val="004D7944"/>
    <w:rsid w:val="004D7DD1"/>
    <w:rsid w:val="004E1F3F"/>
    <w:rsid w:val="004E20F8"/>
    <w:rsid w:val="004E57ED"/>
    <w:rsid w:val="004E62EF"/>
    <w:rsid w:val="004E7033"/>
    <w:rsid w:val="004F02EB"/>
    <w:rsid w:val="004F1835"/>
    <w:rsid w:val="004F1AA8"/>
    <w:rsid w:val="004F293C"/>
    <w:rsid w:val="004F3C9B"/>
    <w:rsid w:val="004F5699"/>
    <w:rsid w:val="004F5BFE"/>
    <w:rsid w:val="004F6523"/>
    <w:rsid w:val="00500558"/>
    <w:rsid w:val="00500E5D"/>
    <w:rsid w:val="00501623"/>
    <w:rsid w:val="005034ED"/>
    <w:rsid w:val="005049B7"/>
    <w:rsid w:val="00506CDF"/>
    <w:rsid w:val="00507951"/>
    <w:rsid w:val="0051109A"/>
    <w:rsid w:val="0051125F"/>
    <w:rsid w:val="005112C7"/>
    <w:rsid w:val="0051152E"/>
    <w:rsid w:val="00511A16"/>
    <w:rsid w:val="00512503"/>
    <w:rsid w:val="005129AB"/>
    <w:rsid w:val="005141AD"/>
    <w:rsid w:val="0051553A"/>
    <w:rsid w:val="00516140"/>
    <w:rsid w:val="005161EE"/>
    <w:rsid w:val="00516648"/>
    <w:rsid w:val="00516D75"/>
    <w:rsid w:val="00517658"/>
    <w:rsid w:val="00517C2D"/>
    <w:rsid w:val="00520B96"/>
    <w:rsid w:val="0052306C"/>
    <w:rsid w:val="00523381"/>
    <w:rsid w:val="00523ABB"/>
    <w:rsid w:val="005259DC"/>
    <w:rsid w:val="0052621D"/>
    <w:rsid w:val="00527202"/>
    <w:rsid w:val="00530D86"/>
    <w:rsid w:val="00531F52"/>
    <w:rsid w:val="00532522"/>
    <w:rsid w:val="00534961"/>
    <w:rsid w:val="00535D22"/>
    <w:rsid w:val="00535EDC"/>
    <w:rsid w:val="00536B0C"/>
    <w:rsid w:val="00536D8B"/>
    <w:rsid w:val="00537701"/>
    <w:rsid w:val="00541BD3"/>
    <w:rsid w:val="00541E35"/>
    <w:rsid w:val="0054427B"/>
    <w:rsid w:val="00545B99"/>
    <w:rsid w:val="00547114"/>
    <w:rsid w:val="00551077"/>
    <w:rsid w:val="00555256"/>
    <w:rsid w:val="00556079"/>
    <w:rsid w:val="0055663F"/>
    <w:rsid w:val="0055756D"/>
    <w:rsid w:val="00560354"/>
    <w:rsid w:val="005605A6"/>
    <w:rsid w:val="005611D0"/>
    <w:rsid w:val="0056309C"/>
    <w:rsid w:val="0056334D"/>
    <w:rsid w:val="005635B7"/>
    <w:rsid w:val="00563E6E"/>
    <w:rsid w:val="005720CE"/>
    <w:rsid w:val="00574610"/>
    <w:rsid w:val="00575112"/>
    <w:rsid w:val="0057529B"/>
    <w:rsid w:val="00576989"/>
    <w:rsid w:val="005814CF"/>
    <w:rsid w:val="00582295"/>
    <w:rsid w:val="00582ED6"/>
    <w:rsid w:val="00583E62"/>
    <w:rsid w:val="00584F27"/>
    <w:rsid w:val="00586667"/>
    <w:rsid w:val="00586EDD"/>
    <w:rsid w:val="00587802"/>
    <w:rsid w:val="005908F4"/>
    <w:rsid w:val="0059237B"/>
    <w:rsid w:val="00592902"/>
    <w:rsid w:val="00596CE2"/>
    <w:rsid w:val="0059747D"/>
    <w:rsid w:val="005974E3"/>
    <w:rsid w:val="005975EF"/>
    <w:rsid w:val="0059771A"/>
    <w:rsid w:val="005979C1"/>
    <w:rsid w:val="005A10BE"/>
    <w:rsid w:val="005A1455"/>
    <w:rsid w:val="005A77DA"/>
    <w:rsid w:val="005B0012"/>
    <w:rsid w:val="005B0A66"/>
    <w:rsid w:val="005B2FCF"/>
    <w:rsid w:val="005B3B2A"/>
    <w:rsid w:val="005B5B18"/>
    <w:rsid w:val="005B5D47"/>
    <w:rsid w:val="005B612F"/>
    <w:rsid w:val="005B65BE"/>
    <w:rsid w:val="005B6EC9"/>
    <w:rsid w:val="005B7358"/>
    <w:rsid w:val="005B7A62"/>
    <w:rsid w:val="005C0745"/>
    <w:rsid w:val="005C08B6"/>
    <w:rsid w:val="005C0AA0"/>
    <w:rsid w:val="005C14AD"/>
    <w:rsid w:val="005C1D05"/>
    <w:rsid w:val="005C1DE9"/>
    <w:rsid w:val="005C2109"/>
    <w:rsid w:val="005C2B7D"/>
    <w:rsid w:val="005C2D48"/>
    <w:rsid w:val="005C32AC"/>
    <w:rsid w:val="005C5E3F"/>
    <w:rsid w:val="005C6F68"/>
    <w:rsid w:val="005C7EDA"/>
    <w:rsid w:val="005D0D7C"/>
    <w:rsid w:val="005D1E68"/>
    <w:rsid w:val="005D240E"/>
    <w:rsid w:val="005D2F70"/>
    <w:rsid w:val="005D3751"/>
    <w:rsid w:val="005D44BB"/>
    <w:rsid w:val="005D4797"/>
    <w:rsid w:val="005D5219"/>
    <w:rsid w:val="005D5F6E"/>
    <w:rsid w:val="005E07E7"/>
    <w:rsid w:val="005E0B6F"/>
    <w:rsid w:val="005E1AEF"/>
    <w:rsid w:val="005E25AD"/>
    <w:rsid w:val="005E34E2"/>
    <w:rsid w:val="005E3819"/>
    <w:rsid w:val="005E54C7"/>
    <w:rsid w:val="005E5C58"/>
    <w:rsid w:val="005E6723"/>
    <w:rsid w:val="005E78F1"/>
    <w:rsid w:val="005F024E"/>
    <w:rsid w:val="005F0F6D"/>
    <w:rsid w:val="005F1DD8"/>
    <w:rsid w:val="005F1DED"/>
    <w:rsid w:val="005F22A2"/>
    <w:rsid w:val="005F2A11"/>
    <w:rsid w:val="005F35C6"/>
    <w:rsid w:val="005F5E2A"/>
    <w:rsid w:val="005F641B"/>
    <w:rsid w:val="005F6C22"/>
    <w:rsid w:val="005F6E4A"/>
    <w:rsid w:val="005F7052"/>
    <w:rsid w:val="005F7537"/>
    <w:rsid w:val="00601C6E"/>
    <w:rsid w:val="00601F93"/>
    <w:rsid w:val="00602753"/>
    <w:rsid w:val="006029AA"/>
    <w:rsid w:val="00606376"/>
    <w:rsid w:val="0061063A"/>
    <w:rsid w:val="006106CA"/>
    <w:rsid w:val="0061093D"/>
    <w:rsid w:val="00613354"/>
    <w:rsid w:val="00614AAB"/>
    <w:rsid w:val="006155AA"/>
    <w:rsid w:val="006156A9"/>
    <w:rsid w:val="006158E9"/>
    <w:rsid w:val="00616ACF"/>
    <w:rsid w:val="00617446"/>
    <w:rsid w:val="006179BB"/>
    <w:rsid w:val="00617BD2"/>
    <w:rsid w:val="00623171"/>
    <w:rsid w:val="00626280"/>
    <w:rsid w:val="00626CE5"/>
    <w:rsid w:val="00626D76"/>
    <w:rsid w:val="0063027D"/>
    <w:rsid w:val="00633576"/>
    <w:rsid w:val="006344F3"/>
    <w:rsid w:val="00634E49"/>
    <w:rsid w:val="006352C0"/>
    <w:rsid w:val="006364BB"/>
    <w:rsid w:val="0063656D"/>
    <w:rsid w:val="00636855"/>
    <w:rsid w:val="00636F2E"/>
    <w:rsid w:val="0064162C"/>
    <w:rsid w:val="00642580"/>
    <w:rsid w:val="00643230"/>
    <w:rsid w:val="006454C0"/>
    <w:rsid w:val="006458C9"/>
    <w:rsid w:val="00647F33"/>
    <w:rsid w:val="00650660"/>
    <w:rsid w:val="00650762"/>
    <w:rsid w:val="00650B20"/>
    <w:rsid w:val="00651C5D"/>
    <w:rsid w:val="0065230B"/>
    <w:rsid w:val="00652438"/>
    <w:rsid w:val="00653018"/>
    <w:rsid w:val="006532D7"/>
    <w:rsid w:val="00653A84"/>
    <w:rsid w:val="00654710"/>
    <w:rsid w:val="00656FE6"/>
    <w:rsid w:val="0066187C"/>
    <w:rsid w:val="00666579"/>
    <w:rsid w:val="00666B91"/>
    <w:rsid w:val="00666EE7"/>
    <w:rsid w:val="00672195"/>
    <w:rsid w:val="00672F50"/>
    <w:rsid w:val="006733BB"/>
    <w:rsid w:val="006733C7"/>
    <w:rsid w:val="00676AA8"/>
    <w:rsid w:val="006779F0"/>
    <w:rsid w:val="0068015B"/>
    <w:rsid w:val="006802B9"/>
    <w:rsid w:val="006817EE"/>
    <w:rsid w:val="006824D1"/>
    <w:rsid w:val="006830BB"/>
    <w:rsid w:val="00683ADD"/>
    <w:rsid w:val="006851D3"/>
    <w:rsid w:val="00685B6D"/>
    <w:rsid w:val="006918A7"/>
    <w:rsid w:val="00692CB0"/>
    <w:rsid w:val="006941D5"/>
    <w:rsid w:val="00695F54"/>
    <w:rsid w:val="00695FA3"/>
    <w:rsid w:val="006960BD"/>
    <w:rsid w:val="006965E2"/>
    <w:rsid w:val="006979D1"/>
    <w:rsid w:val="006A0110"/>
    <w:rsid w:val="006A08B2"/>
    <w:rsid w:val="006A1A8A"/>
    <w:rsid w:val="006A23A6"/>
    <w:rsid w:val="006A2DED"/>
    <w:rsid w:val="006A2F15"/>
    <w:rsid w:val="006A61BF"/>
    <w:rsid w:val="006A6D28"/>
    <w:rsid w:val="006A784A"/>
    <w:rsid w:val="006B00BD"/>
    <w:rsid w:val="006B152F"/>
    <w:rsid w:val="006B3346"/>
    <w:rsid w:val="006B3416"/>
    <w:rsid w:val="006B35A8"/>
    <w:rsid w:val="006B653B"/>
    <w:rsid w:val="006B7F89"/>
    <w:rsid w:val="006C0746"/>
    <w:rsid w:val="006C260F"/>
    <w:rsid w:val="006C2CFC"/>
    <w:rsid w:val="006C2F8F"/>
    <w:rsid w:val="006C37A4"/>
    <w:rsid w:val="006C411D"/>
    <w:rsid w:val="006C6E1E"/>
    <w:rsid w:val="006D14A2"/>
    <w:rsid w:val="006D150F"/>
    <w:rsid w:val="006D23BF"/>
    <w:rsid w:val="006D280F"/>
    <w:rsid w:val="006D2961"/>
    <w:rsid w:val="006D5F8F"/>
    <w:rsid w:val="006D67A9"/>
    <w:rsid w:val="006D6BEC"/>
    <w:rsid w:val="006E20B8"/>
    <w:rsid w:val="006E2EB4"/>
    <w:rsid w:val="006E443D"/>
    <w:rsid w:val="006E52F4"/>
    <w:rsid w:val="006E5E5F"/>
    <w:rsid w:val="006E7C7F"/>
    <w:rsid w:val="006F2D84"/>
    <w:rsid w:val="006F45BF"/>
    <w:rsid w:val="006F4C1A"/>
    <w:rsid w:val="006F5C5A"/>
    <w:rsid w:val="006F61C0"/>
    <w:rsid w:val="006F7DE7"/>
    <w:rsid w:val="0070094E"/>
    <w:rsid w:val="0070100E"/>
    <w:rsid w:val="00701100"/>
    <w:rsid w:val="007012AF"/>
    <w:rsid w:val="007022E9"/>
    <w:rsid w:val="00703481"/>
    <w:rsid w:val="00704153"/>
    <w:rsid w:val="007042FE"/>
    <w:rsid w:val="00704A77"/>
    <w:rsid w:val="00705A4D"/>
    <w:rsid w:val="00706B45"/>
    <w:rsid w:val="007076F1"/>
    <w:rsid w:val="00710383"/>
    <w:rsid w:val="00712265"/>
    <w:rsid w:val="007126D0"/>
    <w:rsid w:val="00712C4E"/>
    <w:rsid w:val="00716501"/>
    <w:rsid w:val="00721EFF"/>
    <w:rsid w:val="0072287D"/>
    <w:rsid w:val="0072429C"/>
    <w:rsid w:val="00724A13"/>
    <w:rsid w:val="00724FE3"/>
    <w:rsid w:val="00725D54"/>
    <w:rsid w:val="0072620A"/>
    <w:rsid w:val="007274AB"/>
    <w:rsid w:val="0073060C"/>
    <w:rsid w:val="0073281D"/>
    <w:rsid w:val="00732B65"/>
    <w:rsid w:val="00733842"/>
    <w:rsid w:val="00733A72"/>
    <w:rsid w:val="00734788"/>
    <w:rsid w:val="007363B0"/>
    <w:rsid w:val="007364D8"/>
    <w:rsid w:val="00737D43"/>
    <w:rsid w:val="00740C64"/>
    <w:rsid w:val="0074276F"/>
    <w:rsid w:val="0074576E"/>
    <w:rsid w:val="00745A7F"/>
    <w:rsid w:val="00747979"/>
    <w:rsid w:val="007479EE"/>
    <w:rsid w:val="00747B18"/>
    <w:rsid w:val="007520F8"/>
    <w:rsid w:val="00754335"/>
    <w:rsid w:val="0075458D"/>
    <w:rsid w:val="00754DA6"/>
    <w:rsid w:val="00757A50"/>
    <w:rsid w:val="00762463"/>
    <w:rsid w:val="00762C6A"/>
    <w:rsid w:val="00766064"/>
    <w:rsid w:val="007661F3"/>
    <w:rsid w:val="00766800"/>
    <w:rsid w:val="0077148A"/>
    <w:rsid w:val="007730E8"/>
    <w:rsid w:val="0077332D"/>
    <w:rsid w:val="00773664"/>
    <w:rsid w:val="007736E1"/>
    <w:rsid w:val="0077420F"/>
    <w:rsid w:val="00776139"/>
    <w:rsid w:val="00776275"/>
    <w:rsid w:val="00776825"/>
    <w:rsid w:val="00777ADF"/>
    <w:rsid w:val="007811AE"/>
    <w:rsid w:val="007820CE"/>
    <w:rsid w:val="00782433"/>
    <w:rsid w:val="007828A7"/>
    <w:rsid w:val="00783BB1"/>
    <w:rsid w:val="00784998"/>
    <w:rsid w:val="007879E9"/>
    <w:rsid w:val="0079190E"/>
    <w:rsid w:val="00792AFB"/>
    <w:rsid w:val="00792B7D"/>
    <w:rsid w:val="0079562B"/>
    <w:rsid w:val="00795B75"/>
    <w:rsid w:val="00796A4D"/>
    <w:rsid w:val="007A046E"/>
    <w:rsid w:val="007A04A0"/>
    <w:rsid w:val="007A28EC"/>
    <w:rsid w:val="007A38CE"/>
    <w:rsid w:val="007A4479"/>
    <w:rsid w:val="007A4ED1"/>
    <w:rsid w:val="007A56F3"/>
    <w:rsid w:val="007A635F"/>
    <w:rsid w:val="007B02D4"/>
    <w:rsid w:val="007B061A"/>
    <w:rsid w:val="007B1830"/>
    <w:rsid w:val="007B245C"/>
    <w:rsid w:val="007B3C32"/>
    <w:rsid w:val="007B56C1"/>
    <w:rsid w:val="007B5D51"/>
    <w:rsid w:val="007B67F2"/>
    <w:rsid w:val="007B7096"/>
    <w:rsid w:val="007B764F"/>
    <w:rsid w:val="007C0A36"/>
    <w:rsid w:val="007C0ACF"/>
    <w:rsid w:val="007C2755"/>
    <w:rsid w:val="007C28DC"/>
    <w:rsid w:val="007C6A47"/>
    <w:rsid w:val="007D2E77"/>
    <w:rsid w:val="007D4904"/>
    <w:rsid w:val="007D4E69"/>
    <w:rsid w:val="007D6027"/>
    <w:rsid w:val="007D68BF"/>
    <w:rsid w:val="007D75D9"/>
    <w:rsid w:val="007E0F5A"/>
    <w:rsid w:val="007E1362"/>
    <w:rsid w:val="007E2275"/>
    <w:rsid w:val="007E3A0A"/>
    <w:rsid w:val="007E3F79"/>
    <w:rsid w:val="007E41F6"/>
    <w:rsid w:val="007E6E6D"/>
    <w:rsid w:val="007F2136"/>
    <w:rsid w:val="007F3A67"/>
    <w:rsid w:val="007F3BDB"/>
    <w:rsid w:val="007F57E3"/>
    <w:rsid w:val="0080026B"/>
    <w:rsid w:val="00803F9F"/>
    <w:rsid w:val="008043BA"/>
    <w:rsid w:val="00804BA3"/>
    <w:rsid w:val="00804F36"/>
    <w:rsid w:val="008107DD"/>
    <w:rsid w:val="00810C3A"/>
    <w:rsid w:val="0081139E"/>
    <w:rsid w:val="008155AB"/>
    <w:rsid w:val="00815927"/>
    <w:rsid w:val="008159E7"/>
    <w:rsid w:val="00817B14"/>
    <w:rsid w:val="00817F58"/>
    <w:rsid w:val="008203C1"/>
    <w:rsid w:val="00825BB0"/>
    <w:rsid w:val="00831D67"/>
    <w:rsid w:val="00832008"/>
    <w:rsid w:val="00832F6F"/>
    <w:rsid w:val="00834985"/>
    <w:rsid w:val="008351BE"/>
    <w:rsid w:val="00835AAE"/>
    <w:rsid w:val="00836A04"/>
    <w:rsid w:val="00836B27"/>
    <w:rsid w:val="008373EC"/>
    <w:rsid w:val="00837522"/>
    <w:rsid w:val="00837A1B"/>
    <w:rsid w:val="00841DDF"/>
    <w:rsid w:val="008422B9"/>
    <w:rsid w:val="008423BD"/>
    <w:rsid w:val="00842CBA"/>
    <w:rsid w:val="00842DD8"/>
    <w:rsid w:val="008436F6"/>
    <w:rsid w:val="00843E27"/>
    <w:rsid w:val="00844131"/>
    <w:rsid w:val="008446BB"/>
    <w:rsid w:val="008478A4"/>
    <w:rsid w:val="00847CA9"/>
    <w:rsid w:val="00847EE7"/>
    <w:rsid w:val="00850151"/>
    <w:rsid w:val="008522DF"/>
    <w:rsid w:val="0085545D"/>
    <w:rsid w:val="00856EFF"/>
    <w:rsid w:val="00860A07"/>
    <w:rsid w:val="008628D1"/>
    <w:rsid w:val="00862E12"/>
    <w:rsid w:val="00863080"/>
    <w:rsid w:val="0086321F"/>
    <w:rsid w:val="008634E2"/>
    <w:rsid w:val="00866B57"/>
    <w:rsid w:val="0086753F"/>
    <w:rsid w:val="0087123B"/>
    <w:rsid w:val="0087160C"/>
    <w:rsid w:val="0087461B"/>
    <w:rsid w:val="0087461F"/>
    <w:rsid w:val="00874B48"/>
    <w:rsid w:val="00874FA3"/>
    <w:rsid w:val="00880F27"/>
    <w:rsid w:val="008813CB"/>
    <w:rsid w:val="008833CF"/>
    <w:rsid w:val="008841EF"/>
    <w:rsid w:val="0088777F"/>
    <w:rsid w:val="00893856"/>
    <w:rsid w:val="0089536B"/>
    <w:rsid w:val="00895789"/>
    <w:rsid w:val="008A314A"/>
    <w:rsid w:val="008A4A36"/>
    <w:rsid w:val="008A522C"/>
    <w:rsid w:val="008A6BE4"/>
    <w:rsid w:val="008A7D37"/>
    <w:rsid w:val="008B1508"/>
    <w:rsid w:val="008B164C"/>
    <w:rsid w:val="008B205B"/>
    <w:rsid w:val="008B2B08"/>
    <w:rsid w:val="008B2E5B"/>
    <w:rsid w:val="008B4528"/>
    <w:rsid w:val="008B475A"/>
    <w:rsid w:val="008B59D7"/>
    <w:rsid w:val="008B622C"/>
    <w:rsid w:val="008B7BF7"/>
    <w:rsid w:val="008C0216"/>
    <w:rsid w:val="008C06E0"/>
    <w:rsid w:val="008C143C"/>
    <w:rsid w:val="008C1B84"/>
    <w:rsid w:val="008C2D08"/>
    <w:rsid w:val="008C3967"/>
    <w:rsid w:val="008C6B26"/>
    <w:rsid w:val="008D0124"/>
    <w:rsid w:val="008D09D3"/>
    <w:rsid w:val="008D1709"/>
    <w:rsid w:val="008D5807"/>
    <w:rsid w:val="008D595D"/>
    <w:rsid w:val="008D5B2D"/>
    <w:rsid w:val="008D5D6B"/>
    <w:rsid w:val="008D6E55"/>
    <w:rsid w:val="008E0706"/>
    <w:rsid w:val="008E1DCB"/>
    <w:rsid w:val="008E1FE6"/>
    <w:rsid w:val="008E2BD7"/>
    <w:rsid w:val="008E59BC"/>
    <w:rsid w:val="008E6DB3"/>
    <w:rsid w:val="008F1643"/>
    <w:rsid w:val="008F3342"/>
    <w:rsid w:val="008F37BA"/>
    <w:rsid w:val="008F4C1F"/>
    <w:rsid w:val="008F5260"/>
    <w:rsid w:val="008F6531"/>
    <w:rsid w:val="008F67F2"/>
    <w:rsid w:val="008F7D43"/>
    <w:rsid w:val="00900003"/>
    <w:rsid w:val="00902E80"/>
    <w:rsid w:val="009037C0"/>
    <w:rsid w:val="00907CC9"/>
    <w:rsid w:val="00910CC8"/>
    <w:rsid w:val="0091296F"/>
    <w:rsid w:val="00913716"/>
    <w:rsid w:val="00913B4E"/>
    <w:rsid w:val="009148C0"/>
    <w:rsid w:val="00914FB1"/>
    <w:rsid w:val="00915B41"/>
    <w:rsid w:val="00916218"/>
    <w:rsid w:val="00917C7C"/>
    <w:rsid w:val="00917D93"/>
    <w:rsid w:val="00924F2E"/>
    <w:rsid w:val="00925D81"/>
    <w:rsid w:val="00926EC0"/>
    <w:rsid w:val="00927C48"/>
    <w:rsid w:val="00930B8E"/>
    <w:rsid w:val="00930D57"/>
    <w:rsid w:val="00931A76"/>
    <w:rsid w:val="00931F72"/>
    <w:rsid w:val="00931F77"/>
    <w:rsid w:val="00933070"/>
    <w:rsid w:val="0093387F"/>
    <w:rsid w:val="00935019"/>
    <w:rsid w:val="009356F9"/>
    <w:rsid w:val="00935D91"/>
    <w:rsid w:val="009410CE"/>
    <w:rsid w:val="00942266"/>
    <w:rsid w:val="00943C5A"/>
    <w:rsid w:val="00944150"/>
    <w:rsid w:val="00951E48"/>
    <w:rsid w:val="00952D15"/>
    <w:rsid w:val="00953300"/>
    <w:rsid w:val="0095414F"/>
    <w:rsid w:val="009550DC"/>
    <w:rsid w:val="00957660"/>
    <w:rsid w:val="00960AA8"/>
    <w:rsid w:val="00961FC5"/>
    <w:rsid w:val="0096234D"/>
    <w:rsid w:val="009627DD"/>
    <w:rsid w:val="00962890"/>
    <w:rsid w:val="00963108"/>
    <w:rsid w:val="009640A8"/>
    <w:rsid w:val="009659D9"/>
    <w:rsid w:val="00966B02"/>
    <w:rsid w:val="00967CD6"/>
    <w:rsid w:val="00970AA0"/>
    <w:rsid w:val="00970C9A"/>
    <w:rsid w:val="00970D6B"/>
    <w:rsid w:val="00971F21"/>
    <w:rsid w:val="00972C7C"/>
    <w:rsid w:val="009746C6"/>
    <w:rsid w:val="00974B83"/>
    <w:rsid w:val="00975A79"/>
    <w:rsid w:val="00976389"/>
    <w:rsid w:val="00976F04"/>
    <w:rsid w:val="00977127"/>
    <w:rsid w:val="00977469"/>
    <w:rsid w:val="0098032E"/>
    <w:rsid w:val="009804BE"/>
    <w:rsid w:val="0098252D"/>
    <w:rsid w:val="00982D95"/>
    <w:rsid w:val="0098499C"/>
    <w:rsid w:val="009858E1"/>
    <w:rsid w:val="009874E6"/>
    <w:rsid w:val="00990232"/>
    <w:rsid w:val="00991AE5"/>
    <w:rsid w:val="00991FF1"/>
    <w:rsid w:val="0099215B"/>
    <w:rsid w:val="00992C06"/>
    <w:rsid w:val="00994B74"/>
    <w:rsid w:val="00996445"/>
    <w:rsid w:val="009968C4"/>
    <w:rsid w:val="009A079B"/>
    <w:rsid w:val="009A180B"/>
    <w:rsid w:val="009A18F1"/>
    <w:rsid w:val="009A4B5C"/>
    <w:rsid w:val="009A5971"/>
    <w:rsid w:val="009A5CE5"/>
    <w:rsid w:val="009A5D6C"/>
    <w:rsid w:val="009B00A4"/>
    <w:rsid w:val="009B0B24"/>
    <w:rsid w:val="009B1F08"/>
    <w:rsid w:val="009B25AC"/>
    <w:rsid w:val="009B2C9A"/>
    <w:rsid w:val="009B2FEC"/>
    <w:rsid w:val="009B33B4"/>
    <w:rsid w:val="009B6A80"/>
    <w:rsid w:val="009B71E9"/>
    <w:rsid w:val="009B7ABD"/>
    <w:rsid w:val="009C0986"/>
    <w:rsid w:val="009C0D3E"/>
    <w:rsid w:val="009C22CE"/>
    <w:rsid w:val="009C31E5"/>
    <w:rsid w:val="009C4D8C"/>
    <w:rsid w:val="009C6149"/>
    <w:rsid w:val="009D0B36"/>
    <w:rsid w:val="009D228E"/>
    <w:rsid w:val="009D3307"/>
    <w:rsid w:val="009D6DD0"/>
    <w:rsid w:val="009D7972"/>
    <w:rsid w:val="009E0888"/>
    <w:rsid w:val="009E14C3"/>
    <w:rsid w:val="009E1A52"/>
    <w:rsid w:val="009E3378"/>
    <w:rsid w:val="009E3AC1"/>
    <w:rsid w:val="009E500D"/>
    <w:rsid w:val="009E5776"/>
    <w:rsid w:val="009E76AF"/>
    <w:rsid w:val="009F065D"/>
    <w:rsid w:val="009F0B7E"/>
    <w:rsid w:val="009F1056"/>
    <w:rsid w:val="009F2E7B"/>
    <w:rsid w:val="009F4511"/>
    <w:rsid w:val="009F4781"/>
    <w:rsid w:val="009F565C"/>
    <w:rsid w:val="009F5960"/>
    <w:rsid w:val="009F6273"/>
    <w:rsid w:val="009F6BC7"/>
    <w:rsid w:val="00A012DF"/>
    <w:rsid w:val="00A0141D"/>
    <w:rsid w:val="00A016AB"/>
    <w:rsid w:val="00A016C7"/>
    <w:rsid w:val="00A017D4"/>
    <w:rsid w:val="00A01F9F"/>
    <w:rsid w:val="00A029F7"/>
    <w:rsid w:val="00A038C0"/>
    <w:rsid w:val="00A03AC5"/>
    <w:rsid w:val="00A03D5D"/>
    <w:rsid w:val="00A06296"/>
    <w:rsid w:val="00A07B1E"/>
    <w:rsid w:val="00A10480"/>
    <w:rsid w:val="00A11010"/>
    <w:rsid w:val="00A11203"/>
    <w:rsid w:val="00A11A17"/>
    <w:rsid w:val="00A11B3C"/>
    <w:rsid w:val="00A11E60"/>
    <w:rsid w:val="00A130B3"/>
    <w:rsid w:val="00A145F5"/>
    <w:rsid w:val="00A14ECE"/>
    <w:rsid w:val="00A15354"/>
    <w:rsid w:val="00A1741B"/>
    <w:rsid w:val="00A21AF4"/>
    <w:rsid w:val="00A233D6"/>
    <w:rsid w:val="00A25E48"/>
    <w:rsid w:val="00A26233"/>
    <w:rsid w:val="00A2700C"/>
    <w:rsid w:val="00A331B9"/>
    <w:rsid w:val="00A33D0D"/>
    <w:rsid w:val="00A35776"/>
    <w:rsid w:val="00A36C54"/>
    <w:rsid w:val="00A373F3"/>
    <w:rsid w:val="00A37674"/>
    <w:rsid w:val="00A37E86"/>
    <w:rsid w:val="00A40F63"/>
    <w:rsid w:val="00A4286A"/>
    <w:rsid w:val="00A44810"/>
    <w:rsid w:val="00A44D1F"/>
    <w:rsid w:val="00A45231"/>
    <w:rsid w:val="00A45933"/>
    <w:rsid w:val="00A46A4A"/>
    <w:rsid w:val="00A47FD5"/>
    <w:rsid w:val="00A5079F"/>
    <w:rsid w:val="00A50E35"/>
    <w:rsid w:val="00A54A6E"/>
    <w:rsid w:val="00A5507A"/>
    <w:rsid w:val="00A5604F"/>
    <w:rsid w:val="00A56418"/>
    <w:rsid w:val="00A56D7B"/>
    <w:rsid w:val="00A57BCF"/>
    <w:rsid w:val="00A60900"/>
    <w:rsid w:val="00A61D6F"/>
    <w:rsid w:val="00A622C9"/>
    <w:rsid w:val="00A62E3C"/>
    <w:rsid w:val="00A63212"/>
    <w:rsid w:val="00A64633"/>
    <w:rsid w:val="00A64A79"/>
    <w:rsid w:val="00A65CE7"/>
    <w:rsid w:val="00A6655C"/>
    <w:rsid w:val="00A712A3"/>
    <w:rsid w:val="00A71F3E"/>
    <w:rsid w:val="00A7353B"/>
    <w:rsid w:val="00A756E1"/>
    <w:rsid w:val="00A75E9B"/>
    <w:rsid w:val="00A77620"/>
    <w:rsid w:val="00A805C4"/>
    <w:rsid w:val="00A823D5"/>
    <w:rsid w:val="00A858AC"/>
    <w:rsid w:val="00A85B73"/>
    <w:rsid w:val="00A864E3"/>
    <w:rsid w:val="00A86D9A"/>
    <w:rsid w:val="00A86DB0"/>
    <w:rsid w:val="00A90E5A"/>
    <w:rsid w:val="00A927C7"/>
    <w:rsid w:val="00A92938"/>
    <w:rsid w:val="00A932FB"/>
    <w:rsid w:val="00A93CB0"/>
    <w:rsid w:val="00A9469B"/>
    <w:rsid w:val="00A9504A"/>
    <w:rsid w:val="00A969A3"/>
    <w:rsid w:val="00AA0E62"/>
    <w:rsid w:val="00AA203E"/>
    <w:rsid w:val="00AA3ACC"/>
    <w:rsid w:val="00AA3C3D"/>
    <w:rsid w:val="00AA403F"/>
    <w:rsid w:val="00AA59F1"/>
    <w:rsid w:val="00AA5A96"/>
    <w:rsid w:val="00AA6403"/>
    <w:rsid w:val="00AA6468"/>
    <w:rsid w:val="00AB0B37"/>
    <w:rsid w:val="00AC3D3C"/>
    <w:rsid w:val="00AC49C6"/>
    <w:rsid w:val="00AC4C88"/>
    <w:rsid w:val="00AC5001"/>
    <w:rsid w:val="00AC583F"/>
    <w:rsid w:val="00AC6329"/>
    <w:rsid w:val="00AC6B29"/>
    <w:rsid w:val="00AC7633"/>
    <w:rsid w:val="00AD09EE"/>
    <w:rsid w:val="00AD0B13"/>
    <w:rsid w:val="00AD11E4"/>
    <w:rsid w:val="00AD4406"/>
    <w:rsid w:val="00AD535F"/>
    <w:rsid w:val="00AD6E01"/>
    <w:rsid w:val="00AE0404"/>
    <w:rsid w:val="00AE3419"/>
    <w:rsid w:val="00AE3828"/>
    <w:rsid w:val="00AE3A67"/>
    <w:rsid w:val="00AE45E2"/>
    <w:rsid w:val="00AE598B"/>
    <w:rsid w:val="00AE5FA7"/>
    <w:rsid w:val="00AE5FC1"/>
    <w:rsid w:val="00AE5FE6"/>
    <w:rsid w:val="00AE60DD"/>
    <w:rsid w:val="00AE617A"/>
    <w:rsid w:val="00AF0FBD"/>
    <w:rsid w:val="00AF18CD"/>
    <w:rsid w:val="00AF4A5A"/>
    <w:rsid w:val="00AF5378"/>
    <w:rsid w:val="00AF7820"/>
    <w:rsid w:val="00B00FE0"/>
    <w:rsid w:val="00B015A4"/>
    <w:rsid w:val="00B022A2"/>
    <w:rsid w:val="00B03786"/>
    <w:rsid w:val="00B03845"/>
    <w:rsid w:val="00B046B8"/>
    <w:rsid w:val="00B047C6"/>
    <w:rsid w:val="00B10049"/>
    <w:rsid w:val="00B12242"/>
    <w:rsid w:val="00B12B37"/>
    <w:rsid w:val="00B13815"/>
    <w:rsid w:val="00B17792"/>
    <w:rsid w:val="00B17B7F"/>
    <w:rsid w:val="00B17E0E"/>
    <w:rsid w:val="00B2030D"/>
    <w:rsid w:val="00B22E5E"/>
    <w:rsid w:val="00B22EF1"/>
    <w:rsid w:val="00B25F79"/>
    <w:rsid w:val="00B2613B"/>
    <w:rsid w:val="00B26F84"/>
    <w:rsid w:val="00B27475"/>
    <w:rsid w:val="00B30C25"/>
    <w:rsid w:val="00B30FB0"/>
    <w:rsid w:val="00B313F3"/>
    <w:rsid w:val="00B318AA"/>
    <w:rsid w:val="00B346C1"/>
    <w:rsid w:val="00B34C8A"/>
    <w:rsid w:val="00B34FCC"/>
    <w:rsid w:val="00B35135"/>
    <w:rsid w:val="00B357AA"/>
    <w:rsid w:val="00B37B50"/>
    <w:rsid w:val="00B40E80"/>
    <w:rsid w:val="00B411DC"/>
    <w:rsid w:val="00B41858"/>
    <w:rsid w:val="00B419FB"/>
    <w:rsid w:val="00B423D3"/>
    <w:rsid w:val="00B42909"/>
    <w:rsid w:val="00B446CC"/>
    <w:rsid w:val="00B44CFE"/>
    <w:rsid w:val="00B44EDC"/>
    <w:rsid w:val="00B44F3A"/>
    <w:rsid w:val="00B473B2"/>
    <w:rsid w:val="00B50447"/>
    <w:rsid w:val="00B50EA1"/>
    <w:rsid w:val="00B51218"/>
    <w:rsid w:val="00B51D4F"/>
    <w:rsid w:val="00B53A7C"/>
    <w:rsid w:val="00B54015"/>
    <w:rsid w:val="00B5497D"/>
    <w:rsid w:val="00B5537A"/>
    <w:rsid w:val="00B55F35"/>
    <w:rsid w:val="00B56DBA"/>
    <w:rsid w:val="00B5728C"/>
    <w:rsid w:val="00B57B04"/>
    <w:rsid w:val="00B57F23"/>
    <w:rsid w:val="00B635BF"/>
    <w:rsid w:val="00B6407A"/>
    <w:rsid w:val="00B64A39"/>
    <w:rsid w:val="00B657EB"/>
    <w:rsid w:val="00B666AA"/>
    <w:rsid w:val="00B70573"/>
    <w:rsid w:val="00B7239B"/>
    <w:rsid w:val="00B729B7"/>
    <w:rsid w:val="00B73A06"/>
    <w:rsid w:val="00B74DAC"/>
    <w:rsid w:val="00B74E1C"/>
    <w:rsid w:val="00B757F3"/>
    <w:rsid w:val="00B7607A"/>
    <w:rsid w:val="00B80008"/>
    <w:rsid w:val="00B80AA7"/>
    <w:rsid w:val="00B80BB0"/>
    <w:rsid w:val="00B8164F"/>
    <w:rsid w:val="00B82BD8"/>
    <w:rsid w:val="00B82F8C"/>
    <w:rsid w:val="00B8415F"/>
    <w:rsid w:val="00B8537D"/>
    <w:rsid w:val="00B853CB"/>
    <w:rsid w:val="00B858E9"/>
    <w:rsid w:val="00B9062A"/>
    <w:rsid w:val="00B919BA"/>
    <w:rsid w:val="00B926B6"/>
    <w:rsid w:val="00B95BB9"/>
    <w:rsid w:val="00B96A47"/>
    <w:rsid w:val="00B97F40"/>
    <w:rsid w:val="00BA2119"/>
    <w:rsid w:val="00BA3BAB"/>
    <w:rsid w:val="00BA75B2"/>
    <w:rsid w:val="00BA7C52"/>
    <w:rsid w:val="00BB2682"/>
    <w:rsid w:val="00BB3B15"/>
    <w:rsid w:val="00BB3C5F"/>
    <w:rsid w:val="00BB5230"/>
    <w:rsid w:val="00BB7348"/>
    <w:rsid w:val="00BB7F9A"/>
    <w:rsid w:val="00BC0401"/>
    <w:rsid w:val="00BC2162"/>
    <w:rsid w:val="00BC22A2"/>
    <w:rsid w:val="00BC296E"/>
    <w:rsid w:val="00BC4E29"/>
    <w:rsid w:val="00BC6C3B"/>
    <w:rsid w:val="00BC70A9"/>
    <w:rsid w:val="00BD01E5"/>
    <w:rsid w:val="00BD0630"/>
    <w:rsid w:val="00BD0729"/>
    <w:rsid w:val="00BD148D"/>
    <w:rsid w:val="00BD2050"/>
    <w:rsid w:val="00BD3548"/>
    <w:rsid w:val="00BD36B9"/>
    <w:rsid w:val="00BD3D4D"/>
    <w:rsid w:val="00BD3FBD"/>
    <w:rsid w:val="00BD66A1"/>
    <w:rsid w:val="00BD6D96"/>
    <w:rsid w:val="00BE125C"/>
    <w:rsid w:val="00BE140D"/>
    <w:rsid w:val="00BE1CED"/>
    <w:rsid w:val="00BE22EC"/>
    <w:rsid w:val="00BE282C"/>
    <w:rsid w:val="00BE324D"/>
    <w:rsid w:val="00BE4958"/>
    <w:rsid w:val="00BE4C2D"/>
    <w:rsid w:val="00BE4E0A"/>
    <w:rsid w:val="00BE5553"/>
    <w:rsid w:val="00BE55AB"/>
    <w:rsid w:val="00BE7C94"/>
    <w:rsid w:val="00BF11AA"/>
    <w:rsid w:val="00BF1E74"/>
    <w:rsid w:val="00BF278F"/>
    <w:rsid w:val="00BF47C2"/>
    <w:rsid w:val="00BF5227"/>
    <w:rsid w:val="00BF6E61"/>
    <w:rsid w:val="00BF736B"/>
    <w:rsid w:val="00BF771E"/>
    <w:rsid w:val="00C00DE5"/>
    <w:rsid w:val="00C018B4"/>
    <w:rsid w:val="00C01B46"/>
    <w:rsid w:val="00C020D5"/>
    <w:rsid w:val="00C02C54"/>
    <w:rsid w:val="00C0337F"/>
    <w:rsid w:val="00C03554"/>
    <w:rsid w:val="00C036FD"/>
    <w:rsid w:val="00C0381C"/>
    <w:rsid w:val="00C0454F"/>
    <w:rsid w:val="00C04F52"/>
    <w:rsid w:val="00C05B64"/>
    <w:rsid w:val="00C06A24"/>
    <w:rsid w:val="00C0744C"/>
    <w:rsid w:val="00C079D0"/>
    <w:rsid w:val="00C10475"/>
    <w:rsid w:val="00C10FDE"/>
    <w:rsid w:val="00C115B6"/>
    <w:rsid w:val="00C17D6F"/>
    <w:rsid w:val="00C20E8E"/>
    <w:rsid w:val="00C221E8"/>
    <w:rsid w:val="00C249FA"/>
    <w:rsid w:val="00C24FEA"/>
    <w:rsid w:val="00C25868"/>
    <w:rsid w:val="00C26A60"/>
    <w:rsid w:val="00C30348"/>
    <w:rsid w:val="00C30605"/>
    <w:rsid w:val="00C312BA"/>
    <w:rsid w:val="00C315EF"/>
    <w:rsid w:val="00C33139"/>
    <w:rsid w:val="00C3478C"/>
    <w:rsid w:val="00C34CC8"/>
    <w:rsid w:val="00C368E3"/>
    <w:rsid w:val="00C45290"/>
    <w:rsid w:val="00C45574"/>
    <w:rsid w:val="00C47508"/>
    <w:rsid w:val="00C47AC8"/>
    <w:rsid w:val="00C507C7"/>
    <w:rsid w:val="00C508EB"/>
    <w:rsid w:val="00C5438E"/>
    <w:rsid w:val="00C5498A"/>
    <w:rsid w:val="00C609BE"/>
    <w:rsid w:val="00C60BA7"/>
    <w:rsid w:val="00C61C8B"/>
    <w:rsid w:val="00C620C4"/>
    <w:rsid w:val="00C62E20"/>
    <w:rsid w:val="00C638A9"/>
    <w:rsid w:val="00C643F7"/>
    <w:rsid w:val="00C70777"/>
    <w:rsid w:val="00C717D4"/>
    <w:rsid w:val="00C72028"/>
    <w:rsid w:val="00C7234F"/>
    <w:rsid w:val="00C7445C"/>
    <w:rsid w:val="00C75FAA"/>
    <w:rsid w:val="00C765D5"/>
    <w:rsid w:val="00C7681F"/>
    <w:rsid w:val="00C76BB1"/>
    <w:rsid w:val="00C76FF5"/>
    <w:rsid w:val="00C824A8"/>
    <w:rsid w:val="00C82B11"/>
    <w:rsid w:val="00C84F20"/>
    <w:rsid w:val="00C857D8"/>
    <w:rsid w:val="00C86D7A"/>
    <w:rsid w:val="00C87EC9"/>
    <w:rsid w:val="00C912CC"/>
    <w:rsid w:val="00C930E0"/>
    <w:rsid w:val="00C937B9"/>
    <w:rsid w:val="00C94BE2"/>
    <w:rsid w:val="00C95397"/>
    <w:rsid w:val="00C973CC"/>
    <w:rsid w:val="00CA086E"/>
    <w:rsid w:val="00CA2F7E"/>
    <w:rsid w:val="00CA3DB2"/>
    <w:rsid w:val="00CA42C0"/>
    <w:rsid w:val="00CA4D9C"/>
    <w:rsid w:val="00CA54D3"/>
    <w:rsid w:val="00CA7A8F"/>
    <w:rsid w:val="00CB200E"/>
    <w:rsid w:val="00CB41C9"/>
    <w:rsid w:val="00CB44F4"/>
    <w:rsid w:val="00CB5D6B"/>
    <w:rsid w:val="00CB680F"/>
    <w:rsid w:val="00CB72B9"/>
    <w:rsid w:val="00CC0459"/>
    <w:rsid w:val="00CC3D35"/>
    <w:rsid w:val="00CC4CF8"/>
    <w:rsid w:val="00CD1B87"/>
    <w:rsid w:val="00CD1EB3"/>
    <w:rsid w:val="00CD1F7A"/>
    <w:rsid w:val="00CD252B"/>
    <w:rsid w:val="00CD2B0C"/>
    <w:rsid w:val="00CD42C0"/>
    <w:rsid w:val="00CD4939"/>
    <w:rsid w:val="00CD6F7E"/>
    <w:rsid w:val="00CD7D69"/>
    <w:rsid w:val="00CE0A51"/>
    <w:rsid w:val="00CE0C25"/>
    <w:rsid w:val="00CE1371"/>
    <w:rsid w:val="00CE207F"/>
    <w:rsid w:val="00CE268D"/>
    <w:rsid w:val="00CE2D5A"/>
    <w:rsid w:val="00CE312F"/>
    <w:rsid w:val="00CE3BBC"/>
    <w:rsid w:val="00CE473D"/>
    <w:rsid w:val="00CE4871"/>
    <w:rsid w:val="00CE4937"/>
    <w:rsid w:val="00CE53E8"/>
    <w:rsid w:val="00CE61B5"/>
    <w:rsid w:val="00CF1000"/>
    <w:rsid w:val="00CF1384"/>
    <w:rsid w:val="00CF26E5"/>
    <w:rsid w:val="00CF2AC1"/>
    <w:rsid w:val="00CF2AC3"/>
    <w:rsid w:val="00CF4C43"/>
    <w:rsid w:val="00CF5E11"/>
    <w:rsid w:val="00CF6AF3"/>
    <w:rsid w:val="00CF6DF1"/>
    <w:rsid w:val="00CF7E71"/>
    <w:rsid w:val="00D0041A"/>
    <w:rsid w:val="00D00B85"/>
    <w:rsid w:val="00D00F1A"/>
    <w:rsid w:val="00D036C8"/>
    <w:rsid w:val="00D03933"/>
    <w:rsid w:val="00D05094"/>
    <w:rsid w:val="00D06001"/>
    <w:rsid w:val="00D10334"/>
    <w:rsid w:val="00D1033C"/>
    <w:rsid w:val="00D12BB3"/>
    <w:rsid w:val="00D15C8A"/>
    <w:rsid w:val="00D209B9"/>
    <w:rsid w:val="00D20DE1"/>
    <w:rsid w:val="00D235DB"/>
    <w:rsid w:val="00D239E4"/>
    <w:rsid w:val="00D24250"/>
    <w:rsid w:val="00D24E40"/>
    <w:rsid w:val="00D2595C"/>
    <w:rsid w:val="00D25AB1"/>
    <w:rsid w:val="00D271B5"/>
    <w:rsid w:val="00D27F61"/>
    <w:rsid w:val="00D3077C"/>
    <w:rsid w:val="00D30870"/>
    <w:rsid w:val="00D30DC2"/>
    <w:rsid w:val="00D31073"/>
    <w:rsid w:val="00D344F8"/>
    <w:rsid w:val="00D349A3"/>
    <w:rsid w:val="00D34DEF"/>
    <w:rsid w:val="00D34FF5"/>
    <w:rsid w:val="00D35875"/>
    <w:rsid w:val="00D35A00"/>
    <w:rsid w:val="00D35C1E"/>
    <w:rsid w:val="00D363BE"/>
    <w:rsid w:val="00D3779D"/>
    <w:rsid w:val="00D37921"/>
    <w:rsid w:val="00D37DDF"/>
    <w:rsid w:val="00D417EF"/>
    <w:rsid w:val="00D43C50"/>
    <w:rsid w:val="00D44AD1"/>
    <w:rsid w:val="00D44DBB"/>
    <w:rsid w:val="00D45B7F"/>
    <w:rsid w:val="00D47AFE"/>
    <w:rsid w:val="00D47B32"/>
    <w:rsid w:val="00D50E67"/>
    <w:rsid w:val="00D50F29"/>
    <w:rsid w:val="00D5125A"/>
    <w:rsid w:val="00D535FE"/>
    <w:rsid w:val="00D54566"/>
    <w:rsid w:val="00D54CE4"/>
    <w:rsid w:val="00D55C62"/>
    <w:rsid w:val="00D5721C"/>
    <w:rsid w:val="00D576A1"/>
    <w:rsid w:val="00D5777D"/>
    <w:rsid w:val="00D607BC"/>
    <w:rsid w:val="00D63235"/>
    <w:rsid w:val="00D632B0"/>
    <w:rsid w:val="00D636FD"/>
    <w:rsid w:val="00D64444"/>
    <w:rsid w:val="00D67EF3"/>
    <w:rsid w:val="00D7256B"/>
    <w:rsid w:val="00D72DD5"/>
    <w:rsid w:val="00D72E61"/>
    <w:rsid w:val="00D7361F"/>
    <w:rsid w:val="00D75550"/>
    <w:rsid w:val="00D76C38"/>
    <w:rsid w:val="00D7733F"/>
    <w:rsid w:val="00D77AC0"/>
    <w:rsid w:val="00D80372"/>
    <w:rsid w:val="00D90287"/>
    <w:rsid w:val="00D915E5"/>
    <w:rsid w:val="00D92E68"/>
    <w:rsid w:val="00D9341A"/>
    <w:rsid w:val="00D95EF7"/>
    <w:rsid w:val="00DA18C8"/>
    <w:rsid w:val="00DA3C43"/>
    <w:rsid w:val="00DA489D"/>
    <w:rsid w:val="00DA49E6"/>
    <w:rsid w:val="00DA5076"/>
    <w:rsid w:val="00DB19CA"/>
    <w:rsid w:val="00DB2345"/>
    <w:rsid w:val="00DB2E41"/>
    <w:rsid w:val="00DB2F07"/>
    <w:rsid w:val="00DB4461"/>
    <w:rsid w:val="00DB4658"/>
    <w:rsid w:val="00DB47D1"/>
    <w:rsid w:val="00DB52ED"/>
    <w:rsid w:val="00DB6D47"/>
    <w:rsid w:val="00DB713D"/>
    <w:rsid w:val="00DC02B7"/>
    <w:rsid w:val="00DC09BF"/>
    <w:rsid w:val="00DC17B4"/>
    <w:rsid w:val="00DC2420"/>
    <w:rsid w:val="00DC2BC3"/>
    <w:rsid w:val="00DC3402"/>
    <w:rsid w:val="00DC3994"/>
    <w:rsid w:val="00DC4006"/>
    <w:rsid w:val="00DC45DB"/>
    <w:rsid w:val="00DC4B95"/>
    <w:rsid w:val="00DC4D7A"/>
    <w:rsid w:val="00DC631D"/>
    <w:rsid w:val="00DD31FD"/>
    <w:rsid w:val="00DD4A0C"/>
    <w:rsid w:val="00DE02AE"/>
    <w:rsid w:val="00DE0423"/>
    <w:rsid w:val="00DE1967"/>
    <w:rsid w:val="00DE1F3A"/>
    <w:rsid w:val="00DE46ED"/>
    <w:rsid w:val="00DE4922"/>
    <w:rsid w:val="00DE4DD5"/>
    <w:rsid w:val="00DE6CB2"/>
    <w:rsid w:val="00DE6D87"/>
    <w:rsid w:val="00DE6F92"/>
    <w:rsid w:val="00DE77B8"/>
    <w:rsid w:val="00DF17CC"/>
    <w:rsid w:val="00DF1A11"/>
    <w:rsid w:val="00DF43A5"/>
    <w:rsid w:val="00DF6695"/>
    <w:rsid w:val="00DF7C54"/>
    <w:rsid w:val="00DF7DED"/>
    <w:rsid w:val="00E02F51"/>
    <w:rsid w:val="00E04814"/>
    <w:rsid w:val="00E066F4"/>
    <w:rsid w:val="00E07F8F"/>
    <w:rsid w:val="00E108DD"/>
    <w:rsid w:val="00E10CE7"/>
    <w:rsid w:val="00E1106D"/>
    <w:rsid w:val="00E12666"/>
    <w:rsid w:val="00E13016"/>
    <w:rsid w:val="00E14D54"/>
    <w:rsid w:val="00E150CD"/>
    <w:rsid w:val="00E152AA"/>
    <w:rsid w:val="00E153CB"/>
    <w:rsid w:val="00E15809"/>
    <w:rsid w:val="00E15E62"/>
    <w:rsid w:val="00E16B6D"/>
    <w:rsid w:val="00E17DC1"/>
    <w:rsid w:val="00E205EB"/>
    <w:rsid w:val="00E21947"/>
    <w:rsid w:val="00E22146"/>
    <w:rsid w:val="00E223DF"/>
    <w:rsid w:val="00E238D9"/>
    <w:rsid w:val="00E23CB3"/>
    <w:rsid w:val="00E260A6"/>
    <w:rsid w:val="00E2763D"/>
    <w:rsid w:val="00E31447"/>
    <w:rsid w:val="00E3171E"/>
    <w:rsid w:val="00E31E5D"/>
    <w:rsid w:val="00E32151"/>
    <w:rsid w:val="00E32E71"/>
    <w:rsid w:val="00E34331"/>
    <w:rsid w:val="00E34D76"/>
    <w:rsid w:val="00E359CA"/>
    <w:rsid w:val="00E369B3"/>
    <w:rsid w:val="00E36DE4"/>
    <w:rsid w:val="00E37BED"/>
    <w:rsid w:val="00E41F95"/>
    <w:rsid w:val="00E42C9F"/>
    <w:rsid w:val="00E454AD"/>
    <w:rsid w:val="00E45E14"/>
    <w:rsid w:val="00E46199"/>
    <w:rsid w:val="00E46209"/>
    <w:rsid w:val="00E47CE7"/>
    <w:rsid w:val="00E51508"/>
    <w:rsid w:val="00E528EC"/>
    <w:rsid w:val="00E52D36"/>
    <w:rsid w:val="00E53F98"/>
    <w:rsid w:val="00E556A2"/>
    <w:rsid w:val="00E560B9"/>
    <w:rsid w:val="00E56FFD"/>
    <w:rsid w:val="00E61493"/>
    <w:rsid w:val="00E617BB"/>
    <w:rsid w:val="00E61D3E"/>
    <w:rsid w:val="00E6316F"/>
    <w:rsid w:val="00E64AF6"/>
    <w:rsid w:val="00E65D28"/>
    <w:rsid w:val="00E6607F"/>
    <w:rsid w:val="00E66AFE"/>
    <w:rsid w:val="00E71759"/>
    <w:rsid w:val="00E71B23"/>
    <w:rsid w:val="00E7404E"/>
    <w:rsid w:val="00E7495A"/>
    <w:rsid w:val="00E7652A"/>
    <w:rsid w:val="00E77902"/>
    <w:rsid w:val="00E77B38"/>
    <w:rsid w:val="00E805C3"/>
    <w:rsid w:val="00E80647"/>
    <w:rsid w:val="00E8078A"/>
    <w:rsid w:val="00E811CF"/>
    <w:rsid w:val="00E81954"/>
    <w:rsid w:val="00E82E6B"/>
    <w:rsid w:val="00E83C2E"/>
    <w:rsid w:val="00E869D2"/>
    <w:rsid w:val="00E86E8E"/>
    <w:rsid w:val="00E912DD"/>
    <w:rsid w:val="00E91CFF"/>
    <w:rsid w:val="00E92EF5"/>
    <w:rsid w:val="00E94C9B"/>
    <w:rsid w:val="00E94F12"/>
    <w:rsid w:val="00E972BE"/>
    <w:rsid w:val="00E978C3"/>
    <w:rsid w:val="00EA01B0"/>
    <w:rsid w:val="00EA0369"/>
    <w:rsid w:val="00EA1429"/>
    <w:rsid w:val="00EA14B8"/>
    <w:rsid w:val="00EA1559"/>
    <w:rsid w:val="00EA2375"/>
    <w:rsid w:val="00EA25A0"/>
    <w:rsid w:val="00EA2DF7"/>
    <w:rsid w:val="00EA3253"/>
    <w:rsid w:val="00EA50F9"/>
    <w:rsid w:val="00EA7A32"/>
    <w:rsid w:val="00EB0513"/>
    <w:rsid w:val="00EB091E"/>
    <w:rsid w:val="00EB0992"/>
    <w:rsid w:val="00EB222F"/>
    <w:rsid w:val="00EB2D67"/>
    <w:rsid w:val="00EB369C"/>
    <w:rsid w:val="00EB57C1"/>
    <w:rsid w:val="00EB5821"/>
    <w:rsid w:val="00EB79D9"/>
    <w:rsid w:val="00EC0C25"/>
    <w:rsid w:val="00EC1E58"/>
    <w:rsid w:val="00EC1FBE"/>
    <w:rsid w:val="00EC2476"/>
    <w:rsid w:val="00EC2EBD"/>
    <w:rsid w:val="00EC423C"/>
    <w:rsid w:val="00EC4FBE"/>
    <w:rsid w:val="00EC7A73"/>
    <w:rsid w:val="00ED15AE"/>
    <w:rsid w:val="00ED2288"/>
    <w:rsid w:val="00ED3628"/>
    <w:rsid w:val="00ED3DA9"/>
    <w:rsid w:val="00ED4344"/>
    <w:rsid w:val="00ED494C"/>
    <w:rsid w:val="00ED4DE3"/>
    <w:rsid w:val="00ED7151"/>
    <w:rsid w:val="00EE22C9"/>
    <w:rsid w:val="00EE24B9"/>
    <w:rsid w:val="00EE5018"/>
    <w:rsid w:val="00EE50FD"/>
    <w:rsid w:val="00EE5999"/>
    <w:rsid w:val="00EE6069"/>
    <w:rsid w:val="00EF0C16"/>
    <w:rsid w:val="00EF0D3F"/>
    <w:rsid w:val="00EF19E5"/>
    <w:rsid w:val="00EF1BCD"/>
    <w:rsid w:val="00EF2449"/>
    <w:rsid w:val="00EF29A8"/>
    <w:rsid w:val="00EF37C1"/>
    <w:rsid w:val="00EF3A66"/>
    <w:rsid w:val="00EF3E00"/>
    <w:rsid w:val="00EF40E8"/>
    <w:rsid w:val="00EF486F"/>
    <w:rsid w:val="00EF4A96"/>
    <w:rsid w:val="00EF5D27"/>
    <w:rsid w:val="00EF5E0F"/>
    <w:rsid w:val="00EF65E9"/>
    <w:rsid w:val="00EF6882"/>
    <w:rsid w:val="00EF69F5"/>
    <w:rsid w:val="00EF6B00"/>
    <w:rsid w:val="00EF71F8"/>
    <w:rsid w:val="00F0332B"/>
    <w:rsid w:val="00F03781"/>
    <w:rsid w:val="00F03A66"/>
    <w:rsid w:val="00F03FB3"/>
    <w:rsid w:val="00F0489B"/>
    <w:rsid w:val="00F10037"/>
    <w:rsid w:val="00F114AA"/>
    <w:rsid w:val="00F118E3"/>
    <w:rsid w:val="00F11C99"/>
    <w:rsid w:val="00F12B2B"/>
    <w:rsid w:val="00F12C69"/>
    <w:rsid w:val="00F12E6C"/>
    <w:rsid w:val="00F1564D"/>
    <w:rsid w:val="00F17E1F"/>
    <w:rsid w:val="00F17ED2"/>
    <w:rsid w:val="00F20585"/>
    <w:rsid w:val="00F20B4B"/>
    <w:rsid w:val="00F21D3B"/>
    <w:rsid w:val="00F24AD9"/>
    <w:rsid w:val="00F2502F"/>
    <w:rsid w:val="00F2677E"/>
    <w:rsid w:val="00F269A1"/>
    <w:rsid w:val="00F26B39"/>
    <w:rsid w:val="00F26DDE"/>
    <w:rsid w:val="00F2702F"/>
    <w:rsid w:val="00F30DDA"/>
    <w:rsid w:val="00F331DB"/>
    <w:rsid w:val="00F334BC"/>
    <w:rsid w:val="00F3448E"/>
    <w:rsid w:val="00F34820"/>
    <w:rsid w:val="00F354B8"/>
    <w:rsid w:val="00F367D1"/>
    <w:rsid w:val="00F367D9"/>
    <w:rsid w:val="00F411E9"/>
    <w:rsid w:val="00F41347"/>
    <w:rsid w:val="00F421A3"/>
    <w:rsid w:val="00F42690"/>
    <w:rsid w:val="00F43B16"/>
    <w:rsid w:val="00F444EF"/>
    <w:rsid w:val="00F44BB8"/>
    <w:rsid w:val="00F4588E"/>
    <w:rsid w:val="00F45F5B"/>
    <w:rsid w:val="00F469E4"/>
    <w:rsid w:val="00F46E11"/>
    <w:rsid w:val="00F50A5D"/>
    <w:rsid w:val="00F50DFA"/>
    <w:rsid w:val="00F51189"/>
    <w:rsid w:val="00F52F04"/>
    <w:rsid w:val="00F5373C"/>
    <w:rsid w:val="00F5411A"/>
    <w:rsid w:val="00F552E2"/>
    <w:rsid w:val="00F606A7"/>
    <w:rsid w:val="00F63085"/>
    <w:rsid w:val="00F63B5F"/>
    <w:rsid w:val="00F63F1A"/>
    <w:rsid w:val="00F64785"/>
    <w:rsid w:val="00F657C8"/>
    <w:rsid w:val="00F66AD0"/>
    <w:rsid w:val="00F66F69"/>
    <w:rsid w:val="00F70E11"/>
    <w:rsid w:val="00F711DA"/>
    <w:rsid w:val="00F71A19"/>
    <w:rsid w:val="00F72F0C"/>
    <w:rsid w:val="00F74976"/>
    <w:rsid w:val="00F765E1"/>
    <w:rsid w:val="00F7774B"/>
    <w:rsid w:val="00F815B5"/>
    <w:rsid w:val="00F826F2"/>
    <w:rsid w:val="00F83103"/>
    <w:rsid w:val="00F84E12"/>
    <w:rsid w:val="00F867B9"/>
    <w:rsid w:val="00F97922"/>
    <w:rsid w:val="00FA1C5E"/>
    <w:rsid w:val="00FA25FD"/>
    <w:rsid w:val="00FA489C"/>
    <w:rsid w:val="00FA65A2"/>
    <w:rsid w:val="00FA6771"/>
    <w:rsid w:val="00FA6949"/>
    <w:rsid w:val="00FB0253"/>
    <w:rsid w:val="00FB2D58"/>
    <w:rsid w:val="00FB2D5D"/>
    <w:rsid w:val="00FB5407"/>
    <w:rsid w:val="00FB72A6"/>
    <w:rsid w:val="00FB7846"/>
    <w:rsid w:val="00FC29C3"/>
    <w:rsid w:val="00FC3336"/>
    <w:rsid w:val="00FC4AA5"/>
    <w:rsid w:val="00FC54D2"/>
    <w:rsid w:val="00FD0C96"/>
    <w:rsid w:val="00FD13BA"/>
    <w:rsid w:val="00FD2691"/>
    <w:rsid w:val="00FD26E8"/>
    <w:rsid w:val="00FD2D92"/>
    <w:rsid w:val="00FD4651"/>
    <w:rsid w:val="00FD7193"/>
    <w:rsid w:val="00FE055D"/>
    <w:rsid w:val="00FE0EE3"/>
    <w:rsid w:val="00FE3145"/>
    <w:rsid w:val="00FE364B"/>
    <w:rsid w:val="00FE4C39"/>
    <w:rsid w:val="00FE6054"/>
    <w:rsid w:val="00FE6610"/>
    <w:rsid w:val="00FE6E70"/>
    <w:rsid w:val="00FF12D7"/>
    <w:rsid w:val="00FF2294"/>
    <w:rsid w:val="00FF5A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97AAAF0"/>
  <w15:docId w15:val="{1B79363E-4D07-4686-8264-73C4E2F623A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407A"/>
  </w:style>
  <w:style w:type="paragraph" w:styleId="Heading1">
    <w:name w:val="heading 1"/>
    <w:basedOn w:val="Title"/>
    <w:next w:val="Normal"/>
    <w:link w:val="Heading1Char"/>
    <w:uiPriority w:val="9"/>
    <w:qFormat/>
    <w:rsid w:val="00CB44F4"/>
    <w:pPr>
      <w:outlineLvl w:val="0"/>
    </w:p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A0141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EF3A66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MediumGrid2-Accent1">
    <w:name w:val="Medium Grid 2 Accent 1"/>
    <w:basedOn w:val="TableNormal"/>
    <w:uiPriority w:val="68"/>
    <w:rsid w:val="00EF3A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List2-Accent1">
    <w:name w:val="Medium List 2 Accent 1"/>
    <w:basedOn w:val="TableNormal"/>
    <w:uiPriority w:val="66"/>
    <w:rsid w:val="00EF3A66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character" w:customStyle="1" w:styleId="Heading1Char">
    <w:name w:val="Heading 1 Char"/>
    <w:basedOn w:val="DefaultParagraphFont"/>
    <w:link w:val="Heading1"/>
    <w:uiPriority w:val="9"/>
    <w:rsid w:val="00CB44F4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ja-JP"/>
    </w:rPr>
  </w:style>
  <w:style w:type="character" w:customStyle="1" w:styleId="Heading2Char">
    <w:name w:val="Heading 2 Char"/>
    <w:basedOn w:val="DefaultParagraphFont"/>
    <w:link w:val="Heading2"/>
    <w:uiPriority w:val="9"/>
    <w:rsid w:val="00A0141D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table" w:customStyle="1" w:styleId="TableGrid1">
    <w:name w:val="Table Grid1"/>
    <w:basedOn w:val="TableNormal"/>
    <w:next w:val="TableGrid"/>
    <w:uiPriority w:val="59"/>
    <w:rsid w:val="00A0141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List-Accent4">
    <w:name w:val="Light List Accent 4"/>
    <w:basedOn w:val="TableNormal"/>
    <w:uiPriority w:val="61"/>
    <w:rsid w:val="00A0141D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character" w:styleId="CommentReference">
    <w:name w:val="annotation reference"/>
    <w:basedOn w:val="DefaultParagraphFont"/>
    <w:uiPriority w:val="99"/>
    <w:semiHidden/>
    <w:unhideWhenUsed/>
    <w:rsid w:val="00386749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unhideWhenUsed/>
    <w:rsid w:val="00386749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rsid w:val="00386749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386749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386749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38674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8674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E108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108DD"/>
  </w:style>
  <w:style w:type="paragraph" w:styleId="Footer">
    <w:name w:val="footer"/>
    <w:basedOn w:val="Normal"/>
    <w:link w:val="FooterChar"/>
    <w:uiPriority w:val="99"/>
    <w:unhideWhenUsed/>
    <w:rsid w:val="00E108D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108DD"/>
  </w:style>
  <w:style w:type="paragraph" w:styleId="Title">
    <w:name w:val="Title"/>
    <w:basedOn w:val="Normal"/>
    <w:next w:val="Normal"/>
    <w:link w:val="TitleChar"/>
    <w:uiPriority w:val="10"/>
    <w:qFormat/>
    <w:rsid w:val="00AE617A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ja-JP"/>
    </w:rPr>
  </w:style>
  <w:style w:type="character" w:customStyle="1" w:styleId="TitleChar">
    <w:name w:val="Title Char"/>
    <w:basedOn w:val="DefaultParagraphFont"/>
    <w:link w:val="Title"/>
    <w:uiPriority w:val="10"/>
    <w:rsid w:val="00AE617A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eastAsia="ja-JP"/>
    </w:rPr>
  </w:style>
  <w:style w:type="paragraph" w:styleId="Subtitle">
    <w:name w:val="Subtitle"/>
    <w:basedOn w:val="Normal"/>
    <w:next w:val="Normal"/>
    <w:link w:val="SubtitleChar"/>
    <w:uiPriority w:val="11"/>
    <w:qFormat/>
    <w:rsid w:val="00AE617A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ja-JP"/>
    </w:rPr>
  </w:style>
  <w:style w:type="character" w:customStyle="1" w:styleId="SubtitleChar">
    <w:name w:val="Subtitle Char"/>
    <w:basedOn w:val="DefaultParagraphFont"/>
    <w:link w:val="Subtitle"/>
    <w:uiPriority w:val="11"/>
    <w:rsid w:val="00AE617A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eastAsia="ja-JP"/>
    </w:rPr>
  </w:style>
  <w:style w:type="paragraph" w:styleId="ListParagraph">
    <w:name w:val="List Paragraph"/>
    <w:basedOn w:val="Normal"/>
    <w:uiPriority w:val="34"/>
    <w:qFormat/>
    <w:rsid w:val="00547114"/>
    <w:pPr>
      <w:ind w:left="720"/>
      <w:contextualSpacing/>
    </w:pPr>
  </w:style>
  <w:style w:type="paragraph" w:styleId="Revision">
    <w:name w:val="Revision"/>
    <w:hidden/>
    <w:uiPriority w:val="99"/>
    <w:semiHidden/>
    <w:rsid w:val="00485038"/>
    <w:pPr>
      <w:spacing w:after="0" w:line="240" w:lineRule="auto"/>
    </w:pPr>
  </w:style>
  <w:style w:type="paragraph" w:styleId="Caption">
    <w:name w:val="caption"/>
    <w:basedOn w:val="Normal"/>
    <w:next w:val="Normal"/>
    <w:uiPriority w:val="35"/>
    <w:unhideWhenUsed/>
    <w:qFormat/>
    <w:rsid w:val="00E71759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PlaceholderText">
    <w:name w:val="Placeholder Text"/>
    <w:basedOn w:val="DefaultParagraphFont"/>
    <w:uiPriority w:val="99"/>
    <w:semiHidden/>
    <w:rsid w:val="00067926"/>
    <w:rPr>
      <w:color w:val="80808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303AE"/>
    <w:pPr>
      <w:spacing w:after="0" w:line="240" w:lineRule="auto"/>
    </w:pPr>
    <w:rPr>
      <w:sz w:val="20"/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1303AE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1303AE"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1303AE"/>
    <w:pPr>
      <w:spacing w:after="0" w:line="240" w:lineRule="auto"/>
    </w:pPr>
    <w:rPr>
      <w:sz w:val="20"/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1303AE"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sid w:val="001303AE"/>
    <w:rPr>
      <w:vertAlign w:val="superscript"/>
    </w:rPr>
  </w:style>
  <w:style w:type="character" w:styleId="Hyperlink">
    <w:name w:val="Hyperlink"/>
    <w:basedOn w:val="DefaultParagraphFont"/>
    <w:uiPriority w:val="99"/>
    <w:unhideWhenUsed/>
    <w:rsid w:val="008E1DCB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E1DC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6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4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46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5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26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219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858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626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265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29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13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53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72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7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70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9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01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459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37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94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194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3011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273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22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12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15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8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91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7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023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5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11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9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412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094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052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690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0073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086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494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4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973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496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9482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72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119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12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744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678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997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9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96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240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8506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0978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34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175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88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853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2315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767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3433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223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056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520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708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644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56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044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1151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11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306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8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632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94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114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687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604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844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9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1821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861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6439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176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2866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287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59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7589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081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01234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744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772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35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5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410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431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241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2640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34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584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384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88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125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43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380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001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87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1545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004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605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845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22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8117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239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73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262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54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5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013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8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5967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369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960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106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786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6589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34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269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67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0953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0334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54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698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585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160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53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55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593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7526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8736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46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694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289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243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405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75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480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2208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11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464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667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6740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6306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816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86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3979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4479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32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79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5383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19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131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753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03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85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229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272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71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1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8433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2541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286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9870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319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9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678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078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6471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6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256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4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928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4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952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634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9932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471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58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5057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87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076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6511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7865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1753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79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7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9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628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1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546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36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6385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411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087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2137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4100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044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785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02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461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37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459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469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2393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88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574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71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977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38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5297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727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3243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87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967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357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620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136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828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5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541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4016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336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50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11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089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4472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376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168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652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033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954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96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438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4130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34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873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076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454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54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09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556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52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4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356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529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13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455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8202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55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77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7039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0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0508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69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44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81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4201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8201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904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510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018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6134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32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5165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366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479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7133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827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67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039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088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321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831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34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5376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610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105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9794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78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3794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9624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476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6863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76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698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56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1935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360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5788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41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1030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218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10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715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98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068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583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897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977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405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3438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1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068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845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558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827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24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358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939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4543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55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250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256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726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26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469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6162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1748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026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9906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223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164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46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28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74767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93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9102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14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594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566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95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459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550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684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367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8192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5937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3316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1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116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705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16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02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5768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317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00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7806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976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460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0034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69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449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7562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3840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12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8308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01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989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54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435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860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10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376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81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5107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68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692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14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082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464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698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440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15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eader" Target="head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tyles" Target="style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footer" Target="footer3.xml"/><Relationship Id="rId10" Type="http://schemas.openxmlformats.org/officeDocument/2006/relationships/footnotes" Target="footnotes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overPageProperties xmlns="http://schemas.microsoft.com/office/2006/coverPageProps">
  <PublishDate/>
  <Abstract>July2019</Abstract>
  <CompanyAddress/>
  <CompanyPhone/>
  <CompanyFax/>
  <CompanyEmail/>
</CoverPagePropertie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89F930D9323CA47A909AE2CF4C9F351" ma:contentTypeVersion="7" ma:contentTypeDescription="Create a new document." ma:contentTypeScope="" ma:versionID="87c256f359ecadd215cfb2946a005c4f">
  <xsd:schema xmlns:xsd="http://www.w3.org/2001/XMLSchema" xmlns:xs="http://www.w3.org/2001/XMLSchema" xmlns:p="http://schemas.microsoft.com/office/2006/metadata/properties" xmlns:ns3="75b29da9-7512-4ff8-84cc-0b8e167e62a3" xmlns:ns4="32381bbe-c37a-420c-955f-414a93ed7286" targetNamespace="http://schemas.microsoft.com/office/2006/metadata/properties" ma:root="true" ma:fieldsID="238403d8b9b943d9ddca2bb849e075bf" ns3:_="" ns4:_="">
    <xsd:import namespace="75b29da9-7512-4ff8-84cc-0b8e167e62a3"/>
    <xsd:import namespace="32381bbe-c37a-420c-955f-414a93ed7286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_activity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b29da9-7512-4ff8-84cc-0b8e167e62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_activity" ma:index="11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2381bbe-c37a-420c-955f-414a93ed7286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5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5b29da9-7512-4ff8-84cc-0b8e167e62a3" xsi:nil="true"/>
  </documentManagement>
</p:properties>
</file>

<file path=customXml/itemProps1.xml><?xml version="1.0" encoding="utf-8"?>
<ds:datastoreItem xmlns:ds="http://schemas.openxmlformats.org/officeDocument/2006/customXml" ds:itemID="{55AF091B-3C7A-41E3-B477-F2FDAA23CFDA}">
  <ds:schemaRefs>
    <ds:schemaRef ds:uri="http://schemas.microsoft.com/office/2006/coverPageProps"/>
  </ds:schemaRefs>
</ds:datastoreItem>
</file>

<file path=customXml/itemProps2.xml><?xml version="1.0" encoding="utf-8"?>
<ds:datastoreItem xmlns:ds="http://schemas.openxmlformats.org/officeDocument/2006/customXml" ds:itemID="{F4C38C5F-6F82-4F09-9A61-1054A0BED426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5F22ABBB-2276-4DA4-AE15-EF3646921274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1BD63DE-5A95-4FBF-BE06-950F492D2052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5b29da9-7512-4ff8-84cc-0b8e167e62a3"/>
    <ds:schemaRef ds:uri="32381bbe-c37a-420c-955f-414a93ed72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5.xml><?xml version="1.0" encoding="utf-8"?>
<ds:datastoreItem xmlns:ds="http://schemas.openxmlformats.org/officeDocument/2006/customXml" ds:itemID="{C280C645-31DE-4313-9F96-955501C577E9}">
  <ds:schemaRefs>
    <ds:schemaRef ds:uri="http://schemas.microsoft.com/office/2006/metadata/properties"/>
    <ds:schemaRef ds:uri="http://schemas.microsoft.com/office/infopath/2007/PartnerControls"/>
    <ds:schemaRef ds:uri="75b29da9-7512-4ff8-84cc-0b8e167e62a3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19</Pages>
  <Words>4560</Words>
  <Characters>25995</Characters>
  <Application>Microsoft Office Word</Application>
  <DocSecurity>0</DocSecurity>
  <Lines>216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Massheath 2018 managed care Plan Quality PerfOrmance</vt:lpstr>
    </vt:vector>
  </TitlesOfParts>
  <Company>EOHHS</Company>
  <LinksUpToDate>false</LinksUpToDate>
  <CharactersWithSpaces>30495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Massheath 2018 managed care Plan Quality PerfOrmance</dc:title>
  <dc:subject>Cathrine Basham  Brittany Campbell Amal Elmi              Paul Kirby</dc:subject>
  <dc:creator>Basham, Catherine (EHS)</dc:creator>
  <cp:keywords/>
  <dc:description/>
  <cp:lastModifiedBy>Kirby, Paul (EHS)</cp:lastModifiedBy>
  <cp:revision>6</cp:revision>
  <cp:lastPrinted>2024-01-24T14:51:00Z</cp:lastPrinted>
  <dcterms:created xsi:type="dcterms:W3CDTF">2024-02-22T21:34:00Z</dcterms:created>
  <dcterms:modified xsi:type="dcterms:W3CDTF">2024-03-25T16:02:00Z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0x010100D89F930D9323CA47A909AE2CF4C9F351</vt:lpwstr>
  </property>
</Properties>
</file>