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7DD0" w14:textId="77777777" w:rsidR="00756199" w:rsidRPr="00D0578F" w:rsidRDefault="00756199" w:rsidP="00756199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D0578F">
        <w:rPr>
          <w:rFonts w:ascii="Arial" w:hAnsi="Arial"/>
          <w:sz w:val="36"/>
        </w:rPr>
        <w:t>The Commonwealth of Massachusetts</w:t>
      </w:r>
    </w:p>
    <w:p w14:paraId="1E44875B" w14:textId="77777777" w:rsidR="00756199" w:rsidRPr="00D0578F" w:rsidRDefault="00756199" w:rsidP="00756199">
      <w:pPr>
        <w:pStyle w:val="ExecOffice"/>
        <w:framePr w:w="6926" w:wrap="notBeside" w:vAnchor="page" w:x="2884" w:y="711"/>
      </w:pPr>
      <w:r w:rsidRPr="00D0578F">
        <w:t>Executive Office of Health and Human Services</w:t>
      </w:r>
    </w:p>
    <w:p w14:paraId="46096C06" w14:textId="77777777" w:rsidR="00756199" w:rsidRPr="00D0578F" w:rsidRDefault="00756199" w:rsidP="00756199">
      <w:pPr>
        <w:pStyle w:val="ExecOffice"/>
        <w:framePr w:w="6926" w:wrap="notBeside" w:vAnchor="page" w:x="2884" w:y="711"/>
      </w:pPr>
      <w:r w:rsidRPr="00D0578F">
        <w:t>Department of Public Health</w:t>
      </w:r>
    </w:p>
    <w:p w14:paraId="72820455" w14:textId="77777777" w:rsidR="00756199" w:rsidRPr="00D0578F" w:rsidRDefault="00756199" w:rsidP="00756199">
      <w:pPr>
        <w:pStyle w:val="ExecOffice"/>
        <w:framePr w:w="6926" w:wrap="notBeside" w:vAnchor="page" w:x="2884" w:y="711"/>
      </w:pPr>
      <w:r w:rsidRPr="00D0578F">
        <w:t>250 Washington Street, Boston, MA 02108-4619</w:t>
      </w:r>
    </w:p>
    <w:p w14:paraId="00ED2F23" w14:textId="77777777" w:rsidR="00756199" w:rsidRPr="00D0578F" w:rsidRDefault="00756199" w:rsidP="00756199">
      <w:pPr>
        <w:framePr w:w="1927" w:hSpace="180" w:wrap="auto" w:vAnchor="text" w:hAnchor="page" w:x="940" w:y="-951"/>
        <w:rPr>
          <w:rFonts w:ascii="LinePrinter" w:hAnsi="LinePrinter"/>
        </w:rPr>
      </w:pPr>
      <w:r w:rsidRPr="00D0578F">
        <w:rPr>
          <w:rFonts w:ascii="LinePrinter" w:hAnsi="LinePrinter"/>
          <w:noProof/>
        </w:rPr>
        <w:drawing>
          <wp:inline distT="0" distB="0" distL="0" distR="0" wp14:anchorId="383FC841" wp14:editId="01F23B43">
            <wp:extent cx="971550" cy="1149350"/>
            <wp:effectExtent l="0" t="0" r="0" b="0"/>
            <wp:docPr id="5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07BD" w14:textId="77777777" w:rsidR="00756199" w:rsidRPr="00D0578F" w:rsidRDefault="00756199" w:rsidP="00756199">
      <w:r w:rsidRPr="00D057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81E0E" wp14:editId="6D39F428">
                <wp:simplePos x="0" y="0"/>
                <wp:positionH relativeFrom="column">
                  <wp:posOffset>4985385</wp:posOffset>
                </wp:positionH>
                <wp:positionV relativeFrom="paragraph">
                  <wp:posOffset>547370</wp:posOffset>
                </wp:positionV>
                <wp:extent cx="1814195" cy="1136015"/>
                <wp:effectExtent l="0" t="0" r="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AC078" w14:textId="77777777" w:rsidR="00756199" w:rsidRDefault="00756199" w:rsidP="0075619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BF695E1" w14:textId="77777777" w:rsidR="00756199" w:rsidRPr="003A7AFC" w:rsidRDefault="00756199" w:rsidP="00756199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DE0D438" w14:textId="77777777" w:rsidR="00756199" w:rsidRDefault="00756199" w:rsidP="00756199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53A4F5E" w14:textId="77777777" w:rsidR="00756199" w:rsidRDefault="00756199" w:rsidP="0075619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6FEBE367" w14:textId="5568B1AB" w:rsidR="00756199" w:rsidRPr="004813AC" w:rsidRDefault="004E63F8" w:rsidP="004E63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</w:t>
                            </w:r>
                            <w:r w:rsidR="00756199"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el: 617-624-6000</w:t>
                            </w:r>
                          </w:p>
                          <w:p w14:paraId="477FCC18" w14:textId="77777777" w:rsidR="00756199" w:rsidRPr="004813AC" w:rsidRDefault="00756199" w:rsidP="004E63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CC5A14B" w14:textId="77777777" w:rsidR="00756199" w:rsidRPr="00FC6B42" w:rsidRDefault="00756199" w:rsidP="0075619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81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55pt;margin-top:43.1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" stroked="f">
                <v:textbox style="mso-fit-shape-to-text:t">
                  <w:txbxContent>
                    <w:p w14:paraId="5F3AC078" w14:textId="77777777" w:rsidR="00756199" w:rsidRDefault="00756199" w:rsidP="0075619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BF695E1" w14:textId="77777777" w:rsidR="00756199" w:rsidRPr="003A7AFC" w:rsidRDefault="00756199" w:rsidP="00756199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DE0D438" w14:textId="77777777" w:rsidR="00756199" w:rsidRDefault="00756199" w:rsidP="00756199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53A4F5E" w14:textId="77777777" w:rsidR="00756199" w:rsidRDefault="00756199" w:rsidP="0075619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6FEBE367" w14:textId="5568B1AB" w:rsidR="00756199" w:rsidRPr="004813AC" w:rsidRDefault="004E63F8" w:rsidP="004E63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</w:t>
                      </w:r>
                      <w:r w:rsidR="00756199"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el: 617-624-6000</w:t>
                      </w:r>
                    </w:p>
                    <w:p w14:paraId="477FCC18" w14:textId="77777777" w:rsidR="00756199" w:rsidRPr="004813AC" w:rsidRDefault="00756199" w:rsidP="004E63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CC5A14B" w14:textId="77777777" w:rsidR="00756199" w:rsidRPr="00FC6B42" w:rsidRDefault="00756199" w:rsidP="0075619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7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5A484" wp14:editId="47652409">
                <wp:simplePos x="0" y="0"/>
                <wp:positionH relativeFrom="column">
                  <wp:posOffset>-404495</wp:posOffset>
                </wp:positionH>
                <wp:positionV relativeFrom="paragraph">
                  <wp:posOffset>541655</wp:posOffset>
                </wp:positionV>
                <wp:extent cx="1572895" cy="802005"/>
                <wp:effectExtent l="0" t="0" r="825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576D2" w14:textId="77777777" w:rsidR="00756199" w:rsidRDefault="00756199" w:rsidP="0075619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9CC0F15" w14:textId="77777777" w:rsidR="00756199" w:rsidRDefault="00756199" w:rsidP="0075619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46B8CB2" w14:textId="77777777" w:rsidR="00756199" w:rsidRDefault="00756199" w:rsidP="00756199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D014A01" w14:textId="77777777" w:rsidR="00756199" w:rsidRDefault="00756199" w:rsidP="0075619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2580CAD4" w14:textId="77777777" w:rsidR="00756199" w:rsidRDefault="00756199" w:rsidP="00756199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5A484" id="_x0000_s1027" type="#_x0000_t202" style="position:absolute;margin-left:-31.85pt;margin-top:42.6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" stroked="f">
                <v:textbox style="mso-fit-shape-to-text:t">
                  <w:txbxContent>
                    <w:p w14:paraId="0FA576D2" w14:textId="77777777" w:rsidR="00756199" w:rsidRDefault="00756199" w:rsidP="0075619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9CC0F15" w14:textId="77777777" w:rsidR="00756199" w:rsidRDefault="00756199" w:rsidP="0075619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46B8CB2" w14:textId="77777777" w:rsidR="00756199" w:rsidRDefault="00756199" w:rsidP="00756199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D014A01" w14:textId="77777777" w:rsidR="00756199" w:rsidRDefault="00756199" w:rsidP="0075619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2580CAD4" w14:textId="77777777" w:rsidR="00756199" w:rsidRDefault="00756199" w:rsidP="00756199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1D3B615" w14:textId="77777777" w:rsidR="00756199" w:rsidRPr="00D0578F" w:rsidRDefault="00756199" w:rsidP="00756199"/>
    <w:p w14:paraId="31FCE922" w14:textId="77777777" w:rsidR="00756199" w:rsidRPr="00D0578F" w:rsidRDefault="00756199" w:rsidP="00756199"/>
    <w:p w14:paraId="4E88809A" w14:textId="77777777" w:rsidR="00756199" w:rsidRPr="00D0578F" w:rsidRDefault="00756199" w:rsidP="00756199"/>
    <w:p w14:paraId="0B848A10" w14:textId="022CDC5D" w:rsidR="00756199" w:rsidRPr="004E63F8" w:rsidRDefault="00756199" w:rsidP="00756199">
      <w:pPr>
        <w:pStyle w:val="Default"/>
        <w:jc w:val="center"/>
        <w:rPr>
          <w:sz w:val="22"/>
          <w:szCs w:val="22"/>
        </w:rPr>
      </w:pPr>
      <w:r w:rsidRPr="004E63F8">
        <w:rPr>
          <w:b/>
          <w:bCs/>
          <w:sz w:val="22"/>
          <w:szCs w:val="22"/>
        </w:rPr>
        <w:t>Memorandum</w:t>
      </w:r>
    </w:p>
    <w:p w14:paraId="4E9204FC" w14:textId="77777777" w:rsidR="00756199" w:rsidRPr="004E63F8" w:rsidRDefault="00756199" w:rsidP="00756199">
      <w:pPr>
        <w:pStyle w:val="Default"/>
        <w:rPr>
          <w:b/>
          <w:bCs/>
          <w:sz w:val="22"/>
          <w:szCs w:val="22"/>
        </w:rPr>
      </w:pPr>
    </w:p>
    <w:p w14:paraId="548DC7F3" w14:textId="77777777" w:rsidR="00756199" w:rsidRPr="004E63F8" w:rsidRDefault="00756199" w:rsidP="00756199">
      <w:pPr>
        <w:pStyle w:val="Default"/>
        <w:rPr>
          <w:b/>
          <w:bCs/>
          <w:sz w:val="22"/>
          <w:szCs w:val="22"/>
        </w:rPr>
      </w:pPr>
    </w:p>
    <w:p w14:paraId="76B13704" w14:textId="148DE036" w:rsidR="00756199" w:rsidRPr="004E63F8" w:rsidRDefault="00756199" w:rsidP="00756199">
      <w:pPr>
        <w:pStyle w:val="Default"/>
        <w:rPr>
          <w:sz w:val="22"/>
          <w:szCs w:val="22"/>
        </w:rPr>
      </w:pPr>
      <w:r w:rsidRPr="004E63F8">
        <w:rPr>
          <w:b/>
          <w:bCs/>
          <w:sz w:val="22"/>
          <w:szCs w:val="22"/>
        </w:rPr>
        <w:t xml:space="preserve">TO: </w:t>
      </w:r>
      <w:r w:rsidRPr="004E63F8">
        <w:rPr>
          <w:b/>
          <w:bCs/>
          <w:sz w:val="22"/>
          <w:szCs w:val="22"/>
        </w:rPr>
        <w:tab/>
      </w:r>
      <w:r w:rsidRPr="004E63F8">
        <w:rPr>
          <w:b/>
          <w:bCs/>
          <w:sz w:val="22"/>
          <w:szCs w:val="22"/>
        </w:rPr>
        <w:tab/>
      </w:r>
      <w:r w:rsidRPr="004E63F8">
        <w:rPr>
          <w:sz w:val="22"/>
          <w:szCs w:val="22"/>
        </w:rPr>
        <w:t>Hospital Chief Executive Officers</w:t>
      </w:r>
      <w:r w:rsidRPr="004E63F8">
        <w:rPr>
          <w:b/>
          <w:bCs/>
          <w:sz w:val="22"/>
          <w:szCs w:val="22"/>
        </w:rPr>
        <w:t xml:space="preserve"> </w:t>
      </w:r>
    </w:p>
    <w:p w14:paraId="07987EEE" w14:textId="77777777" w:rsidR="00756199" w:rsidRPr="004E63F8" w:rsidRDefault="00756199" w:rsidP="00756199">
      <w:pPr>
        <w:pStyle w:val="Default"/>
        <w:ind w:left="720" w:firstLine="720"/>
        <w:rPr>
          <w:sz w:val="22"/>
          <w:szCs w:val="22"/>
        </w:rPr>
      </w:pPr>
      <w:r w:rsidRPr="004E63F8">
        <w:rPr>
          <w:sz w:val="22"/>
          <w:szCs w:val="22"/>
        </w:rPr>
        <w:t xml:space="preserve">Hospital Chief Medical Officers </w:t>
      </w:r>
    </w:p>
    <w:p w14:paraId="004A2849" w14:textId="77777777" w:rsidR="00756199" w:rsidRPr="004E63F8" w:rsidRDefault="00756199" w:rsidP="00756199">
      <w:pPr>
        <w:pStyle w:val="Default"/>
        <w:ind w:left="720" w:firstLine="720"/>
        <w:rPr>
          <w:sz w:val="22"/>
          <w:szCs w:val="22"/>
        </w:rPr>
      </w:pPr>
      <w:r w:rsidRPr="004E63F8">
        <w:rPr>
          <w:sz w:val="22"/>
          <w:szCs w:val="22"/>
        </w:rPr>
        <w:t xml:space="preserve">Hospital Chief Nursing Officers </w:t>
      </w:r>
    </w:p>
    <w:p w14:paraId="50AD967F" w14:textId="6EFE96D8" w:rsidR="00756199" w:rsidRPr="004E63F8" w:rsidRDefault="00756199" w:rsidP="00756199">
      <w:pPr>
        <w:pStyle w:val="Default"/>
        <w:rPr>
          <w:sz w:val="22"/>
          <w:szCs w:val="22"/>
        </w:rPr>
      </w:pPr>
      <w:r w:rsidRPr="004E63F8">
        <w:rPr>
          <w:b/>
          <w:bCs/>
          <w:sz w:val="22"/>
          <w:szCs w:val="22"/>
        </w:rPr>
        <w:t xml:space="preserve">FROM: </w:t>
      </w:r>
      <w:r w:rsidRPr="004E63F8">
        <w:rPr>
          <w:b/>
          <w:bCs/>
          <w:sz w:val="22"/>
          <w:szCs w:val="22"/>
        </w:rPr>
        <w:tab/>
      </w:r>
      <w:r w:rsidRPr="004E63F8">
        <w:rPr>
          <w:sz w:val="22"/>
          <w:szCs w:val="22"/>
        </w:rPr>
        <w:t>Estevan Garcia MD, DrPH, MPA, FAAP, Chief Medical Officer</w:t>
      </w:r>
    </w:p>
    <w:p w14:paraId="4896F1F9" w14:textId="46A8B17B" w:rsidR="00756199" w:rsidRPr="004E63F8" w:rsidRDefault="00756199" w:rsidP="00A76DB0">
      <w:pPr>
        <w:pStyle w:val="Default"/>
        <w:ind w:left="1440"/>
        <w:rPr>
          <w:sz w:val="22"/>
          <w:szCs w:val="22"/>
        </w:rPr>
      </w:pPr>
      <w:r w:rsidRPr="004E63F8">
        <w:rPr>
          <w:sz w:val="22"/>
          <w:szCs w:val="22"/>
        </w:rPr>
        <w:t xml:space="preserve">Elizabeth Daake Kelley, MPH, MBA, Director, Bureau of Health Care Safety and Quality </w:t>
      </w:r>
    </w:p>
    <w:p w14:paraId="7F7A1561" w14:textId="4679C670" w:rsidR="007A3EF3" w:rsidRPr="004E63F8" w:rsidRDefault="00756199" w:rsidP="00A76DB0">
      <w:pPr>
        <w:spacing w:after="0"/>
        <w:ind w:left="1440" w:hanging="1440"/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  <w:b/>
          <w:bCs/>
        </w:rPr>
        <w:t>SUBJECT:</w:t>
      </w:r>
      <w:r w:rsidRPr="004E63F8">
        <w:rPr>
          <w:rFonts w:ascii="Times New Roman" w:hAnsi="Times New Roman" w:cs="Times New Roman"/>
          <w:b/>
          <w:bCs/>
        </w:rPr>
        <w:tab/>
      </w:r>
      <w:r w:rsidR="007A3EF3" w:rsidRPr="004E63F8">
        <w:rPr>
          <w:rFonts w:ascii="Times New Roman" w:hAnsi="Times New Roman" w:cs="Times New Roman"/>
        </w:rPr>
        <w:t>Guidance on Management of Pediatric Respiratory Illness Patients during times of Capacity Constraints</w:t>
      </w:r>
    </w:p>
    <w:p w14:paraId="59799567" w14:textId="24B5BEFE" w:rsidR="00BD4F5B" w:rsidRPr="004E63F8" w:rsidRDefault="00BD4F5B" w:rsidP="00756199">
      <w:pPr>
        <w:ind w:left="1440" w:hanging="1440"/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  <w:b/>
          <w:bCs/>
        </w:rPr>
        <w:t>DATE:</w:t>
      </w:r>
      <w:r w:rsidRPr="004E63F8">
        <w:rPr>
          <w:rFonts w:ascii="Times New Roman" w:hAnsi="Times New Roman" w:cs="Times New Roman"/>
        </w:rPr>
        <w:tab/>
        <w:t xml:space="preserve">October </w:t>
      </w:r>
      <w:r w:rsidR="00764F86">
        <w:rPr>
          <w:rFonts w:ascii="Times New Roman" w:hAnsi="Times New Roman" w:cs="Times New Roman"/>
        </w:rPr>
        <w:t>31</w:t>
      </w:r>
      <w:r w:rsidRPr="004E63F8">
        <w:rPr>
          <w:rFonts w:ascii="Times New Roman" w:hAnsi="Times New Roman" w:cs="Times New Roman"/>
        </w:rPr>
        <w:t>, 2022</w:t>
      </w:r>
    </w:p>
    <w:p w14:paraId="164F64E9" w14:textId="1EE7F924" w:rsidR="007A3EF3" w:rsidRPr="004E63F8" w:rsidRDefault="00330BDB">
      <w:p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The Massachusetts Department of Public Health (</w:t>
      </w:r>
      <w:r w:rsidR="007A3EF3" w:rsidRPr="004E63F8">
        <w:rPr>
          <w:rFonts w:ascii="Times New Roman" w:hAnsi="Times New Roman" w:cs="Times New Roman"/>
        </w:rPr>
        <w:t>DPH</w:t>
      </w:r>
      <w:r w:rsidRPr="004E63F8">
        <w:rPr>
          <w:rFonts w:ascii="Times New Roman" w:hAnsi="Times New Roman" w:cs="Times New Roman"/>
        </w:rPr>
        <w:t>)</w:t>
      </w:r>
      <w:r w:rsidR="007A3EF3" w:rsidRPr="004E63F8">
        <w:rPr>
          <w:rFonts w:ascii="Times New Roman" w:hAnsi="Times New Roman" w:cs="Times New Roman"/>
        </w:rPr>
        <w:t xml:space="preserve"> </w:t>
      </w:r>
      <w:r w:rsidRPr="004E63F8">
        <w:rPr>
          <w:rFonts w:ascii="Times New Roman" w:hAnsi="Times New Roman" w:cs="Times New Roman"/>
        </w:rPr>
        <w:t xml:space="preserve">continues to appreciate the essential role you have in </w:t>
      </w:r>
      <w:r w:rsidR="00FA4DB4" w:rsidRPr="004E63F8">
        <w:rPr>
          <w:rFonts w:ascii="Times New Roman" w:hAnsi="Times New Roman" w:cs="Times New Roman"/>
        </w:rPr>
        <w:t>supporting high-quality care</w:t>
      </w:r>
      <w:r w:rsidR="00482A06" w:rsidRPr="004E63F8">
        <w:rPr>
          <w:rFonts w:ascii="Times New Roman" w:hAnsi="Times New Roman" w:cs="Times New Roman"/>
        </w:rPr>
        <w:t xml:space="preserve"> </w:t>
      </w:r>
      <w:r w:rsidR="007A6CE4" w:rsidRPr="004E63F8">
        <w:rPr>
          <w:rFonts w:ascii="Times New Roman" w:hAnsi="Times New Roman" w:cs="Times New Roman"/>
        </w:rPr>
        <w:t>amid health care delivery constraints.</w:t>
      </w:r>
      <w:r w:rsidRPr="004E63F8">
        <w:rPr>
          <w:rFonts w:ascii="Times New Roman" w:hAnsi="Times New Roman" w:cs="Times New Roman"/>
        </w:rPr>
        <w:t xml:space="preserve"> </w:t>
      </w:r>
      <w:r w:rsidR="007A6CE4" w:rsidRPr="004E63F8">
        <w:rPr>
          <w:rFonts w:ascii="Times New Roman" w:hAnsi="Times New Roman" w:cs="Times New Roman"/>
        </w:rPr>
        <w:t xml:space="preserve">In recent weeks, Massachusetts has faced significant pediatric inpatient capacity constraints, particularly in pediatric intensive care units (PICUs).  </w:t>
      </w:r>
      <w:r w:rsidRPr="004E63F8">
        <w:rPr>
          <w:rFonts w:ascii="Times New Roman" w:hAnsi="Times New Roman" w:cs="Times New Roman"/>
        </w:rPr>
        <w:t xml:space="preserve">DPH </w:t>
      </w:r>
      <w:r w:rsidR="007A3EF3" w:rsidRPr="004E63F8">
        <w:rPr>
          <w:rFonts w:ascii="Times New Roman" w:hAnsi="Times New Roman" w:cs="Times New Roman"/>
        </w:rPr>
        <w:t xml:space="preserve">has </w:t>
      </w:r>
      <w:r w:rsidR="007C4A0B" w:rsidRPr="004E63F8">
        <w:rPr>
          <w:rFonts w:ascii="Times New Roman" w:hAnsi="Times New Roman" w:cs="Times New Roman"/>
        </w:rPr>
        <w:t>developed this guidance document</w:t>
      </w:r>
      <w:r w:rsidR="007A3EF3" w:rsidRPr="004E63F8">
        <w:rPr>
          <w:rFonts w:ascii="Times New Roman" w:hAnsi="Times New Roman" w:cs="Times New Roman"/>
        </w:rPr>
        <w:t xml:space="preserve"> </w:t>
      </w:r>
      <w:r w:rsidR="007A6CE4" w:rsidRPr="004E63F8">
        <w:rPr>
          <w:rFonts w:ascii="Times New Roman" w:hAnsi="Times New Roman" w:cs="Times New Roman"/>
        </w:rPr>
        <w:t xml:space="preserve">to provide </w:t>
      </w:r>
      <w:r w:rsidR="00515E66" w:rsidRPr="004E63F8">
        <w:rPr>
          <w:rFonts w:ascii="Times New Roman" w:hAnsi="Times New Roman" w:cs="Times New Roman"/>
        </w:rPr>
        <w:t>hospitals</w:t>
      </w:r>
      <w:r w:rsidR="007A3EF3" w:rsidRPr="004E63F8">
        <w:rPr>
          <w:rFonts w:ascii="Times New Roman" w:hAnsi="Times New Roman" w:cs="Times New Roman"/>
        </w:rPr>
        <w:t xml:space="preserve"> </w:t>
      </w:r>
      <w:r w:rsidR="007A6CE4" w:rsidRPr="004E63F8">
        <w:rPr>
          <w:rFonts w:ascii="Times New Roman" w:hAnsi="Times New Roman" w:cs="Times New Roman"/>
        </w:rPr>
        <w:t xml:space="preserve">with strategies designed </w:t>
      </w:r>
      <w:r w:rsidR="007A3EF3" w:rsidRPr="004E63F8">
        <w:rPr>
          <w:rFonts w:ascii="Times New Roman" w:hAnsi="Times New Roman" w:cs="Times New Roman"/>
        </w:rPr>
        <w:t>to maximize pediatric capacity and to ensure pediatric patients are</w:t>
      </w:r>
      <w:r w:rsidRPr="004E63F8">
        <w:rPr>
          <w:rFonts w:ascii="Times New Roman" w:hAnsi="Times New Roman" w:cs="Times New Roman"/>
        </w:rPr>
        <w:t xml:space="preserve"> safely</w:t>
      </w:r>
      <w:r w:rsidR="007A3EF3" w:rsidRPr="004E63F8">
        <w:rPr>
          <w:rFonts w:ascii="Times New Roman" w:hAnsi="Times New Roman" w:cs="Times New Roman"/>
        </w:rPr>
        <w:t xml:space="preserve"> cared for in the most appropriate setting.</w:t>
      </w:r>
      <w:r w:rsidRPr="004E63F8">
        <w:rPr>
          <w:rFonts w:ascii="Times New Roman" w:hAnsi="Times New Roman" w:cs="Times New Roman"/>
        </w:rPr>
        <w:t xml:space="preserve">  </w:t>
      </w:r>
      <w:r w:rsidR="00515E66" w:rsidRPr="004E63F8">
        <w:rPr>
          <w:rFonts w:ascii="Times New Roman" w:hAnsi="Times New Roman" w:cs="Times New Roman"/>
        </w:rPr>
        <w:t>Hospitals</w:t>
      </w:r>
      <w:r w:rsidRPr="004E63F8">
        <w:rPr>
          <w:rFonts w:ascii="Times New Roman" w:hAnsi="Times New Roman" w:cs="Times New Roman"/>
        </w:rPr>
        <w:t xml:space="preserve"> should review the recommendations and work to implement them within their organizations:</w:t>
      </w:r>
    </w:p>
    <w:p w14:paraId="4874BDDC" w14:textId="5FF05E1A" w:rsidR="00756199" w:rsidRPr="004E63F8" w:rsidRDefault="00756199">
      <w:pPr>
        <w:rPr>
          <w:rFonts w:ascii="Times New Roman" w:hAnsi="Times New Roman" w:cs="Times New Roman"/>
          <w:b/>
          <w:bCs/>
        </w:rPr>
      </w:pPr>
      <w:r w:rsidRPr="004E63F8">
        <w:rPr>
          <w:rFonts w:ascii="Times New Roman" w:hAnsi="Times New Roman" w:cs="Times New Roman"/>
          <w:b/>
          <w:bCs/>
        </w:rPr>
        <w:t>Bed Capacity</w:t>
      </w:r>
    </w:p>
    <w:p w14:paraId="6C052147" w14:textId="17C4B762" w:rsidR="00275FBC" w:rsidRDefault="00330BDB" w:rsidP="004E63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A</w:t>
      </w:r>
      <w:r w:rsidR="007A3EF3" w:rsidRPr="004E63F8">
        <w:rPr>
          <w:rFonts w:ascii="Times New Roman" w:hAnsi="Times New Roman" w:cs="Times New Roman"/>
        </w:rPr>
        <w:t xml:space="preserve">ll </w:t>
      </w:r>
      <w:r w:rsidR="00515E66" w:rsidRPr="004E63F8">
        <w:rPr>
          <w:rFonts w:ascii="Times New Roman" w:hAnsi="Times New Roman" w:cs="Times New Roman"/>
        </w:rPr>
        <w:t xml:space="preserve">hospitals </w:t>
      </w:r>
      <w:r w:rsidR="007A3EF3" w:rsidRPr="004E63F8">
        <w:rPr>
          <w:rFonts w:ascii="Times New Roman" w:hAnsi="Times New Roman" w:cs="Times New Roman"/>
        </w:rPr>
        <w:t xml:space="preserve">caring for pediatric patients </w:t>
      </w:r>
      <w:r w:rsidRPr="004E63F8">
        <w:rPr>
          <w:rFonts w:ascii="Times New Roman" w:hAnsi="Times New Roman" w:cs="Times New Roman"/>
        </w:rPr>
        <w:t>should</w:t>
      </w:r>
      <w:r w:rsidR="007A3EF3" w:rsidRPr="004E63F8">
        <w:rPr>
          <w:rFonts w:ascii="Times New Roman" w:hAnsi="Times New Roman" w:cs="Times New Roman"/>
        </w:rPr>
        <w:t xml:space="preserve"> continue to follow the H</w:t>
      </w:r>
      <w:r w:rsidRPr="004E63F8">
        <w:rPr>
          <w:rFonts w:ascii="Times New Roman" w:hAnsi="Times New Roman" w:cs="Times New Roman"/>
        </w:rPr>
        <w:t>ealth and Medical Coordinating Coalition (H</w:t>
      </w:r>
      <w:r w:rsidR="007A3EF3" w:rsidRPr="004E63F8">
        <w:rPr>
          <w:rFonts w:ascii="Times New Roman" w:hAnsi="Times New Roman" w:cs="Times New Roman"/>
        </w:rPr>
        <w:t>MCC</w:t>
      </w:r>
      <w:r w:rsidRPr="004E63F8">
        <w:rPr>
          <w:rFonts w:ascii="Times New Roman" w:hAnsi="Times New Roman" w:cs="Times New Roman"/>
        </w:rPr>
        <w:t>)</w:t>
      </w:r>
      <w:r w:rsidR="007A3EF3" w:rsidRPr="004E63F8">
        <w:rPr>
          <w:rFonts w:ascii="Times New Roman" w:hAnsi="Times New Roman" w:cs="Times New Roman"/>
        </w:rPr>
        <w:t xml:space="preserve"> </w:t>
      </w:r>
      <w:hyperlink r:id="rId6" w:history="1">
        <w:r w:rsidR="00756199" w:rsidRPr="004E63F8">
          <w:rPr>
            <w:rStyle w:val="Hyperlink"/>
            <w:rFonts w:ascii="Times New Roman" w:hAnsi="Times New Roman" w:cs="Times New Roman"/>
          </w:rPr>
          <w:t xml:space="preserve">capacity planning and response </w:t>
        </w:r>
        <w:r w:rsidR="007A3EF3" w:rsidRPr="004E63F8">
          <w:rPr>
            <w:rStyle w:val="Hyperlink"/>
            <w:rFonts w:ascii="Times New Roman" w:hAnsi="Times New Roman" w:cs="Times New Roman"/>
          </w:rPr>
          <w:t xml:space="preserve">model </w:t>
        </w:r>
      </w:hyperlink>
      <w:r w:rsidR="007A3EF3" w:rsidRPr="004E63F8">
        <w:rPr>
          <w:rFonts w:ascii="Times New Roman" w:hAnsi="Times New Roman" w:cs="Times New Roman"/>
        </w:rPr>
        <w:t>for reporting bed capacity</w:t>
      </w:r>
      <w:r w:rsidR="00494678" w:rsidRPr="004E63F8">
        <w:rPr>
          <w:rFonts w:ascii="Times New Roman" w:hAnsi="Times New Roman" w:cs="Times New Roman"/>
        </w:rPr>
        <w:t xml:space="preserve"> and needs</w:t>
      </w:r>
      <w:r w:rsidR="007A3EF3" w:rsidRPr="004E63F8">
        <w:rPr>
          <w:rFonts w:ascii="Times New Roman" w:hAnsi="Times New Roman" w:cs="Times New Roman"/>
        </w:rPr>
        <w:t xml:space="preserve">. </w:t>
      </w:r>
      <w:r w:rsidR="007C4A0B" w:rsidRPr="004E63F8">
        <w:rPr>
          <w:rFonts w:ascii="Times New Roman" w:hAnsi="Times New Roman" w:cs="Times New Roman"/>
        </w:rPr>
        <w:t xml:space="preserve">Once </w:t>
      </w:r>
      <w:r w:rsidR="00515E66" w:rsidRPr="004E63F8">
        <w:rPr>
          <w:rFonts w:ascii="Times New Roman" w:hAnsi="Times New Roman" w:cs="Times New Roman"/>
        </w:rPr>
        <w:t xml:space="preserve">hospitals </w:t>
      </w:r>
      <w:r w:rsidR="007C4A0B" w:rsidRPr="004E63F8">
        <w:rPr>
          <w:rFonts w:ascii="Times New Roman" w:hAnsi="Times New Roman" w:cs="Times New Roman"/>
        </w:rPr>
        <w:t xml:space="preserve">have </w:t>
      </w:r>
      <w:r w:rsidR="007A3EF3" w:rsidRPr="004E63F8">
        <w:rPr>
          <w:rFonts w:ascii="Times New Roman" w:hAnsi="Times New Roman" w:cs="Times New Roman"/>
        </w:rPr>
        <w:t>optimized internal capacity coordination</w:t>
      </w:r>
      <w:r w:rsidR="007C4A0B" w:rsidRPr="004E63F8">
        <w:rPr>
          <w:rFonts w:ascii="Times New Roman" w:hAnsi="Times New Roman" w:cs="Times New Roman"/>
        </w:rPr>
        <w:t xml:space="preserve"> but</w:t>
      </w:r>
      <w:r w:rsidR="007A3EF3" w:rsidRPr="004E63F8">
        <w:rPr>
          <w:rFonts w:ascii="Times New Roman" w:hAnsi="Times New Roman" w:cs="Times New Roman"/>
        </w:rPr>
        <w:t xml:space="preserve"> remain in need of inpatient beds</w:t>
      </w:r>
      <w:r w:rsidR="007C4A0B" w:rsidRPr="004E63F8">
        <w:rPr>
          <w:rFonts w:ascii="Times New Roman" w:hAnsi="Times New Roman" w:cs="Times New Roman"/>
        </w:rPr>
        <w:t xml:space="preserve">, the framework can be used </w:t>
      </w:r>
      <w:r w:rsidR="007A3EF3" w:rsidRPr="004E63F8">
        <w:rPr>
          <w:rFonts w:ascii="Times New Roman" w:hAnsi="Times New Roman" w:cs="Times New Roman"/>
        </w:rPr>
        <w:t xml:space="preserve">to request local/regional support for transfer of patients, followed by state support. </w:t>
      </w:r>
      <w:r w:rsidR="00275FBC" w:rsidRPr="00275FBC">
        <w:rPr>
          <w:rFonts w:ascii="Times New Roman" w:hAnsi="Times New Roman" w:cs="Times New Roman"/>
        </w:rPr>
        <w:t xml:space="preserve">DPH has developed a dashboard that provides daily updates to pediatric bed capacity across the state and has potential to provide near real-time updates.  This is accessible to all hospitals via DPH’s WebEOC platform, within the COVID19 Hospital Data Collection Board as a separate tab. For assistance with your hospital’s WebEOC login information please contact your emergency preparedness coordinator or email dph.webeoc@mass.gov.  WebEOC is accessed here: </w:t>
      </w:r>
      <w:hyperlink r:id="rId7" w:history="1">
        <w:r w:rsidR="00275FBC" w:rsidRPr="008123B6">
          <w:rPr>
            <w:rStyle w:val="Hyperlink"/>
            <w:rFonts w:ascii="Times New Roman" w:hAnsi="Times New Roman" w:cs="Times New Roman"/>
          </w:rPr>
          <w:t>https://mdph.webeocasp.com/mdph/</w:t>
        </w:r>
      </w:hyperlink>
    </w:p>
    <w:p w14:paraId="6911C706" w14:textId="266B2D8F" w:rsidR="00BD4F5B" w:rsidRPr="004E63F8" w:rsidRDefault="000A1769" w:rsidP="00BD4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All hospitals</w:t>
      </w:r>
      <w:r w:rsidR="00BD4F5B" w:rsidRPr="004E63F8">
        <w:rPr>
          <w:rFonts w:ascii="Times New Roman" w:hAnsi="Times New Roman" w:cs="Times New Roman"/>
        </w:rPr>
        <w:t xml:space="preserve"> with licensed pediatric beds must maximize staffing of these beds including those not in use but not decertified. </w:t>
      </w:r>
      <w:r w:rsidRPr="004E63F8">
        <w:rPr>
          <w:rFonts w:ascii="Times New Roman" w:hAnsi="Times New Roman" w:cs="Times New Roman"/>
        </w:rPr>
        <w:t>Hospitals</w:t>
      </w:r>
      <w:r w:rsidR="00BD4F5B" w:rsidRPr="004E63F8">
        <w:rPr>
          <w:rFonts w:ascii="Times New Roman" w:hAnsi="Times New Roman" w:cs="Times New Roman"/>
        </w:rPr>
        <w:t xml:space="preserve"> should consider utilizing short-term agency or travel nurse contracts to support staffing.   </w:t>
      </w:r>
    </w:p>
    <w:p w14:paraId="4755C4F6" w14:textId="6E40EEB1" w:rsidR="003F447C" w:rsidRPr="004E63F8" w:rsidRDefault="003F447C" w:rsidP="003F44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 xml:space="preserve">Some younger pediatric patients may be appropriately admitted to a neonatal intensive care unit (NICU) for management. NICUs within each healthcare organization should assess their internal </w:t>
      </w:r>
      <w:r w:rsidRPr="004E63F8">
        <w:rPr>
          <w:rFonts w:ascii="Times New Roman" w:hAnsi="Times New Roman" w:cs="Times New Roman"/>
        </w:rPr>
        <w:lastRenderedPageBreak/>
        <w:t xml:space="preserve">capacity to admit patients from emergency departments or inpatient setting for respiratory support if there is isolation space available for these patients and communicate availability to provider partners.  </w:t>
      </w:r>
    </w:p>
    <w:p w14:paraId="7745DB0E" w14:textId="77777777" w:rsidR="00BD4F5B" w:rsidRPr="004E63F8" w:rsidRDefault="00BD4F5B" w:rsidP="00BD4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 xml:space="preserve">Hospitals, in accordance with 105 CMR 130.700, may admit patients who are fifteen years and older to the general med/surgical unit setting provided that pediatric expertise is available for consult.  DPH requests hospitals also consider admission of these older teens to general ICU settings, when appropriate.  </w:t>
      </w:r>
    </w:p>
    <w:p w14:paraId="1B908FC7" w14:textId="2E8E1EE8" w:rsidR="00BD4F5B" w:rsidRPr="004E63F8" w:rsidRDefault="000A1769" w:rsidP="00BD4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Hospitals</w:t>
      </w:r>
      <w:r w:rsidR="00BD4F5B" w:rsidRPr="004E63F8">
        <w:rPr>
          <w:rFonts w:ascii="Times New Roman" w:hAnsi="Times New Roman" w:cs="Times New Roman"/>
        </w:rPr>
        <w:t xml:space="preserve"> should retrotransfer patients from PICUs and/or other higher levels of care to their community hospital when appropriate to optimize referring PICU capacity.</w:t>
      </w:r>
    </w:p>
    <w:p w14:paraId="039BDBDF" w14:textId="092A000B" w:rsidR="00BD4F5B" w:rsidRPr="004E63F8" w:rsidRDefault="00BD4F5B" w:rsidP="00BD4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 xml:space="preserve">DPH expects individual </w:t>
      </w:r>
      <w:r w:rsidR="000A1769" w:rsidRPr="004E63F8">
        <w:rPr>
          <w:rFonts w:ascii="Times New Roman" w:hAnsi="Times New Roman" w:cs="Times New Roman"/>
        </w:rPr>
        <w:t xml:space="preserve">hospitals </w:t>
      </w:r>
      <w:r w:rsidRPr="004E63F8">
        <w:rPr>
          <w:rFonts w:ascii="Times New Roman" w:hAnsi="Times New Roman" w:cs="Times New Roman"/>
        </w:rPr>
        <w:t xml:space="preserve">will optimize capacity by reviewing procedural activities considering inpatient demand within both pediatric inpatient units and PICUs.  </w:t>
      </w:r>
    </w:p>
    <w:p w14:paraId="41D7E7E1" w14:textId="2B505D85" w:rsidR="00BD4F5B" w:rsidRPr="004E63F8" w:rsidRDefault="000A1769" w:rsidP="00BD4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Hospitals</w:t>
      </w:r>
      <w:r w:rsidR="00BD4F5B" w:rsidRPr="004E63F8">
        <w:rPr>
          <w:rFonts w:ascii="Times New Roman" w:hAnsi="Times New Roman" w:cs="Times New Roman"/>
        </w:rPr>
        <w:t xml:space="preserve"> with pediatric behavioral health inpatient beds should exhaust all staffing possibilities to staff all beds and maximize capacity. </w:t>
      </w:r>
    </w:p>
    <w:p w14:paraId="72A03B83" w14:textId="22095A52" w:rsidR="003F447C" w:rsidRPr="004E63F8" w:rsidRDefault="00BD4F5B" w:rsidP="00262291">
      <w:pPr>
        <w:rPr>
          <w:rFonts w:ascii="Times New Roman" w:hAnsi="Times New Roman" w:cs="Times New Roman"/>
          <w:b/>
          <w:bCs/>
        </w:rPr>
      </w:pPr>
      <w:r w:rsidRPr="004E63F8">
        <w:rPr>
          <w:rFonts w:ascii="Times New Roman" w:hAnsi="Times New Roman" w:cs="Times New Roman"/>
          <w:b/>
          <w:bCs/>
        </w:rPr>
        <w:t xml:space="preserve">Clinical Management     </w:t>
      </w:r>
    </w:p>
    <w:p w14:paraId="7455FCC5" w14:textId="10795DF3" w:rsidR="00C9594D" w:rsidRPr="004E63F8" w:rsidRDefault="000A1769" w:rsidP="002622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Hospitals</w:t>
      </w:r>
      <w:r w:rsidR="00C9594D" w:rsidRPr="004E63F8">
        <w:rPr>
          <w:rFonts w:ascii="Times New Roman" w:hAnsi="Times New Roman" w:cs="Times New Roman"/>
        </w:rPr>
        <w:t xml:space="preserve"> that care for </w:t>
      </w:r>
      <w:r w:rsidR="00494678" w:rsidRPr="004E63F8">
        <w:rPr>
          <w:rFonts w:ascii="Times New Roman" w:hAnsi="Times New Roman" w:cs="Times New Roman"/>
        </w:rPr>
        <w:t xml:space="preserve">admitted </w:t>
      </w:r>
      <w:r w:rsidR="00C9594D" w:rsidRPr="004E63F8">
        <w:rPr>
          <w:rFonts w:ascii="Times New Roman" w:hAnsi="Times New Roman" w:cs="Times New Roman"/>
        </w:rPr>
        <w:t xml:space="preserve">pediatric patients with or without PICU capacity </w:t>
      </w:r>
      <w:r w:rsidR="00515E66" w:rsidRPr="004E63F8">
        <w:rPr>
          <w:rFonts w:ascii="Times New Roman" w:hAnsi="Times New Roman" w:cs="Times New Roman"/>
        </w:rPr>
        <w:t xml:space="preserve">should </w:t>
      </w:r>
      <w:r w:rsidR="00C9594D" w:rsidRPr="004E63F8">
        <w:rPr>
          <w:rFonts w:ascii="Times New Roman" w:hAnsi="Times New Roman" w:cs="Times New Roman"/>
        </w:rPr>
        <w:t>implement an inpatient high flow</w:t>
      </w:r>
      <w:r w:rsidR="00FF0C29">
        <w:rPr>
          <w:rFonts w:ascii="Times New Roman" w:hAnsi="Times New Roman" w:cs="Times New Roman"/>
        </w:rPr>
        <w:t xml:space="preserve"> nasal cannula</w:t>
      </w:r>
      <w:r w:rsidR="00C9594D" w:rsidRPr="004E63F8">
        <w:rPr>
          <w:rFonts w:ascii="Times New Roman" w:hAnsi="Times New Roman" w:cs="Times New Roman"/>
        </w:rPr>
        <w:t xml:space="preserve"> </w:t>
      </w:r>
      <w:r w:rsidR="00494678" w:rsidRPr="004E63F8">
        <w:rPr>
          <w:rFonts w:ascii="Times New Roman" w:hAnsi="Times New Roman" w:cs="Times New Roman"/>
        </w:rPr>
        <w:t xml:space="preserve">oxygen </w:t>
      </w:r>
      <w:r w:rsidR="00C9594D" w:rsidRPr="004E63F8">
        <w:rPr>
          <w:rFonts w:ascii="Times New Roman" w:hAnsi="Times New Roman" w:cs="Times New Roman"/>
        </w:rPr>
        <w:t>protocol</w:t>
      </w:r>
      <w:r w:rsidR="00494678" w:rsidRPr="004E63F8">
        <w:rPr>
          <w:rFonts w:ascii="Times New Roman" w:hAnsi="Times New Roman" w:cs="Times New Roman"/>
        </w:rPr>
        <w:t xml:space="preserve"> so that they may safely manage patients in a floor setting</w:t>
      </w:r>
      <w:r w:rsidR="00C9594D" w:rsidRPr="004E63F8">
        <w:rPr>
          <w:rFonts w:ascii="Times New Roman" w:hAnsi="Times New Roman" w:cs="Times New Roman"/>
        </w:rPr>
        <w:t xml:space="preserve">.  </w:t>
      </w:r>
      <w:r w:rsidR="00BD4F5B" w:rsidRPr="004E63F8">
        <w:rPr>
          <w:rFonts w:ascii="Times New Roman" w:hAnsi="Times New Roman" w:cs="Times New Roman"/>
        </w:rPr>
        <w:t xml:space="preserve">In addition, all general emergency departments are expected to develop and implement high flow </w:t>
      </w:r>
      <w:r w:rsidR="00FF0C29">
        <w:rPr>
          <w:rFonts w:ascii="Times New Roman" w:hAnsi="Times New Roman" w:cs="Times New Roman"/>
        </w:rPr>
        <w:t xml:space="preserve">nasal cannula </w:t>
      </w:r>
      <w:r w:rsidR="00BD4F5B" w:rsidRPr="004E63F8">
        <w:rPr>
          <w:rFonts w:ascii="Times New Roman" w:hAnsi="Times New Roman" w:cs="Times New Roman"/>
        </w:rPr>
        <w:t xml:space="preserve">oxygen capacity for pediatric patients requiring such support. </w:t>
      </w:r>
      <w:r w:rsidR="00C9594D" w:rsidRPr="004E63F8">
        <w:rPr>
          <w:rFonts w:ascii="Times New Roman" w:hAnsi="Times New Roman" w:cs="Times New Roman"/>
        </w:rPr>
        <w:t xml:space="preserve">The attached </w:t>
      </w:r>
      <w:r w:rsidR="00225D7B" w:rsidRPr="004E63F8">
        <w:rPr>
          <w:rFonts w:ascii="Times New Roman" w:hAnsi="Times New Roman" w:cs="Times New Roman"/>
        </w:rPr>
        <w:t>pathway</w:t>
      </w:r>
      <w:r w:rsidR="00C9594D" w:rsidRPr="004E63F8">
        <w:rPr>
          <w:rFonts w:ascii="Times New Roman" w:hAnsi="Times New Roman" w:cs="Times New Roman"/>
        </w:rPr>
        <w:t xml:space="preserve"> was </w:t>
      </w:r>
      <w:r w:rsidR="00225D7B" w:rsidRPr="004E63F8">
        <w:rPr>
          <w:rFonts w:ascii="Times New Roman" w:hAnsi="Times New Roman" w:cs="Times New Roman"/>
        </w:rPr>
        <w:t xml:space="preserve">developed and </w:t>
      </w:r>
      <w:r w:rsidR="00C9594D" w:rsidRPr="004E63F8">
        <w:rPr>
          <w:rFonts w:ascii="Times New Roman" w:hAnsi="Times New Roman" w:cs="Times New Roman"/>
        </w:rPr>
        <w:t xml:space="preserve">shared by </w:t>
      </w:r>
      <w:r w:rsidR="00225D7B" w:rsidRPr="004E63F8">
        <w:rPr>
          <w:rFonts w:ascii="Times New Roman" w:hAnsi="Times New Roman" w:cs="Times New Roman"/>
        </w:rPr>
        <w:t>Dr. Alla Smith for use in the community hospital setting without a PICU. This pathway was implemented at South Shore Hospital.  See pathway</w:t>
      </w:r>
    </w:p>
    <w:p w14:paraId="4C11EA39" w14:textId="0651EE65" w:rsidR="001F53E5" w:rsidRPr="004E63F8" w:rsidRDefault="00C9594D" w:rsidP="002622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Boston Children</w:t>
      </w:r>
      <w:r w:rsidR="00BD4F5B" w:rsidRPr="004E63F8">
        <w:rPr>
          <w:rFonts w:ascii="Times New Roman" w:hAnsi="Times New Roman" w:cs="Times New Roman"/>
        </w:rPr>
        <w:t>’</w:t>
      </w:r>
      <w:r w:rsidRPr="004E63F8">
        <w:rPr>
          <w:rFonts w:ascii="Times New Roman" w:hAnsi="Times New Roman" w:cs="Times New Roman"/>
        </w:rPr>
        <w:t xml:space="preserve">s Hospital has staffed a 24/7 PICU consultative </w:t>
      </w:r>
      <w:r w:rsidR="001F53E5" w:rsidRPr="004E63F8">
        <w:rPr>
          <w:rFonts w:ascii="Times New Roman" w:hAnsi="Times New Roman" w:cs="Times New Roman"/>
        </w:rPr>
        <w:t xml:space="preserve">phone </w:t>
      </w:r>
      <w:r w:rsidRPr="004E63F8">
        <w:rPr>
          <w:rFonts w:ascii="Times New Roman" w:hAnsi="Times New Roman" w:cs="Times New Roman"/>
        </w:rPr>
        <w:t xml:space="preserve">service available </w:t>
      </w:r>
      <w:r w:rsidR="001F53E5" w:rsidRPr="004E63F8">
        <w:rPr>
          <w:rFonts w:ascii="Times New Roman" w:hAnsi="Times New Roman" w:cs="Times New Roman"/>
        </w:rPr>
        <w:t xml:space="preserve">to emergency departments and inpatient </w:t>
      </w:r>
      <w:r w:rsidR="00494678" w:rsidRPr="004E63F8">
        <w:rPr>
          <w:rFonts w:ascii="Times New Roman" w:hAnsi="Times New Roman" w:cs="Times New Roman"/>
        </w:rPr>
        <w:t>settings</w:t>
      </w:r>
      <w:r w:rsidR="00DE34DB" w:rsidRPr="004E63F8">
        <w:rPr>
          <w:rFonts w:ascii="Times New Roman" w:hAnsi="Times New Roman" w:cs="Times New Roman"/>
        </w:rPr>
        <w:t xml:space="preserve"> </w:t>
      </w:r>
      <w:r w:rsidR="001F53E5" w:rsidRPr="004E63F8">
        <w:rPr>
          <w:rFonts w:ascii="Times New Roman" w:hAnsi="Times New Roman" w:cs="Times New Roman"/>
        </w:rPr>
        <w:t xml:space="preserve">across the state. The number to contact a consultant to assist in </w:t>
      </w:r>
      <w:r w:rsidR="00494678" w:rsidRPr="004E63F8">
        <w:rPr>
          <w:rFonts w:ascii="Times New Roman" w:hAnsi="Times New Roman" w:cs="Times New Roman"/>
        </w:rPr>
        <w:t xml:space="preserve">clinical </w:t>
      </w:r>
      <w:r w:rsidR="001F53E5" w:rsidRPr="004E63F8">
        <w:rPr>
          <w:rFonts w:ascii="Times New Roman" w:hAnsi="Times New Roman" w:cs="Times New Roman"/>
        </w:rPr>
        <w:t>management decisions and potential placement is</w:t>
      </w:r>
      <w:r w:rsidR="00494678" w:rsidRPr="004E63F8">
        <w:rPr>
          <w:rFonts w:ascii="Times New Roman" w:hAnsi="Times New Roman" w:cs="Times New Roman"/>
        </w:rPr>
        <w:t xml:space="preserve"> </w:t>
      </w:r>
      <w:r w:rsidR="00494678" w:rsidRPr="004E63F8">
        <w:rPr>
          <w:rFonts w:ascii="Times New Roman" w:hAnsi="Times New Roman" w:cs="Times New Roman"/>
          <w:b/>
          <w:bCs/>
        </w:rPr>
        <w:t>617-355-2170</w:t>
      </w:r>
      <w:r w:rsidR="00BD4F5B" w:rsidRPr="004E63F8">
        <w:rPr>
          <w:rFonts w:ascii="Times New Roman" w:hAnsi="Times New Roman" w:cs="Times New Roman"/>
        </w:rPr>
        <w:t xml:space="preserve">. </w:t>
      </w:r>
    </w:p>
    <w:p w14:paraId="731BD7CE" w14:textId="64E80128" w:rsidR="001F53E5" w:rsidRPr="004E63F8" w:rsidRDefault="001F53E5" w:rsidP="002622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 xml:space="preserve">DPH encourages all </w:t>
      </w:r>
      <w:r w:rsidR="007C4A0B" w:rsidRPr="004E63F8">
        <w:rPr>
          <w:rFonts w:ascii="Times New Roman" w:hAnsi="Times New Roman" w:cs="Times New Roman"/>
        </w:rPr>
        <w:t xml:space="preserve">pediatric hospitals with pediatric expertise to </w:t>
      </w:r>
      <w:r w:rsidRPr="004E63F8">
        <w:rPr>
          <w:rFonts w:ascii="Times New Roman" w:hAnsi="Times New Roman" w:cs="Times New Roman"/>
        </w:rPr>
        <w:t xml:space="preserve">develop a </w:t>
      </w:r>
      <w:r w:rsidR="007C4A0B" w:rsidRPr="004E63F8">
        <w:rPr>
          <w:rFonts w:ascii="Times New Roman" w:hAnsi="Times New Roman" w:cs="Times New Roman"/>
        </w:rPr>
        <w:t>teleconsulting</w:t>
      </w:r>
      <w:r w:rsidRPr="004E63F8">
        <w:rPr>
          <w:rFonts w:ascii="Times New Roman" w:hAnsi="Times New Roman" w:cs="Times New Roman"/>
        </w:rPr>
        <w:t xml:space="preserve"> service to support their referring </w:t>
      </w:r>
      <w:r w:rsidR="000A1769" w:rsidRPr="004E63F8">
        <w:rPr>
          <w:rFonts w:ascii="Times New Roman" w:hAnsi="Times New Roman" w:cs="Times New Roman"/>
        </w:rPr>
        <w:t>hospitals</w:t>
      </w:r>
      <w:r w:rsidRPr="004E63F8">
        <w:rPr>
          <w:rFonts w:ascii="Times New Roman" w:hAnsi="Times New Roman" w:cs="Times New Roman"/>
        </w:rPr>
        <w:t xml:space="preserve"> in management of pediatric emergency department </w:t>
      </w:r>
      <w:r w:rsidR="007C4A3C" w:rsidRPr="004E63F8">
        <w:rPr>
          <w:rFonts w:ascii="Times New Roman" w:hAnsi="Times New Roman" w:cs="Times New Roman"/>
        </w:rPr>
        <w:t>and inpatient care</w:t>
      </w:r>
      <w:r w:rsidRPr="004E63F8">
        <w:rPr>
          <w:rFonts w:ascii="Times New Roman" w:hAnsi="Times New Roman" w:cs="Times New Roman"/>
        </w:rPr>
        <w:t xml:space="preserve">. Each </w:t>
      </w:r>
      <w:r w:rsidR="000A1769" w:rsidRPr="004E63F8">
        <w:rPr>
          <w:rFonts w:ascii="Times New Roman" w:hAnsi="Times New Roman" w:cs="Times New Roman"/>
        </w:rPr>
        <w:t xml:space="preserve">hospital </w:t>
      </w:r>
      <w:r w:rsidRPr="004E63F8">
        <w:rPr>
          <w:rFonts w:ascii="Times New Roman" w:hAnsi="Times New Roman" w:cs="Times New Roman"/>
        </w:rPr>
        <w:t>should work with their local leadership to review appropriate technology for these consults.</w:t>
      </w:r>
    </w:p>
    <w:p w14:paraId="595B207B" w14:textId="3C449829" w:rsidR="004E63F8" w:rsidRDefault="007D6E62" w:rsidP="00262291">
      <w:p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>DPH</w:t>
      </w:r>
      <w:r w:rsidR="00545611" w:rsidRPr="004E63F8">
        <w:rPr>
          <w:rFonts w:ascii="Times New Roman" w:hAnsi="Times New Roman" w:cs="Times New Roman"/>
        </w:rPr>
        <w:t xml:space="preserve"> recognize</w:t>
      </w:r>
      <w:r w:rsidRPr="004E63F8">
        <w:rPr>
          <w:rFonts w:ascii="Times New Roman" w:hAnsi="Times New Roman" w:cs="Times New Roman"/>
        </w:rPr>
        <w:t>s</w:t>
      </w:r>
      <w:r w:rsidR="00545611" w:rsidRPr="004E63F8">
        <w:rPr>
          <w:rFonts w:ascii="Times New Roman" w:hAnsi="Times New Roman" w:cs="Times New Roman"/>
        </w:rPr>
        <w:t xml:space="preserve"> and appreciate</w:t>
      </w:r>
      <w:r w:rsidRPr="004E63F8">
        <w:rPr>
          <w:rFonts w:ascii="Times New Roman" w:hAnsi="Times New Roman" w:cs="Times New Roman"/>
        </w:rPr>
        <w:t>s</w:t>
      </w:r>
      <w:r w:rsidR="00545611" w:rsidRPr="004E63F8">
        <w:rPr>
          <w:rFonts w:ascii="Times New Roman" w:hAnsi="Times New Roman" w:cs="Times New Roman"/>
        </w:rPr>
        <w:t xml:space="preserve"> the ongoing efforts by </w:t>
      </w:r>
      <w:r w:rsidR="000A1769" w:rsidRPr="004E63F8">
        <w:rPr>
          <w:rFonts w:ascii="Times New Roman" w:hAnsi="Times New Roman" w:cs="Times New Roman"/>
        </w:rPr>
        <w:t>hospitals</w:t>
      </w:r>
      <w:r w:rsidRPr="004E63F8">
        <w:rPr>
          <w:rFonts w:ascii="Times New Roman" w:hAnsi="Times New Roman" w:cs="Times New Roman"/>
        </w:rPr>
        <w:t xml:space="preserve"> with pediatric services</w:t>
      </w:r>
      <w:r w:rsidR="00545611" w:rsidRPr="004E63F8">
        <w:rPr>
          <w:rFonts w:ascii="Times New Roman" w:hAnsi="Times New Roman" w:cs="Times New Roman"/>
        </w:rPr>
        <w:t xml:space="preserve"> to assist with capacity management and situational awareness of constraints across the </w:t>
      </w:r>
      <w:r w:rsidRPr="004E63F8">
        <w:rPr>
          <w:rFonts w:ascii="Times New Roman" w:hAnsi="Times New Roman" w:cs="Times New Roman"/>
        </w:rPr>
        <w:t>C</w:t>
      </w:r>
      <w:r w:rsidR="00545611" w:rsidRPr="004E63F8">
        <w:rPr>
          <w:rFonts w:ascii="Times New Roman" w:hAnsi="Times New Roman" w:cs="Times New Roman"/>
        </w:rPr>
        <w:t xml:space="preserve">ommonwealth.  </w:t>
      </w:r>
      <w:r w:rsidRPr="004E63F8">
        <w:rPr>
          <w:rFonts w:ascii="Times New Roman" w:hAnsi="Times New Roman" w:cs="Times New Roman"/>
        </w:rPr>
        <w:t>DPH</w:t>
      </w:r>
      <w:r w:rsidR="00545611" w:rsidRPr="004E63F8">
        <w:rPr>
          <w:rFonts w:ascii="Times New Roman" w:hAnsi="Times New Roman" w:cs="Times New Roman"/>
        </w:rPr>
        <w:t xml:space="preserve"> will continue to support these and other efforts as we work together to </w:t>
      </w:r>
      <w:r w:rsidR="009731CE" w:rsidRPr="004E63F8">
        <w:rPr>
          <w:rFonts w:ascii="Times New Roman" w:hAnsi="Times New Roman" w:cs="Times New Roman"/>
        </w:rPr>
        <w:t>ensure th</w:t>
      </w:r>
      <w:r w:rsidR="001622BD" w:rsidRPr="004E63F8">
        <w:rPr>
          <w:rFonts w:ascii="Times New Roman" w:hAnsi="Times New Roman" w:cs="Times New Roman"/>
        </w:rPr>
        <w:t xml:space="preserve">at pediatric patients have access to high-quality </w:t>
      </w:r>
      <w:r w:rsidR="00545611" w:rsidRPr="004E63F8">
        <w:rPr>
          <w:rFonts w:ascii="Times New Roman" w:hAnsi="Times New Roman" w:cs="Times New Roman"/>
        </w:rPr>
        <w:t xml:space="preserve">care.    </w:t>
      </w:r>
      <w:r w:rsidR="009731CE" w:rsidRPr="004E63F8">
        <w:rPr>
          <w:rFonts w:ascii="Times New Roman" w:hAnsi="Times New Roman" w:cs="Times New Roman"/>
        </w:rPr>
        <w:t xml:space="preserve">If you have any questions regarding this guidance then please contact </w:t>
      </w:r>
      <w:hyperlink r:id="rId8" w:history="1">
        <w:r w:rsidR="004E63F8" w:rsidRPr="00F96942">
          <w:rPr>
            <w:rStyle w:val="Hyperlink"/>
            <w:rFonts w:ascii="Times New Roman" w:hAnsi="Times New Roman" w:cs="Times New Roman"/>
          </w:rPr>
          <w:t>dph.bhcsq@mass.gov</w:t>
        </w:r>
      </w:hyperlink>
    </w:p>
    <w:p w14:paraId="21728E15" w14:textId="55953D3D" w:rsidR="00EF712D" w:rsidRPr="004E63F8" w:rsidRDefault="001622BD" w:rsidP="00262291">
      <w:pPr>
        <w:rPr>
          <w:rFonts w:ascii="Times New Roman" w:hAnsi="Times New Roman" w:cs="Times New Roman"/>
        </w:rPr>
      </w:pPr>
      <w:r w:rsidRPr="004E63F8">
        <w:rPr>
          <w:rFonts w:ascii="Times New Roman" w:hAnsi="Times New Roman" w:cs="Times New Roman"/>
        </w:rPr>
        <w:t xml:space="preserve"> </w:t>
      </w:r>
    </w:p>
    <w:sectPr w:rsidR="00EF712D" w:rsidRPr="004E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9D5"/>
    <w:multiLevelType w:val="hybridMultilevel"/>
    <w:tmpl w:val="A574E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0246"/>
    <w:multiLevelType w:val="hybridMultilevel"/>
    <w:tmpl w:val="329E3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1398B"/>
    <w:multiLevelType w:val="hybridMultilevel"/>
    <w:tmpl w:val="BC94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48850">
    <w:abstractNumId w:val="0"/>
  </w:num>
  <w:num w:numId="2" w16cid:durableId="1693917966">
    <w:abstractNumId w:val="1"/>
  </w:num>
  <w:num w:numId="3" w16cid:durableId="76507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F3"/>
    <w:rsid w:val="000A1769"/>
    <w:rsid w:val="000D269B"/>
    <w:rsid w:val="001359A6"/>
    <w:rsid w:val="001622BD"/>
    <w:rsid w:val="001F53E5"/>
    <w:rsid w:val="00225D7B"/>
    <w:rsid w:val="00262291"/>
    <w:rsid w:val="00275FBC"/>
    <w:rsid w:val="00330BDB"/>
    <w:rsid w:val="003F447C"/>
    <w:rsid w:val="00482A06"/>
    <w:rsid w:val="00494678"/>
    <w:rsid w:val="004E63F8"/>
    <w:rsid w:val="00515E66"/>
    <w:rsid w:val="00545611"/>
    <w:rsid w:val="006D7F1C"/>
    <w:rsid w:val="006F2648"/>
    <w:rsid w:val="00721DD0"/>
    <w:rsid w:val="00756199"/>
    <w:rsid w:val="0075784C"/>
    <w:rsid w:val="00764F86"/>
    <w:rsid w:val="007A3EF3"/>
    <w:rsid w:val="007A6CE4"/>
    <w:rsid w:val="007C4A0B"/>
    <w:rsid w:val="007C4A3C"/>
    <w:rsid w:val="007D6E62"/>
    <w:rsid w:val="009731CE"/>
    <w:rsid w:val="00A214E1"/>
    <w:rsid w:val="00A76DB0"/>
    <w:rsid w:val="00A87323"/>
    <w:rsid w:val="00BD4F5B"/>
    <w:rsid w:val="00C34DE8"/>
    <w:rsid w:val="00C9594D"/>
    <w:rsid w:val="00DA11A7"/>
    <w:rsid w:val="00DE34DB"/>
    <w:rsid w:val="00EC2CC6"/>
    <w:rsid w:val="00EF712D"/>
    <w:rsid w:val="00F0215C"/>
    <w:rsid w:val="00F572CB"/>
    <w:rsid w:val="00F90E96"/>
    <w:rsid w:val="00FA4DB4"/>
    <w:rsid w:val="00FA6E0E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C9F2"/>
  <w15:chartTrackingRefBased/>
  <w15:docId w15:val="{C63D7E27-B5F8-47AD-A57D-57D04D3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2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199"/>
    <w:pPr>
      <w:spacing w:after="0" w:line="240" w:lineRule="auto"/>
    </w:pPr>
  </w:style>
  <w:style w:type="paragraph" w:customStyle="1" w:styleId="ExecOffice">
    <w:name w:val="Exec Office"/>
    <w:basedOn w:val="Normal"/>
    <w:rsid w:val="00756199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756199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756199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customStyle="1" w:styleId="Default">
    <w:name w:val="Default"/>
    <w:rsid w:val="00756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6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1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4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bhcsq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ph.webeocasp.com/mdp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capacity-planning-and-response-guidance-for-acute-care-hospitals/downloa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DPH</dc:creator>
  <cp:keywords/>
  <dc:description/>
  <cp:lastModifiedBy>Katherine Fillo</cp:lastModifiedBy>
  <cp:revision>3</cp:revision>
  <dcterms:created xsi:type="dcterms:W3CDTF">2022-10-31T12:45:00Z</dcterms:created>
  <dcterms:modified xsi:type="dcterms:W3CDTF">2022-10-31T13:16:00Z</dcterms:modified>
</cp:coreProperties>
</file>