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35" w:rsidRDefault="00C07135" w:rsidP="00C07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When should an incident be reported to DPPC?</w:t>
      </w:r>
    </w:p>
    <w:p w:rsidR="00ED3703" w:rsidRDefault="00C07135" w:rsidP="00841F48">
      <w:pPr>
        <w:jc w:val="both"/>
      </w:pPr>
      <w:r>
        <w:t>This document is intended to serve as a guide to help staff determine when an incident should be reported to DPPC.  As a professional serving and supporting individuals with disabilities</w:t>
      </w:r>
      <w:r w:rsidRPr="00C07135">
        <w:t>, it is your job to support individuals to be safe and healthy</w:t>
      </w:r>
      <w:r>
        <w:t xml:space="preserve">.  </w:t>
      </w:r>
      <w:r w:rsidRPr="00C07135">
        <w:t>As a mandated reporter, you have a legal responsibility to report</w:t>
      </w:r>
      <w:r w:rsidR="00734CDB">
        <w:t xml:space="preserve"> suspected abuse</w:t>
      </w:r>
      <w:r w:rsidRPr="00C07135">
        <w:t xml:space="preserve"> or you may be subjected to penalty of law</w:t>
      </w:r>
      <w:r>
        <w:t xml:space="preserve">. </w:t>
      </w:r>
    </w:p>
    <w:p w:rsidR="00C07135" w:rsidRPr="00C07135" w:rsidRDefault="00C41322" w:rsidP="00C07135">
      <w:pPr>
        <w:tabs>
          <w:tab w:val="num" w:pos="720"/>
        </w:tabs>
        <w:jc w:val="center"/>
        <w:rPr>
          <w:b/>
        </w:rPr>
      </w:pPr>
      <w:r>
        <w:rPr>
          <w:b/>
        </w:rPr>
        <w:t xml:space="preserve">When </w:t>
      </w:r>
      <w:r w:rsidR="00C07135" w:rsidRPr="00C07135">
        <w:rPr>
          <w:b/>
        </w:rPr>
        <w:t>Should</w:t>
      </w:r>
      <w:r>
        <w:rPr>
          <w:b/>
        </w:rPr>
        <w:t xml:space="preserve"> a Report to</w:t>
      </w:r>
      <w:r w:rsidR="0032004C" w:rsidRPr="00C07135">
        <w:rPr>
          <w:b/>
        </w:rPr>
        <w:t xml:space="preserve"> </w:t>
      </w:r>
      <w:r w:rsidR="00C07135" w:rsidRPr="00C07135">
        <w:rPr>
          <w:b/>
        </w:rPr>
        <w:t xml:space="preserve">DPPC be </w:t>
      </w:r>
      <w:r>
        <w:rPr>
          <w:b/>
        </w:rPr>
        <w:t>made</w:t>
      </w:r>
      <w:r w:rsidR="00C07135" w:rsidRPr="00C07135">
        <w:rPr>
          <w:b/>
        </w:rPr>
        <w:t>?</w:t>
      </w:r>
    </w:p>
    <w:p w:rsidR="00CB5BBC" w:rsidRDefault="0032004C" w:rsidP="00841F48">
      <w:pPr>
        <w:tabs>
          <w:tab w:val="num" w:pos="720"/>
        </w:tabs>
        <w:jc w:val="both"/>
      </w:pPr>
      <w:r>
        <w:t xml:space="preserve">A report to </w:t>
      </w:r>
      <w:r w:rsidR="00C07135">
        <w:t xml:space="preserve">DPPC should be </w:t>
      </w:r>
      <w:r>
        <w:t xml:space="preserve">made </w:t>
      </w:r>
      <w:r w:rsidR="00C07135">
        <w:t>if there is</w:t>
      </w:r>
      <w:r w:rsidR="002776FB" w:rsidRPr="00C07135">
        <w:t xml:space="preserve"> reasonable </w:t>
      </w:r>
      <w:r w:rsidR="001135D8">
        <w:t xml:space="preserve">cause to believe </w:t>
      </w:r>
      <w:r w:rsidR="00C07135">
        <w:t xml:space="preserve">that an individual </w:t>
      </w:r>
      <w:r w:rsidR="002776FB" w:rsidRPr="00C07135">
        <w:t>has been injured, harmed,</w:t>
      </w:r>
      <w:r w:rsidR="00841F48">
        <w:t xml:space="preserve"> mistreated,</w:t>
      </w:r>
      <w:r w:rsidR="002776FB" w:rsidRPr="00C07135">
        <w:t xml:space="preserve"> exposed to risk, or been subjected to inhumane treatment due to the actions, inaction</w:t>
      </w:r>
      <w:r w:rsidR="00841F48">
        <w:t>s,</w:t>
      </w:r>
      <w:r w:rsidR="002776FB" w:rsidRPr="00C07135">
        <w:t xml:space="preserve"> </w:t>
      </w:r>
      <w:r w:rsidR="003A24BA" w:rsidRPr="00C07135">
        <w:t xml:space="preserve">or </w:t>
      </w:r>
      <w:r w:rsidR="002776FB" w:rsidRPr="00C07135">
        <w:t xml:space="preserve">negligence of a </w:t>
      </w:r>
      <w:r w:rsidR="00AF7515" w:rsidRPr="0032004C">
        <w:t>care</w:t>
      </w:r>
      <w:r w:rsidR="002776FB" w:rsidRPr="0032004C">
        <w:t>giver</w:t>
      </w:r>
      <w:r w:rsidR="00284CD1" w:rsidRPr="0032004C">
        <w:t xml:space="preserve"> or provider</w:t>
      </w:r>
      <w:r w:rsidR="00C07135">
        <w:t>.</w:t>
      </w:r>
      <w:r w:rsidR="00FC59B8">
        <w:t xml:space="preserve">  </w:t>
      </w:r>
      <w:r w:rsidR="00FC59B8" w:rsidRPr="00FC59B8">
        <w:t>A reasonable cause to believe is a standard that is less than “probable cause”, but more than a non-specific suspicion, “hunch”, or gut feeling</w:t>
      </w:r>
      <w:r>
        <w:t>.</w:t>
      </w:r>
    </w:p>
    <w:p w:rsidR="00CB5BBC" w:rsidRDefault="0032004C" w:rsidP="00841F48">
      <w:pPr>
        <w:tabs>
          <w:tab w:val="num" w:pos="720"/>
        </w:tabs>
        <w:jc w:val="both"/>
      </w:pPr>
      <w:r>
        <w:t xml:space="preserve">A report to </w:t>
      </w:r>
      <w:r w:rsidR="00CB5BBC">
        <w:t>DPPC</w:t>
      </w:r>
      <w:r>
        <w:t xml:space="preserve"> should be made</w:t>
      </w:r>
      <w:r w:rsidR="00CB5BBC">
        <w:t xml:space="preserve"> if there is a reasonable </w:t>
      </w:r>
      <w:r w:rsidR="001135D8">
        <w:t>cause to believe that there has been</w:t>
      </w:r>
      <w:r w:rsidR="00CB5BBC">
        <w:t>:</w:t>
      </w:r>
    </w:p>
    <w:p w:rsidR="00CB5BBC" w:rsidRPr="00CB5BBC" w:rsidRDefault="00CB5BBC" w:rsidP="00841F48">
      <w:pPr>
        <w:pStyle w:val="ListParagraph"/>
        <w:numPr>
          <w:ilvl w:val="0"/>
          <w:numId w:val="8"/>
        </w:numPr>
        <w:tabs>
          <w:tab w:val="num" w:pos="720"/>
        </w:tabs>
        <w:jc w:val="both"/>
      </w:pPr>
      <w:r>
        <w:t xml:space="preserve">Physical abuse, </w:t>
      </w:r>
      <w:r w:rsidRPr="00CB5BBC">
        <w:t>the use of physical force against someone in a way that injures or causes pain to that person</w:t>
      </w:r>
    </w:p>
    <w:p w:rsidR="00CB5BBC" w:rsidRPr="00CB5BBC" w:rsidRDefault="00CB5BBC" w:rsidP="00841F48">
      <w:pPr>
        <w:pStyle w:val="ListParagraph"/>
        <w:numPr>
          <w:ilvl w:val="0"/>
          <w:numId w:val="8"/>
        </w:numPr>
        <w:tabs>
          <w:tab w:val="num" w:pos="720"/>
        </w:tabs>
        <w:jc w:val="both"/>
      </w:pPr>
      <w:r w:rsidRPr="00CB5BBC">
        <w:t>Emotional/verbal</w:t>
      </w:r>
      <w:r>
        <w:t xml:space="preserve"> abuse,</w:t>
      </w:r>
      <w:r w:rsidRPr="00CB5BBC">
        <w:t xml:space="preserve"> the use of threatening, humiliating, or intimidating words or actions</w:t>
      </w:r>
    </w:p>
    <w:p w:rsidR="00CB5BBC" w:rsidRPr="00CB5BBC" w:rsidRDefault="00CB5BBC" w:rsidP="00841F48">
      <w:pPr>
        <w:pStyle w:val="ListParagraph"/>
        <w:numPr>
          <w:ilvl w:val="0"/>
          <w:numId w:val="8"/>
        </w:numPr>
        <w:tabs>
          <w:tab w:val="num" w:pos="720"/>
        </w:tabs>
        <w:jc w:val="both"/>
      </w:pPr>
      <w:r w:rsidRPr="00CB5BBC">
        <w:t>Neglect/omission of care</w:t>
      </w:r>
      <w:r>
        <w:t>,</w:t>
      </w:r>
      <w:r w:rsidRPr="00CB5BBC">
        <w:t xml:space="preserve"> failing to provide needed care for a person resulting in injury, or placing them at risk </w:t>
      </w:r>
    </w:p>
    <w:p w:rsidR="00CB5BBC" w:rsidRPr="00CB5BBC" w:rsidRDefault="00CB5BBC" w:rsidP="00841F48">
      <w:pPr>
        <w:pStyle w:val="ListParagraph"/>
        <w:numPr>
          <w:ilvl w:val="0"/>
          <w:numId w:val="8"/>
        </w:numPr>
        <w:tabs>
          <w:tab w:val="num" w:pos="720"/>
        </w:tabs>
        <w:jc w:val="both"/>
      </w:pPr>
      <w:r w:rsidRPr="00CB5BBC">
        <w:t xml:space="preserve">Sexual </w:t>
      </w:r>
      <w:r>
        <w:t>abuse,</w:t>
      </w:r>
      <w:r w:rsidRPr="00CB5BBC">
        <w:t xml:space="preserve"> when someone is forced to engage in unwanted, sexual activity or exploitation </w:t>
      </w:r>
    </w:p>
    <w:p w:rsidR="00C525F5" w:rsidRDefault="00CB5BBC" w:rsidP="00841F48">
      <w:pPr>
        <w:pStyle w:val="ListParagraph"/>
        <w:numPr>
          <w:ilvl w:val="0"/>
          <w:numId w:val="8"/>
        </w:numPr>
        <w:tabs>
          <w:tab w:val="num" w:pos="720"/>
        </w:tabs>
        <w:jc w:val="both"/>
      </w:pPr>
      <w:r w:rsidRPr="00CB5BBC">
        <w:t>Financial exploitation</w:t>
      </w:r>
      <w:r>
        <w:t>,</w:t>
      </w:r>
      <w:r w:rsidRPr="00CB5BBC">
        <w:t xml:space="preserve"> the illegal or improper use of another person's funds, property or assets</w:t>
      </w:r>
      <w:r w:rsidR="00C07135">
        <w:t xml:space="preserve">  </w:t>
      </w:r>
    </w:p>
    <w:p w:rsidR="00C525F5" w:rsidRPr="00C07135" w:rsidRDefault="0032004C" w:rsidP="00841F48">
      <w:pPr>
        <w:tabs>
          <w:tab w:val="num" w:pos="720"/>
        </w:tabs>
        <w:jc w:val="both"/>
      </w:pPr>
      <w:r>
        <w:t xml:space="preserve">A report to </w:t>
      </w:r>
      <w:r w:rsidR="00C07135">
        <w:t xml:space="preserve">DPPC should also be </w:t>
      </w:r>
      <w:r>
        <w:t xml:space="preserve">made </w:t>
      </w:r>
      <w:r w:rsidR="00C07135">
        <w:t>if</w:t>
      </w:r>
      <w:r>
        <w:t xml:space="preserve"> an</w:t>
      </w:r>
      <w:r w:rsidR="00C07135">
        <w:t xml:space="preserve"> </w:t>
      </w:r>
      <w:r w:rsidR="002776FB" w:rsidRPr="00C07135">
        <w:t>individual with a disability</w:t>
      </w:r>
      <w:r>
        <w:t xml:space="preserve"> supported by DDS</w:t>
      </w:r>
      <w:r w:rsidR="002776FB" w:rsidRPr="00C07135">
        <w:t xml:space="preserve"> has died, regardless of whether or not abuse or neglect is suspected</w:t>
      </w:r>
      <w:r w:rsidR="00C07135">
        <w:t>.</w:t>
      </w:r>
    </w:p>
    <w:p w:rsidR="00C07135" w:rsidRDefault="00C07135" w:rsidP="00C07135">
      <w:pPr>
        <w:jc w:val="center"/>
        <w:rPr>
          <w:b/>
        </w:rPr>
      </w:pPr>
      <w:r w:rsidRPr="0053605C">
        <w:rPr>
          <w:b/>
        </w:rPr>
        <w:t xml:space="preserve">Some </w:t>
      </w:r>
      <w:r>
        <w:rPr>
          <w:b/>
        </w:rPr>
        <w:t>Considerations</w:t>
      </w:r>
    </w:p>
    <w:p w:rsidR="00C07135" w:rsidRDefault="00C07135" w:rsidP="00841F48">
      <w:pPr>
        <w:pStyle w:val="ListParagraph"/>
        <w:numPr>
          <w:ilvl w:val="0"/>
          <w:numId w:val="7"/>
        </w:numPr>
        <w:jc w:val="both"/>
      </w:pPr>
      <w:r w:rsidRPr="00C07135">
        <w:t xml:space="preserve">After considering all of the information known to you, ask yourself:  Is it reasonable of me to </w:t>
      </w:r>
      <w:r w:rsidR="001135D8">
        <w:t xml:space="preserve">believe </w:t>
      </w:r>
      <w:r w:rsidRPr="00C07135">
        <w:t>that abuse or mistreatment may have occurred</w:t>
      </w:r>
      <w:r w:rsidR="00AF7515">
        <w:t>?</w:t>
      </w:r>
      <w:r w:rsidRPr="00C07135">
        <w:t xml:space="preserve">  Does it make sense?</w:t>
      </w:r>
    </w:p>
    <w:p w:rsidR="00C07135" w:rsidRDefault="00C07135" w:rsidP="00841F48">
      <w:pPr>
        <w:pStyle w:val="ListParagraph"/>
        <w:numPr>
          <w:ilvl w:val="0"/>
          <w:numId w:val="6"/>
        </w:numPr>
        <w:jc w:val="both"/>
      </w:pPr>
      <w:r w:rsidRPr="00C07135">
        <w:t xml:space="preserve">If you cannot decide, make the report.  It is better to err on the side of </w:t>
      </w:r>
      <w:r w:rsidR="00FF6329">
        <w:t>reporting</w:t>
      </w:r>
      <w:r w:rsidRPr="00C07135">
        <w:t>.</w:t>
      </w:r>
    </w:p>
    <w:p w:rsidR="00FE4D7F" w:rsidRDefault="00FE4D7F" w:rsidP="00841F48">
      <w:pPr>
        <w:pStyle w:val="ListParagraph"/>
        <w:ind w:left="1080"/>
        <w:jc w:val="both"/>
      </w:pPr>
    </w:p>
    <w:p w:rsidR="00C07135" w:rsidRPr="00C07135" w:rsidRDefault="00C07135" w:rsidP="00841F48">
      <w:pPr>
        <w:pStyle w:val="ListParagraph"/>
        <w:numPr>
          <w:ilvl w:val="0"/>
          <w:numId w:val="7"/>
        </w:numPr>
        <w:jc w:val="both"/>
      </w:pPr>
      <w:r w:rsidRPr="00C07135">
        <w:t xml:space="preserve">It can be challenging to apply the reasonable </w:t>
      </w:r>
      <w:r w:rsidR="001135D8">
        <w:t xml:space="preserve">cause to believe </w:t>
      </w:r>
      <w:r w:rsidRPr="00C07135">
        <w:t>standard to an injury of unknown origin.  Consider the following:</w:t>
      </w:r>
    </w:p>
    <w:p w:rsidR="00C07135" w:rsidRPr="00C07135" w:rsidRDefault="00C07135" w:rsidP="00841F48">
      <w:pPr>
        <w:pStyle w:val="ListParagraph"/>
        <w:numPr>
          <w:ilvl w:val="0"/>
          <w:numId w:val="6"/>
        </w:numPr>
        <w:jc w:val="both"/>
      </w:pPr>
      <w:r w:rsidRPr="00C07135">
        <w:t>The severity of the injury</w:t>
      </w:r>
    </w:p>
    <w:p w:rsidR="00C07135" w:rsidRPr="00C07135" w:rsidRDefault="00C07135" w:rsidP="00841F48">
      <w:pPr>
        <w:pStyle w:val="ListParagraph"/>
        <w:numPr>
          <w:ilvl w:val="0"/>
          <w:numId w:val="6"/>
        </w:numPr>
        <w:jc w:val="both"/>
      </w:pPr>
      <w:r w:rsidRPr="00C07135">
        <w:t>The location of the injury on the body – is it in</w:t>
      </w:r>
      <w:r w:rsidR="00C41322">
        <w:t xml:space="preserve"> a</w:t>
      </w:r>
      <w:r w:rsidRPr="00C07135">
        <w:t xml:space="preserve"> place that is likely to happen as a result of a fall, or bumping into something?</w:t>
      </w:r>
    </w:p>
    <w:p w:rsidR="00C07135" w:rsidRPr="00C07135" w:rsidRDefault="00C07135" w:rsidP="00841F48">
      <w:pPr>
        <w:pStyle w:val="ListParagraph"/>
        <w:numPr>
          <w:ilvl w:val="0"/>
          <w:numId w:val="6"/>
        </w:numPr>
        <w:jc w:val="both"/>
      </w:pPr>
      <w:r w:rsidRPr="00C07135">
        <w:t>The type of injury – are there patterns of bruises or other indications that it was caused by another person?</w:t>
      </w:r>
    </w:p>
    <w:p w:rsidR="00C07135" w:rsidRPr="00C07135" w:rsidRDefault="00C07135" w:rsidP="00841F48">
      <w:pPr>
        <w:pStyle w:val="ListParagraph"/>
        <w:numPr>
          <w:ilvl w:val="0"/>
          <w:numId w:val="6"/>
        </w:numPr>
        <w:jc w:val="both"/>
      </w:pPr>
      <w:r w:rsidRPr="00C07135">
        <w:t>Are there changes in the mood and behavior of the person that could indicate that they have been abused?</w:t>
      </w:r>
    </w:p>
    <w:p w:rsidR="00C07135" w:rsidRDefault="00C07135" w:rsidP="00841F48">
      <w:pPr>
        <w:pStyle w:val="ListParagraph"/>
        <w:numPr>
          <w:ilvl w:val="0"/>
          <w:numId w:val="6"/>
        </w:numPr>
        <w:jc w:val="both"/>
      </w:pPr>
      <w:r w:rsidRPr="00C07135">
        <w:t xml:space="preserve">Is there documentation or are there witnesses </w:t>
      </w:r>
      <w:r w:rsidR="003A24BA" w:rsidRPr="00C07135">
        <w:t>who</w:t>
      </w:r>
      <w:r w:rsidRPr="00C07135">
        <w:t xml:space="preserve"> can explain how the injury occurred in an accidental manner?</w:t>
      </w:r>
    </w:p>
    <w:p w:rsidR="00FE4D7F" w:rsidRPr="00C07135" w:rsidRDefault="00FE4D7F" w:rsidP="00841F48">
      <w:pPr>
        <w:pStyle w:val="ListParagraph"/>
        <w:ind w:left="1080"/>
        <w:jc w:val="both"/>
      </w:pPr>
    </w:p>
    <w:p w:rsidR="00AF7515" w:rsidRDefault="00AF7515" w:rsidP="00841F48">
      <w:pPr>
        <w:pStyle w:val="ListParagraph"/>
        <w:numPr>
          <w:ilvl w:val="0"/>
          <w:numId w:val="7"/>
        </w:numPr>
        <w:jc w:val="both"/>
      </w:pPr>
      <w:r>
        <w:t>Peer to peer violence does not, alone, meet the standard for a reportable</w:t>
      </w:r>
      <w:r w:rsidR="00C41322">
        <w:t xml:space="preserve"> condition</w:t>
      </w:r>
      <w:r>
        <w:t xml:space="preserve"> because the abuse was not perpetrated by a caregiver</w:t>
      </w:r>
      <w:r w:rsidR="00C41322">
        <w:t xml:space="preserve"> or provider</w:t>
      </w:r>
      <w:r>
        <w:t>. However, the fact that peer</w:t>
      </w:r>
      <w:r w:rsidR="00C41322">
        <w:t>-</w:t>
      </w:r>
      <w:r>
        <w:t>to</w:t>
      </w:r>
      <w:r w:rsidR="00C41322">
        <w:t>-</w:t>
      </w:r>
      <w:r>
        <w:t>peer violence occurred may be related to omission of care if a caregiver</w:t>
      </w:r>
      <w:r w:rsidR="00C41322">
        <w:t xml:space="preserve"> or provider</w:t>
      </w:r>
      <w:r>
        <w:t xml:space="preserve"> was negligent in their support and attention to individuals. In that case, the incident should be reported to DPPC.</w:t>
      </w:r>
    </w:p>
    <w:p w:rsidR="00FE4D7F" w:rsidRDefault="00FE4D7F" w:rsidP="00841F48">
      <w:pPr>
        <w:pStyle w:val="ListParagraph"/>
        <w:ind w:left="360"/>
        <w:jc w:val="both"/>
      </w:pPr>
    </w:p>
    <w:p w:rsidR="00AF7515" w:rsidRDefault="00AF7515" w:rsidP="00841F48">
      <w:pPr>
        <w:pStyle w:val="ListParagraph"/>
        <w:numPr>
          <w:ilvl w:val="0"/>
          <w:numId w:val="7"/>
        </w:numPr>
        <w:jc w:val="both"/>
      </w:pPr>
      <w:r>
        <w:t>Behavioral incidents, such as missing persons or self-injurious incidents, may also be related to omission of care. Again, you should ask yourself whether the caregiver</w:t>
      </w:r>
      <w:r w:rsidR="00C41322">
        <w:t xml:space="preserve"> or provider</w:t>
      </w:r>
      <w:r>
        <w:t xml:space="preserve"> was neglectful in their support of an individual. If so</w:t>
      </w:r>
      <w:r w:rsidR="00653094">
        <w:t xml:space="preserve"> and that led to the behavioral incident</w:t>
      </w:r>
      <w:r>
        <w:t>, report the incident.</w:t>
      </w:r>
    </w:p>
    <w:p w:rsidR="002776FB" w:rsidRDefault="002776FB" w:rsidP="00841F48">
      <w:pPr>
        <w:pStyle w:val="ListParagraph"/>
        <w:jc w:val="both"/>
      </w:pPr>
    </w:p>
    <w:p w:rsidR="002776FB" w:rsidRPr="00653094" w:rsidRDefault="002776FB" w:rsidP="00841F48">
      <w:pPr>
        <w:pStyle w:val="ListParagraph"/>
        <w:numPr>
          <w:ilvl w:val="0"/>
          <w:numId w:val="7"/>
        </w:numPr>
        <w:jc w:val="both"/>
      </w:pPr>
      <w:r w:rsidRPr="00653094">
        <w:t xml:space="preserve">Unexpected </w:t>
      </w:r>
      <w:r w:rsidR="00653094">
        <w:t>h</w:t>
      </w:r>
      <w:r w:rsidRPr="00653094">
        <w:t>ospital visits</w:t>
      </w:r>
      <w:r w:rsidR="00653094">
        <w:t>, including emergency room visits,</w:t>
      </w:r>
      <w:r w:rsidRPr="00653094">
        <w:t xml:space="preserve"> should be called into DPPC</w:t>
      </w:r>
      <w:r w:rsidR="001A75ED">
        <w:t xml:space="preserve">.  </w:t>
      </w:r>
      <w:r w:rsidRPr="00653094">
        <w:t xml:space="preserve"> </w:t>
      </w:r>
      <w:r w:rsidR="001A75ED">
        <w:t>I</w:t>
      </w:r>
      <w:r w:rsidRPr="00653094">
        <w:t xml:space="preserve">f there is reasonable </w:t>
      </w:r>
      <w:r w:rsidR="001135D8">
        <w:t>cause to believe</w:t>
      </w:r>
      <w:r w:rsidRPr="00653094">
        <w:t xml:space="preserve"> that </w:t>
      </w:r>
      <w:r w:rsidR="00C41322">
        <w:t>the</w:t>
      </w:r>
      <w:r w:rsidRPr="00653094">
        <w:t xml:space="preserve"> individual required a hospital</w:t>
      </w:r>
      <w:r w:rsidR="00653094">
        <w:t>/ER</w:t>
      </w:r>
      <w:r w:rsidRPr="00653094">
        <w:t xml:space="preserve"> visit as a result of </w:t>
      </w:r>
      <w:r w:rsidR="00653094">
        <w:t>the actions, inaction</w:t>
      </w:r>
      <w:r w:rsidR="00C41322">
        <w:t>s,</w:t>
      </w:r>
      <w:r w:rsidR="00653094">
        <w:t xml:space="preserve"> or </w:t>
      </w:r>
      <w:r w:rsidRPr="00653094">
        <w:t>negligence of a caregiver</w:t>
      </w:r>
      <w:r w:rsidR="00C41322">
        <w:t xml:space="preserve"> or provider</w:t>
      </w:r>
      <w:r w:rsidRPr="00653094">
        <w:t xml:space="preserve">.  </w:t>
      </w:r>
    </w:p>
    <w:p w:rsidR="00AF7515" w:rsidRDefault="00AF7515" w:rsidP="00AF7515">
      <w:pPr>
        <w:pStyle w:val="ListParagraph"/>
        <w:ind w:left="360"/>
      </w:pPr>
      <w:bookmarkStart w:id="0" w:name="_GoBack"/>
      <w:bookmarkEnd w:id="0"/>
    </w:p>
    <w:p w:rsidR="00AF7515" w:rsidRPr="00AF7515" w:rsidRDefault="00AF7515" w:rsidP="00AF7515">
      <w:pPr>
        <w:jc w:val="center"/>
        <w:rPr>
          <w:b/>
        </w:rPr>
      </w:pPr>
      <w:r w:rsidRPr="00AF7515">
        <w:rPr>
          <w:b/>
        </w:rPr>
        <w:t>Reporting to DPPC</w:t>
      </w:r>
    </w:p>
    <w:p w:rsidR="00AF7515" w:rsidRDefault="00AF7515" w:rsidP="00841F48">
      <w:pPr>
        <w:jc w:val="both"/>
      </w:pPr>
      <w:r>
        <w:t>Your job is to report the incident</w:t>
      </w:r>
      <w:r w:rsidR="006C06C0">
        <w:t xml:space="preserve"> to DPPC</w:t>
      </w:r>
      <w:r>
        <w:t>.  DPPC will</w:t>
      </w:r>
      <w:r w:rsidR="006C06C0">
        <w:t xml:space="preserve"> review the report </w:t>
      </w:r>
      <w:r w:rsidR="002F1489">
        <w:t>and investigate</w:t>
      </w:r>
      <w:r w:rsidR="006C06C0">
        <w:t xml:space="preserve"> or will refer the complaint for investigation/review</w:t>
      </w:r>
      <w:r w:rsidR="00653094">
        <w:t>.</w:t>
      </w:r>
    </w:p>
    <w:p w:rsidR="00AF7515" w:rsidRPr="00AF7515" w:rsidRDefault="00AF7515" w:rsidP="00841F48">
      <w:pPr>
        <w:jc w:val="both"/>
      </w:pPr>
      <w:r w:rsidRPr="00AF7515">
        <w:t>Call the Disabled Persons Protectio</w:t>
      </w:r>
      <w:r w:rsidR="00653094">
        <w:t xml:space="preserve">n Commission (DPPC) at </w:t>
      </w:r>
      <w:r w:rsidRPr="00AF7515">
        <w:t>1-800-426-9009</w:t>
      </w:r>
      <w:r w:rsidR="00653094">
        <w:t>.</w:t>
      </w:r>
    </w:p>
    <w:p w:rsidR="00AF7515" w:rsidRPr="00AF7515" w:rsidRDefault="00AF7515" w:rsidP="00841F48">
      <w:pPr>
        <w:jc w:val="both"/>
      </w:pPr>
      <w:r w:rsidRPr="00AF7515">
        <w:t>In case of emergency call 911 first and then call DPPC</w:t>
      </w:r>
      <w:r w:rsidR="00653094">
        <w:t>.</w:t>
      </w:r>
    </w:p>
    <w:p w:rsidR="00AF7515" w:rsidRPr="00AF7515" w:rsidRDefault="00AF7515" w:rsidP="00841F48">
      <w:pPr>
        <w:jc w:val="both"/>
      </w:pPr>
      <w:r w:rsidRPr="00AF7515">
        <w:t xml:space="preserve">The DPPC has a 24 hour </w:t>
      </w:r>
      <w:r w:rsidR="003A24BA" w:rsidRPr="00AF7515">
        <w:t>hotline;</w:t>
      </w:r>
      <w:r w:rsidRPr="00AF7515">
        <w:t xml:space="preserve"> you can call them at any time</w:t>
      </w:r>
      <w:r w:rsidR="00653094">
        <w:t>.</w:t>
      </w:r>
    </w:p>
    <w:p w:rsidR="00AF7515" w:rsidRDefault="00AF7515" w:rsidP="00841F48">
      <w:pPr>
        <w:jc w:val="both"/>
      </w:pPr>
      <w:r w:rsidRPr="00AF7515">
        <w:t xml:space="preserve">If the individual is at risk of being abused again, contact someone in your agency who can provide for their immediate safety while </w:t>
      </w:r>
      <w:r w:rsidR="006C06C0">
        <w:t xml:space="preserve">an </w:t>
      </w:r>
      <w:r w:rsidRPr="00AF7515">
        <w:t>investigation</w:t>
      </w:r>
      <w:r w:rsidR="006C06C0">
        <w:t xml:space="preserve"> or review</w:t>
      </w:r>
      <w:r w:rsidRPr="00AF7515">
        <w:t xml:space="preserve"> is ongoing</w:t>
      </w:r>
      <w:r w:rsidR="00653094">
        <w:t>.</w:t>
      </w:r>
    </w:p>
    <w:p w:rsidR="00AF7515" w:rsidRPr="00C07135" w:rsidRDefault="00AF7515" w:rsidP="00841F48">
      <w:pPr>
        <w:jc w:val="both"/>
      </w:pPr>
      <w:r>
        <w:t xml:space="preserve"> </w:t>
      </w:r>
    </w:p>
    <w:sectPr w:rsidR="00AF7515" w:rsidRPr="00C07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1341"/>
    <w:multiLevelType w:val="hybridMultilevel"/>
    <w:tmpl w:val="ABAC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C199D"/>
    <w:multiLevelType w:val="hybridMultilevel"/>
    <w:tmpl w:val="17709F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306949"/>
    <w:multiLevelType w:val="hybridMultilevel"/>
    <w:tmpl w:val="C8D6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601BC"/>
    <w:multiLevelType w:val="hybridMultilevel"/>
    <w:tmpl w:val="7C1809C6"/>
    <w:lvl w:ilvl="0" w:tplc="4C1E7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4C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A9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8E4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06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BE1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B4F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FEB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C8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D2E52F1"/>
    <w:multiLevelType w:val="hybridMultilevel"/>
    <w:tmpl w:val="F0DA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6195E"/>
    <w:multiLevelType w:val="hybridMultilevel"/>
    <w:tmpl w:val="42D8E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3B5E23"/>
    <w:multiLevelType w:val="hybridMultilevel"/>
    <w:tmpl w:val="5EA09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00180"/>
    <w:multiLevelType w:val="hybridMultilevel"/>
    <w:tmpl w:val="47CC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35"/>
    <w:rsid w:val="001135D8"/>
    <w:rsid w:val="001A75ED"/>
    <w:rsid w:val="002776FB"/>
    <w:rsid w:val="00284CD1"/>
    <w:rsid w:val="002F1489"/>
    <w:rsid w:val="0032004C"/>
    <w:rsid w:val="003A24BA"/>
    <w:rsid w:val="00653094"/>
    <w:rsid w:val="006B61DD"/>
    <w:rsid w:val="006C06C0"/>
    <w:rsid w:val="00734CDB"/>
    <w:rsid w:val="00841F48"/>
    <w:rsid w:val="00A16C34"/>
    <w:rsid w:val="00AF7515"/>
    <w:rsid w:val="00BF0238"/>
    <w:rsid w:val="00C07135"/>
    <w:rsid w:val="00C41322"/>
    <w:rsid w:val="00C525F5"/>
    <w:rsid w:val="00CB52A2"/>
    <w:rsid w:val="00CB5BBC"/>
    <w:rsid w:val="00D56A36"/>
    <w:rsid w:val="00EA5CA5"/>
    <w:rsid w:val="00F10216"/>
    <w:rsid w:val="00FC59B8"/>
    <w:rsid w:val="00FE4D7F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6880">
          <w:marLeft w:val="446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922">
          <w:marLeft w:val="446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082">
          <w:marLeft w:val="446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710">
          <w:marLeft w:val="547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2418">
          <w:marLeft w:val="547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541">
          <w:marLeft w:val="547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531">
          <w:marLeft w:val="547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3037">
          <w:marLeft w:val="547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290">
          <w:marLeft w:val="547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106">
          <w:marLeft w:val="547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411">
          <w:marLeft w:val="547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397">
          <w:marLeft w:val="547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69311">
          <w:marLeft w:val="547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5384">
          <w:marLeft w:val="547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28">
          <w:marLeft w:val="547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229">
          <w:marLeft w:val="547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772">
          <w:marLeft w:val="547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204">
          <w:marLeft w:val="547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904">
          <w:marLeft w:val="547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1094">
          <w:marLeft w:val="547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440">
          <w:marLeft w:val="547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20220-A4C6-418A-88E4-4582212F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2016-10-24T18:35:00Z</dcterms:created>
  <dc:creator>Bruner-Canhoto, Laney (DDS)</dc:creator>
  <lastModifiedBy/>
  <lastPrinted>2016-07-26T18:18:00Z</lastPrinted>
  <dcterms:modified xsi:type="dcterms:W3CDTF">2016-10-24T18:35:00Z</dcterms:modified>
  <revision>2</revision>
</coreProperties>
</file>