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BF2" w:rsidRDefault="00B52BF2">
      <w:r>
        <w:rPr>
          <w:noProof/>
        </w:rPr>
        <w:drawing>
          <wp:anchor distT="0" distB="0" distL="114300" distR="114300" simplePos="0" relativeHeight="251673600" behindDoc="0" locked="0" layoutInCell="1" allowOverlap="1" wp14:anchorId="30A1EBCA" wp14:editId="4EDF79F3">
            <wp:simplePos x="0" y="0"/>
            <wp:positionH relativeFrom="column">
              <wp:posOffset>-942975</wp:posOffset>
            </wp:positionH>
            <wp:positionV relativeFrom="paragraph">
              <wp:posOffset>-914400</wp:posOffset>
            </wp:positionV>
            <wp:extent cx="7803515" cy="10098405"/>
            <wp:effectExtent l="0" t="0" r="698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jBaselineReportCover.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803515" cy="1009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rFonts w:ascii="Arial" w:hAnsi="Arial" w:cs="Arial"/>
          <w:b/>
          <w:sz w:val="24"/>
          <w:szCs w:val="24"/>
        </w:rPr>
        <w:id w:val="252096759"/>
        <w:docPartObj>
          <w:docPartGallery w:val="Cover Pages"/>
          <w:docPartUnique/>
        </w:docPartObj>
      </w:sdtPr>
      <w:sdtEndPr/>
      <w:sdtContent>
        <w:p w:rsidR="00B52BF2" w:rsidRDefault="00B52BF2" w:rsidP="00B52BF2"/>
        <w:p w:rsidR="00B52BF2" w:rsidRDefault="00B52BF2" w:rsidP="00B52BF2">
          <w:r>
            <w:rPr>
              <w:noProof/>
            </w:rPr>
            <w:drawing>
              <wp:anchor distT="0" distB="0" distL="114300" distR="114300" simplePos="0" relativeHeight="251675648" behindDoc="0" locked="0" layoutInCell="1" allowOverlap="1" wp14:anchorId="59E1C28C" wp14:editId="44F158AA">
                <wp:simplePos x="0" y="0"/>
                <wp:positionH relativeFrom="column">
                  <wp:posOffset>-86995</wp:posOffset>
                </wp:positionH>
                <wp:positionV relativeFrom="paragraph">
                  <wp:posOffset>133809</wp:posOffset>
                </wp:positionV>
                <wp:extent cx="4754880" cy="1737360"/>
                <wp:effectExtent l="0" t="0" r="0"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jBaselineReportCover.jpg"/>
                        <pic:cNvPicPr/>
                      </pic:nvPicPr>
                      <pic:blipFill rotWithShape="1">
                        <a:blip r:embed="rId10" cstate="print">
                          <a:extLst>
                            <a:ext uri="{28A0092B-C50C-407E-A947-70E740481C1C}">
                              <a14:useLocalDpi xmlns:a14="http://schemas.microsoft.com/office/drawing/2010/main" val="0"/>
                            </a:ext>
                          </a:extLst>
                        </a:blip>
                        <a:srcRect l="4294" t="6540" r="34757" b="76253"/>
                        <a:stretch/>
                      </pic:blipFill>
                      <pic:spPr bwMode="auto">
                        <a:xfrm>
                          <a:off x="0" y="0"/>
                          <a:ext cx="4754880"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2BF2" w:rsidRDefault="00B52BF2" w:rsidP="00B52BF2"/>
        <w:p w:rsidR="00B52BF2" w:rsidRDefault="00B52BF2" w:rsidP="00B52BF2">
          <w:pPr>
            <w:spacing w:after="0" w:line="240" w:lineRule="auto"/>
            <w:rPr>
              <w:rFonts w:ascii="Arial" w:hAnsi="Arial" w:cs="Arial"/>
              <w:b/>
              <w:sz w:val="24"/>
            </w:rPr>
          </w:pPr>
        </w:p>
        <w:p w:rsidR="00B52BF2" w:rsidRDefault="00B52BF2" w:rsidP="00B52BF2">
          <w:pPr>
            <w:spacing w:after="0" w:line="240" w:lineRule="auto"/>
            <w:rPr>
              <w:rFonts w:ascii="Arial" w:hAnsi="Arial" w:cs="Arial"/>
              <w:b/>
              <w:sz w:val="24"/>
            </w:rPr>
          </w:pPr>
        </w:p>
        <w:p w:rsidR="00B52BF2" w:rsidRDefault="00B52BF2" w:rsidP="00B52BF2">
          <w:pPr>
            <w:spacing w:after="0" w:line="240" w:lineRule="auto"/>
            <w:rPr>
              <w:rFonts w:ascii="Arial" w:hAnsi="Arial" w:cs="Arial"/>
              <w:b/>
              <w:sz w:val="24"/>
            </w:rPr>
          </w:pPr>
        </w:p>
        <w:p w:rsidR="00B52BF2" w:rsidRDefault="00B52BF2" w:rsidP="00B52BF2">
          <w:pPr>
            <w:spacing w:after="0" w:line="240" w:lineRule="auto"/>
            <w:rPr>
              <w:rFonts w:ascii="Arial" w:hAnsi="Arial" w:cs="Arial"/>
              <w:b/>
              <w:sz w:val="24"/>
            </w:rPr>
          </w:pPr>
        </w:p>
        <w:p w:rsidR="00B52BF2" w:rsidRDefault="00B52BF2" w:rsidP="00B52BF2">
          <w:pPr>
            <w:spacing w:after="0" w:line="240" w:lineRule="auto"/>
            <w:rPr>
              <w:rFonts w:ascii="Arial" w:hAnsi="Arial" w:cs="Arial"/>
              <w:b/>
              <w:sz w:val="24"/>
            </w:rPr>
          </w:pPr>
        </w:p>
        <w:p w:rsidR="00B52BF2" w:rsidRDefault="00B52BF2" w:rsidP="00B52BF2">
          <w:pPr>
            <w:spacing w:after="0" w:line="240" w:lineRule="auto"/>
            <w:rPr>
              <w:rFonts w:ascii="Arial" w:hAnsi="Arial" w:cs="Arial"/>
              <w:b/>
              <w:sz w:val="24"/>
            </w:rPr>
          </w:pPr>
        </w:p>
        <w:p w:rsidR="00B52BF2" w:rsidRDefault="00B52BF2" w:rsidP="00B52BF2">
          <w:pPr>
            <w:spacing w:after="0" w:line="240" w:lineRule="auto"/>
            <w:rPr>
              <w:rFonts w:ascii="Arial" w:hAnsi="Arial" w:cs="Arial"/>
              <w:b/>
              <w:sz w:val="24"/>
            </w:rPr>
          </w:pPr>
        </w:p>
        <w:p w:rsidR="00B52BF2" w:rsidRDefault="00B52BF2" w:rsidP="00B52BF2">
          <w:pPr>
            <w:spacing w:after="0" w:line="240" w:lineRule="auto"/>
            <w:rPr>
              <w:rFonts w:ascii="Arial" w:hAnsi="Arial" w:cs="Arial"/>
              <w:b/>
              <w:sz w:val="24"/>
            </w:rPr>
          </w:pPr>
        </w:p>
        <w:p w:rsidR="00B52BF2" w:rsidRDefault="00B52BF2" w:rsidP="00B52BF2">
          <w:pPr>
            <w:spacing w:after="0" w:line="240" w:lineRule="auto"/>
            <w:rPr>
              <w:rFonts w:ascii="Arial" w:hAnsi="Arial" w:cs="Arial"/>
              <w:b/>
              <w:sz w:val="24"/>
            </w:rPr>
          </w:pPr>
        </w:p>
        <w:p w:rsidR="00B52BF2" w:rsidRDefault="00B52BF2" w:rsidP="00B52BF2">
          <w:pPr>
            <w:spacing w:after="0" w:line="240" w:lineRule="auto"/>
            <w:rPr>
              <w:rFonts w:ascii="Arial" w:hAnsi="Arial" w:cs="Arial"/>
              <w:b/>
              <w:sz w:val="24"/>
            </w:rPr>
          </w:pPr>
        </w:p>
        <w:p w:rsidR="00B52BF2" w:rsidRDefault="00B52BF2" w:rsidP="00B52BF2">
          <w:pPr>
            <w:spacing w:after="0" w:line="240" w:lineRule="auto"/>
            <w:rPr>
              <w:rFonts w:ascii="Arial" w:hAnsi="Arial" w:cs="Arial"/>
              <w:b/>
              <w:sz w:val="24"/>
            </w:rPr>
          </w:pPr>
        </w:p>
        <w:p w:rsidR="00B52BF2" w:rsidRDefault="00B52BF2" w:rsidP="00B52BF2">
          <w:pPr>
            <w:spacing w:after="0" w:line="240" w:lineRule="auto"/>
            <w:rPr>
              <w:rFonts w:ascii="Arial" w:hAnsi="Arial" w:cs="Arial"/>
              <w:b/>
              <w:sz w:val="24"/>
            </w:rPr>
          </w:pPr>
        </w:p>
        <w:p w:rsidR="00B52BF2" w:rsidRDefault="00B52BF2" w:rsidP="00B52BF2">
          <w:pPr>
            <w:spacing w:after="0" w:line="240" w:lineRule="auto"/>
            <w:rPr>
              <w:rFonts w:ascii="Arial" w:hAnsi="Arial" w:cs="Arial"/>
              <w:b/>
              <w:sz w:val="24"/>
            </w:rPr>
          </w:pPr>
        </w:p>
        <w:p w:rsidR="00B52BF2" w:rsidRDefault="00B52BF2" w:rsidP="00B52BF2">
          <w:pPr>
            <w:spacing w:after="0" w:line="240" w:lineRule="auto"/>
            <w:rPr>
              <w:rFonts w:ascii="Arial" w:hAnsi="Arial" w:cs="Arial"/>
              <w:b/>
              <w:sz w:val="24"/>
            </w:rPr>
          </w:pPr>
        </w:p>
        <w:p w:rsidR="00B52BF2" w:rsidRPr="00252464" w:rsidRDefault="00B52BF2" w:rsidP="00B52BF2">
          <w:pPr>
            <w:spacing w:after="0" w:line="240" w:lineRule="auto"/>
            <w:ind w:left="1980"/>
            <w:rPr>
              <w:rFonts w:ascii="Arial" w:eastAsia="Calibri" w:hAnsi="Arial" w:cs="Arial"/>
              <w:b/>
              <w:sz w:val="24"/>
            </w:rPr>
          </w:pPr>
          <w:r w:rsidRPr="00252464">
            <w:rPr>
              <w:rFonts w:ascii="Arial" w:eastAsia="Calibri" w:hAnsi="Arial" w:cs="Arial"/>
              <w:b/>
              <w:sz w:val="24"/>
            </w:rPr>
            <w:t>Suggested Citation:</w:t>
          </w:r>
        </w:p>
        <w:p w:rsidR="00B52BF2" w:rsidRDefault="00B52BF2" w:rsidP="00B52BF2">
          <w:pPr>
            <w:spacing w:after="0" w:line="240" w:lineRule="auto"/>
            <w:ind w:left="1980"/>
            <w:rPr>
              <w:rFonts w:ascii="Arial" w:eastAsia="Calibri" w:hAnsi="Arial" w:cs="Arial"/>
              <w:sz w:val="24"/>
            </w:rPr>
          </w:pPr>
        </w:p>
        <w:p w:rsidR="00B52BF2" w:rsidRPr="00CF3D24" w:rsidRDefault="00B52BF2" w:rsidP="00B52BF2">
          <w:pPr>
            <w:spacing w:after="0" w:line="240" w:lineRule="auto"/>
            <w:ind w:left="1980"/>
            <w:rPr>
              <w:rFonts w:ascii="Arial" w:hAnsi="Arial" w:cs="Arial"/>
              <w:b/>
              <w:sz w:val="28"/>
            </w:rPr>
          </w:pPr>
          <w:r w:rsidRPr="00252464">
            <w:rPr>
              <w:rFonts w:ascii="Arial" w:eastAsia="Calibri" w:hAnsi="Arial" w:cs="Arial"/>
              <w:sz w:val="24"/>
            </w:rPr>
            <w:t>Massachusetts Department of Public Health</w:t>
          </w:r>
          <w:r w:rsidR="00CE307D">
            <w:rPr>
              <w:rFonts w:ascii="Arial" w:eastAsia="Calibri" w:hAnsi="Arial" w:cs="Arial"/>
              <w:sz w:val="24"/>
            </w:rPr>
            <w:t xml:space="preserve"> (2019)</w:t>
          </w:r>
          <w:r w:rsidRPr="00252464">
            <w:rPr>
              <w:rFonts w:ascii="Arial" w:eastAsia="Calibri" w:hAnsi="Arial" w:cs="Arial"/>
              <w:sz w:val="24"/>
            </w:rPr>
            <w:t xml:space="preserve">. </w:t>
          </w:r>
          <w:r w:rsidRPr="00CE307D">
            <w:rPr>
              <w:rFonts w:ascii="Arial" w:eastAsia="Calibri" w:hAnsi="Arial" w:cs="Arial"/>
              <w:i/>
              <w:sz w:val="24"/>
            </w:rPr>
            <w:t>Marijuana Baseline Health Study</w:t>
          </w:r>
          <w:r>
            <w:rPr>
              <w:rFonts w:ascii="Arial" w:eastAsia="Calibri" w:hAnsi="Arial" w:cs="Arial"/>
              <w:sz w:val="24"/>
            </w:rPr>
            <w:t xml:space="preserve">. </w:t>
          </w:r>
          <w:r w:rsidR="00CE307D">
            <w:rPr>
              <w:rFonts w:ascii="Arial" w:eastAsia="Calibri" w:hAnsi="Arial" w:cs="Arial"/>
              <w:sz w:val="24"/>
            </w:rPr>
            <w:t xml:space="preserve">Retrieved from </w:t>
          </w:r>
          <w:hyperlink r:id="rId11" w:history="1">
            <w:r w:rsidR="00CF3D24" w:rsidRPr="00CF3D24">
              <w:rPr>
                <w:rStyle w:val="Hyperlink"/>
                <w:rFonts w:ascii="Arial" w:hAnsi="Arial" w:cs="Arial"/>
                <w:sz w:val="24"/>
              </w:rPr>
              <w:t>https://www.mass.gov/report/massachusetts-department-of-public-health-marijuana-research</w:t>
            </w:r>
          </w:hyperlink>
        </w:p>
        <w:p w:rsidR="00B52BF2" w:rsidRDefault="00B52BF2" w:rsidP="00B52BF2">
          <w:pPr>
            <w:spacing w:after="0" w:line="240" w:lineRule="auto"/>
            <w:ind w:left="1980"/>
            <w:rPr>
              <w:rFonts w:ascii="Arial" w:hAnsi="Arial" w:cs="Arial"/>
              <w:b/>
              <w:sz w:val="24"/>
            </w:rPr>
          </w:pPr>
        </w:p>
        <w:p w:rsidR="00B52BF2" w:rsidRDefault="00B52BF2" w:rsidP="00B52BF2">
          <w:pPr>
            <w:spacing w:after="0" w:line="240" w:lineRule="auto"/>
            <w:ind w:left="1980"/>
            <w:rPr>
              <w:rFonts w:ascii="Arial" w:hAnsi="Arial" w:cs="Arial"/>
              <w:b/>
              <w:sz w:val="24"/>
            </w:rPr>
          </w:pPr>
        </w:p>
        <w:p w:rsidR="00B52BF2" w:rsidRPr="00252464" w:rsidRDefault="00B52BF2" w:rsidP="00B52BF2">
          <w:pPr>
            <w:spacing w:after="0" w:line="240" w:lineRule="auto"/>
            <w:ind w:left="1980"/>
            <w:rPr>
              <w:rFonts w:ascii="Arial" w:hAnsi="Arial" w:cs="Arial"/>
              <w:b/>
              <w:sz w:val="24"/>
            </w:rPr>
          </w:pPr>
          <w:r w:rsidRPr="00252464">
            <w:rPr>
              <w:rFonts w:ascii="Arial" w:hAnsi="Arial" w:cs="Arial"/>
              <w:b/>
              <w:sz w:val="24"/>
            </w:rPr>
            <w:t>Online</w:t>
          </w:r>
        </w:p>
        <w:p w:rsidR="00B52BF2" w:rsidRPr="00252464" w:rsidRDefault="00B52BF2" w:rsidP="00B52BF2">
          <w:pPr>
            <w:spacing w:after="0" w:line="240" w:lineRule="auto"/>
            <w:ind w:left="1980"/>
            <w:rPr>
              <w:rFonts w:ascii="Arial" w:hAnsi="Arial" w:cs="Arial"/>
              <w:sz w:val="24"/>
            </w:rPr>
          </w:pPr>
        </w:p>
        <w:p w:rsidR="00B52BF2" w:rsidRPr="00252464" w:rsidRDefault="00B52BF2" w:rsidP="00B52BF2">
          <w:pPr>
            <w:spacing w:after="0" w:line="240" w:lineRule="auto"/>
            <w:ind w:left="1980"/>
            <w:rPr>
              <w:rFonts w:ascii="Arial" w:hAnsi="Arial" w:cs="Arial"/>
              <w:sz w:val="24"/>
            </w:rPr>
          </w:pPr>
          <w:r w:rsidRPr="00252464">
            <w:rPr>
              <w:rFonts w:ascii="Arial" w:hAnsi="Arial" w:cs="Arial"/>
              <w:sz w:val="24"/>
            </w:rPr>
            <w:t xml:space="preserve">To view this report in its entirety, or view an accessible version of this report visit our website at: </w:t>
          </w:r>
          <w:hyperlink r:id="rId12" w:history="1">
            <w:r w:rsidR="00CF3D24" w:rsidRPr="00CF3D24">
              <w:rPr>
                <w:rStyle w:val="Hyperlink"/>
                <w:rFonts w:ascii="Arial" w:hAnsi="Arial" w:cs="Arial"/>
                <w:sz w:val="24"/>
              </w:rPr>
              <w:t>https://www.mass.gov/report/massachusetts-department-of-public-health-marijuana-research</w:t>
            </w:r>
          </w:hyperlink>
        </w:p>
        <w:p w:rsidR="00B52BF2" w:rsidRDefault="00B52BF2" w:rsidP="00B52BF2">
          <w:pPr>
            <w:spacing w:after="0" w:line="240" w:lineRule="auto"/>
            <w:ind w:left="1980"/>
            <w:rPr>
              <w:rFonts w:ascii="Arial" w:hAnsi="Arial" w:cs="Arial"/>
              <w:sz w:val="24"/>
            </w:rPr>
          </w:pPr>
        </w:p>
        <w:p w:rsidR="00CF3D24" w:rsidRPr="00252464" w:rsidRDefault="00CF3D24" w:rsidP="00B52BF2">
          <w:pPr>
            <w:spacing w:after="0" w:line="240" w:lineRule="auto"/>
            <w:ind w:left="1980"/>
            <w:rPr>
              <w:rFonts w:ascii="Arial" w:hAnsi="Arial" w:cs="Arial"/>
              <w:sz w:val="24"/>
            </w:rPr>
          </w:pPr>
        </w:p>
        <w:p w:rsidR="00B52BF2" w:rsidRPr="00874EDA" w:rsidRDefault="00B52BF2" w:rsidP="00B52BF2">
          <w:pPr>
            <w:spacing w:after="0" w:line="240" w:lineRule="auto"/>
            <w:ind w:left="1980"/>
            <w:rPr>
              <w:rFonts w:ascii="Arial" w:hAnsi="Arial" w:cs="Arial"/>
              <w:sz w:val="24"/>
            </w:rPr>
          </w:pPr>
          <w:r w:rsidRPr="00252464">
            <w:rPr>
              <w:rFonts w:ascii="Arial" w:hAnsi="Arial" w:cs="Arial"/>
              <w:sz w:val="24"/>
            </w:rPr>
            <w:t>Photos in this report are used under a licensing agreement. All other material contained in this report is in the public domain and may be used and reprinted without special permission; citation as to source is appreciated.</w:t>
          </w:r>
        </w:p>
        <w:p w:rsidR="00B52BF2" w:rsidRPr="00252464" w:rsidRDefault="00B52BF2" w:rsidP="00B52BF2">
          <w:pPr>
            <w:spacing w:after="0" w:line="240" w:lineRule="auto"/>
            <w:ind w:left="1980"/>
            <w:rPr>
              <w:rFonts w:ascii="Arial" w:hAnsi="Arial" w:cs="Arial"/>
            </w:rPr>
          </w:pPr>
        </w:p>
        <w:p w:rsidR="00B52BF2" w:rsidRPr="00252464" w:rsidRDefault="00B52BF2" w:rsidP="00B52BF2">
          <w:pPr>
            <w:spacing w:after="0" w:line="240" w:lineRule="auto"/>
            <w:ind w:left="1980"/>
            <w:rPr>
              <w:rFonts w:ascii="Arial" w:hAnsi="Arial" w:cs="Arial"/>
            </w:rPr>
          </w:pPr>
        </w:p>
        <w:p w:rsidR="00B52BF2" w:rsidRPr="00252464" w:rsidRDefault="00B52BF2" w:rsidP="00B52BF2">
          <w:pPr>
            <w:spacing w:after="0" w:line="240" w:lineRule="auto"/>
            <w:ind w:left="1980"/>
            <w:rPr>
              <w:rFonts w:ascii="Arial" w:hAnsi="Arial" w:cs="Arial"/>
              <w:sz w:val="24"/>
            </w:rPr>
          </w:pPr>
          <w:bookmarkStart w:id="0" w:name="_GoBack"/>
          <w:bookmarkEnd w:id="0"/>
          <w:r w:rsidRPr="00252464">
            <w:rPr>
              <w:rFonts w:ascii="Arial" w:hAnsi="Arial" w:cs="Arial"/>
              <w:sz w:val="24"/>
            </w:rPr>
            <w:t>Massachusetts Department of Public Health</w:t>
          </w:r>
        </w:p>
        <w:p w:rsidR="00B52BF2" w:rsidRPr="00252464" w:rsidRDefault="00B52BF2" w:rsidP="00B52BF2">
          <w:pPr>
            <w:spacing w:after="0" w:line="240" w:lineRule="auto"/>
            <w:ind w:left="1980"/>
            <w:rPr>
              <w:rFonts w:ascii="Arial" w:hAnsi="Arial" w:cs="Arial"/>
              <w:sz w:val="24"/>
            </w:rPr>
          </w:pPr>
          <w:r w:rsidRPr="00252464">
            <w:rPr>
              <w:rFonts w:ascii="Arial" w:hAnsi="Arial" w:cs="Arial"/>
              <w:sz w:val="24"/>
            </w:rPr>
            <w:t>250 Washington Street</w:t>
          </w:r>
        </w:p>
        <w:p w:rsidR="00B52BF2" w:rsidRPr="00252464" w:rsidRDefault="00B52BF2" w:rsidP="00B52BF2">
          <w:pPr>
            <w:spacing w:after="0" w:line="240" w:lineRule="auto"/>
            <w:ind w:left="1980"/>
            <w:rPr>
              <w:rFonts w:ascii="Arial" w:hAnsi="Arial" w:cs="Arial"/>
              <w:sz w:val="24"/>
            </w:rPr>
          </w:pPr>
          <w:r w:rsidRPr="00252464">
            <w:rPr>
              <w:rFonts w:ascii="Arial" w:hAnsi="Arial" w:cs="Arial"/>
              <w:sz w:val="24"/>
            </w:rPr>
            <w:t>Boston, MA 02108</w:t>
          </w:r>
        </w:p>
        <w:p w:rsidR="00B52BF2" w:rsidRPr="00252464" w:rsidRDefault="00B52BF2" w:rsidP="00B52BF2">
          <w:pPr>
            <w:spacing w:after="0" w:line="240" w:lineRule="auto"/>
            <w:ind w:left="1980"/>
            <w:rPr>
              <w:rFonts w:ascii="Arial" w:hAnsi="Arial" w:cs="Arial"/>
              <w:sz w:val="24"/>
            </w:rPr>
          </w:pPr>
          <w:r w:rsidRPr="00252464">
            <w:rPr>
              <w:rFonts w:ascii="Arial" w:hAnsi="Arial" w:cs="Arial"/>
              <w:sz w:val="24"/>
            </w:rPr>
            <w:t>617.624.6000</w:t>
          </w:r>
        </w:p>
        <w:p w:rsidR="00B52BF2" w:rsidRPr="00252464" w:rsidRDefault="00B52BF2" w:rsidP="00B52BF2">
          <w:pPr>
            <w:spacing w:after="0" w:line="240" w:lineRule="auto"/>
            <w:ind w:left="1980"/>
            <w:rPr>
              <w:rFonts w:ascii="Arial" w:hAnsi="Arial" w:cs="Arial"/>
              <w:sz w:val="24"/>
            </w:rPr>
          </w:pPr>
          <w:r w:rsidRPr="00252464">
            <w:rPr>
              <w:rFonts w:ascii="Arial" w:hAnsi="Arial" w:cs="Arial"/>
              <w:sz w:val="24"/>
            </w:rPr>
            <w:t>www.mass.gov/dph</w:t>
          </w:r>
        </w:p>
        <w:p w:rsidR="00C86834" w:rsidRDefault="004540E3" w:rsidP="008332D4">
          <w:pPr>
            <w:rPr>
              <w:rFonts w:ascii="Arial" w:hAnsi="Arial" w:cs="Arial"/>
              <w:b/>
              <w:sz w:val="24"/>
              <w:szCs w:val="24"/>
            </w:rPr>
          </w:pPr>
          <w:r>
            <w:rPr>
              <w:rFonts w:ascii="Arial" w:hAnsi="Arial" w:cs="Arial"/>
              <w:b/>
              <w:sz w:val="24"/>
              <w:szCs w:val="24"/>
            </w:rPr>
            <w:lastRenderedPageBreak/>
            <w:br w:type="page"/>
          </w:r>
        </w:p>
        <w:p w:rsidR="008332D4" w:rsidRDefault="000F38C4" w:rsidP="008332D4">
          <w:pPr>
            <w:rPr>
              <w:rFonts w:ascii="Arial" w:hAnsi="Arial" w:cs="Arial"/>
              <w:b/>
              <w:sz w:val="24"/>
              <w:szCs w:val="24"/>
            </w:rPr>
          </w:pPr>
        </w:p>
      </w:sdtContent>
    </w:sdt>
    <w:sdt>
      <w:sdtPr>
        <w:rPr>
          <w:rFonts w:asciiTheme="minorHAnsi" w:eastAsiaTheme="minorHAnsi" w:hAnsiTheme="minorHAnsi" w:cstheme="minorBidi"/>
          <w:b/>
          <w:color w:val="auto"/>
          <w:sz w:val="22"/>
          <w:szCs w:val="22"/>
        </w:rPr>
        <w:id w:val="-1682268581"/>
        <w:docPartObj>
          <w:docPartGallery w:val="Table of Contents"/>
          <w:docPartUnique/>
        </w:docPartObj>
      </w:sdtPr>
      <w:sdtEndPr>
        <w:rPr>
          <w:rFonts w:ascii="Arial" w:eastAsia="Calibri" w:hAnsi="Arial" w:cs="Arial"/>
          <w:bCs/>
          <w:noProof/>
          <w:sz w:val="24"/>
          <w:szCs w:val="24"/>
        </w:rPr>
      </w:sdtEndPr>
      <w:sdtContent>
        <w:p w:rsidR="00B65AB9" w:rsidRPr="00254A79" w:rsidRDefault="00BF2E51">
          <w:pPr>
            <w:pStyle w:val="TOCHeading"/>
            <w:rPr>
              <w:rFonts w:ascii="Arial" w:hAnsi="Arial" w:cs="Arial"/>
              <w:b/>
              <w:color w:val="auto"/>
            </w:rPr>
          </w:pPr>
          <w:r w:rsidRPr="00254A79">
            <w:rPr>
              <w:rFonts w:ascii="Arial" w:hAnsi="Arial" w:cs="Arial"/>
              <w:b/>
              <w:color w:val="auto"/>
            </w:rPr>
            <w:t xml:space="preserve">Table of </w:t>
          </w:r>
          <w:r w:rsidR="00B65AB9" w:rsidRPr="00254A79">
            <w:rPr>
              <w:rFonts w:ascii="Arial" w:hAnsi="Arial" w:cs="Arial"/>
              <w:b/>
              <w:color w:val="auto"/>
            </w:rPr>
            <w:t>Contents</w:t>
          </w:r>
        </w:p>
        <w:p w:rsidR="00C57AC8" w:rsidRPr="00C57AC8" w:rsidRDefault="00E3385A" w:rsidP="00C57AC8">
          <w:pPr>
            <w:pStyle w:val="TOC2"/>
            <w:spacing w:line="360" w:lineRule="auto"/>
            <w:ind w:left="0"/>
            <w:rPr>
              <w:rFonts w:asciiTheme="minorHAnsi" w:eastAsiaTheme="minorEastAsia" w:hAnsiTheme="minorHAnsi" w:cstheme="minorBidi"/>
              <w:b/>
              <w:bCs w:val="0"/>
              <w:noProof/>
              <w:szCs w:val="22"/>
            </w:rPr>
          </w:pPr>
          <w:r w:rsidRPr="00C57AC8">
            <w:rPr>
              <w:bCs w:val="0"/>
              <w:szCs w:val="22"/>
            </w:rPr>
            <w:fldChar w:fldCharType="begin"/>
          </w:r>
          <w:r w:rsidRPr="00C57AC8">
            <w:rPr>
              <w:bCs w:val="0"/>
              <w:szCs w:val="22"/>
            </w:rPr>
            <w:instrText xml:space="preserve"> TOC \o "1-2" \h \z \u </w:instrText>
          </w:r>
          <w:r w:rsidRPr="00C57AC8">
            <w:rPr>
              <w:bCs w:val="0"/>
              <w:szCs w:val="22"/>
            </w:rPr>
            <w:fldChar w:fldCharType="separate"/>
          </w:r>
          <w:hyperlink w:anchor="_Toc12529108" w:history="1">
            <w:r w:rsidR="00C57AC8" w:rsidRPr="00C57AC8">
              <w:rPr>
                <w:rStyle w:val="Hyperlink"/>
                <w:b/>
                <w:noProof/>
                <w:szCs w:val="22"/>
              </w:rPr>
              <w:t>Executive Summary</w:t>
            </w:r>
            <w:r w:rsidR="00C57AC8" w:rsidRPr="00C57AC8">
              <w:rPr>
                <w:b/>
                <w:noProof/>
                <w:webHidden/>
                <w:szCs w:val="22"/>
              </w:rPr>
              <w:tab/>
            </w:r>
            <w:r w:rsidR="00C57AC8" w:rsidRPr="00C57AC8">
              <w:rPr>
                <w:b/>
                <w:noProof/>
                <w:webHidden/>
                <w:szCs w:val="22"/>
              </w:rPr>
              <w:fldChar w:fldCharType="begin"/>
            </w:r>
            <w:r w:rsidR="00C57AC8" w:rsidRPr="00C57AC8">
              <w:rPr>
                <w:b/>
                <w:noProof/>
                <w:webHidden/>
                <w:szCs w:val="22"/>
              </w:rPr>
              <w:instrText xml:space="preserve"> PAGEREF _Toc12529108 \h </w:instrText>
            </w:r>
            <w:r w:rsidR="00C57AC8" w:rsidRPr="00C57AC8">
              <w:rPr>
                <w:b/>
                <w:noProof/>
                <w:webHidden/>
                <w:szCs w:val="22"/>
              </w:rPr>
            </w:r>
            <w:r w:rsidR="00C57AC8" w:rsidRPr="00C57AC8">
              <w:rPr>
                <w:b/>
                <w:noProof/>
                <w:webHidden/>
                <w:szCs w:val="22"/>
              </w:rPr>
              <w:fldChar w:fldCharType="separate"/>
            </w:r>
            <w:r w:rsidR="00ED455B">
              <w:rPr>
                <w:b/>
                <w:noProof/>
                <w:webHidden/>
                <w:szCs w:val="22"/>
              </w:rPr>
              <w:t>4</w:t>
            </w:r>
            <w:r w:rsidR="00C57AC8" w:rsidRPr="00C57AC8">
              <w:rPr>
                <w:b/>
                <w:noProof/>
                <w:webHidden/>
                <w:szCs w:val="22"/>
              </w:rPr>
              <w:fldChar w:fldCharType="end"/>
            </w:r>
          </w:hyperlink>
        </w:p>
        <w:p w:rsidR="00C57AC8" w:rsidRPr="00C57AC8" w:rsidRDefault="000F38C4" w:rsidP="00C57AC8">
          <w:pPr>
            <w:pStyle w:val="TOC2"/>
            <w:spacing w:line="360" w:lineRule="auto"/>
            <w:ind w:left="0"/>
            <w:rPr>
              <w:rFonts w:asciiTheme="minorHAnsi" w:eastAsiaTheme="minorEastAsia" w:hAnsiTheme="minorHAnsi" w:cstheme="minorBidi"/>
              <w:b/>
              <w:bCs w:val="0"/>
              <w:noProof/>
              <w:szCs w:val="22"/>
            </w:rPr>
          </w:pPr>
          <w:hyperlink w:anchor="_Toc12529109" w:history="1">
            <w:r w:rsidR="00C57AC8" w:rsidRPr="00C57AC8">
              <w:rPr>
                <w:rStyle w:val="Hyperlink"/>
                <w:b/>
                <w:noProof/>
                <w:szCs w:val="22"/>
              </w:rPr>
              <w:t>Acknowledgements</w:t>
            </w:r>
            <w:r w:rsidR="00C57AC8" w:rsidRPr="00C57AC8">
              <w:rPr>
                <w:b/>
                <w:noProof/>
                <w:webHidden/>
                <w:szCs w:val="22"/>
              </w:rPr>
              <w:tab/>
            </w:r>
            <w:r w:rsidR="00C57AC8" w:rsidRPr="00C57AC8">
              <w:rPr>
                <w:b/>
                <w:noProof/>
                <w:webHidden/>
                <w:szCs w:val="22"/>
              </w:rPr>
              <w:fldChar w:fldCharType="begin"/>
            </w:r>
            <w:r w:rsidR="00C57AC8" w:rsidRPr="00C57AC8">
              <w:rPr>
                <w:b/>
                <w:noProof/>
                <w:webHidden/>
                <w:szCs w:val="22"/>
              </w:rPr>
              <w:instrText xml:space="preserve"> PAGEREF _Toc12529109 \h </w:instrText>
            </w:r>
            <w:r w:rsidR="00C57AC8" w:rsidRPr="00C57AC8">
              <w:rPr>
                <w:b/>
                <w:noProof/>
                <w:webHidden/>
                <w:szCs w:val="22"/>
              </w:rPr>
            </w:r>
            <w:r w:rsidR="00C57AC8" w:rsidRPr="00C57AC8">
              <w:rPr>
                <w:b/>
                <w:noProof/>
                <w:webHidden/>
                <w:szCs w:val="22"/>
              </w:rPr>
              <w:fldChar w:fldCharType="separate"/>
            </w:r>
            <w:r w:rsidR="00ED455B">
              <w:rPr>
                <w:b/>
                <w:noProof/>
                <w:webHidden/>
                <w:szCs w:val="22"/>
              </w:rPr>
              <w:t>6</w:t>
            </w:r>
            <w:r w:rsidR="00C57AC8" w:rsidRPr="00C57AC8">
              <w:rPr>
                <w:b/>
                <w:noProof/>
                <w:webHidden/>
                <w:szCs w:val="22"/>
              </w:rPr>
              <w:fldChar w:fldCharType="end"/>
            </w:r>
          </w:hyperlink>
        </w:p>
        <w:p w:rsidR="00C57AC8" w:rsidRPr="00C57AC8" w:rsidRDefault="000F38C4" w:rsidP="00C57AC8">
          <w:pPr>
            <w:pStyle w:val="TOC2"/>
            <w:spacing w:line="360" w:lineRule="auto"/>
            <w:ind w:left="0"/>
            <w:rPr>
              <w:rFonts w:asciiTheme="minorHAnsi" w:eastAsiaTheme="minorEastAsia" w:hAnsiTheme="minorHAnsi" w:cstheme="minorBidi"/>
              <w:b/>
              <w:bCs w:val="0"/>
              <w:noProof/>
              <w:szCs w:val="22"/>
            </w:rPr>
          </w:pPr>
          <w:hyperlink w:anchor="_Toc12529110" w:history="1">
            <w:r w:rsidR="00C57AC8" w:rsidRPr="00C57AC8">
              <w:rPr>
                <w:rStyle w:val="Hyperlink"/>
                <w:b/>
                <w:noProof/>
                <w:szCs w:val="22"/>
              </w:rPr>
              <w:t>Introduction</w:t>
            </w:r>
            <w:r w:rsidR="00C57AC8" w:rsidRPr="00C57AC8">
              <w:rPr>
                <w:b/>
                <w:noProof/>
                <w:webHidden/>
                <w:szCs w:val="22"/>
              </w:rPr>
              <w:tab/>
            </w:r>
            <w:r w:rsidR="00C57AC8" w:rsidRPr="00C57AC8">
              <w:rPr>
                <w:b/>
                <w:noProof/>
                <w:webHidden/>
                <w:szCs w:val="22"/>
              </w:rPr>
              <w:fldChar w:fldCharType="begin"/>
            </w:r>
            <w:r w:rsidR="00C57AC8" w:rsidRPr="00C57AC8">
              <w:rPr>
                <w:b/>
                <w:noProof/>
                <w:webHidden/>
                <w:szCs w:val="22"/>
              </w:rPr>
              <w:instrText xml:space="preserve"> PAGEREF _Toc12529110 \h </w:instrText>
            </w:r>
            <w:r w:rsidR="00C57AC8" w:rsidRPr="00C57AC8">
              <w:rPr>
                <w:b/>
                <w:noProof/>
                <w:webHidden/>
                <w:szCs w:val="22"/>
              </w:rPr>
            </w:r>
            <w:r w:rsidR="00C57AC8" w:rsidRPr="00C57AC8">
              <w:rPr>
                <w:b/>
                <w:noProof/>
                <w:webHidden/>
                <w:szCs w:val="22"/>
              </w:rPr>
              <w:fldChar w:fldCharType="separate"/>
            </w:r>
            <w:r w:rsidR="00ED455B">
              <w:rPr>
                <w:b/>
                <w:noProof/>
                <w:webHidden/>
                <w:szCs w:val="22"/>
              </w:rPr>
              <w:t>8</w:t>
            </w:r>
            <w:r w:rsidR="00C57AC8" w:rsidRPr="00C57AC8">
              <w:rPr>
                <w:b/>
                <w:noProof/>
                <w:webHidden/>
                <w:szCs w:val="22"/>
              </w:rPr>
              <w:fldChar w:fldCharType="end"/>
            </w:r>
          </w:hyperlink>
        </w:p>
        <w:p w:rsidR="00C57AC8" w:rsidRPr="00C57AC8" w:rsidRDefault="000F38C4" w:rsidP="00C57AC8">
          <w:pPr>
            <w:pStyle w:val="TOC1"/>
            <w:spacing w:line="360" w:lineRule="auto"/>
            <w:rPr>
              <w:rFonts w:asciiTheme="minorHAnsi" w:eastAsiaTheme="minorEastAsia" w:hAnsiTheme="minorHAnsi" w:cstheme="minorBidi"/>
              <w:b w:val="0"/>
              <w:noProof/>
              <w:sz w:val="22"/>
              <w:szCs w:val="22"/>
            </w:rPr>
          </w:pPr>
          <w:hyperlink w:anchor="_Toc12529111" w:history="1">
            <w:r w:rsidR="00C57AC8" w:rsidRPr="00C57AC8">
              <w:rPr>
                <w:rStyle w:val="Hyperlink"/>
                <w:noProof/>
                <w:sz w:val="22"/>
                <w:szCs w:val="22"/>
              </w:rPr>
              <w:t>Task 1: Prevalence and Perceptions of Marijuana Use</w:t>
            </w:r>
            <w:r w:rsidR="00C57AC8" w:rsidRPr="00C57AC8">
              <w:rPr>
                <w:noProof/>
                <w:webHidden/>
                <w:sz w:val="22"/>
                <w:szCs w:val="22"/>
              </w:rPr>
              <w:tab/>
            </w:r>
            <w:r w:rsidR="00C57AC8" w:rsidRPr="00C57AC8">
              <w:rPr>
                <w:noProof/>
                <w:webHidden/>
                <w:sz w:val="22"/>
                <w:szCs w:val="22"/>
              </w:rPr>
              <w:fldChar w:fldCharType="begin"/>
            </w:r>
            <w:r w:rsidR="00C57AC8" w:rsidRPr="00C57AC8">
              <w:rPr>
                <w:noProof/>
                <w:webHidden/>
                <w:sz w:val="22"/>
                <w:szCs w:val="22"/>
              </w:rPr>
              <w:instrText xml:space="preserve"> PAGEREF _Toc12529111 \h </w:instrText>
            </w:r>
            <w:r w:rsidR="00C57AC8" w:rsidRPr="00C57AC8">
              <w:rPr>
                <w:noProof/>
                <w:webHidden/>
                <w:sz w:val="22"/>
                <w:szCs w:val="22"/>
              </w:rPr>
            </w:r>
            <w:r w:rsidR="00C57AC8" w:rsidRPr="00C57AC8">
              <w:rPr>
                <w:noProof/>
                <w:webHidden/>
                <w:sz w:val="22"/>
                <w:szCs w:val="22"/>
              </w:rPr>
              <w:fldChar w:fldCharType="separate"/>
            </w:r>
            <w:r w:rsidR="00ED455B">
              <w:rPr>
                <w:noProof/>
                <w:webHidden/>
                <w:sz w:val="22"/>
                <w:szCs w:val="22"/>
              </w:rPr>
              <w:t>15</w:t>
            </w:r>
            <w:r w:rsidR="00C57AC8" w:rsidRPr="00C57AC8">
              <w:rPr>
                <w:noProof/>
                <w:webHidden/>
                <w:sz w:val="22"/>
                <w:szCs w:val="22"/>
              </w:rPr>
              <w:fldChar w:fldCharType="end"/>
            </w:r>
          </w:hyperlink>
        </w:p>
        <w:p w:rsidR="00C57AC8" w:rsidRPr="00C57AC8" w:rsidRDefault="000F38C4" w:rsidP="00C57AC8">
          <w:pPr>
            <w:pStyle w:val="TOC1"/>
            <w:spacing w:line="360" w:lineRule="auto"/>
            <w:ind w:left="720"/>
            <w:rPr>
              <w:rFonts w:asciiTheme="minorHAnsi" w:eastAsiaTheme="minorEastAsia" w:hAnsiTheme="minorHAnsi" w:cstheme="minorBidi"/>
              <w:b w:val="0"/>
              <w:noProof/>
              <w:sz w:val="22"/>
              <w:szCs w:val="22"/>
            </w:rPr>
          </w:pPr>
          <w:hyperlink w:anchor="_Toc12529112" w:history="1">
            <w:r w:rsidR="00C57AC8" w:rsidRPr="00C57AC8">
              <w:rPr>
                <w:rStyle w:val="Hyperlink"/>
                <w:b w:val="0"/>
                <w:bCs/>
                <w:noProof/>
                <w:sz w:val="22"/>
                <w:szCs w:val="22"/>
              </w:rPr>
              <w:t>Chapter 1:  Retrospective Analysis of Indicators of Use and Perceptions of Marijuana</w:t>
            </w:r>
            <w:r w:rsidR="00C57AC8" w:rsidRPr="00C57AC8">
              <w:rPr>
                <w:b w:val="0"/>
                <w:noProof/>
                <w:webHidden/>
                <w:sz w:val="22"/>
                <w:szCs w:val="22"/>
              </w:rPr>
              <w:tab/>
            </w:r>
            <w:r w:rsidR="00C57AC8" w:rsidRPr="00C57AC8">
              <w:rPr>
                <w:b w:val="0"/>
                <w:noProof/>
                <w:webHidden/>
                <w:sz w:val="22"/>
                <w:szCs w:val="22"/>
              </w:rPr>
              <w:fldChar w:fldCharType="begin"/>
            </w:r>
            <w:r w:rsidR="00C57AC8" w:rsidRPr="00C57AC8">
              <w:rPr>
                <w:b w:val="0"/>
                <w:noProof/>
                <w:webHidden/>
                <w:sz w:val="22"/>
                <w:szCs w:val="22"/>
              </w:rPr>
              <w:instrText xml:space="preserve"> PAGEREF _Toc12529112 \h </w:instrText>
            </w:r>
            <w:r w:rsidR="00C57AC8" w:rsidRPr="00C57AC8">
              <w:rPr>
                <w:b w:val="0"/>
                <w:noProof/>
                <w:webHidden/>
                <w:sz w:val="22"/>
                <w:szCs w:val="22"/>
              </w:rPr>
            </w:r>
            <w:r w:rsidR="00C57AC8" w:rsidRPr="00C57AC8">
              <w:rPr>
                <w:b w:val="0"/>
                <w:noProof/>
                <w:webHidden/>
                <w:sz w:val="22"/>
                <w:szCs w:val="22"/>
              </w:rPr>
              <w:fldChar w:fldCharType="separate"/>
            </w:r>
            <w:r w:rsidR="00ED455B">
              <w:rPr>
                <w:b w:val="0"/>
                <w:noProof/>
                <w:webHidden/>
                <w:sz w:val="22"/>
                <w:szCs w:val="22"/>
              </w:rPr>
              <w:t>15</w:t>
            </w:r>
            <w:r w:rsidR="00C57AC8" w:rsidRPr="00C57AC8">
              <w:rPr>
                <w:b w:val="0"/>
                <w:noProof/>
                <w:webHidden/>
                <w:sz w:val="22"/>
                <w:szCs w:val="22"/>
              </w:rPr>
              <w:fldChar w:fldCharType="end"/>
            </w:r>
          </w:hyperlink>
        </w:p>
        <w:p w:rsidR="00C57AC8" w:rsidRPr="00C57AC8" w:rsidRDefault="000F38C4" w:rsidP="00C57AC8">
          <w:pPr>
            <w:pStyle w:val="TOC1"/>
            <w:spacing w:line="360" w:lineRule="auto"/>
            <w:ind w:left="720"/>
            <w:rPr>
              <w:rFonts w:asciiTheme="minorHAnsi" w:eastAsiaTheme="minorEastAsia" w:hAnsiTheme="minorHAnsi" w:cstheme="minorBidi"/>
              <w:b w:val="0"/>
              <w:noProof/>
              <w:sz w:val="22"/>
              <w:szCs w:val="22"/>
            </w:rPr>
          </w:pPr>
          <w:hyperlink w:anchor="_Toc12529119" w:history="1">
            <w:r w:rsidR="00C57AC8" w:rsidRPr="00C57AC8">
              <w:rPr>
                <w:rStyle w:val="Hyperlink"/>
                <w:b w:val="0"/>
                <w:noProof/>
                <w:sz w:val="22"/>
                <w:szCs w:val="22"/>
              </w:rPr>
              <w:t>Chapter 2:  Prevalence and Correlates of Marijuana Use among Adults in Massachusetts</w:t>
            </w:r>
            <w:r w:rsidR="00C57AC8" w:rsidRPr="00C57AC8">
              <w:rPr>
                <w:b w:val="0"/>
                <w:noProof/>
                <w:webHidden/>
                <w:sz w:val="22"/>
                <w:szCs w:val="22"/>
              </w:rPr>
              <w:tab/>
            </w:r>
            <w:r w:rsidR="00C57AC8" w:rsidRPr="00C57AC8">
              <w:rPr>
                <w:b w:val="0"/>
                <w:noProof/>
                <w:webHidden/>
                <w:sz w:val="22"/>
                <w:szCs w:val="22"/>
              </w:rPr>
              <w:fldChar w:fldCharType="begin"/>
            </w:r>
            <w:r w:rsidR="00C57AC8" w:rsidRPr="00C57AC8">
              <w:rPr>
                <w:b w:val="0"/>
                <w:noProof/>
                <w:webHidden/>
                <w:sz w:val="22"/>
                <w:szCs w:val="22"/>
              </w:rPr>
              <w:instrText xml:space="preserve"> PAGEREF _Toc12529119 \h </w:instrText>
            </w:r>
            <w:r w:rsidR="00C57AC8" w:rsidRPr="00C57AC8">
              <w:rPr>
                <w:b w:val="0"/>
                <w:noProof/>
                <w:webHidden/>
                <w:sz w:val="22"/>
                <w:szCs w:val="22"/>
              </w:rPr>
            </w:r>
            <w:r w:rsidR="00C57AC8" w:rsidRPr="00C57AC8">
              <w:rPr>
                <w:b w:val="0"/>
                <w:noProof/>
                <w:webHidden/>
                <w:sz w:val="22"/>
                <w:szCs w:val="22"/>
              </w:rPr>
              <w:fldChar w:fldCharType="separate"/>
            </w:r>
            <w:r w:rsidR="00ED455B">
              <w:rPr>
                <w:b w:val="0"/>
                <w:noProof/>
                <w:webHidden/>
                <w:sz w:val="22"/>
                <w:szCs w:val="22"/>
              </w:rPr>
              <w:t>31</w:t>
            </w:r>
            <w:r w:rsidR="00C57AC8" w:rsidRPr="00C57AC8">
              <w:rPr>
                <w:b w:val="0"/>
                <w:noProof/>
                <w:webHidden/>
                <w:sz w:val="22"/>
                <w:szCs w:val="22"/>
              </w:rPr>
              <w:fldChar w:fldCharType="end"/>
            </w:r>
          </w:hyperlink>
        </w:p>
        <w:p w:rsidR="00C57AC8" w:rsidRPr="00C57AC8" w:rsidRDefault="000F38C4" w:rsidP="00C57AC8">
          <w:pPr>
            <w:pStyle w:val="TOC1"/>
            <w:spacing w:line="360" w:lineRule="auto"/>
            <w:ind w:left="720"/>
            <w:rPr>
              <w:rFonts w:asciiTheme="minorHAnsi" w:eastAsiaTheme="minorEastAsia" w:hAnsiTheme="minorHAnsi" w:cstheme="minorBidi"/>
              <w:b w:val="0"/>
              <w:noProof/>
              <w:sz w:val="22"/>
              <w:szCs w:val="22"/>
            </w:rPr>
          </w:pPr>
          <w:hyperlink w:anchor="_Toc12529125" w:history="1">
            <w:r w:rsidR="00C57AC8" w:rsidRPr="00C57AC8">
              <w:rPr>
                <w:rStyle w:val="Hyperlink"/>
                <w:b w:val="0"/>
                <w:noProof/>
                <w:sz w:val="22"/>
                <w:szCs w:val="22"/>
              </w:rPr>
              <w:t>Chapter 3:  Use and Perceptions of Marijuana among Adult Medical Use of Marijuana Patients in Massachusetts</w:t>
            </w:r>
            <w:r w:rsidR="00C57AC8" w:rsidRPr="00C57AC8">
              <w:rPr>
                <w:b w:val="0"/>
                <w:noProof/>
                <w:webHidden/>
                <w:sz w:val="22"/>
                <w:szCs w:val="22"/>
              </w:rPr>
              <w:tab/>
            </w:r>
            <w:r w:rsidR="00C57AC8" w:rsidRPr="00C57AC8">
              <w:rPr>
                <w:b w:val="0"/>
                <w:noProof/>
                <w:webHidden/>
                <w:sz w:val="22"/>
                <w:szCs w:val="22"/>
              </w:rPr>
              <w:fldChar w:fldCharType="begin"/>
            </w:r>
            <w:r w:rsidR="00C57AC8" w:rsidRPr="00C57AC8">
              <w:rPr>
                <w:b w:val="0"/>
                <w:noProof/>
                <w:webHidden/>
                <w:sz w:val="22"/>
                <w:szCs w:val="22"/>
              </w:rPr>
              <w:instrText xml:space="preserve"> PAGEREF _Toc12529125 \h </w:instrText>
            </w:r>
            <w:r w:rsidR="00C57AC8" w:rsidRPr="00C57AC8">
              <w:rPr>
                <w:b w:val="0"/>
                <w:noProof/>
                <w:webHidden/>
                <w:sz w:val="22"/>
                <w:szCs w:val="22"/>
              </w:rPr>
            </w:r>
            <w:r w:rsidR="00C57AC8" w:rsidRPr="00C57AC8">
              <w:rPr>
                <w:b w:val="0"/>
                <w:noProof/>
                <w:webHidden/>
                <w:sz w:val="22"/>
                <w:szCs w:val="22"/>
              </w:rPr>
              <w:fldChar w:fldCharType="separate"/>
            </w:r>
            <w:r w:rsidR="00ED455B">
              <w:rPr>
                <w:b w:val="0"/>
                <w:noProof/>
                <w:webHidden/>
                <w:sz w:val="22"/>
                <w:szCs w:val="22"/>
              </w:rPr>
              <w:t>52</w:t>
            </w:r>
            <w:r w:rsidR="00C57AC8" w:rsidRPr="00C57AC8">
              <w:rPr>
                <w:b w:val="0"/>
                <w:noProof/>
                <w:webHidden/>
                <w:sz w:val="22"/>
                <w:szCs w:val="22"/>
              </w:rPr>
              <w:fldChar w:fldCharType="end"/>
            </w:r>
          </w:hyperlink>
        </w:p>
        <w:p w:rsidR="00C57AC8" w:rsidRPr="00C57AC8" w:rsidRDefault="000F38C4" w:rsidP="00C57AC8">
          <w:pPr>
            <w:pStyle w:val="TOC1"/>
            <w:spacing w:line="360" w:lineRule="auto"/>
            <w:rPr>
              <w:rFonts w:asciiTheme="minorHAnsi" w:eastAsiaTheme="minorEastAsia" w:hAnsiTheme="minorHAnsi" w:cstheme="minorBidi"/>
              <w:b w:val="0"/>
              <w:noProof/>
              <w:sz w:val="22"/>
              <w:szCs w:val="22"/>
            </w:rPr>
          </w:pPr>
          <w:hyperlink w:anchor="_Toc12529132" w:history="1">
            <w:r w:rsidR="00C57AC8" w:rsidRPr="00C57AC8">
              <w:rPr>
                <w:rStyle w:val="Hyperlink"/>
                <w:noProof/>
                <w:sz w:val="22"/>
                <w:szCs w:val="22"/>
              </w:rPr>
              <w:t>Task 2: Incidents of Impairment and Hospitalization</w:t>
            </w:r>
            <w:r w:rsidR="00C57AC8" w:rsidRPr="00C57AC8">
              <w:rPr>
                <w:noProof/>
                <w:webHidden/>
                <w:sz w:val="22"/>
                <w:szCs w:val="22"/>
              </w:rPr>
              <w:tab/>
            </w:r>
            <w:r w:rsidR="00C57AC8" w:rsidRPr="00C57AC8">
              <w:rPr>
                <w:noProof/>
                <w:webHidden/>
                <w:sz w:val="22"/>
                <w:szCs w:val="22"/>
              </w:rPr>
              <w:fldChar w:fldCharType="begin"/>
            </w:r>
            <w:r w:rsidR="00C57AC8" w:rsidRPr="00C57AC8">
              <w:rPr>
                <w:noProof/>
                <w:webHidden/>
                <w:sz w:val="22"/>
                <w:szCs w:val="22"/>
              </w:rPr>
              <w:instrText xml:space="preserve"> PAGEREF _Toc12529132 \h </w:instrText>
            </w:r>
            <w:r w:rsidR="00C57AC8" w:rsidRPr="00C57AC8">
              <w:rPr>
                <w:noProof/>
                <w:webHidden/>
                <w:sz w:val="22"/>
                <w:szCs w:val="22"/>
              </w:rPr>
            </w:r>
            <w:r w:rsidR="00C57AC8" w:rsidRPr="00C57AC8">
              <w:rPr>
                <w:noProof/>
                <w:webHidden/>
                <w:sz w:val="22"/>
                <w:szCs w:val="22"/>
              </w:rPr>
              <w:fldChar w:fldCharType="separate"/>
            </w:r>
            <w:r w:rsidR="00ED455B">
              <w:rPr>
                <w:noProof/>
                <w:webHidden/>
                <w:sz w:val="22"/>
                <w:szCs w:val="22"/>
              </w:rPr>
              <w:t>151</w:t>
            </w:r>
            <w:r w:rsidR="00C57AC8" w:rsidRPr="00C57AC8">
              <w:rPr>
                <w:noProof/>
                <w:webHidden/>
                <w:sz w:val="22"/>
                <w:szCs w:val="22"/>
              </w:rPr>
              <w:fldChar w:fldCharType="end"/>
            </w:r>
          </w:hyperlink>
        </w:p>
        <w:p w:rsidR="00C57AC8" w:rsidRPr="00C57AC8" w:rsidRDefault="000F38C4" w:rsidP="00C57AC8">
          <w:pPr>
            <w:pStyle w:val="TOC1"/>
            <w:spacing w:line="360" w:lineRule="auto"/>
            <w:ind w:left="720"/>
            <w:rPr>
              <w:rFonts w:asciiTheme="minorHAnsi" w:eastAsiaTheme="minorEastAsia" w:hAnsiTheme="minorHAnsi" w:cstheme="minorBidi"/>
              <w:b w:val="0"/>
              <w:noProof/>
              <w:sz w:val="22"/>
              <w:szCs w:val="22"/>
            </w:rPr>
          </w:pPr>
          <w:hyperlink w:anchor="_Toc12529133" w:history="1">
            <w:r w:rsidR="00C57AC8" w:rsidRPr="00C57AC8">
              <w:rPr>
                <w:rStyle w:val="Hyperlink"/>
                <w:b w:val="0"/>
                <w:noProof/>
                <w:sz w:val="22"/>
                <w:szCs w:val="22"/>
              </w:rPr>
              <w:t>Chapter 1: Measuring Marijuana Exposure and its Effects Related to Driving Impairment: A State of the Science Review</w:t>
            </w:r>
            <w:r w:rsidR="00C57AC8" w:rsidRPr="00C57AC8">
              <w:rPr>
                <w:b w:val="0"/>
                <w:noProof/>
                <w:webHidden/>
                <w:sz w:val="22"/>
                <w:szCs w:val="22"/>
              </w:rPr>
              <w:tab/>
            </w:r>
            <w:r w:rsidR="00C57AC8" w:rsidRPr="00C57AC8">
              <w:rPr>
                <w:b w:val="0"/>
                <w:noProof/>
                <w:webHidden/>
                <w:sz w:val="22"/>
                <w:szCs w:val="22"/>
              </w:rPr>
              <w:fldChar w:fldCharType="begin"/>
            </w:r>
            <w:r w:rsidR="00C57AC8" w:rsidRPr="00C57AC8">
              <w:rPr>
                <w:b w:val="0"/>
                <w:noProof/>
                <w:webHidden/>
                <w:sz w:val="22"/>
                <w:szCs w:val="22"/>
              </w:rPr>
              <w:instrText xml:space="preserve"> PAGEREF _Toc12529133 \h </w:instrText>
            </w:r>
            <w:r w:rsidR="00C57AC8" w:rsidRPr="00C57AC8">
              <w:rPr>
                <w:b w:val="0"/>
                <w:noProof/>
                <w:webHidden/>
                <w:sz w:val="22"/>
                <w:szCs w:val="22"/>
              </w:rPr>
            </w:r>
            <w:r w:rsidR="00C57AC8" w:rsidRPr="00C57AC8">
              <w:rPr>
                <w:b w:val="0"/>
                <w:noProof/>
                <w:webHidden/>
                <w:sz w:val="22"/>
                <w:szCs w:val="22"/>
              </w:rPr>
              <w:fldChar w:fldCharType="separate"/>
            </w:r>
            <w:r w:rsidR="00ED455B">
              <w:rPr>
                <w:b w:val="0"/>
                <w:noProof/>
                <w:webHidden/>
                <w:sz w:val="22"/>
                <w:szCs w:val="22"/>
              </w:rPr>
              <w:t>151</w:t>
            </w:r>
            <w:r w:rsidR="00C57AC8" w:rsidRPr="00C57AC8">
              <w:rPr>
                <w:b w:val="0"/>
                <w:noProof/>
                <w:webHidden/>
                <w:sz w:val="22"/>
                <w:szCs w:val="22"/>
              </w:rPr>
              <w:fldChar w:fldCharType="end"/>
            </w:r>
          </w:hyperlink>
        </w:p>
        <w:p w:rsidR="00C57AC8" w:rsidRPr="00C57AC8" w:rsidRDefault="000F38C4" w:rsidP="00C57AC8">
          <w:pPr>
            <w:pStyle w:val="TOC1"/>
            <w:spacing w:line="360" w:lineRule="auto"/>
            <w:ind w:left="720"/>
            <w:rPr>
              <w:rFonts w:asciiTheme="minorHAnsi" w:eastAsiaTheme="minorEastAsia" w:hAnsiTheme="minorHAnsi" w:cstheme="minorBidi"/>
              <w:b w:val="0"/>
              <w:noProof/>
              <w:sz w:val="22"/>
              <w:szCs w:val="22"/>
            </w:rPr>
          </w:pPr>
          <w:hyperlink w:anchor="_Toc12529139" w:history="1">
            <w:r w:rsidR="00C57AC8" w:rsidRPr="00C57AC8">
              <w:rPr>
                <w:rStyle w:val="Hyperlink"/>
                <w:b w:val="0"/>
                <w:noProof/>
                <w:sz w:val="22"/>
                <w:szCs w:val="22"/>
              </w:rPr>
              <w:t>Chapter 2: Driving Under the Influence of Marijuana and Marijuana-Involved Motor Vehicle Crashes in Massachusetts</w:t>
            </w:r>
            <w:r w:rsidR="00C57AC8" w:rsidRPr="00C57AC8">
              <w:rPr>
                <w:b w:val="0"/>
                <w:noProof/>
                <w:webHidden/>
                <w:sz w:val="22"/>
                <w:szCs w:val="22"/>
              </w:rPr>
              <w:tab/>
            </w:r>
            <w:r w:rsidR="00C57AC8" w:rsidRPr="00C57AC8">
              <w:rPr>
                <w:b w:val="0"/>
                <w:noProof/>
                <w:webHidden/>
                <w:sz w:val="22"/>
                <w:szCs w:val="22"/>
              </w:rPr>
              <w:fldChar w:fldCharType="begin"/>
            </w:r>
            <w:r w:rsidR="00C57AC8" w:rsidRPr="00C57AC8">
              <w:rPr>
                <w:b w:val="0"/>
                <w:noProof/>
                <w:webHidden/>
                <w:sz w:val="22"/>
                <w:szCs w:val="22"/>
              </w:rPr>
              <w:instrText xml:space="preserve"> PAGEREF _Toc12529139 \h </w:instrText>
            </w:r>
            <w:r w:rsidR="00C57AC8" w:rsidRPr="00C57AC8">
              <w:rPr>
                <w:b w:val="0"/>
                <w:noProof/>
                <w:webHidden/>
                <w:sz w:val="22"/>
                <w:szCs w:val="22"/>
              </w:rPr>
            </w:r>
            <w:r w:rsidR="00C57AC8" w:rsidRPr="00C57AC8">
              <w:rPr>
                <w:b w:val="0"/>
                <w:noProof/>
                <w:webHidden/>
                <w:sz w:val="22"/>
                <w:szCs w:val="22"/>
              </w:rPr>
              <w:fldChar w:fldCharType="separate"/>
            </w:r>
            <w:r w:rsidR="00ED455B">
              <w:rPr>
                <w:b w:val="0"/>
                <w:noProof/>
                <w:webHidden/>
                <w:sz w:val="22"/>
                <w:szCs w:val="22"/>
              </w:rPr>
              <w:t>183</w:t>
            </w:r>
            <w:r w:rsidR="00C57AC8" w:rsidRPr="00C57AC8">
              <w:rPr>
                <w:b w:val="0"/>
                <w:noProof/>
                <w:webHidden/>
                <w:sz w:val="22"/>
                <w:szCs w:val="22"/>
              </w:rPr>
              <w:fldChar w:fldCharType="end"/>
            </w:r>
          </w:hyperlink>
        </w:p>
        <w:p w:rsidR="00C57AC8" w:rsidRPr="00C57AC8" w:rsidRDefault="000F38C4" w:rsidP="00C57AC8">
          <w:pPr>
            <w:pStyle w:val="TOC1"/>
            <w:spacing w:line="360" w:lineRule="auto"/>
            <w:ind w:left="720"/>
            <w:rPr>
              <w:rFonts w:asciiTheme="minorHAnsi" w:eastAsiaTheme="minorEastAsia" w:hAnsiTheme="minorHAnsi" w:cstheme="minorBidi"/>
              <w:b w:val="0"/>
              <w:noProof/>
              <w:sz w:val="22"/>
              <w:szCs w:val="22"/>
            </w:rPr>
          </w:pPr>
          <w:hyperlink w:anchor="_Toc12529148" w:history="1">
            <w:r w:rsidR="00C57AC8" w:rsidRPr="00C57AC8">
              <w:rPr>
                <w:rStyle w:val="Hyperlink"/>
                <w:b w:val="0"/>
                <w:noProof/>
                <w:sz w:val="22"/>
                <w:szCs w:val="22"/>
              </w:rPr>
              <w:t>Chapter 3: Marijuana-Related Health System Contacts in Massachusetts</w:t>
            </w:r>
            <w:r w:rsidR="00C57AC8" w:rsidRPr="00C57AC8">
              <w:rPr>
                <w:b w:val="0"/>
                <w:noProof/>
                <w:webHidden/>
                <w:sz w:val="22"/>
                <w:szCs w:val="22"/>
              </w:rPr>
              <w:tab/>
            </w:r>
            <w:r w:rsidR="00C57AC8" w:rsidRPr="00C57AC8">
              <w:rPr>
                <w:b w:val="0"/>
                <w:noProof/>
                <w:webHidden/>
                <w:sz w:val="22"/>
                <w:szCs w:val="22"/>
              </w:rPr>
              <w:fldChar w:fldCharType="begin"/>
            </w:r>
            <w:r w:rsidR="00C57AC8" w:rsidRPr="00C57AC8">
              <w:rPr>
                <w:b w:val="0"/>
                <w:noProof/>
                <w:webHidden/>
                <w:sz w:val="22"/>
                <w:szCs w:val="22"/>
              </w:rPr>
              <w:instrText xml:space="preserve"> PAGEREF _Toc12529148 \h </w:instrText>
            </w:r>
            <w:r w:rsidR="00C57AC8" w:rsidRPr="00C57AC8">
              <w:rPr>
                <w:b w:val="0"/>
                <w:noProof/>
                <w:webHidden/>
                <w:sz w:val="22"/>
                <w:szCs w:val="22"/>
              </w:rPr>
            </w:r>
            <w:r w:rsidR="00C57AC8" w:rsidRPr="00C57AC8">
              <w:rPr>
                <w:b w:val="0"/>
                <w:noProof/>
                <w:webHidden/>
                <w:sz w:val="22"/>
                <w:szCs w:val="22"/>
              </w:rPr>
              <w:fldChar w:fldCharType="separate"/>
            </w:r>
            <w:r w:rsidR="00ED455B">
              <w:rPr>
                <w:b w:val="0"/>
                <w:noProof/>
                <w:webHidden/>
                <w:sz w:val="22"/>
                <w:szCs w:val="22"/>
              </w:rPr>
              <w:t>219</w:t>
            </w:r>
            <w:r w:rsidR="00C57AC8" w:rsidRPr="00C57AC8">
              <w:rPr>
                <w:b w:val="0"/>
                <w:noProof/>
                <w:webHidden/>
                <w:sz w:val="22"/>
                <w:szCs w:val="22"/>
              </w:rPr>
              <w:fldChar w:fldCharType="end"/>
            </w:r>
          </w:hyperlink>
        </w:p>
        <w:p w:rsidR="00C57AC8" w:rsidRPr="00C57AC8" w:rsidRDefault="000F38C4" w:rsidP="00C57AC8">
          <w:pPr>
            <w:pStyle w:val="TOC1"/>
            <w:spacing w:line="360" w:lineRule="auto"/>
            <w:rPr>
              <w:rFonts w:asciiTheme="minorHAnsi" w:eastAsiaTheme="minorEastAsia" w:hAnsiTheme="minorHAnsi" w:cstheme="minorBidi"/>
              <w:b w:val="0"/>
              <w:noProof/>
              <w:sz w:val="22"/>
              <w:szCs w:val="22"/>
            </w:rPr>
          </w:pPr>
          <w:hyperlink w:anchor="_Toc12529154" w:history="1">
            <w:r w:rsidR="00C57AC8" w:rsidRPr="00C57AC8">
              <w:rPr>
                <w:rStyle w:val="Hyperlink"/>
                <w:noProof/>
                <w:sz w:val="22"/>
                <w:szCs w:val="22"/>
              </w:rPr>
              <w:t>Task 3: Economic and Fiscal Impacts</w:t>
            </w:r>
            <w:r w:rsidR="00C57AC8" w:rsidRPr="00C57AC8">
              <w:rPr>
                <w:noProof/>
                <w:webHidden/>
                <w:sz w:val="22"/>
                <w:szCs w:val="22"/>
              </w:rPr>
              <w:tab/>
            </w:r>
            <w:r w:rsidR="00C57AC8" w:rsidRPr="00C57AC8">
              <w:rPr>
                <w:noProof/>
                <w:webHidden/>
                <w:sz w:val="22"/>
                <w:szCs w:val="22"/>
              </w:rPr>
              <w:fldChar w:fldCharType="begin"/>
            </w:r>
            <w:r w:rsidR="00C57AC8" w:rsidRPr="00C57AC8">
              <w:rPr>
                <w:noProof/>
                <w:webHidden/>
                <w:sz w:val="22"/>
                <w:szCs w:val="22"/>
              </w:rPr>
              <w:instrText xml:space="preserve"> PAGEREF _Toc12529154 \h </w:instrText>
            </w:r>
            <w:r w:rsidR="00C57AC8" w:rsidRPr="00C57AC8">
              <w:rPr>
                <w:noProof/>
                <w:webHidden/>
                <w:sz w:val="22"/>
                <w:szCs w:val="22"/>
              </w:rPr>
            </w:r>
            <w:r w:rsidR="00C57AC8" w:rsidRPr="00C57AC8">
              <w:rPr>
                <w:noProof/>
                <w:webHidden/>
                <w:sz w:val="22"/>
                <w:szCs w:val="22"/>
              </w:rPr>
              <w:fldChar w:fldCharType="separate"/>
            </w:r>
            <w:r w:rsidR="00ED455B">
              <w:rPr>
                <w:noProof/>
                <w:webHidden/>
                <w:sz w:val="22"/>
                <w:szCs w:val="22"/>
              </w:rPr>
              <w:t>235</w:t>
            </w:r>
            <w:r w:rsidR="00C57AC8" w:rsidRPr="00C57AC8">
              <w:rPr>
                <w:noProof/>
                <w:webHidden/>
                <w:sz w:val="22"/>
                <w:szCs w:val="22"/>
              </w:rPr>
              <w:fldChar w:fldCharType="end"/>
            </w:r>
          </w:hyperlink>
        </w:p>
        <w:p w:rsidR="00C57AC8" w:rsidRPr="00C57AC8" w:rsidRDefault="000F38C4" w:rsidP="00C57AC8">
          <w:pPr>
            <w:pStyle w:val="TOC1"/>
            <w:spacing w:line="360" w:lineRule="auto"/>
            <w:ind w:left="720"/>
            <w:rPr>
              <w:rFonts w:asciiTheme="minorHAnsi" w:eastAsiaTheme="minorEastAsia" w:hAnsiTheme="minorHAnsi" w:cstheme="minorBidi"/>
              <w:b w:val="0"/>
              <w:noProof/>
              <w:sz w:val="22"/>
              <w:szCs w:val="22"/>
            </w:rPr>
          </w:pPr>
          <w:hyperlink w:anchor="_Toc12529155" w:history="1">
            <w:r w:rsidR="00C57AC8" w:rsidRPr="00C57AC8">
              <w:rPr>
                <w:rStyle w:val="Hyperlink"/>
                <w:b w:val="0"/>
                <w:noProof/>
                <w:sz w:val="22"/>
                <w:szCs w:val="22"/>
                <w:u w:val="none"/>
              </w:rPr>
              <w:t>Chapter 1: From Medical to Retail Marijuana: Estimating Fiscal Effects of Legalization In Massachusetts</w:t>
            </w:r>
            <w:r w:rsidR="00C57AC8" w:rsidRPr="00C57AC8">
              <w:rPr>
                <w:noProof/>
                <w:webHidden/>
                <w:sz w:val="22"/>
                <w:szCs w:val="22"/>
              </w:rPr>
              <w:tab/>
            </w:r>
            <w:r w:rsidR="00C57AC8" w:rsidRPr="00C57AC8">
              <w:rPr>
                <w:noProof/>
                <w:webHidden/>
                <w:sz w:val="22"/>
                <w:szCs w:val="22"/>
              </w:rPr>
              <w:fldChar w:fldCharType="begin"/>
            </w:r>
            <w:r w:rsidR="00C57AC8" w:rsidRPr="00C57AC8">
              <w:rPr>
                <w:noProof/>
                <w:webHidden/>
                <w:sz w:val="22"/>
                <w:szCs w:val="22"/>
              </w:rPr>
              <w:instrText xml:space="preserve"> PAGEREF _Toc12529155 \h </w:instrText>
            </w:r>
            <w:r w:rsidR="00C57AC8" w:rsidRPr="00C57AC8">
              <w:rPr>
                <w:noProof/>
                <w:webHidden/>
                <w:sz w:val="22"/>
                <w:szCs w:val="22"/>
              </w:rPr>
            </w:r>
            <w:r w:rsidR="00C57AC8" w:rsidRPr="00C57AC8">
              <w:rPr>
                <w:noProof/>
                <w:webHidden/>
                <w:sz w:val="22"/>
                <w:szCs w:val="22"/>
              </w:rPr>
              <w:fldChar w:fldCharType="separate"/>
            </w:r>
            <w:r w:rsidR="00ED455B">
              <w:rPr>
                <w:noProof/>
                <w:webHidden/>
                <w:sz w:val="22"/>
                <w:szCs w:val="22"/>
              </w:rPr>
              <w:t>235</w:t>
            </w:r>
            <w:r w:rsidR="00C57AC8" w:rsidRPr="00C57AC8">
              <w:rPr>
                <w:noProof/>
                <w:webHidden/>
                <w:sz w:val="22"/>
                <w:szCs w:val="22"/>
              </w:rPr>
              <w:fldChar w:fldCharType="end"/>
            </w:r>
          </w:hyperlink>
        </w:p>
        <w:p w:rsidR="00C57AC8" w:rsidRPr="00C57AC8" w:rsidRDefault="000F38C4" w:rsidP="00C57AC8">
          <w:pPr>
            <w:pStyle w:val="TOC1"/>
            <w:spacing w:line="360" w:lineRule="auto"/>
            <w:rPr>
              <w:rFonts w:asciiTheme="minorHAnsi" w:eastAsiaTheme="minorEastAsia" w:hAnsiTheme="minorHAnsi" w:cstheme="minorBidi"/>
              <w:b w:val="0"/>
              <w:noProof/>
              <w:sz w:val="22"/>
              <w:szCs w:val="22"/>
            </w:rPr>
          </w:pPr>
          <w:hyperlink w:anchor="_Toc12529168" w:history="1">
            <w:r w:rsidR="00C57AC8" w:rsidRPr="00C57AC8">
              <w:rPr>
                <w:rStyle w:val="Hyperlink"/>
                <w:noProof/>
                <w:sz w:val="22"/>
                <w:szCs w:val="22"/>
              </w:rPr>
              <w:t>Appendix</w:t>
            </w:r>
            <w:r w:rsidR="00C57AC8" w:rsidRPr="00C57AC8">
              <w:rPr>
                <w:noProof/>
                <w:webHidden/>
                <w:sz w:val="22"/>
                <w:szCs w:val="22"/>
              </w:rPr>
              <w:tab/>
            </w:r>
            <w:r w:rsidR="00C57AC8" w:rsidRPr="00C57AC8">
              <w:rPr>
                <w:noProof/>
                <w:webHidden/>
                <w:sz w:val="22"/>
                <w:szCs w:val="22"/>
              </w:rPr>
              <w:fldChar w:fldCharType="begin"/>
            </w:r>
            <w:r w:rsidR="00C57AC8" w:rsidRPr="00C57AC8">
              <w:rPr>
                <w:noProof/>
                <w:webHidden/>
                <w:sz w:val="22"/>
                <w:szCs w:val="22"/>
              </w:rPr>
              <w:instrText xml:space="preserve"> PAGEREF _Toc12529168 \h </w:instrText>
            </w:r>
            <w:r w:rsidR="00C57AC8" w:rsidRPr="00C57AC8">
              <w:rPr>
                <w:noProof/>
                <w:webHidden/>
                <w:sz w:val="22"/>
                <w:szCs w:val="22"/>
              </w:rPr>
            </w:r>
            <w:r w:rsidR="00C57AC8" w:rsidRPr="00C57AC8">
              <w:rPr>
                <w:noProof/>
                <w:webHidden/>
                <w:sz w:val="22"/>
                <w:szCs w:val="22"/>
              </w:rPr>
              <w:fldChar w:fldCharType="separate"/>
            </w:r>
            <w:r w:rsidR="00ED455B">
              <w:rPr>
                <w:noProof/>
                <w:webHidden/>
                <w:sz w:val="22"/>
                <w:szCs w:val="22"/>
              </w:rPr>
              <w:t>269</w:t>
            </w:r>
            <w:r w:rsidR="00C57AC8" w:rsidRPr="00C57AC8">
              <w:rPr>
                <w:noProof/>
                <w:webHidden/>
                <w:sz w:val="22"/>
                <w:szCs w:val="22"/>
              </w:rPr>
              <w:fldChar w:fldCharType="end"/>
            </w:r>
          </w:hyperlink>
        </w:p>
        <w:p w:rsidR="00C57AC8" w:rsidRPr="00C57AC8" w:rsidRDefault="000F38C4" w:rsidP="00C57AC8">
          <w:pPr>
            <w:pStyle w:val="TOC1"/>
            <w:spacing w:line="360" w:lineRule="auto"/>
            <w:ind w:left="720"/>
            <w:rPr>
              <w:rFonts w:asciiTheme="minorHAnsi" w:eastAsiaTheme="minorEastAsia" w:hAnsiTheme="minorHAnsi" w:cstheme="minorBidi"/>
              <w:b w:val="0"/>
              <w:noProof/>
              <w:sz w:val="22"/>
              <w:szCs w:val="22"/>
            </w:rPr>
          </w:pPr>
          <w:hyperlink w:anchor="_Toc12529169" w:history="1">
            <w:r w:rsidR="00C57AC8" w:rsidRPr="00C57AC8">
              <w:rPr>
                <w:rStyle w:val="Hyperlink"/>
                <w:noProof/>
                <w:sz w:val="22"/>
                <w:szCs w:val="22"/>
              </w:rPr>
              <w:t>Appendix A DPH Statewide Survey Tool</w:t>
            </w:r>
            <w:r w:rsidR="00C57AC8" w:rsidRPr="00C57AC8">
              <w:rPr>
                <w:noProof/>
                <w:webHidden/>
                <w:sz w:val="22"/>
                <w:szCs w:val="22"/>
              </w:rPr>
              <w:tab/>
            </w:r>
            <w:r w:rsidR="00C57AC8" w:rsidRPr="00C57AC8">
              <w:rPr>
                <w:noProof/>
                <w:webHidden/>
                <w:sz w:val="22"/>
                <w:szCs w:val="22"/>
              </w:rPr>
              <w:fldChar w:fldCharType="begin"/>
            </w:r>
            <w:r w:rsidR="00C57AC8" w:rsidRPr="00C57AC8">
              <w:rPr>
                <w:noProof/>
                <w:webHidden/>
                <w:sz w:val="22"/>
                <w:szCs w:val="22"/>
              </w:rPr>
              <w:instrText xml:space="preserve"> PAGEREF _Toc12529169 \h </w:instrText>
            </w:r>
            <w:r w:rsidR="00C57AC8" w:rsidRPr="00C57AC8">
              <w:rPr>
                <w:noProof/>
                <w:webHidden/>
                <w:sz w:val="22"/>
                <w:szCs w:val="22"/>
              </w:rPr>
            </w:r>
            <w:r w:rsidR="00C57AC8" w:rsidRPr="00C57AC8">
              <w:rPr>
                <w:noProof/>
                <w:webHidden/>
                <w:sz w:val="22"/>
                <w:szCs w:val="22"/>
              </w:rPr>
              <w:fldChar w:fldCharType="separate"/>
            </w:r>
            <w:r w:rsidR="00ED455B">
              <w:rPr>
                <w:noProof/>
                <w:webHidden/>
                <w:sz w:val="22"/>
                <w:szCs w:val="22"/>
              </w:rPr>
              <w:t>270</w:t>
            </w:r>
            <w:r w:rsidR="00C57AC8" w:rsidRPr="00C57AC8">
              <w:rPr>
                <w:noProof/>
                <w:webHidden/>
                <w:sz w:val="22"/>
                <w:szCs w:val="22"/>
              </w:rPr>
              <w:fldChar w:fldCharType="end"/>
            </w:r>
          </w:hyperlink>
        </w:p>
        <w:p w:rsidR="00C57AC8" w:rsidRPr="00C57AC8" w:rsidRDefault="000F38C4" w:rsidP="00C57AC8">
          <w:pPr>
            <w:pStyle w:val="TOC1"/>
            <w:spacing w:line="360" w:lineRule="auto"/>
            <w:ind w:left="720"/>
            <w:rPr>
              <w:rFonts w:asciiTheme="minorHAnsi" w:eastAsiaTheme="minorEastAsia" w:hAnsiTheme="minorHAnsi" w:cstheme="minorBidi"/>
              <w:b w:val="0"/>
              <w:noProof/>
              <w:sz w:val="22"/>
              <w:szCs w:val="22"/>
            </w:rPr>
          </w:pPr>
          <w:hyperlink w:anchor="_Toc12529171" w:history="1">
            <w:r w:rsidR="00C57AC8" w:rsidRPr="00C57AC8">
              <w:rPr>
                <w:rStyle w:val="Hyperlink"/>
                <w:rFonts w:eastAsia="Times New Roman"/>
                <w:noProof/>
                <w:sz w:val="22"/>
                <w:szCs w:val="22"/>
              </w:rPr>
              <w:t>Appendix B DPH Patient Survey Tool</w:t>
            </w:r>
            <w:r w:rsidR="00C57AC8" w:rsidRPr="00C57AC8">
              <w:rPr>
                <w:noProof/>
                <w:webHidden/>
                <w:sz w:val="22"/>
                <w:szCs w:val="22"/>
              </w:rPr>
              <w:tab/>
            </w:r>
            <w:r w:rsidR="00C57AC8" w:rsidRPr="00C57AC8">
              <w:rPr>
                <w:noProof/>
                <w:webHidden/>
                <w:sz w:val="22"/>
                <w:szCs w:val="22"/>
              </w:rPr>
              <w:fldChar w:fldCharType="begin"/>
            </w:r>
            <w:r w:rsidR="00C57AC8" w:rsidRPr="00C57AC8">
              <w:rPr>
                <w:noProof/>
                <w:webHidden/>
                <w:sz w:val="22"/>
                <w:szCs w:val="22"/>
              </w:rPr>
              <w:instrText xml:space="preserve"> PAGEREF _Toc12529171 \h </w:instrText>
            </w:r>
            <w:r w:rsidR="00C57AC8" w:rsidRPr="00C57AC8">
              <w:rPr>
                <w:noProof/>
                <w:webHidden/>
                <w:sz w:val="22"/>
                <w:szCs w:val="22"/>
              </w:rPr>
            </w:r>
            <w:r w:rsidR="00C57AC8" w:rsidRPr="00C57AC8">
              <w:rPr>
                <w:noProof/>
                <w:webHidden/>
                <w:sz w:val="22"/>
                <w:szCs w:val="22"/>
              </w:rPr>
              <w:fldChar w:fldCharType="separate"/>
            </w:r>
            <w:r w:rsidR="00ED455B">
              <w:rPr>
                <w:noProof/>
                <w:webHidden/>
                <w:sz w:val="22"/>
                <w:szCs w:val="22"/>
              </w:rPr>
              <w:t>275</w:t>
            </w:r>
            <w:r w:rsidR="00C57AC8" w:rsidRPr="00C57AC8">
              <w:rPr>
                <w:noProof/>
                <w:webHidden/>
                <w:sz w:val="22"/>
                <w:szCs w:val="22"/>
              </w:rPr>
              <w:fldChar w:fldCharType="end"/>
            </w:r>
          </w:hyperlink>
        </w:p>
        <w:p w:rsidR="00C57AC8" w:rsidRPr="00C57AC8" w:rsidRDefault="000F38C4" w:rsidP="00C57AC8">
          <w:pPr>
            <w:pStyle w:val="TOC1"/>
            <w:spacing w:line="360" w:lineRule="auto"/>
            <w:ind w:left="720"/>
            <w:rPr>
              <w:rFonts w:asciiTheme="minorHAnsi" w:eastAsiaTheme="minorEastAsia" w:hAnsiTheme="minorHAnsi" w:cstheme="minorBidi"/>
              <w:b w:val="0"/>
              <w:noProof/>
              <w:sz w:val="22"/>
              <w:szCs w:val="22"/>
            </w:rPr>
          </w:pPr>
          <w:hyperlink w:anchor="_Toc12529173" w:history="1">
            <w:r w:rsidR="00C57AC8" w:rsidRPr="00C57AC8">
              <w:rPr>
                <w:rStyle w:val="Hyperlink"/>
                <w:rFonts w:eastAsia="Times New Roman"/>
                <w:noProof/>
                <w:sz w:val="22"/>
                <w:szCs w:val="22"/>
              </w:rPr>
              <w:t>Appendix C Economic and Fiscal Model Inputs</w:t>
            </w:r>
            <w:r w:rsidR="00C57AC8" w:rsidRPr="00C57AC8">
              <w:rPr>
                <w:noProof/>
                <w:webHidden/>
                <w:sz w:val="22"/>
                <w:szCs w:val="22"/>
              </w:rPr>
              <w:tab/>
            </w:r>
            <w:r w:rsidR="00C57AC8" w:rsidRPr="00C57AC8">
              <w:rPr>
                <w:noProof/>
                <w:webHidden/>
                <w:sz w:val="22"/>
                <w:szCs w:val="22"/>
              </w:rPr>
              <w:fldChar w:fldCharType="begin"/>
            </w:r>
            <w:r w:rsidR="00C57AC8" w:rsidRPr="00C57AC8">
              <w:rPr>
                <w:noProof/>
                <w:webHidden/>
                <w:sz w:val="22"/>
                <w:szCs w:val="22"/>
              </w:rPr>
              <w:instrText xml:space="preserve"> PAGEREF _Toc12529173 \h </w:instrText>
            </w:r>
            <w:r w:rsidR="00C57AC8" w:rsidRPr="00C57AC8">
              <w:rPr>
                <w:noProof/>
                <w:webHidden/>
                <w:sz w:val="22"/>
                <w:szCs w:val="22"/>
              </w:rPr>
            </w:r>
            <w:r w:rsidR="00C57AC8" w:rsidRPr="00C57AC8">
              <w:rPr>
                <w:noProof/>
                <w:webHidden/>
                <w:sz w:val="22"/>
                <w:szCs w:val="22"/>
              </w:rPr>
              <w:fldChar w:fldCharType="separate"/>
            </w:r>
            <w:r w:rsidR="00ED455B">
              <w:rPr>
                <w:noProof/>
                <w:webHidden/>
                <w:sz w:val="22"/>
                <w:szCs w:val="22"/>
              </w:rPr>
              <w:t>305</w:t>
            </w:r>
            <w:r w:rsidR="00C57AC8" w:rsidRPr="00C57AC8">
              <w:rPr>
                <w:noProof/>
                <w:webHidden/>
                <w:sz w:val="22"/>
                <w:szCs w:val="22"/>
              </w:rPr>
              <w:fldChar w:fldCharType="end"/>
            </w:r>
          </w:hyperlink>
        </w:p>
        <w:p w:rsidR="00C57AC8" w:rsidRPr="00C57AC8" w:rsidRDefault="000F38C4" w:rsidP="00C57AC8">
          <w:pPr>
            <w:pStyle w:val="TOC2"/>
            <w:spacing w:line="360" w:lineRule="auto"/>
            <w:ind w:left="936"/>
            <w:rPr>
              <w:rFonts w:asciiTheme="minorHAnsi" w:eastAsiaTheme="minorEastAsia" w:hAnsiTheme="minorHAnsi" w:cstheme="minorBidi"/>
              <w:bCs w:val="0"/>
              <w:noProof/>
              <w:szCs w:val="22"/>
            </w:rPr>
          </w:pPr>
          <w:hyperlink w:anchor="_Toc12529175" w:history="1">
            <w:r w:rsidR="00C57AC8" w:rsidRPr="00C57AC8">
              <w:rPr>
                <w:rStyle w:val="Hyperlink"/>
                <w:noProof/>
                <w:szCs w:val="22"/>
              </w:rPr>
              <w:t>Table C.1. Model Inputs and Data Sources</w:t>
            </w:r>
            <w:r w:rsidR="00C57AC8" w:rsidRPr="00C57AC8">
              <w:rPr>
                <w:noProof/>
                <w:webHidden/>
                <w:szCs w:val="22"/>
              </w:rPr>
              <w:tab/>
            </w:r>
            <w:r w:rsidR="00C57AC8" w:rsidRPr="00C57AC8">
              <w:rPr>
                <w:noProof/>
                <w:webHidden/>
                <w:szCs w:val="22"/>
              </w:rPr>
              <w:fldChar w:fldCharType="begin"/>
            </w:r>
            <w:r w:rsidR="00C57AC8" w:rsidRPr="00C57AC8">
              <w:rPr>
                <w:noProof/>
                <w:webHidden/>
                <w:szCs w:val="22"/>
              </w:rPr>
              <w:instrText xml:space="preserve"> PAGEREF _Toc12529175 \h </w:instrText>
            </w:r>
            <w:r w:rsidR="00C57AC8" w:rsidRPr="00C57AC8">
              <w:rPr>
                <w:noProof/>
                <w:webHidden/>
                <w:szCs w:val="22"/>
              </w:rPr>
            </w:r>
            <w:r w:rsidR="00C57AC8" w:rsidRPr="00C57AC8">
              <w:rPr>
                <w:noProof/>
                <w:webHidden/>
                <w:szCs w:val="22"/>
              </w:rPr>
              <w:fldChar w:fldCharType="separate"/>
            </w:r>
            <w:r w:rsidR="00ED455B">
              <w:rPr>
                <w:noProof/>
                <w:webHidden/>
                <w:szCs w:val="22"/>
              </w:rPr>
              <w:t>306</w:t>
            </w:r>
            <w:r w:rsidR="00C57AC8" w:rsidRPr="00C57AC8">
              <w:rPr>
                <w:noProof/>
                <w:webHidden/>
                <w:szCs w:val="22"/>
              </w:rPr>
              <w:fldChar w:fldCharType="end"/>
            </w:r>
          </w:hyperlink>
        </w:p>
        <w:p w:rsidR="00C57AC8" w:rsidRPr="00C57AC8" w:rsidRDefault="000F38C4" w:rsidP="00C57AC8">
          <w:pPr>
            <w:pStyle w:val="TOC2"/>
            <w:spacing w:line="360" w:lineRule="auto"/>
            <w:ind w:left="936"/>
            <w:rPr>
              <w:rFonts w:asciiTheme="minorHAnsi" w:eastAsiaTheme="minorEastAsia" w:hAnsiTheme="minorHAnsi" w:cstheme="minorBidi"/>
              <w:bCs w:val="0"/>
              <w:noProof/>
              <w:szCs w:val="22"/>
            </w:rPr>
          </w:pPr>
          <w:hyperlink w:anchor="_Toc12529176" w:history="1">
            <w:r w:rsidR="00C57AC8" w:rsidRPr="00C57AC8">
              <w:rPr>
                <w:rStyle w:val="Hyperlink"/>
                <w:noProof/>
                <w:szCs w:val="22"/>
              </w:rPr>
              <w:t>Figure C.1. New Revenue or Savings Estimated Post-Legalization, by Source</w:t>
            </w:r>
            <w:r w:rsidR="00C57AC8" w:rsidRPr="00C57AC8">
              <w:rPr>
                <w:noProof/>
                <w:webHidden/>
                <w:szCs w:val="22"/>
              </w:rPr>
              <w:tab/>
            </w:r>
            <w:r w:rsidR="00C57AC8" w:rsidRPr="00C57AC8">
              <w:rPr>
                <w:noProof/>
                <w:webHidden/>
                <w:szCs w:val="22"/>
              </w:rPr>
              <w:fldChar w:fldCharType="begin"/>
            </w:r>
            <w:r w:rsidR="00C57AC8" w:rsidRPr="00C57AC8">
              <w:rPr>
                <w:noProof/>
                <w:webHidden/>
                <w:szCs w:val="22"/>
              </w:rPr>
              <w:instrText xml:space="preserve"> PAGEREF _Toc12529176 \h </w:instrText>
            </w:r>
            <w:r w:rsidR="00C57AC8" w:rsidRPr="00C57AC8">
              <w:rPr>
                <w:noProof/>
                <w:webHidden/>
                <w:szCs w:val="22"/>
              </w:rPr>
            </w:r>
            <w:r w:rsidR="00C57AC8" w:rsidRPr="00C57AC8">
              <w:rPr>
                <w:noProof/>
                <w:webHidden/>
                <w:szCs w:val="22"/>
              </w:rPr>
              <w:fldChar w:fldCharType="separate"/>
            </w:r>
            <w:r w:rsidR="00ED455B">
              <w:rPr>
                <w:noProof/>
                <w:webHidden/>
                <w:szCs w:val="22"/>
              </w:rPr>
              <w:t>309</w:t>
            </w:r>
            <w:r w:rsidR="00C57AC8" w:rsidRPr="00C57AC8">
              <w:rPr>
                <w:noProof/>
                <w:webHidden/>
                <w:szCs w:val="22"/>
              </w:rPr>
              <w:fldChar w:fldCharType="end"/>
            </w:r>
          </w:hyperlink>
        </w:p>
        <w:p w:rsidR="00C57AC8" w:rsidRPr="00C57AC8" w:rsidRDefault="000F38C4" w:rsidP="00C57AC8">
          <w:pPr>
            <w:pStyle w:val="TOC2"/>
            <w:spacing w:line="360" w:lineRule="auto"/>
            <w:ind w:left="936"/>
            <w:rPr>
              <w:rFonts w:asciiTheme="minorHAnsi" w:eastAsiaTheme="minorEastAsia" w:hAnsiTheme="minorHAnsi" w:cstheme="minorBidi"/>
              <w:bCs w:val="0"/>
              <w:noProof/>
              <w:szCs w:val="22"/>
            </w:rPr>
          </w:pPr>
          <w:hyperlink w:anchor="_Toc12529177" w:history="1">
            <w:r w:rsidR="00C57AC8" w:rsidRPr="00C57AC8">
              <w:rPr>
                <w:rStyle w:val="Hyperlink"/>
                <w:noProof/>
                <w:szCs w:val="22"/>
              </w:rPr>
              <w:t>Figure C.2. Estimated Two-Year Local Tax Revenue if Registered Marijuana in all Cities/Towns</w:t>
            </w:r>
            <w:r w:rsidR="00C57AC8" w:rsidRPr="00C57AC8">
              <w:rPr>
                <w:noProof/>
                <w:webHidden/>
                <w:szCs w:val="22"/>
              </w:rPr>
              <w:tab/>
            </w:r>
            <w:r w:rsidR="00C57AC8" w:rsidRPr="00C57AC8">
              <w:rPr>
                <w:noProof/>
                <w:webHidden/>
                <w:szCs w:val="22"/>
              </w:rPr>
              <w:fldChar w:fldCharType="begin"/>
            </w:r>
            <w:r w:rsidR="00C57AC8" w:rsidRPr="00C57AC8">
              <w:rPr>
                <w:noProof/>
                <w:webHidden/>
                <w:szCs w:val="22"/>
              </w:rPr>
              <w:instrText xml:space="preserve"> PAGEREF _Toc12529177 \h </w:instrText>
            </w:r>
            <w:r w:rsidR="00C57AC8" w:rsidRPr="00C57AC8">
              <w:rPr>
                <w:noProof/>
                <w:webHidden/>
                <w:szCs w:val="22"/>
              </w:rPr>
            </w:r>
            <w:r w:rsidR="00C57AC8" w:rsidRPr="00C57AC8">
              <w:rPr>
                <w:noProof/>
                <w:webHidden/>
                <w:szCs w:val="22"/>
              </w:rPr>
              <w:fldChar w:fldCharType="separate"/>
            </w:r>
            <w:r w:rsidR="00ED455B">
              <w:rPr>
                <w:noProof/>
                <w:webHidden/>
                <w:szCs w:val="22"/>
              </w:rPr>
              <w:t>310</w:t>
            </w:r>
            <w:r w:rsidR="00C57AC8" w:rsidRPr="00C57AC8">
              <w:rPr>
                <w:noProof/>
                <w:webHidden/>
                <w:szCs w:val="22"/>
              </w:rPr>
              <w:fldChar w:fldCharType="end"/>
            </w:r>
          </w:hyperlink>
        </w:p>
        <w:p w:rsidR="00C57AC8" w:rsidRPr="00C57AC8" w:rsidRDefault="000F38C4" w:rsidP="00C57AC8">
          <w:pPr>
            <w:pStyle w:val="TOC2"/>
            <w:spacing w:line="360" w:lineRule="auto"/>
            <w:ind w:left="936"/>
            <w:rPr>
              <w:rFonts w:asciiTheme="minorHAnsi" w:eastAsiaTheme="minorEastAsia" w:hAnsiTheme="minorHAnsi" w:cstheme="minorBidi"/>
              <w:bCs w:val="0"/>
              <w:noProof/>
              <w:szCs w:val="22"/>
            </w:rPr>
          </w:pPr>
          <w:hyperlink w:anchor="_Toc12529178" w:history="1">
            <w:r w:rsidR="00C57AC8" w:rsidRPr="00C57AC8">
              <w:rPr>
                <w:rStyle w:val="Hyperlink"/>
                <w:noProof/>
                <w:szCs w:val="22"/>
              </w:rPr>
              <w:t>Table C.2. Estimated Two-Year Local Tax Revenue if Registered Marijuana Dispensaries in all Cities/Towns</w:t>
            </w:r>
            <w:r w:rsidR="00C57AC8" w:rsidRPr="00C57AC8">
              <w:rPr>
                <w:noProof/>
                <w:webHidden/>
                <w:szCs w:val="22"/>
              </w:rPr>
              <w:tab/>
            </w:r>
            <w:r w:rsidR="00C57AC8" w:rsidRPr="00C57AC8">
              <w:rPr>
                <w:noProof/>
                <w:webHidden/>
                <w:szCs w:val="22"/>
              </w:rPr>
              <w:fldChar w:fldCharType="begin"/>
            </w:r>
            <w:r w:rsidR="00C57AC8" w:rsidRPr="00C57AC8">
              <w:rPr>
                <w:noProof/>
                <w:webHidden/>
                <w:szCs w:val="22"/>
              </w:rPr>
              <w:instrText xml:space="preserve"> PAGEREF _Toc12529178 \h </w:instrText>
            </w:r>
            <w:r w:rsidR="00C57AC8" w:rsidRPr="00C57AC8">
              <w:rPr>
                <w:noProof/>
                <w:webHidden/>
                <w:szCs w:val="22"/>
              </w:rPr>
            </w:r>
            <w:r w:rsidR="00C57AC8" w:rsidRPr="00C57AC8">
              <w:rPr>
                <w:noProof/>
                <w:webHidden/>
                <w:szCs w:val="22"/>
              </w:rPr>
              <w:fldChar w:fldCharType="separate"/>
            </w:r>
            <w:r w:rsidR="00ED455B">
              <w:rPr>
                <w:noProof/>
                <w:webHidden/>
                <w:szCs w:val="22"/>
              </w:rPr>
              <w:t>311</w:t>
            </w:r>
            <w:r w:rsidR="00C57AC8" w:rsidRPr="00C57AC8">
              <w:rPr>
                <w:noProof/>
                <w:webHidden/>
                <w:szCs w:val="22"/>
              </w:rPr>
              <w:fldChar w:fldCharType="end"/>
            </w:r>
          </w:hyperlink>
        </w:p>
        <w:p w:rsidR="00C57AC8" w:rsidRPr="00C57AC8" w:rsidRDefault="000F38C4" w:rsidP="00C57AC8">
          <w:pPr>
            <w:pStyle w:val="TOC2"/>
            <w:spacing w:line="360" w:lineRule="auto"/>
            <w:ind w:left="936"/>
            <w:rPr>
              <w:rFonts w:asciiTheme="minorHAnsi" w:eastAsiaTheme="minorEastAsia" w:hAnsiTheme="minorHAnsi" w:cstheme="minorBidi"/>
              <w:bCs w:val="0"/>
              <w:noProof/>
              <w:szCs w:val="22"/>
            </w:rPr>
          </w:pPr>
          <w:hyperlink w:anchor="_Toc12529179" w:history="1">
            <w:r w:rsidR="00C57AC8" w:rsidRPr="00C57AC8">
              <w:rPr>
                <w:rStyle w:val="Hyperlink"/>
                <w:noProof/>
                <w:szCs w:val="22"/>
              </w:rPr>
              <w:t>Table C.3. Estimated Two Year Local Tax Revenue for each City or Town</w:t>
            </w:r>
            <w:r w:rsidR="00C57AC8" w:rsidRPr="00C57AC8">
              <w:rPr>
                <w:noProof/>
                <w:webHidden/>
                <w:szCs w:val="22"/>
              </w:rPr>
              <w:tab/>
            </w:r>
            <w:r w:rsidR="00C57AC8" w:rsidRPr="00C57AC8">
              <w:rPr>
                <w:noProof/>
                <w:webHidden/>
                <w:szCs w:val="22"/>
              </w:rPr>
              <w:fldChar w:fldCharType="begin"/>
            </w:r>
            <w:r w:rsidR="00C57AC8" w:rsidRPr="00C57AC8">
              <w:rPr>
                <w:noProof/>
                <w:webHidden/>
                <w:szCs w:val="22"/>
              </w:rPr>
              <w:instrText xml:space="preserve"> PAGEREF _Toc12529179 \h </w:instrText>
            </w:r>
            <w:r w:rsidR="00C57AC8" w:rsidRPr="00C57AC8">
              <w:rPr>
                <w:noProof/>
                <w:webHidden/>
                <w:szCs w:val="22"/>
              </w:rPr>
            </w:r>
            <w:r w:rsidR="00C57AC8" w:rsidRPr="00C57AC8">
              <w:rPr>
                <w:noProof/>
                <w:webHidden/>
                <w:szCs w:val="22"/>
              </w:rPr>
              <w:fldChar w:fldCharType="separate"/>
            </w:r>
            <w:r w:rsidR="00ED455B">
              <w:rPr>
                <w:noProof/>
                <w:webHidden/>
                <w:szCs w:val="22"/>
              </w:rPr>
              <w:t>311</w:t>
            </w:r>
            <w:r w:rsidR="00C57AC8" w:rsidRPr="00C57AC8">
              <w:rPr>
                <w:noProof/>
                <w:webHidden/>
                <w:szCs w:val="22"/>
              </w:rPr>
              <w:fldChar w:fldCharType="end"/>
            </w:r>
          </w:hyperlink>
        </w:p>
        <w:p w:rsidR="00C57AC8" w:rsidRPr="00C57AC8" w:rsidRDefault="000F38C4" w:rsidP="00C57AC8">
          <w:pPr>
            <w:pStyle w:val="TOC1"/>
            <w:spacing w:line="360" w:lineRule="auto"/>
            <w:ind w:left="720"/>
            <w:rPr>
              <w:rFonts w:asciiTheme="minorHAnsi" w:eastAsiaTheme="minorEastAsia" w:hAnsiTheme="minorHAnsi" w:cstheme="minorBidi"/>
              <w:b w:val="0"/>
              <w:noProof/>
              <w:sz w:val="22"/>
              <w:szCs w:val="22"/>
            </w:rPr>
          </w:pPr>
          <w:hyperlink w:anchor="_Toc12529180" w:history="1">
            <w:r w:rsidR="00C57AC8" w:rsidRPr="00C57AC8">
              <w:rPr>
                <w:rStyle w:val="Hyperlink"/>
                <w:rFonts w:eastAsia="MS Gothic"/>
                <w:noProof/>
                <w:sz w:val="22"/>
                <w:szCs w:val="22"/>
              </w:rPr>
              <w:t>Appendix D Marijuana Product and Price Characterization</w:t>
            </w:r>
            <w:r w:rsidR="00C57AC8" w:rsidRPr="00C57AC8">
              <w:rPr>
                <w:noProof/>
                <w:webHidden/>
                <w:sz w:val="22"/>
                <w:szCs w:val="22"/>
              </w:rPr>
              <w:tab/>
            </w:r>
            <w:r w:rsidR="00C57AC8" w:rsidRPr="00C57AC8">
              <w:rPr>
                <w:noProof/>
                <w:webHidden/>
                <w:sz w:val="22"/>
                <w:szCs w:val="22"/>
              </w:rPr>
              <w:fldChar w:fldCharType="begin"/>
            </w:r>
            <w:r w:rsidR="00C57AC8" w:rsidRPr="00C57AC8">
              <w:rPr>
                <w:noProof/>
                <w:webHidden/>
                <w:sz w:val="22"/>
                <w:szCs w:val="22"/>
              </w:rPr>
              <w:instrText xml:space="preserve"> PAGEREF _Toc12529180 \h </w:instrText>
            </w:r>
            <w:r w:rsidR="00C57AC8" w:rsidRPr="00C57AC8">
              <w:rPr>
                <w:noProof/>
                <w:webHidden/>
                <w:sz w:val="22"/>
                <w:szCs w:val="22"/>
              </w:rPr>
            </w:r>
            <w:r w:rsidR="00C57AC8" w:rsidRPr="00C57AC8">
              <w:rPr>
                <w:noProof/>
                <w:webHidden/>
                <w:sz w:val="22"/>
                <w:szCs w:val="22"/>
              </w:rPr>
              <w:fldChar w:fldCharType="separate"/>
            </w:r>
            <w:r w:rsidR="00ED455B">
              <w:rPr>
                <w:noProof/>
                <w:webHidden/>
                <w:sz w:val="22"/>
                <w:szCs w:val="22"/>
              </w:rPr>
              <w:t>318</w:t>
            </w:r>
            <w:r w:rsidR="00C57AC8" w:rsidRPr="00C57AC8">
              <w:rPr>
                <w:noProof/>
                <w:webHidden/>
                <w:sz w:val="22"/>
                <w:szCs w:val="22"/>
              </w:rPr>
              <w:fldChar w:fldCharType="end"/>
            </w:r>
          </w:hyperlink>
        </w:p>
        <w:p w:rsidR="00B65AB9" w:rsidRDefault="00E3385A" w:rsidP="00C57AC8">
          <w:pPr>
            <w:pStyle w:val="TOC1"/>
            <w:spacing w:line="360" w:lineRule="auto"/>
            <w:ind w:left="720"/>
          </w:pPr>
          <w:r w:rsidRPr="00C57AC8">
            <w:rPr>
              <w:bCs/>
              <w:sz w:val="22"/>
              <w:szCs w:val="22"/>
            </w:rPr>
            <w:fldChar w:fldCharType="end"/>
          </w:r>
        </w:p>
      </w:sdtContent>
    </w:sdt>
    <w:p w:rsidR="00724391" w:rsidRPr="005F7A46" w:rsidRDefault="00724391" w:rsidP="005F7A46">
      <w:pPr>
        <w:pStyle w:val="Heading2"/>
      </w:pPr>
      <w:bookmarkStart w:id="1" w:name="_Toc12529108"/>
      <w:r w:rsidRPr="005F7A46">
        <w:lastRenderedPageBreak/>
        <w:t>Executive Summary</w:t>
      </w:r>
      <w:bookmarkEnd w:id="1"/>
    </w:p>
    <w:p w:rsidR="006057BE" w:rsidRPr="00724391" w:rsidRDefault="006057BE" w:rsidP="006057BE">
      <w:pPr>
        <w:spacing w:after="0" w:line="240" w:lineRule="auto"/>
        <w:rPr>
          <w:rFonts w:ascii="Arial" w:hAnsi="Arial" w:cs="Arial"/>
          <w:b/>
          <w:sz w:val="24"/>
          <w:szCs w:val="24"/>
        </w:rPr>
      </w:pPr>
    </w:p>
    <w:p w:rsidR="00CE307D" w:rsidRDefault="00CE307D" w:rsidP="00516ADA">
      <w:pPr>
        <w:spacing w:after="0" w:line="240" w:lineRule="auto"/>
        <w:jc w:val="both"/>
        <w:rPr>
          <w:rFonts w:ascii="Arial" w:hAnsi="Arial" w:cs="Arial"/>
          <w:sz w:val="24"/>
          <w:szCs w:val="24"/>
        </w:rPr>
      </w:pPr>
      <w:r w:rsidRPr="00724391">
        <w:rPr>
          <w:rFonts w:ascii="Arial" w:hAnsi="Arial" w:cs="Arial"/>
          <w:sz w:val="24"/>
          <w:szCs w:val="24"/>
        </w:rPr>
        <w:t>A legislative mandate required the Massachusetts Department of Public Health (DPH) to conduct a baseline study to investigate three topics: (1) Patterns of use, methods of consumption, and general perceptions of marijuana; (2) Incidents of impaired driving and hospitalization related to marijuana use; and (3) Economic and fiscal impacts for state and local governmen</w:t>
      </w:r>
      <w:r w:rsidR="00645716">
        <w:rPr>
          <w:rFonts w:ascii="Arial" w:hAnsi="Arial" w:cs="Arial"/>
          <w:sz w:val="24"/>
          <w:szCs w:val="24"/>
        </w:rPr>
        <w:t>ts</w:t>
      </w:r>
      <w:r w:rsidRPr="00724391">
        <w:rPr>
          <w:rFonts w:ascii="Arial" w:hAnsi="Arial" w:cs="Arial"/>
          <w:sz w:val="24"/>
          <w:szCs w:val="24"/>
        </w:rPr>
        <w:t>.</w:t>
      </w:r>
      <w:r w:rsidR="00645716">
        <w:rPr>
          <w:rFonts w:ascii="Arial" w:hAnsi="Arial" w:cs="Arial"/>
          <w:sz w:val="24"/>
          <w:szCs w:val="24"/>
        </w:rPr>
        <w:t xml:space="preserve">  </w:t>
      </w:r>
      <w:r w:rsidR="00645716" w:rsidRPr="00645716">
        <w:rPr>
          <w:rFonts w:ascii="Arial" w:hAnsi="Arial" w:cs="Arial"/>
          <w:sz w:val="24"/>
          <w:szCs w:val="24"/>
        </w:rPr>
        <w:t xml:space="preserve">Pursuant to Section 18 of Chapter 351 of the Acts of 2016, </w:t>
      </w:r>
      <w:r w:rsidR="00645716">
        <w:rPr>
          <w:rFonts w:ascii="Arial" w:hAnsi="Arial" w:cs="Arial"/>
          <w:sz w:val="24"/>
          <w:szCs w:val="24"/>
        </w:rPr>
        <w:t>a</w:t>
      </w:r>
      <w:r w:rsidR="00645716" w:rsidRPr="00645716">
        <w:rPr>
          <w:rFonts w:ascii="Arial" w:hAnsi="Arial" w:cs="Arial"/>
          <w:sz w:val="24"/>
          <w:szCs w:val="24"/>
        </w:rPr>
        <w:t xml:space="preserve"> </w:t>
      </w:r>
      <w:r w:rsidR="00645716">
        <w:rPr>
          <w:rFonts w:ascii="Arial" w:hAnsi="Arial" w:cs="Arial"/>
          <w:sz w:val="24"/>
          <w:szCs w:val="24"/>
        </w:rPr>
        <w:t>Report of Findings was submitted to the legislature on June 29, 2018.</w:t>
      </w:r>
      <w:r w:rsidRPr="00724391">
        <w:rPr>
          <w:rFonts w:ascii="Arial" w:hAnsi="Arial" w:cs="Arial"/>
          <w:sz w:val="24"/>
          <w:szCs w:val="24"/>
        </w:rPr>
        <w:t xml:space="preserve">  This document serves a</w:t>
      </w:r>
      <w:r w:rsidR="00856E96">
        <w:rPr>
          <w:rFonts w:ascii="Arial" w:hAnsi="Arial" w:cs="Arial"/>
          <w:sz w:val="24"/>
          <w:szCs w:val="24"/>
        </w:rPr>
        <w:t xml:space="preserve">s the </w:t>
      </w:r>
      <w:r w:rsidR="00645716">
        <w:rPr>
          <w:rFonts w:ascii="Arial" w:hAnsi="Arial" w:cs="Arial"/>
          <w:sz w:val="24"/>
          <w:szCs w:val="24"/>
        </w:rPr>
        <w:t>Final Report</w:t>
      </w:r>
      <w:r>
        <w:rPr>
          <w:rFonts w:ascii="Arial" w:hAnsi="Arial" w:cs="Arial"/>
          <w:sz w:val="24"/>
          <w:szCs w:val="24"/>
        </w:rPr>
        <w:t>.</w:t>
      </w:r>
    </w:p>
    <w:p w:rsidR="00724391" w:rsidRPr="00724391" w:rsidRDefault="00724391" w:rsidP="00516ADA">
      <w:pPr>
        <w:spacing w:after="0" w:line="240" w:lineRule="auto"/>
        <w:jc w:val="both"/>
        <w:rPr>
          <w:rFonts w:ascii="Arial" w:hAnsi="Arial" w:cs="Arial"/>
          <w:sz w:val="24"/>
          <w:szCs w:val="24"/>
        </w:rPr>
      </w:pPr>
      <w:r w:rsidRPr="00724391">
        <w:rPr>
          <w:rFonts w:ascii="Arial" w:hAnsi="Arial" w:cs="Arial"/>
          <w:sz w:val="24"/>
          <w:szCs w:val="24"/>
        </w:rPr>
        <w:t xml:space="preserve"> </w:t>
      </w:r>
    </w:p>
    <w:p w:rsidR="00724391" w:rsidRDefault="00645716" w:rsidP="000610F1">
      <w:pPr>
        <w:spacing w:after="0" w:line="240" w:lineRule="auto"/>
        <w:rPr>
          <w:rFonts w:ascii="Arial" w:hAnsi="Arial" w:cs="Arial"/>
          <w:b/>
          <w:sz w:val="24"/>
          <w:szCs w:val="24"/>
        </w:rPr>
      </w:pPr>
      <w:r>
        <w:rPr>
          <w:rFonts w:ascii="Arial" w:hAnsi="Arial" w:cs="Arial"/>
          <w:b/>
          <w:sz w:val="24"/>
          <w:szCs w:val="24"/>
        </w:rPr>
        <w:t>Summary of Findings</w:t>
      </w:r>
    </w:p>
    <w:p w:rsidR="006057BE" w:rsidRPr="00724391" w:rsidRDefault="006057BE" w:rsidP="000610F1">
      <w:pPr>
        <w:spacing w:after="0" w:line="240" w:lineRule="auto"/>
        <w:rPr>
          <w:rFonts w:ascii="Arial" w:hAnsi="Arial" w:cs="Arial"/>
          <w:b/>
          <w:sz w:val="24"/>
          <w:szCs w:val="24"/>
        </w:rPr>
      </w:pPr>
    </w:p>
    <w:p w:rsidR="00724391" w:rsidRPr="006057BE" w:rsidRDefault="00724391" w:rsidP="000610F1">
      <w:pPr>
        <w:pStyle w:val="ListParagraph"/>
        <w:numPr>
          <w:ilvl w:val="0"/>
          <w:numId w:val="24"/>
        </w:numPr>
        <w:spacing w:after="0" w:line="240" w:lineRule="auto"/>
        <w:rPr>
          <w:rFonts w:ascii="Arial" w:hAnsi="Arial" w:cs="Arial"/>
          <w:b/>
          <w:sz w:val="24"/>
          <w:szCs w:val="24"/>
        </w:rPr>
      </w:pPr>
      <w:r w:rsidRPr="006057BE">
        <w:rPr>
          <w:rFonts w:ascii="Arial" w:hAnsi="Arial" w:cs="Arial"/>
          <w:b/>
          <w:sz w:val="24"/>
          <w:szCs w:val="24"/>
        </w:rPr>
        <w:t>Patterns of Use and Perceptions of Marijuana</w:t>
      </w:r>
    </w:p>
    <w:p w:rsidR="006057BE" w:rsidRPr="006057BE" w:rsidRDefault="006057BE" w:rsidP="000610F1">
      <w:pPr>
        <w:pStyle w:val="ListParagraph"/>
        <w:spacing w:after="0" w:line="240" w:lineRule="auto"/>
        <w:rPr>
          <w:rFonts w:ascii="Arial" w:hAnsi="Arial" w:cs="Arial"/>
          <w:b/>
          <w:sz w:val="24"/>
          <w:szCs w:val="24"/>
        </w:rPr>
      </w:pPr>
    </w:p>
    <w:p w:rsidR="006057BE" w:rsidRPr="00503DB6" w:rsidRDefault="00724391" w:rsidP="00516ADA">
      <w:pPr>
        <w:pStyle w:val="ListParagraph"/>
        <w:numPr>
          <w:ilvl w:val="0"/>
          <w:numId w:val="27"/>
        </w:numPr>
        <w:spacing w:after="0" w:line="240" w:lineRule="auto"/>
        <w:ind w:left="360"/>
        <w:jc w:val="both"/>
        <w:rPr>
          <w:rFonts w:ascii="Arial" w:hAnsi="Arial" w:cs="Arial"/>
          <w:sz w:val="24"/>
          <w:szCs w:val="24"/>
        </w:rPr>
      </w:pPr>
      <w:r w:rsidRPr="00503DB6">
        <w:rPr>
          <w:rFonts w:ascii="Arial" w:hAnsi="Arial" w:cs="Arial"/>
          <w:sz w:val="24"/>
          <w:szCs w:val="24"/>
        </w:rPr>
        <w:t xml:space="preserve">A survey of adults in Massachusetts suggests that approximately 21% of adults have used </w:t>
      </w:r>
      <w:r w:rsidR="00040913" w:rsidRPr="00503DB6">
        <w:rPr>
          <w:rFonts w:ascii="Arial" w:hAnsi="Arial" w:cs="Arial"/>
          <w:sz w:val="24"/>
          <w:szCs w:val="24"/>
        </w:rPr>
        <w:t xml:space="preserve">marijuana in the past 30 days. </w:t>
      </w:r>
      <w:r w:rsidRPr="00503DB6">
        <w:rPr>
          <w:rFonts w:ascii="Arial" w:hAnsi="Arial" w:cs="Arial"/>
          <w:sz w:val="24"/>
          <w:szCs w:val="24"/>
        </w:rPr>
        <w:t>The proportion of marijuana use was highes</w:t>
      </w:r>
      <w:r w:rsidR="00040913" w:rsidRPr="00503DB6">
        <w:rPr>
          <w:rFonts w:ascii="Arial" w:hAnsi="Arial" w:cs="Arial"/>
          <w:sz w:val="24"/>
          <w:szCs w:val="24"/>
        </w:rPr>
        <w:t xml:space="preserve">t among those 18-25 years old. </w:t>
      </w:r>
      <w:r w:rsidRPr="00503DB6">
        <w:rPr>
          <w:rFonts w:ascii="Arial" w:hAnsi="Arial" w:cs="Arial"/>
          <w:sz w:val="24"/>
          <w:szCs w:val="24"/>
        </w:rPr>
        <w:t xml:space="preserve">Smoking is the most common method of marijuana consumption, although more than 40% of marijuana users report using multiple methods of use.  More than half of adults perceive marijuana to have slight or no risks, and use marijuana for non-medical purposes. </w:t>
      </w:r>
    </w:p>
    <w:p w:rsidR="00724391" w:rsidRPr="00724391" w:rsidRDefault="00724391" w:rsidP="00516ADA">
      <w:pPr>
        <w:spacing w:after="0" w:line="240" w:lineRule="auto"/>
        <w:ind w:left="-360" w:firstLine="60"/>
        <w:jc w:val="both"/>
        <w:rPr>
          <w:rFonts w:ascii="Arial" w:hAnsi="Arial" w:cs="Arial"/>
          <w:sz w:val="24"/>
          <w:szCs w:val="24"/>
        </w:rPr>
      </w:pPr>
    </w:p>
    <w:p w:rsidR="006057BE" w:rsidRPr="00503DB6" w:rsidRDefault="00724391" w:rsidP="00516ADA">
      <w:pPr>
        <w:pStyle w:val="ListParagraph"/>
        <w:numPr>
          <w:ilvl w:val="0"/>
          <w:numId w:val="27"/>
        </w:numPr>
        <w:spacing w:after="0" w:line="240" w:lineRule="auto"/>
        <w:ind w:left="360"/>
        <w:jc w:val="both"/>
        <w:rPr>
          <w:rFonts w:ascii="Arial" w:hAnsi="Arial" w:cs="Arial"/>
          <w:sz w:val="24"/>
          <w:szCs w:val="24"/>
        </w:rPr>
      </w:pPr>
      <w:r w:rsidRPr="00503DB6">
        <w:rPr>
          <w:rFonts w:ascii="Arial" w:hAnsi="Arial" w:cs="Arial"/>
          <w:sz w:val="24"/>
          <w:szCs w:val="24"/>
        </w:rPr>
        <w:t xml:space="preserve">A survey of patients who use marijuana products for therapeutic use suggests these individuals use marijuana treatments for approximately 24 days a </w:t>
      </w:r>
      <w:r w:rsidR="006744D5" w:rsidRPr="00503DB6">
        <w:rPr>
          <w:rFonts w:ascii="Arial" w:hAnsi="Arial" w:cs="Arial"/>
          <w:sz w:val="24"/>
          <w:szCs w:val="24"/>
        </w:rPr>
        <w:t>month, with the majority of</w:t>
      </w:r>
      <w:r w:rsidRPr="00503DB6">
        <w:rPr>
          <w:rFonts w:ascii="Arial" w:hAnsi="Arial" w:cs="Arial"/>
          <w:sz w:val="24"/>
          <w:szCs w:val="24"/>
        </w:rPr>
        <w:t xml:space="preserve"> respondents using a marijuana product for at leas</w:t>
      </w:r>
      <w:r w:rsidR="00040913" w:rsidRPr="00503DB6">
        <w:rPr>
          <w:rFonts w:ascii="Arial" w:hAnsi="Arial" w:cs="Arial"/>
          <w:sz w:val="24"/>
          <w:szCs w:val="24"/>
        </w:rPr>
        <w:t xml:space="preserve">t 21 out of the past 30 days. </w:t>
      </w:r>
      <w:r w:rsidRPr="00503DB6">
        <w:rPr>
          <w:rFonts w:ascii="Arial" w:hAnsi="Arial" w:cs="Arial"/>
          <w:sz w:val="24"/>
          <w:szCs w:val="24"/>
        </w:rPr>
        <w:t>On average, respondents spend at least $246.00 on marijuana each month, and use at least 3 different modes of use</w:t>
      </w:r>
      <w:r w:rsidR="00625B58" w:rsidRPr="00503DB6">
        <w:rPr>
          <w:rFonts w:ascii="Arial" w:hAnsi="Arial" w:cs="Arial"/>
          <w:sz w:val="24"/>
          <w:szCs w:val="24"/>
        </w:rPr>
        <w:t xml:space="preserve">. </w:t>
      </w:r>
      <w:r w:rsidRPr="00503DB6">
        <w:rPr>
          <w:rFonts w:ascii="Arial" w:hAnsi="Arial" w:cs="Arial"/>
          <w:sz w:val="24"/>
          <w:szCs w:val="24"/>
        </w:rPr>
        <w:t>The most common method of marijuana administration is smoking (combusting) dried flower (65%), followed by vaporizing marijuana concentrate (62%) and eating marijuana products (51%).</w:t>
      </w:r>
    </w:p>
    <w:p w:rsidR="00724391" w:rsidRPr="00724391" w:rsidRDefault="00724391" w:rsidP="000610F1">
      <w:pPr>
        <w:spacing w:after="0" w:line="240" w:lineRule="auto"/>
        <w:rPr>
          <w:rFonts w:ascii="Arial" w:hAnsi="Arial" w:cs="Arial"/>
          <w:sz w:val="24"/>
          <w:szCs w:val="24"/>
        </w:rPr>
      </w:pPr>
      <w:r>
        <w:rPr>
          <w:rFonts w:ascii="Arial" w:hAnsi="Arial" w:cs="Arial"/>
          <w:sz w:val="24"/>
          <w:szCs w:val="24"/>
        </w:rPr>
        <w:t xml:space="preserve"> </w:t>
      </w:r>
    </w:p>
    <w:p w:rsidR="00724391" w:rsidRPr="006057BE" w:rsidRDefault="00724391" w:rsidP="000610F1">
      <w:pPr>
        <w:pStyle w:val="ListParagraph"/>
        <w:numPr>
          <w:ilvl w:val="0"/>
          <w:numId w:val="24"/>
        </w:numPr>
        <w:spacing w:after="0" w:line="240" w:lineRule="auto"/>
        <w:rPr>
          <w:rFonts w:ascii="Arial" w:hAnsi="Arial" w:cs="Arial"/>
          <w:b/>
          <w:sz w:val="24"/>
          <w:szCs w:val="24"/>
        </w:rPr>
      </w:pPr>
      <w:r w:rsidRPr="006057BE">
        <w:rPr>
          <w:rFonts w:ascii="Arial" w:hAnsi="Arial" w:cs="Arial"/>
          <w:b/>
          <w:sz w:val="24"/>
          <w:szCs w:val="24"/>
        </w:rPr>
        <w:t>Incidents of Impaired Driving and Hospitalization</w:t>
      </w:r>
    </w:p>
    <w:p w:rsidR="006057BE" w:rsidRPr="006057BE" w:rsidRDefault="006057BE" w:rsidP="000610F1">
      <w:pPr>
        <w:pStyle w:val="ListParagraph"/>
        <w:spacing w:after="0" w:line="240" w:lineRule="auto"/>
        <w:rPr>
          <w:rFonts w:ascii="Arial" w:hAnsi="Arial" w:cs="Arial"/>
          <w:b/>
          <w:sz w:val="24"/>
          <w:szCs w:val="24"/>
        </w:rPr>
      </w:pPr>
    </w:p>
    <w:p w:rsidR="00724391" w:rsidRPr="00503DB6" w:rsidRDefault="00724391" w:rsidP="00516ADA">
      <w:pPr>
        <w:pStyle w:val="ListParagraph"/>
        <w:numPr>
          <w:ilvl w:val="0"/>
          <w:numId w:val="28"/>
        </w:numPr>
        <w:spacing w:after="0" w:line="240" w:lineRule="auto"/>
        <w:ind w:left="360"/>
        <w:jc w:val="both"/>
        <w:rPr>
          <w:rFonts w:ascii="Arial" w:hAnsi="Arial" w:cs="Arial"/>
          <w:sz w:val="24"/>
          <w:szCs w:val="24"/>
        </w:rPr>
      </w:pPr>
      <w:r w:rsidRPr="00503DB6">
        <w:rPr>
          <w:rFonts w:ascii="Arial" w:hAnsi="Arial" w:cs="Arial"/>
          <w:sz w:val="24"/>
          <w:szCs w:val="24"/>
        </w:rPr>
        <w:t xml:space="preserve">Tools to reliably ascertain levels of marijuana exposure and impairment in the field do not currently exist.  Marijuana has cognitive and behavior effects in the areas of automative behavior (i.e., well-learned skills), and executive function impacts (i.e., how the user interacts with traffic).  These effects have not been reliably linked to a level of marijuana or THC in the body.  </w:t>
      </w:r>
    </w:p>
    <w:p w:rsidR="006057BE" w:rsidRPr="00724391" w:rsidRDefault="006057BE" w:rsidP="00516ADA">
      <w:pPr>
        <w:spacing w:after="0" w:line="240" w:lineRule="auto"/>
        <w:jc w:val="both"/>
        <w:rPr>
          <w:rFonts w:ascii="Arial" w:hAnsi="Arial" w:cs="Arial"/>
          <w:sz w:val="24"/>
          <w:szCs w:val="24"/>
        </w:rPr>
      </w:pPr>
    </w:p>
    <w:p w:rsidR="00724391" w:rsidRPr="00503DB6" w:rsidRDefault="00724391" w:rsidP="00516ADA">
      <w:pPr>
        <w:pStyle w:val="ListParagraph"/>
        <w:numPr>
          <w:ilvl w:val="0"/>
          <w:numId w:val="28"/>
        </w:numPr>
        <w:spacing w:after="0" w:line="240" w:lineRule="auto"/>
        <w:ind w:left="360"/>
        <w:jc w:val="both"/>
        <w:rPr>
          <w:rFonts w:ascii="Arial" w:hAnsi="Arial" w:cs="Arial"/>
          <w:sz w:val="24"/>
          <w:szCs w:val="24"/>
        </w:rPr>
      </w:pPr>
      <w:r w:rsidRPr="00503DB6">
        <w:rPr>
          <w:rFonts w:ascii="Arial" w:hAnsi="Arial" w:cs="Arial"/>
          <w:sz w:val="24"/>
          <w:szCs w:val="24"/>
        </w:rPr>
        <w:t>In a survey of Massachusetts residents, among respondents that use marijuana, the prevalence of self-reported driving under the influence is 34.3%.  Overall, 7.2% of the adult population drove under the influence of marijuana in the past 30 days, and 11.3% of adults rode with a marijuana-using driver in the past 30 days.  This is similar to estimates from a survey of medical marijuana patients that found approximately 10% of respondents drove under the influence in the past 30 days.</w:t>
      </w:r>
    </w:p>
    <w:p w:rsidR="006057BE" w:rsidRPr="00724391" w:rsidRDefault="006057BE" w:rsidP="00516ADA">
      <w:pPr>
        <w:spacing w:after="0" w:line="240" w:lineRule="auto"/>
        <w:jc w:val="both"/>
        <w:rPr>
          <w:rFonts w:ascii="Arial" w:hAnsi="Arial" w:cs="Arial"/>
          <w:sz w:val="24"/>
          <w:szCs w:val="24"/>
        </w:rPr>
      </w:pPr>
    </w:p>
    <w:p w:rsidR="00724391" w:rsidRPr="00503DB6" w:rsidRDefault="00724391" w:rsidP="00516ADA">
      <w:pPr>
        <w:pStyle w:val="ListParagraph"/>
        <w:numPr>
          <w:ilvl w:val="0"/>
          <w:numId w:val="28"/>
        </w:numPr>
        <w:spacing w:after="0" w:line="240" w:lineRule="auto"/>
        <w:ind w:left="360"/>
        <w:jc w:val="both"/>
        <w:rPr>
          <w:rFonts w:ascii="Arial" w:hAnsi="Arial" w:cs="Arial"/>
          <w:sz w:val="24"/>
          <w:szCs w:val="24"/>
        </w:rPr>
      </w:pPr>
      <w:r w:rsidRPr="00503DB6">
        <w:rPr>
          <w:rFonts w:ascii="Arial" w:hAnsi="Arial" w:cs="Arial"/>
          <w:sz w:val="24"/>
          <w:szCs w:val="24"/>
        </w:rPr>
        <w:lastRenderedPageBreak/>
        <w:t xml:space="preserve">Retrospective evaluations of fatal crash data suggest that drivers who died in a fatal crash are much more likely to have had their blood tested for marijuana, than drivers who survived a crash in which there was at least one fatality.  </w:t>
      </w:r>
    </w:p>
    <w:p w:rsidR="00724391" w:rsidRPr="00503DB6" w:rsidRDefault="00724391" w:rsidP="00516ADA">
      <w:pPr>
        <w:pStyle w:val="ListParagraph"/>
        <w:numPr>
          <w:ilvl w:val="0"/>
          <w:numId w:val="28"/>
        </w:numPr>
        <w:spacing w:after="0" w:line="240" w:lineRule="auto"/>
        <w:ind w:left="360"/>
        <w:jc w:val="both"/>
        <w:rPr>
          <w:rFonts w:ascii="Arial" w:hAnsi="Arial" w:cs="Arial"/>
          <w:sz w:val="24"/>
          <w:szCs w:val="24"/>
        </w:rPr>
      </w:pPr>
      <w:r w:rsidRPr="00503DB6">
        <w:rPr>
          <w:rFonts w:ascii="Arial" w:hAnsi="Arial" w:cs="Arial"/>
          <w:sz w:val="24"/>
          <w:szCs w:val="24"/>
        </w:rPr>
        <w:t>Marijuana-related treatment is a small portion of the overall volume of substance use dis</w:t>
      </w:r>
      <w:r w:rsidR="00040913" w:rsidRPr="00503DB6">
        <w:rPr>
          <w:rFonts w:ascii="Arial" w:hAnsi="Arial" w:cs="Arial"/>
          <w:sz w:val="24"/>
          <w:szCs w:val="24"/>
        </w:rPr>
        <w:t xml:space="preserve">order treatment episodes. </w:t>
      </w:r>
      <w:r w:rsidRPr="00503DB6">
        <w:rPr>
          <w:rFonts w:ascii="Arial" w:hAnsi="Arial" w:cs="Arial"/>
          <w:sz w:val="24"/>
          <w:szCs w:val="24"/>
        </w:rPr>
        <w:t xml:space="preserve">In a statewide-survey of Massachusetts, no respondents reported marijuana-related use of emergency room or urgent care facilities.  </w:t>
      </w:r>
    </w:p>
    <w:p w:rsidR="006057BE" w:rsidRPr="00724391" w:rsidRDefault="006057BE" w:rsidP="00516ADA">
      <w:pPr>
        <w:spacing w:after="0" w:line="240" w:lineRule="auto"/>
        <w:jc w:val="both"/>
        <w:rPr>
          <w:rFonts w:ascii="Arial" w:hAnsi="Arial" w:cs="Arial"/>
          <w:sz w:val="24"/>
          <w:szCs w:val="24"/>
        </w:rPr>
      </w:pPr>
    </w:p>
    <w:p w:rsidR="00724391" w:rsidRPr="00503DB6" w:rsidRDefault="00724391" w:rsidP="00516ADA">
      <w:pPr>
        <w:pStyle w:val="ListParagraph"/>
        <w:numPr>
          <w:ilvl w:val="0"/>
          <w:numId w:val="28"/>
        </w:numPr>
        <w:spacing w:after="0" w:line="240" w:lineRule="auto"/>
        <w:ind w:left="360"/>
        <w:jc w:val="both"/>
        <w:rPr>
          <w:rFonts w:ascii="Arial" w:hAnsi="Arial" w:cs="Arial"/>
          <w:sz w:val="24"/>
          <w:szCs w:val="24"/>
        </w:rPr>
      </w:pPr>
      <w:r w:rsidRPr="00503DB6">
        <w:rPr>
          <w:rFonts w:ascii="Arial" w:hAnsi="Arial" w:cs="Arial"/>
          <w:sz w:val="24"/>
          <w:szCs w:val="24"/>
        </w:rPr>
        <w:t>The number of marijuana-related calls to the Regional Poison Control Center in Massachusetts h</w:t>
      </w:r>
      <w:r w:rsidR="00040913" w:rsidRPr="00503DB6">
        <w:rPr>
          <w:rFonts w:ascii="Arial" w:hAnsi="Arial" w:cs="Arial"/>
          <w:sz w:val="24"/>
          <w:szCs w:val="24"/>
        </w:rPr>
        <w:t xml:space="preserve">as been increasing over time. </w:t>
      </w:r>
      <w:r w:rsidRPr="00503DB6">
        <w:rPr>
          <w:rFonts w:ascii="Arial" w:hAnsi="Arial" w:cs="Arial"/>
          <w:sz w:val="24"/>
          <w:szCs w:val="24"/>
        </w:rPr>
        <w:t>The calls include incidents of unintentional exposures among children, with the majority of calls related to 10-19 year old individuals, and/or expos</w:t>
      </w:r>
      <w:r w:rsidR="00040913" w:rsidRPr="00503DB6">
        <w:rPr>
          <w:rFonts w:ascii="Arial" w:hAnsi="Arial" w:cs="Arial"/>
          <w:sz w:val="24"/>
          <w:szCs w:val="24"/>
        </w:rPr>
        <w:t xml:space="preserve">ure to dried marijuana flower. </w:t>
      </w:r>
      <w:r w:rsidRPr="00503DB6">
        <w:rPr>
          <w:rFonts w:ascii="Arial" w:hAnsi="Arial" w:cs="Arial"/>
          <w:sz w:val="24"/>
          <w:szCs w:val="24"/>
        </w:rPr>
        <w:t xml:space="preserve">The proportion of calls increased after medical marijuana was available in the Commonwealth.  </w:t>
      </w:r>
    </w:p>
    <w:p w:rsidR="006057BE" w:rsidRPr="00724391" w:rsidRDefault="006057BE" w:rsidP="000610F1">
      <w:pPr>
        <w:spacing w:after="0" w:line="240" w:lineRule="auto"/>
        <w:rPr>
          <w:rFonts w:ascii="Arial" w:hAnsi="Arial" w:cs="Arial"/>
          <w:sz w:val="24"/>
          <w:szCs w:val="24"/>
        </w:rPr>
      </w:pPr>
    </w:p>
    <w:p w:rsidR="00724391" w:rsidRPr="006057BE" w:rsidRDefault="00724391" w:rsidP="000610F1">
      <w:pPr>
        <w:pStyle w:val="ListParagraph"/>
        <w:numPr>
          <w:ilvl w:val="0"/>
          <w:numId w:val="24"/>
        </w:numPr>
        <w:spacing w:after="0" w:line="240" w:lineRule="auto"/>
        <w:rPr>
          <w:rFonts w:ascii="Arial" w:hAnsi="Arial" w:cs="Arial"/>
          <w:b/>
          <w:sz w:val="24"/>
          <w:szCs w:val="24"/>
        </w:rPr>
      </w:pPr>
      <w:r w:rsidRPr="006057BE">
        <w:rPr>
          <w:rFonts w:ascii="Arial" w:hAnsi="Arial" w:cs="Arial"/>
          <w:b/>
          <w:sz w:val="24"/>
          <w:szCs w:val="24"/>
        </w:rPr>
        <w:t>Economic and Fiscal Impacts for State and Local Governments</w:t>
      </w:r>
    </w:p>
    <w:p w:rsidR="006057BE" w:rsidRPr="006057BE" w:rsidRDefault="006057BE" w:rsidP="000610F1">
      <w:pPr>
        <w:pStyle w:val="ListParagraph"/>
        <w:spacing w:after="0" w:line="240" w:lineRule="auto"/>
        <w:rPr>
          <w:rFonts w:ascii="Arial" w:hAnsi="Arial" w:cs="Arial"/>
          <w:b/>
          <w:sz w:val="24"/>
          <w:szCs w:val="24"/>
        </w:rPr>
      </w:pPr>
    </w:p>
    <w:p w:rsidR="00724391" w:rsidRPr="00503DB6" w:rsidRDefault="00724391" w:rsidP="00516ADA">
      <w:pPr>
        <w:pStyle w:val="ListParagraph"/>
        <w:numPr>
          <w:ilvl w:val="0"/>
          <w:numId w:val="29"/>
        </w:numPr>
        <w:spacing w:after="0" w:line="240" w:lineRule="auto"/>
        <w:ind w:left="360"/>
        <w:jc w:val="both"/>
        <w:rPr>
          <w:rFonts w:ascii="Arial" w:hAnsi="Arial" w:cs="Arial"/>
          <w:sz w:val="24"/>
          <w:szCs w:val="24"/>
        </w:rPr>
      </w:pPr>
      <w:r w:rsidRPr="00503DB6">
        <w:rPr>
          <w:rFonts w:ascii="Arial" w:hAnsi="Arial" w:cs="Arial"/>
          <w:sz w:val="24"/>
          <w:szCs w:val="24"/>
        </w:rPr>
        <w:t>Economic projections suggest that marijuana will increase Massachusetts state revenue by about $215.8 million in the fi</w:t>
      </w:r>
      <w:r w:rsidR="00040913" w:rsidRPr="00503DB6">
        <w:rPr>
          <w:rFonts w:ascii="Arial" w:hAnsi="Arial" w:cs="Arial"/>
          <w:sz w:val="24"/>
          <w:szCs w:val="24"/>
        </w:rPr>
        <w:t xml:space="preserve">rst two years of retail sales. </w:t>
      </w:r>
      <w:r w:rsidRPr="00503DB6">
        <w:rPr>
          <w:rFonts w:ascii="Arial" w:hAnsi="Arial" w:cs="Arial"/>
          <w:sz w:val="24"/>
          <w:szCs w:val="24"/>
        </w:rPr>
        <w:t xml:space="preserve">The increase will largely come from sales and excise taxes collected on retail purchases.  Based on experiences from states with existing legalized adult use, sales tax revenue will be higher in the second year ($154.2 million), as compared to the first year ($61.6 million). </w:t>
      </w:r>
    </w:p>
    <w:p w:rsidR="00503DB6" w:rsidRDefault="00503DB6" w:rsidP="00516ADA">
      <w:pPr>
        <w:spacing w:after="0" w:line="240" w:lineRule="auto"/>
        <w:jc w:val="both"/>
        <w:rPr>
          <w:rFonts w:ascii="Arial" w:hAnsi="Arial" w:cs="Arial"/>
          <w:sz w:val="24"/>
          <w:szCs w:val="24"/>
        </w:rPr>
      </w:pPr>
    </w:p>
    <w:p w:rsidR="00724391" w:rsidRPr="00503DB6" w:rsidRDefault="00724391" w:rsidP="00516ADA">
      <w:pPr>
        <w:pStyle w:val="ListParagraph"/>
        <w:numPr>
          <w:ilvl w:val="0"/>
          <w:numId w:val="29"/>
        </w:numPr>
        <w:spacing w:after="0" w:line="240" w:lineRule="auto"/>
        <w:ind w:left="360"/>
        <w:jc w:val="both"/>
        <w:rPr>
          <w:rFonts w:ascii="Arial" w:hAnsi="Arial" w:cs="Arial"/>
          <w:sz w:val="24"/>
          <w:szCs w:val="24"/>
        </w:rPr>
      </w:pPr>
      <w:r w:rsidRPr="00503DB6">
        <w:rPr>
          <w:rFonts w:ascii="Arial" w:hAnsi="Arial" w:cs="Arial"/>
          <w:sz w:val="24"/>
          <w:szCs w:val="24"/>
        </w:rPr>
        <w:t xml:space="preserve">Economic projections of the impacts to local government, suggest that local tax revenue over the first two years of retail sale are projected to be highest in the most densely populated regions (ranging from $233,498 to $2,875,048), with considerable fluctuation in two-year revenue projections among high-density suburban cities and towns (ranging from $68,139 to $991,873, over the two year period).  </w:t>
      </w:r>
      <w:r w:rsidRPr="00724391">
        <w:t> </w:t>
      </w:r>
    </w:p>
    <w:p w:rsidR="006057BE" w:rsidRPr="00724391" w:rsidRDefault="006057BE" w:rsidP="006057BE">
      <w:pPr>
        <w:spacing w:after="0" w:line="240" w:lineRule="auto"/>
        <w:jc w:val="both"/>
        <w:rPr>
          <w:rFonts w:ascii="Arial" w:hAnsi="Arial" w:cs="Arial"/>
          <w:sz w:val="24"/>
          <w:szCs w:val="24"/>
        </w:rPr>
      </w:pPr>
    </w:p>
    <w:p w:rsidR="00503DB6" w:rsidRDefault="00503DB6">
      <w:pPr>
        <w:rPr>
          <w:rFonts w:ascii="Arial" w:hAnsi="Arial" w:cs="Arial"/>
          <w:b/>
          <w:sz w:val="24"/>
          <w:szCs w:val="24"/>
        </w:rPr>
      </w:pPr>
      <w:r>
        <w:rPr>
          <w:rFonts w:ascii="Arial" w:hAnsi="Arial" w:cs="Arial"/>
          <w:b/>
          <w:sz w:val="24"/>
          <w:szCs w:val="24"/>
        </w:rPr>
        <w:br w:type="page"/>
      </w:r>
    </w:p>
    <w:p w:rsidR="008332D4" w:rsidRPr="005E2275" w:rsidRDefault="008332D4" w:rsidP="005F7A46">
      <w:pPr>
        <w:pStyle w:val="Heading2"/>
      </w:pPr>
      <w:bookmarkStart w:id="2" w:name="_Toc12529109"/>
      <w:r w:rsidRPr="005E2275">
        <w:lastRenderedPageBreak/>
        <w:t>Acknowledgements</w:t>
      </w:r>
      <w:bookmarkEnd w:id="2"/>
    </w:p>
    <w:p w:rsidR="008332D4" w:rsidRDefault="008332D4" w:rsidP="008332D4">
      <w:pPr>
        <w:pStyle w:val="BodyText"/>
      </w:pPr>
    </w:p>
    <w:p w:rsidR="00D65D52" w:rsidRDefault="00EA0BE5" w:rsidP="00516ADA">
      <w:pPr>
        <w:spacing w:after="0" w:line="240" w:lineRule="auto"/>
        <w:jc w:val="both"/>
        <w:rPr>
          <w:rFonts w:ascii="Arial" w:hAnsi="Arial" w:cs="Arial"/>
          <w:sz w:val="24"/>
          <w:szCs w:val="24"/>
        </w:rPr>
      </w:pPr>
      <w:r w:rsidRPr="00EA0BE5">
        <w:rPr>
          <w:rFonts w:ascii="Arial" w:hAnsi="Arial" w:cs="Arial"/>
          <w:sz w:val="24"/>
          <w:szCs w:val="24"/>
        </w:rPr>
        <w:t xml:space="preserve">The MBHS was </w:t>
      </w:r>
      <w:r w:rsidR="00053395">
        <w:rPr>
          <w:rFonts w:ascii="Arial" w:hAnsi="Arial" w:cs="Arial"/>
          <w:sz w:val="24"/>
          <w:szCs w:val="24"/>
        </w:rPr>
        <w:t xml:space="preserve">directed </w:t>
      </w:r>
      <w:r w:rsidR="00B9618A">
        <w:rPr>
          <w:rFonts w:ascii="Arial" w:hAnsi="Arial" w:cs="Arial"/>
          <w:sz w:val="24"/>
          <w:szCs w:val="24"/>
        </w:rPr>
        <w:t xml:space="preserve">by </w:t>
      </w:r>
      <w:r w:rsidR="00970B46">
        <w:rPr>
          <w:rFonts w:ascii="Arial" w:hAnsi="Arial" w:cs="Arial"/>
          <w:sz w:val="24"/>
          <w:szCs w:val="24"/>
        </w:rPr>
        <w:t xml:space="preserve">DPH </w:t>
      </w:r>
      <w:r w:rsidRPr="00EA0BE5">
        <w:rPr>
          <w:rFonts w:ascii="Arial" w:hAnsi="Arial" w:cs="Arial"/>
          <w:sz w:val="24"/>
          <w:szCs w:val="24"/>
        </w:rPr>
        <w:t xml:space="preserve">in consultation with </w:t>
      </w:r>
      <w:r w:rsidR="00970B46">
        <w:rPr>
          <w:rFonts w:ascii="Arial" w:hAnsi="Arial" w:cs="Arial"/>
          <w:sz w:val="24"/>
          <w:szCs w:val="24"/>
        </w:rPr>
        <w:t>an advisory p</w:t>
      </w:r>
      <w:r w:rsidRPr="00EA0BE5">
        <w:rPr>
          <w:rFonts w:ascii="Arial" w:hAnsi="Arial" w:cs="Arial"/>
          <w:sz w:val="24"/>
          <w:szCs w:val="24"/>
        </w:rPr>
        <w:t>anel consisting of representatives from the Executive Office of Health and Human Services, Executive Office for Administration and Finance, and the Executive Office of Public Safety and Security.  The study was funded by the Medi</w:t>
      </w:r>
      <w:r w:rsidR="00053395">
        <w:rPr>
          <w:rFonts w:ascii="Arial" w:hAnsi="Arial" w:cs="Arial"/>
          <w:sz w:val="24"/>
          <w:szCs w:val="24"/>
        </w:rPr>
        <w:t>cal Use of Marijuana Trust Fund</w:t>
      </w:r>
      <w:r w:rsidRPr="00EA0BE5">
        <w:rPr>
          <w:rFonts w:ascii="Arial" w:hAnsi="Arial" w:cs="Arial"/>
          <w:sz w:val="24"/>
          <w:szCs w:val="24"/>
        </w:rPr>
        <w:t>.</w:t>
      </w:r>
    </w:p>
    <w:p w:rsidR="00EA0BE5" w:rsidRPr="00EA0BE5" w:rsidRDefault="00EA0BE5" w:rsidP="00516ADA">
      <w:pPr>
        <w:spacing w:after="0" w:line="240" w:lineRule="auto"/>
        <w:jc w:val="both"/>
        <w:rPr>
          <w:rFonts w:ascii="Arial" w:hAnsi="Arial" w:cs="Arial"/>
          <w:sz w:val="24"/>
          <w:szCs w:val="24"/>
        </w:rPr>
      </w:pPr>
      <w:r w:rsidRPr="00EA0BE5">
        <w:rPr>
          <w:rFonts w:ascii="Arial" w:hAnsi="Arial" w:cs="Arial"/>
          <w:sz w:val="24"/>
          <w:szCs w:val="24"/>
        </w:rPr>
        <w:t xml:space="preserve">   </w:t>
      </w:r>
    </w:p>
    <w:p w:rsidR="00B9618A" w:rsidRPr="00B9618A" w:rsidRDefault="00B9618A" w:rsidP="00516ADA">
      <w:pPr>
        <w:spacing w:after="0" w:line="240" w:lineRule="auto"/>
        <w:jc w:val="both"/>
        <w:rPr>
          <w:rFonts w:ascii="Arial" w:hAnsi="Arial" w:cs="Arial"/>
          <w:sz w:val="24"/>
          <w:szCs w:val="24"/>
        </w:rPr>
      </w:pPr>
      <w:r w:rsidRPr="00B9618A">
        <w:rPr>
          <w:rFonts w:ascii="Arial" w:hAnsi="Arial" w:cs="Arial"/>
          <w:sz w:val="24"/>
          <w:szCs w:val="24"/>
        </w:rPr>
        <w:t xml:space="preserve">The completion of this study would not have been possible without the assistance of </w:t>
      </w:r>
      <w:r w:rsidR="001403F7">
        <w:rPr>
          <w:rFonts w:ascii="Arial" w:hAnsi="Arial" w:cs="Arial"/>
          <w:sz w:val="24"/>
          <w:szCs w:val="24"/>
        </w:rPr>
        <w:t xml:space="preserve">study </w:t>
      </w:r>
      <w:r w:rsidR="005F7A46">
        <w:rPr>
          <w:rFonts w:ascii="Arial" w:hAnsi="Arial" w:cs="Arial"/>
          <w:sz w:val="24"/>
          <w:szCs w:val="24"/>
        </w:rPr>
        <w:t xml:space="preserve">collaborators </w:t>
      </w:r>
      <w:r w:rsidR="00053395">
        <w:rPr>
          <w:rFonts w:ascii="Arial" w:hAnsi="Arial" w:cs="Arial"/>
          <w:sz w:val="24"/>
          <w:szCs w:val="24"/>
        </w:rPr>
        <w:t>from the</w:t>
      </w:r>
      <w:r w:rsidRPr="00B9618A">
        <w:rPr>
          <w:rFonts w:ascii="Arial" w:hAnsi="Arial" w:cs="Arial"/>
          <w:sz w:val="24"/>
          <w:szCs w:val="24"/>
        </w:rPr>
        <w:t xml:space="preserve"> University of Massachusetts </w:t>
      </w:r>
      <w:r w:rsidR="00CE307D">
        <w:rPr>
          <w:rFonts w:ascii="Arial" w:hAnsi="Arial" w:cs="Arial"/>
          <w:sz w:val="24"/>
          <w:szCs w:val="24"/>
        </w:rPr>
        <w:t>(UMass)</w:t>
      </w:r>
      <w:r w:rsidRPr="00B9618A">
        <w:rPr>
          <w:rFonts w:ascii="Arial" w:hAnsi="Arial" w:cs="Arial"/>
          <w:sz w:val="24"/>
          <w:szCs w:val="24"/>
        </w:rPr>
        <w:t>; Mathematica Policy Research (Mathematica); and JSI Research and Training Institute, Inc. (JSI).</w:t>
      </w:r>
      <w:r w:rsidR="001403F7">
        <w:rPr>
          <w:rFonts w:ascii="Arial" w:hAnsi="Arial" w:cs="Arial"/>
          <w:sz w:val="24"/>
          <w:szCs w:val="24"/>
        </w:rPr>
        <w:t xml:space="preserve">  </w:t>
      </w:r>
      <w:r w:rsidRPr="00B9618A">
        <w:rPr>
          <w:rFonts w:ascii="Arial" w:hAnsi="Arial" w:cs="Arial"/>
          <w:sz w:val="24"/>
          <w:szCs w:val="24"/>
        </w:rPr>
        <w:t xml:space="preserve"> </w:t>
      </w:r>
    </w:p>
    <w:p w:rsidR="00B9618A" w:rsidRDefault="00B9618A" w:rsidP="00516ADA">
      <w:pPr>
        <w:spacing w:after="0" w:line="240" w:lineRule="auto"/>
        <w:jc w:val="both"/>
        <w:rPr>
          <w:rFonts w:ascii="Arial" w:hAnsi="Arial" w:cs="Arial"/>
          <w:sz w:val="24"/>
          <w:szCs w:val="24"/>
        </w:rPr>
      </w:pPr>
    </w:p>
    <w:p w:rsidR="00B9618A" w:rsidRPr="00B9618A" w:rsidRDefault="00970B46" w:rsidP="00516ADA">
      <w:pPr>
        <w:spacing w:after="0" w:line="240" w:lineRule="auto"/>
        <w:ind w:left="720"/>
        <w:jc w:val="both"/>
        <w:rPr>
          <w:rFonts w:ascii="Arial" w:hAnsi="Arial" w:cs="Arial"/>
          <w:sz w:val="24"/>
          <w:szCs w:val="24"/>
        </w:rPr>
      </w:pPr>
      <w:r>
        <w:rPr>
          <w:rFonts w:ascii="Arial" w:hAnsi="Arial" w:cs="Arial"/>
          <w:sz w:val="24"/>
          <w:szCs w:val="24"/>
        </w:rPr>
        <w:t>Specific collaborators on the “</w:t>
      </w:r>
      <w:r w:rsidR="00B9618A" w:rsidRPr="00B9618A">
        <w:rPr>
          <w:rFonts w:ascii="Arial" w:hAnsi="Arial" w:cs="Arial"/>
          <w:sz w:val="24"/>
          <w:szCs w:val="24"/>
        </w:rPr>
        <w:t>Retrospective Analysis of Indicators of Use and Perceptions of Marijuana</w:t>
      </w:r>
      <w:r>
        <w:rPr>
          <w:rFonts w:ascii="Arial" w:hAnsi="Arial" w:cs="Arial"/>
          <w:sz w:val="24"/>
          <w:szCs w:val="24"/>
        </w:rPr>
        <w:t>”</w:t>
      </w:r>
      <w:r w:rsidR="00B9618A" w:rsidRPr="00B9618A">
        <w:rPr>
          <w:rFonts w:ascii="Arial" w:hAnsi="Arial" w:cs="Arial"/>
          <w:sz w:val="24"/>
          <w:szCs w:val="24"/>
        </w:rPr>
        <w:t xml:space="preserve"> </w:t>
      </w:r>
      <w:r>
        <w:rPr>
          <w:rFonts w:ascii="Arial" w:hAnsi="Arial" w:cs="Arial"/>
          <w:sz w:val="24"/>
          <w:szCs w:val="24"/>
        </w:rPr>
        <w:t xml:space="preserve">include: </w:t>
      </w:r>
      <w:r w:rsidR="00B9618A" w:rsidRPr="00B9618A">
        <w:rPr>
          <w:rFonts w:ascii="Arial" w:hAnsi="Arial" w:cs="Arial"/>
          <w:sz w:val="24"/>
          <w:szCs w:val="24"/>
        </w:rPr>
        <w:t>Catherine Jett, Adama Brown-Hathaway, and Penny Brierley-Bowers</w:t>
      </w:r>
      <w:r w:rsidR="00CE307D">
        <w:rPr>
          <w:rFonts w:ascii="Arial" w:hAnsi="Arial" w:cs="Arial"/>
          <w:sz w:val="24"/>
          <w:szCs w:val="24"/>
        </w:rPr>
        <w:t xml:space="preserve"> of</w:t>
      </w:r>
      <w:r>
        <w:rPr>
          <w:rFonts w:ascii="Arial" w:hAnsi="Arial" w:cs="Arial"/>
          <w:sz w:val="24"/>
          <w:szCs w:val="24"/>
        </w:rPr>
        <w:t xml:space="preserve"> the </w:t>
      </w:r>
      <w:r w:rsidR="00B9618A" w:rsidRPr="00B9618A">
        <w:rPr>
          <w:rFonts w:ascii="Arial" w:hAnsi="Arial" w:cs="Arial"/>
          <w:sz w:val="24"/>
          <w:szCs w:val="24"/>
        </w:rPr>
        <w:t>University of Massachusetts Donahue Institute</w:t>
      </w:r>
      <w:r>
        <w:rPr>
          <w:rFonts w:ascii="Arial" w:hAnsi="Arial" w:cs="Arial"/>
          <w:sz w:val="24"/>
          <w:szCs w:val="24"/>
        </w:rPr>
        <w:t>.</w:t>
      </w:r>
    </w:p>
    <w:p w:rsidR="00B9618A" w:rsidRPr="00B9618A" w:rsidRDefault="00B9618A" w:rsidP="00516ADA">
      <w:pPr>
        <w:spacing w:after="0" w:line="240" w:lineRule="auto"/>
        <w:ind w:left="720"/>
        <w:jc w:val="both"/>
        <w:rPr>
          <w:rFonts w:ascii="Arial" w:hAnsi="Arial" w:cs="Arial"/>
          <w:sz w:val="24"/>
          <w:szCs w:val="24"/>
        </w:rPr>
      </w:pPr>
    </w:p>
    <w:p w:rsidR="00B9618A" w:rsidRPr="00B9618A" w:rsidRDefault="00970B46" w:rsidP="00516ADA">
      <w:pPr>
        <w:spacing w:after="0" w:line="240" w:lineRule="auto"/>
        <w:ind w:left="720"/>
        <w:jc w:val="both"/>
        <w:rPr>
          <w:rFonts w:ascii="Arial" w:hAnsi="Arial" w:cs="Arial"/>
          <w:sz w:val="24"/>
          <w:szCs w:val="24"/>
        </w:rPr>
      </w:pPr>
      <w:r w:rsidRPr="00970B46">
        <w:rPr>
          <w:rFonts w:ascii="Arial" w:hAnsi="Arial" w:cs="Arial"/>
          <w:sz w:val="24"/>
          <w:szCs w:val="24"/>
        </w:rPr>
        <w:t xml:space="preserve">Specific collaborators </w:t>
      </w:r>
      <w:r>
        <w:rPr>
          <w:rFonts w:ascii="Arial" w:hAnsi="Arial" w:cs="Arial"/>
          <w:sz w:val="24"/>
          <w:szCs w:val="24"/>
        </w:rPr>
        <w:t>on evaluating the “</w:t>
      </w:r>
      <w:r w:rsidR="00B9618A" w:rsidRPr="00B9618A">
        <w:rPr>
          <w:rFonts w:ascii="Arial" w:hAnsi="Arial" w:cs="Arial"/>
          <w:sz w:val="24"/>
          <w:szCs w:val="24"/>
        </w:rPr>
        <w:t>Prevalence and Correlates of Marijuana Use amo</w:t>
      </w:r>
      <w:r>
        <w:rPr>
          <w:rFonts w:ascii="Arial" w:hAnsi="Arial" w:cs="Arial"/>
          <w:sz w:val="24"/>
          <w:szCs w:val="24"/>
        </w:rPr>
        <w:t>ng Adults in Massachusetts” include</w:t>
      </w:r>
      <w:r w:rsidR="00053395">
        <w:rPr>
          <w:rFonts w:ascii="Arial" w:hAnsi="Arial" w:cs="Arial"/>
          <w:sz w:val="24"/>
          <w:szCs w:val="24"/>
        </w:rPr>
        <w:t>:</w:t>
      </w:r>
      <w:r>
        <w:rPr>
          <w:rFonts w:ascii="Arial" w:hAnsi="Arial" w:cs="Arial"/>
          <w:sz w:val="24"/>
          <w:szCs w:val="24"/>
        </w:rPr>
        <w:t xml:space="preserve"> </w:t>
      </w:r>
      <w:r w:rsidR="00B9618A" w:rsidRPr="00B9618A">
        <w:rPr>
          <w:rFonts w:ascii="Arial" w:hAnsi="Arial" w:cs="Arial"/>
          <w:sz w:val="24"/>
          <w:szCs w:val="24"/>
        </w:rPr>
        <w:t>Elizabeth Evans, Jennifer Whitehill, Eva Goldwater, Ed Stanek III, Penny Brierley-Bowers, and David Buchanan</w:t>
      </w:r>
      <w:r w:rsidR="00CE307D">
        <w:rPr>
          <w:rFonts w:ascii="Arial" w:hAnsi="Arial" w:cs="Arial"/>
          <w:sz w:val="24"/>
          <w:szCs w:val="24"/>
        </w:rPr>
        <w:t xml:space="preserve"> of</w:t>
      </w:r>
      <w:r>
        <w:rPr>
          <w:rFonts w:ascii="Arial" w:hAnsi="Arial" w:cs="Arial"/>
          <w:sz w:val="24"/>
          <w:szCs w:val="24"/>
        </w:rPr>
        <w:t xml:space="preserve"> the </w:t>
      </w:r>
      <w:r w:rsidR="00B9618A" w:rsidRPr="00B9618A">
        <w:rPr>
          <w:rFonts w:ascii="Arial" w:hAnsi="Arial" w:cs="Arial"/>
          <w:sz w:val="24"/>
          <w:szCs w:val="24"/>
        </w:rPr>
        <w:t>School of Public Health and Health Sciences, University of Massachusetts Amherst</w:t>
      </w:r>
      <w:r>
        <w:rPr>
          <w:rFonts w:ascii="Arial" w:hAnsi="Arial" w:cs="Arial"/>
          <w:sz w:val="24"/>
          <w:szCs w:val="24"/>
        </w:rPr>
        <w:t>.</w:t>
      </w:r>
    </w:p>
    <w:p w:rsidR="00B9618A" w:rsidRPr="00B9618A" w:rsidRDefault="00B9618A" w:rsidP="00516ADA">
      <w:pPr>
        <w:spacing w:after="0" w:line="240" w:lineRule="auto"/>
        <w:ind w:left="720"/>
        <w:jc w:val="both"/>
        <w:rPr>
          <w:rFonts w:ascii="Arial" w:hAnsi="Arial" w:cs="Arial"/>
          <w:sz w:val="24"/>
          <w:szCs w:val="24"/>
        </w:rPr>
      </w:pPr>
    </w:p>
    <w:p w:rsidR="00B9618A" w:rsidRPr="00B9618A" w:rsidRDefault="00970B46" w:rsidP="00516ADA">
      <w:pPr>
        <w:spacing w:after="0" w:line="240" w:lineRule="auto"/>
        <w:ind w:left="720"/>
        <w:jc w:val="both"/>
        <w:rPr>
          <w:rFonts w:ascii="Arial" w:hAnsi="Arial" w:cs="Arial"/>
          <w:sz w:val="24"/>
          <w:szCs w:val="24"/>
        </w:rPr>
      </w:pPr>
      <w:r w:rsidRPr="00970B46">
        <w:rPr>
          <w:rFonts w:ascii="Arial" w:hAnsi="Arial" w:cs="Arial"/>
          <w:sz w:val="24"/>
          <w:szCs w:val="24"/>
        </w:rPr>
        <w:t xml:space="preserve">Specific collaborators evaluating the </w:t>
      </w:r>
      <w:r>
        <w:rPr>
          <w:rFonts w:ascii="Arial" w:hAnsi="Arial" w:cs="Arial"/>
          <w:sz w:val="24"/>
          <w:szCs w:val="24"/>
        </w:rPr>
        <w:t>“</w:t>
      </w:r>
      <w:r w:rsidR="00B9618A" w:rsidRPr="00B9618A">
        <w:rPr>
          <w:rFonts w:ascii="Arial" w:hAnsi="Arial" w:cs="Arial"/>
          <w:sz w:val="24"/>
          <w:szCs w:val="24"/>
        </w:rPr>
        <w:t>Use and Perceptions of Marijuana among Adult Medical Use of Marijuana</w:t>
      </w:r>
      <w:r>
        <w:rPr>
          <w:rFonts w:ascii="Arial" w:hAnsi="Arial" w:cs="Arial"/>
          <w:sz w:val="24"/>
          <w:szCs w:val="24"/>
        </w:rPr>
        <w:t xml:space="preserve"> Patients in Massachusetts” include</w:t>
      </w:r>
      <w:r w:rsidR="00053395">
        <w:rPr>
          <w:rFonts w:ascii="Arial" w:hAnsi="Arial" w:cs="Arial"/>
          <w:sz w:val="24"/>
          <w:szCs w:val="24"/>
        </w:rPr>
        <w:t>:</w:t>
      </w:r>
      <w:r>
        <w:rPr>
          <w:rFonts w:ascii="Arial" w:hAnsi="Arial" w:cs="Arial"/>
          <w:sz w:val="24"/>
          <w:szCs w:val="24"/>
        </w:rPr>
        <w:t xml:space="preserve"> </w:t>
      </w:r>
      <w:r w:rsidR="00B9618A" w:rsidRPr="00B9618A">
        <w:rPr>
          <w:rFonts w:ascii="Arial" w:hAnsi="Arial" w:cs="Arial"/>
          <w:sz w:val="24"/>
          <w:szCs w:val="24"/>
        </w:rPr>
        <w:t>Thomas W. Mangione, Natalie Spitzer, Rebecca Millock, Mihaly Imre and Heather E. Lisinski</w:t>
      </w:r>
      <w:r>
        <w:rPr>
          <w:rFonts w:ascii="Arial" w:hAnsi="Arial" w:cs="Arial"/>
          <w:sz w:val="24"/>
          <w:szCs w:val="24"/>
        </w:rPr>
        <w:t xml:space="preserve"> of </w:t>
      </w:r>
      <w:r w:rsidR="00B9618A" w:rsidRPr="00B9618A">
        <w:rPr>
          <w:rFonts w:ascii="Arial" w:hAnsi="Arial" w:cs="Arial"/>
          <w:sz w:val="24"/>
          <w:szCs w:val="24"/>
        </w:rPr>
        <w:t>JSI Research &amp; Training Institute, Inc.</w:t>
      </w:r>
    </w:p>
    <w:p w:rsidR="00B9618A" w:rsidRPr="00B9618A" w:rsidRDefault="00B9618A" w:rsidP="00516ADA">
      <w:pPr>
        <w:spacing w:after="0" w:line="240" w:lineRule="auto"/>
        <w:ind w:left="720"/>
        <w:jc w:val="both"/>
        <w:rPr>
          <w:rFonts w:ascii="Arial" w:hAnsi="Arial" w:cs="Arial"/>
          <w:sz w:val="24"/>
          <w:szCs w:val="24"/>
        </w:rPr>
      </w:pPr>
    </w:p>
    <w:p w:rsidR="00B9618A" w:rsidRPr="00B9618A" w:rsidRDefault="00970B46" w:rsidP="00516ADA">
      <w:pPr>
        <w:spacing w:after="0" w:line="240" w:lineRule="auto"/>
        <w:ind w:left="720"/>
        <w:jc w:val="both"/>
        <w:rPr>
          <w:rFonts w:ascii="Arial" w:hAnsi="Arial" w:cs="Arial"/>
          <w:sz w:val="24"/>
          <w:szCs w:val="24"/>
        </w:rPr>
      </w:pPr>
      <w:r w:rsidRPr="00970B46">
        <w:rPr>
          <w:rFonts w:ascii="Arial" w:hAnsi="Arial" w:cs="Arial"/>
          <w:sz w:val="24"/>
          <w:szCs w:val="24"/>
        </w:rPr>
        <w:t xml:space="preserve">Specific collaborators </w:t>
      </w:r>
      <w:r>
        <w:rPr>
          <w:rFonts w:ascii="Arial" w:hAnsi="Arial" w:cs="Arial"/>
          <w:sz w:val="24"/>
          <w:szCs w:val="24"/>
        </w:rPr>
        <w:t>on “</w:t>
      </w:r>
      <w:r w:rsidR="00B9618A" w:rsidRPr="00B9618A">
        <w:rPr>
          <w:rFonts w:ascii="Arial" w:hAnsi="Arial" w:cs="Arial"/>
          <w:sz w:val="24"/>
          <w:szCs w:val="24"/>
        </w:rPr>
        <w:t>Measuring Marijuana Exposure and its Effects Related to Driving Impairment: A State of the Science Review</w:t>
      </w:r>
      <w:r>
        <w:rPr>
          <w:rFonts w:ascii="Arial" w:hAnsi="Arial" w:cs="Arial"/>
          <w:sz w:val="24"/>
          <w:szCs w:val="24"/>
        </w:rPr>
        <w:t>” include</w:t>
      </w:r>
      <w:r w:rsidR="00053395">
        <w:rPr>
          <w:rFonts w:ascii="Arial" w:hAnsi="Arial" w:cs="Arial"/>
          <w:sz w:val="24"/>
          <w:szCs w:val="24"/>
        </w:rPr>
        <w:t>:</w:t>
      </w:r>
      <w:r>
        <w:rPr>
          <w:rFonts w:ascii="Arial" w:hAnsi="Arial" w:cs="Arial"/>
          <w:sz w:val="24"/>
          <w:szCs w:val="24"/>
        </w:rPr>
        <w:t xml:space="preserve"> </w:t>
      </w:r>
      <w:r w:rsidR="00B9618A" w:rsidRPr="00B9618A">
        <w:rPr>
          <w:rFonts w:ascii="Arial" w:hAnsi="Arial" w:cs="Arial"/>
          <w:sz w:val="24"/>
          <w:szCs w:val="24"/>
        </w:rPr>
        <w:t>Jennifer M Whitehill and Tyler Jette</w:t>
      </w:r>
      <w:r>
        <w:rPr>
          <w:rFonts w:ascii="Arial" w:hAnsi="Arial" w:cs="Arial"/>
          <w:sz w:val="24"/>
          <w:szCs w:val="24"/>
        </w:rPr>
        <w:t xml:space="preserve"> of the </w:t>
      </w:r>
      <w:r w:rsidR="00B9618A" w:rsidRPr="00B9618A">
        <w:rPr>
          <w:rFonts w:ascii="Arial" w:hAnsi="Arial" w:cs="Arial"/>
          <w:sz w:val="24"/>
          <w:szCs w:val="24"/>
        </w:rPr>
        <w:t>School of Public Health and Health Sciences, University of Massachusetts Amherst</w:t>
      </w:r>
    </w:p>
    <w:p w:rsidR="00B9618A" w:rsidRPr="00B9618A" w:rsidRDefault="00B9618A" w:rsidP="00516ADA">
      <w:pPr>
        <w:spacing w:after="0" w:line="240" w:lineRule="auto"/>
        <w:ind w:left="720"/>
        <w:jc w:val="both"/>
        <w:rPr>
          <w:rFonts w:ascii="Arial" w:hAnsi="Arial" w:cs="Arial"/>
          <w:sz w:val="24"/>
          <w:szCs w:val="24"/>
        </w:rPr>
      </w:pPr>
    </w:p>
    <w:p w:rsidR="00B9618A" w:rsidRPr="00B9618A" w:rsidRDefault="00970B46" w:rsidP="00516ADA">
      <w:pPr>
        <w:spacing w:after="0" w:line="240" w:lineRule="auto"/>
        <w:ind w:left="720"/>
        <w:jc w:val="both"/>
        <w:rPr>
          <w:rFonts w:ascii="Arial" w:hAnsi="Arial" w:cs="Arial"/>
          <w:sz w:val="24"/>
          <w:szCs w:val="24"/>
        </w:rPr>
      </w:pPr>
      <w:r w:rsidRPr="00970B46">
        <w:rPr>
          <w:rFonts w:ascii="Arial" w:hAnsi="Arial" w:cs="Arial"/>
          <w:sz w:val="24"/>
          <w:szCs w:val="24"/>
        </w:rPr>
        <w:t>Specific collaborators</w:t>
      </w:r>
      <w:r>
        <w:rPr>
          <w:rFonts w:ascii="Arial" w:hAnsi="Arial" w:cs="Arial"/>
          <w:sz w:val="24"/>
          <w:szCs w:val="24"/>
        </w:rPr>
        <w:t xml:space="preserve"> on evaluating “</w:t>
      </w:r>
      <w:r w:rsidR="00B9618A" w:rsidRPr="00B9618A">
        <w:rPr>
          <w:rFonts w:ascii="Arial" w:hAnsi="Arial" w:cs="Arial"/>
          <w:sz w:val="24"/>
          <w:szCs w:val="24"/>
        </w:rPr>
        <w:t>Driving Under the Influence of Marijuana and Marijuana-involved Motor Vehicle Crashes in Massachusetts</w:t>
      </w:r>
      <w:r>
        <w:rPr>
          <w:rFonts w:ascii="Arial" w:hAnsi="Arial" w:cs="Arial"/>
          <w:sz w:val="24"/>
          <w:szCs w:val="24"/>
        </w:rPr>
        <w:t>” include</w:t>
      </w:r>
      <w:r w:rsidR="00053395">
        <w:rPr>
          <w:rFonts w:ascii="Arial" w:hAnsi="Arial" w:cs="Arial"/>
          <w:sz w:val="24"/>
          <w:szCs w:val="24"/>
        </w:rPr>
        <w:t>:</w:t>
      </w:r>
      <w:r>
        <w:rPr>
          <w:rFonts w:ascii="Arial" w:hAnsi="Arial" w:cs="Arial"/>
          <w:sz w:val="24"/>
          <w:szCs w:val="24"/>
        </w:rPr>
        <w:t xml:space="preserve"> </w:t>
      </w:r>
      <w:r w:rsidR="00B9618A" w:rsidRPr="00B9618A">
        <w:rPr>
          <w:rFonts w:ascii="Arial" w:hAnsi="Arial" w:cs="Arial"/>
          <w:sz w:val="24"/>
          <w:szCs w:val="24"/>
        </w:rPr>
        <w:t>Jennifer M. Whitehill, Cole Fitzpatrick, Eva Goldwater, Edward Stanek III, Elizabeth Evans, and David Buchanan</w:t>
      </w:r>
      <w:r>
        <w:rPr>
          <w:rFonts w:ascii="Arial" w:hAnsi="Arial" w:cs="Arial"/>
          <w:sz w:val="24"/>
          <w:szCs w:val="24"/>
        </w:rPr>
        <w:t xml:space="preserve"> of the </w:t>
      </w:r>
      <w:r w:rsidR="00B9618A" w:rsidRPr="00B9618A">
        <w:rPr>
          <w:rFonts w:ascii="Arial" w:hAnsi="Arial" w:cs="Arial"/>
          <w:sz w:val="24"/>
          <w:szCs w:val="24"/>
        </w:rPr>
        <w:t>School of Public Health and Health Sciences, University of Massachusetts Amherst</w:t>
      </w:r>
      <w:r>
        <w:rPr>
          <w:rFonts w:ascii="Arial" w:hAnsi="Arial" w:cs="Arial"/>
          <w:sz w:val="24"/>
          <w:szCs w:val="24"/>
        </w:rPr>
        <w:t>.</w:t>
      </w:r>
    </w:p>
    <w:p w:rsidR="00B9618A" w:rsidRPr="00B9618A" w:rsidRDefault="00B9618A" w:rsidP="00516ADA">
      <w:pPr>
        <w:spacing w:after="0" w:line="240" w:lineRule="auto"/>
        <w:ind w:left="720"/>
        <w:jc w:val="both"/>
        <w:rPr>
          <w:rFonts w:ascii="Arial" w:hAnsi="Arial" w:cs="Arial"/>
          <w:sz w:val="24"/>
          <w:szCs w:val="24"/>
        </w:rPr>
      </w:pPr>
    </w:p>
    <w:p w:rsidR="00B9618A" w:rsidRPr="00B9618A" w:rsidRDefault="00970B46" w:rsidP="00516ADA">
      <w:pPr>
        <w:spacing w:after="0" w:line="240" w:lineRule="auto"/>
        <w:ind w:left="720"/>
        <w:jc w:val="both"/>
        <w:rPr>
          <w:rFonts w:ascii="Arial" w:hAnsi="Arial" w:cs="Arial"/>
          <w:sz w:val="24"/>
          <w:szCs w:val="24"/>
        </w:rPr>
      </w:pPr>
      <w:r w:rsidRPr="00970B46">
        <w:rPr>
          <w:rFonts w:ascii="Arial" w:hAnsi="Arial" w:cs="Arial"/>
          <w:sz w:val="24"/>
          <w:szCs w:val="24"/>
        </w:rPr>
        <w:t>Specifi</w:t>
      </w:r>
      <w:r w:rsidR="00856E96">
        <w:rPr>
          <w:rFonts w:ascii="Arial" w:hAnsi="Arial" w:cs="Arial"/>
          <w:sz w:val="24"/>
          <w:szCs w:val="24"/>
        </w:rPr>
        <w:t>c collaborators on evaluating “</w:t>
      </w:r>
      <w:r w:rsidR="00B9618A" w:rsidRPr="00B9618A">
        <w:rPr>
          <w:rFonts w:ascii="Arial" w:hAnsi="Arial" w:cs="Arial"/>
          <w:sz w:val="24"/>
          <w:szCs w:val="24"/>
        </w:rPr>
        <w:t>Marijuana-Related Health System Utilization in Massachusetts</w:t>
      </w:r>
      <w:r>
        <w:rPr>
          <w:rFonts w:ascii="Arial" w:hAnsi="Arial" w:cs="Arial"/>
          <w:sz w:val="24"/>
          <w:szCs w:val="24"/>
        </w:rPr>
        <w:t>” include</w:t>
      </w:r>
      <w:r w:rsidR="00053395">
        <w:rPr>
          <w:rFonts w:ascii="Arial" w:hAnsi="Arial" w:cs="Arial"/>
          <w:sz w:val="24"/>
          <w:szCs w:val="24"/>
        </w:rPr>
        <w:t>:</w:t>
      </w:r>
      <w:r>
        <w:rPr>
          <w:rFonts w:ascii="Arial" w:hAnsi="Arial" w:cs="Arial"/>
          <w:sz w:val="24"/>
          <w:szCs w:val="24"/>
        </w:rPr>
        <w:t xml:space="preserve"> </w:t>
      </w:r>
      <w:r w:rsidR="00B9618A" w:rsidRPr="00B9618A">
        <w:rPr>
          <w:rFonts w:ascii="Arial" w:hAnsi="Arial" w:cs="Arial"/>
          <w:sz w:val="24"/>
          <w:szCs w:val="24"/>
        </w:rPr>
        <w:t>Jennifer M. Whitehill, Calla Harrington, and Eva Goldwater</w:t>
      </w:r>
      <w:r>
        <w:rPr>
          <w:rFonts w:ascii="Arial" w:hAnsi="Arial" w:cs="Arial"/>
          <w:sz w:val="24"/>
          <w:szCs w:val="24"/>
        </w:rPr>
        <w:t xml:space="preserve"> of the </w:t>
      </w:r>
      <w:r w:rsidR="00B9618A" w:rsidRPr="00B9618A">
        <w:rPr>
          <w:rFonts w:ascii="Arial" w:hAnsi="Arial" w:cs="Arial"/>
          <w:sz w:val="24"/>
          <w:szCs w:val="24"/>
        </w:rPr>
        <w:t>School of Public Health and Health Sciences, University of Massachusetts Amherst</w:t>
      </w:r>
      <w:r>
        <w:rPr>
          <w:rFonts w:ascii="Arial" w:hAnsi="Arial" w:cs="Arial"/>
          <w:sz w:val="24"/>
          <w:szCs w:val="24"/>
        </w:rPr>
        <w:t>.</w:t>
      </w:r>
    </w:p>
    <w:p w:rsidR="00B9618A" w:rsidRPr="00B9618A" w:rsidRDefault="00B9618A" w:rsidP="00516ADA">
      <w:pPr>
        <w:spacing w:after="0" w:line="240" w:lineRule="auto"/>
        <w:ind w:left="720"/>
        <w:jc w:val="both"/>
        <w:rPr>
          <w:rFonts w:ascii="Arial" w:hAnsi="Arial" w:cs="Arial"/>
          <w:sz w:val="24"/>
          <w:szCs w:val="24"/>
        </w:rPr>
      </w:pPr>
    </w:p>
    <w:p w:rsidR="00970B46" w:rsidRDefault="00970B46" w:rsidP="00516ADA">
      <w:pPr>
        <w:spacing w:after="0" w:line="240" w:lineRule="auto"/>
        <w:ind w:left="720"/>
        <w:jc w:val="both"/>
        <w:rPr>
          <w:rFonts w:ascii="Arial" w:hAnsi="Arial" w:cs="Arial"/>
          <w:sz w:val="24"/>
          <w:szCs w:val="24"/>
        </w:rPr>
      </w:pPr>
      <w:r w:rsidRPr="00970B46">
        <w:rPr>
          <w:rFonts w:ascii="Arial" w:hAnsi="Arial" w:cs="Arial"/>
          <w:sz w:val="24"/>
          <w:szCs w:val="24"/>
        </w:rPr>
        <w:t xml:space="preserve">Specific collaborators on evaluating </w:t>
      </w:r>
      <w:r>
        <w:rPr>
          <w:rFonts w:ascii="Arial" w:hAnsi="Arial" w:cs="Arial"/>
          <w:sz w:val="24"/>
          <w:szCs w:val="24"/>
        </w:rPr>
        <w:t>“</w:t>
      </w:r>
      <w:r w:rsidR="00B9618A" w:rsidRPr="00B9618A">
        <w:rPr>
          <w:rFonts w:ascii="Arial" w:hAnsi="Arial" w:cs="Arial"/>
          <w:sz w:val="24"/>
          <w:szCs w:val="24"/>
        </w:rPr>
        <w:t>Estimating Fiscal effects of Legalization in Massachusetts</w:t>
      </w:r>
      <w:r>
        <w:rPr>
          <w:rFonts w:ascii="Arial" w:hAnsi="Arial" w:cs="Arial"/>
          <w:sz w:val="24"/>
          <w:szCs w:val="24"/>
        </w:rPr>
        <w:t>” include</w:t>
      </w:r>
      <w:r w:rsidR="00053395">
        <w:rPr>
          <w:rFonts w:ascii="Arial" w:hAnsi="Arial" w:cs="Arial"/>
          <w:sz w:val="24"/>
          <w:szCs w:val="24"/>
        </w:rPr>
        <w:t>:</w:t>
      </w:r>
      <w:r>
        <w:rPr>
          <w:rFonts w:ascii="Arial" w:hAnsi="Arial" w:cs="Arial"/>
          <w:sz w:val="24"/>
          <w:szCs w:val="24"/>
        </w:rPr>
        <w:t xml:space="preserve"> </w:t>
      </w:r>
      <w:r w:rsidR="00B9618A" w:rsidRPr="00B9618A">
        <w:rPr>
          <w:rFonts w:ascii="Arial" w:hAnsi="Arial" w:cs="Arial"/>
          <w:sz w:val="24"/>
          <w:szCs w:val="24"/>
        </w:rPr>
        <w:t>Aparna Keshavia, Eric Morris, Dara Lee Luca, Sara Le Barron, Colleen Staatz, and David Jones</w:t>
      </w:r>
      <w:r>
        <w:rPr>
          <w:rFonts w:ascii="Arial" w:hAnsi="Arial" w:cs="Arial"/>
          <w:sz w:val="24"/>
          <w:szCs w:val="24"/>
        </w:rPr>
        <w:t xml:space="preserve"> of </w:t>
      </w:r>
      <w:r w:rsidR="00B9618A" w:rsidRPr="00B9618A">
        <w:rPr>
          <w:rFonts w:ascii="Arial" w:hAnsi="Arial" w:cs="Arial"/>
          <w:sz w:val="24"/>
          <w:szCs w:val="24"/>
        </w:rPr>
        <w:t>Mathematica Policy Research</w:t>
      </w:r>
      <w:r>
        <w:rPr>
          <w:rFonts w:ascii="Arial" w:hAnsi="Arial" w:cs="Arial"/>
          <w:sz w:val="24"/>
          <w:szCs w:val="24"/>
        </w:rPr>
        <w:t>.</w:t>
      </w:r>
    </w:p>
    <w:p w:rsidR="00970B46" w:rsidRDefault="00970B46" w:rsidP="00B9618A">
      <w:pPr>
        <w:spacing w:after="0" w:line="240" w:lineRule="auto"/>
        <w:rPr>
          <w:rFonts w:ascii="Arial" w:hAnsi="Arial" w:cs="Arial"/>
          <w:sz w:val="24"/>
          <w:szCs w:val="24"/>
        </w:rPr>
      </w:pPr>
    </w:p>
    <w:p w:rsidR="000610F1" w:rsidRDefault="000610F1" w:rsidP="00516ADA">
      <w:pPr>
        <w:spacing w:after="0" w:line="240" w:lineRule="auto"/>
        <w:jc w:val="both"/>
        <w:rPr>
          <w:rFonts w:ascii="Arial" w:hAnsi="Arial" w:cs="Arial"/>
          <w:sz w:val="24"/>
          <w:szCs w:val="24"/>
        </w:rPr>
      </w:pPr>
      <w:r>
        <w:rPr>
          <w:rFonts w:ascii="Arial" w:hAnsi="Arial" w:cs="Arial"/>
          <w:sz w:val="24"/>
          <w:szCs w:val="24"/>
        </w:rPr>
        <w:lastRenderedPageBreak/>
        <w:t>The p</w:t>
      </w:r>
      <w:r w:rsidR="00CE307D">
        <w:rPr>
          <w:rFonts w:ascii="Arial" w:hAnsi="Arial" w:cs="Arial"/>
          <w:sz w:val="24"/>
          <w:szCs w:val="24"/>
        </w:rPr>
        <w:t xml:space="preserve">rotection of </w:t>
      </w:r>
      <w:r w:rsidR="00C2322F">
        <w:rPr>
          <w:rFonts w:ascii="Arial" w:hAnsi="Arial" w:cs="Arial"/>
          <w:sz w:val="24"/>
          <w:szCs w:val="24"/>
        </w:rPr>
        <w:t xml:space="preserve">human </w:t>
      </w:r>
      <w:r w:rsidRPr="00D65D52">
        <w:rPr>
          <w:rFonts w:ascii="Arial" w:hAnsi="Arial" w:cs="Arial"/>
          <w:sz w:val="24"/>
          <w:szCs w:val="24"/>
        </w:rPr>
        <w:t>participants</w:t>
      </w:r>
      <w:r w:rsidR="00CE307D">
        <w:rPr>
          <w:rFonts w:ascii="Arial" w:hAnsi="Arial" w:cs="Arial"/>
          <w:sz w:val="24"/>
          <w:szCs w:val="24"/>
        </w:rPr>
        <w:t xml:space="preserve"> in the research </w:t>
      </w:r>
      <w:r w:rsidR="00C2322F">
        <w:rPr>
          <w:rFonts w:ascii="Arial" w:hAnsi="Arial" w:cs="Arial"/>
          <w:sz w:val="24"/>
          <w:szCs w:val="24"/>
        </w:rPr>
        <w:t xml:space="preserve">described in this report </w:t>
      </w:r>
      <w:r w:rsidR="00CE307D">
        <w:rPr>
          <w:rFonts w:ascii="Arial" w:hAnsi="Arial" w:cs="Arial"/>
          <w:sz w:val="24"/>
          <w:szCs w:val="24"/>
        </w:rPr>
        <w:t xml:space="preserve">was </w:t>
      </w:r>
      <w:r>
        <w:rPr>
          <w:rFonts w:ascii="Arial" w:hAnsi="Arial" w:cs="Arial"/>
          <w:sz w:val="24"/>
          <w:szCs w:val="24"/>
        </w:rPr>
        <w:t xml:space="preserve"> </w:t>
      </w:r>
      <w:r w:rsidR="00CE307D">
        <w:rPr>
          <w:rFonts w:ascii="Arial" w:hAnsi="Arial" w:cs="Arial"/>
          <w:sz w:val="24"/>
          <w:szCs w:val="24"/>
        </w:rPr>
        <w:t xml:space="preserve">ensured </w:t>
      </w:r>
      <w:r>
        <w:rPr>
          <w:rFonts w:ascii="Arial" w:hAnsi="Arial" w:cs="Arial"/>
          <w:sz w:val="24"/>
          <w:szCs w:val="24"/>
        </w:rPr>
        <w:t>through</w:t>
      </w:r>
      <w:r w:rsidRPr="00D65D52">
        <w:rPr>
          <w:rFonts w:ascii="Arial" w:hAnsi="Arial" w:cs="Arial"/>
          <w:sz w:val="24"/>
          <w:szCs w:val="24"/>
        </w:rPr>
        <w:t xml:space="preserve"> </w:t>
      </w:r>
      <w:r>
        <w:rPr>
          <w:rFonts w:ascii="Arial" w:hAnsi="Arial" w:cs="Arial"/>
          <w:sz w:val="24"/>
          <w:szCs w:val="24"/>
        </w:rPr>
        <w:t xml:space="preserve">review </w:t>
      </w:r>
      <w:r w:rsidR="00C2322F">
        <w:rPr>
          <w:rFonts w:ascii="Arial" w:hAnsi="Arial" w:cs="Arial"/>
          <w:sz w:val="24"/>
          <w:szCs w:val="24"/>
        </w:rPr>
        <w:t xml:space="preserve">and approval </w:t>
      </w:r>
      <w:r>
        <w:rPr>
          <w:rFonts w:ascii="Arial" w:hAnsi="Arial" w:cs="Arial"/>
          <w:sz w:val="24"/>
          <w:szCs w:val="24"/>
        </w:rPr>
        <w:t xml:space="preserve">by </w:t>
      </w:r>
      <w:r w:rsidR="001403F7">
        <w:rPr>
          <w:rFonts w:ascii="Arial" w:hAnsi="Arial" w:cs="Arial"/>
          <w:sz w:val="24"/>
          <w:szCs w:val="24"/>
        </w:rPr>
        <w:t>the</w:t>
      </w:r>
      <w:r w:rsidR="00CE307D">
        <w:rPr>
          <w:rFonts w:ascii="Arial" w:hAnsi="Arial" w:cs="Arial"/>
          <w:sz w:val="24"/>
          <w:szCs w:val="24"/>
        </w:rPr>
        <w:t xml:space="preserve"> </w:t>
      </w:r>
      <w:r w:rsidR="00C2322F">
        <w:rPr>
          <w:rFonts w:ascii="Arial" w:hAnsi="Arial" w:cs="Arial"/>
          <w:sz w:val="24"/>
          <w:szCs w:val="24"/>
        </w:rPr>
        <w:t>Massachusetts Department of Public Health</w:t>
      </w:r>
      <w:r w:rsidRPr="00D65D52">
        <w:rPr>
          <w:rFonts w:ascii="Arial" w:hAnsi="Arial" w:cs="Arial"/>
          <w:sz w:val="24"/>
          <w:szCs w:val="24"/>
        </w:rPr>
        <w:t xml:space="preserve"> Institutional Review Board</w:t>
      </w:r>
      <w:r w:rsidR="00C2322F">
        <w:rPr>
          <w:rFonts w:ascii="Arial" w:hAnsi="Arial" w:cs="Arial"/>
          <w:sz w:val="24"/>
          <w:szCs w:val="24"/>
        </w:rPr>
        <w:t xml:space="preserve"> (IRB)</w:t>
      </w:r>
      <w:r w:rsidR="00516ADA">
        <w:rPr>
          <w:rFonts w:ascii="Arial" w:hAnsi="Arial" w:cs="Arial"/>
          <w:sz w:val="24"/>
          <w:szCs w:val="24"/>
        </w:rPr>
        <w:t>,</w:t>
      </w:r>
      <w:r w:rsidRPr="00D65D52">
        <w:rPr>
          <w:rFonts w:ascii="Arial" w:hAnsi="Arial" w:cs="Arial"/>
          <w:sz w:val="24"/>
          <w:szCs w:val="24"/>
        </w:rPr>
        <w:t xml:space="preserve"> and the Commissioner of Public Health pursuant to M.G.L. c.111, §</w:t>
      </w:r>
      <w:r>
        <w:rPr>
          <w:rFonts w:ascii="Arial" w:hAnsi="Arial" w:cs="Arial"/>
          <w:sz w:val="24"/>
          <w:szCs w:val="24"/>
        </w:rPr>
        <w:t xml:space="preserve"> </w:t>
      </w:r>
      <w:r w:rsidRPr="00D65D52">
        <w:rPr>
          <w:rFonts w:ascii="Arial" w:hAnsi="Arial" w:cs="Arial"/>
          <w:sz w:val="24"/>
          <w:szCs w:val="24"/>
        </w:rPr>
        <w:t xml:space="preserve">24A. </w:t>
      </w:r>
      <w:r>
        <w:rPr>
          <w:rFonts w:ascii="Arial" w:hAnsi="Arial" w:cs="Arial"/>
          <w:sz w:val="24"/>
          <w:szCs w:val="24"/>
        </w:rPr>
        <w:t xml:space="preserve"> </w:t>
      </w:r>
      <w:r w:rsidRPr="00D65D52">
        <w:rPr>
          <w:rFonts w:ascii="Arial" w:hAnsi="Arial" w:cs="Arial"/>
          <w:sz w:val="24"/>
          <w:szCs w:val="24"/>
        </w:rPr>
        <w:t xml:space="preserve">For </w:t>
      </w:r>
      <w:r w:rsidR="00516ADA">
        <w:rPr>
          <w:rFonts w:ascii="Arial" w:hAnsi="Arial" w:cs="Arial"/>
          <w:sz w:val="24"/>
          <w:szCs w:val="24"/>
        </w:rPr>
        <w:t xml:space="preserve">questions related to </w:t>
      </w:r>
      <w:r w:rsidR="00C2322F">
        <w:rPr>
          <w:rFonts w:ascii="Arial" w:hAnsi="Arial" w:cs="Arial"/>
          <w:sz w:val="24"/>
          <w:szCs w:val="24"/>
        </w:rPr>
        <w:t>IRB</w:t>
      </w:r>
      <w:r w:rsidR="00516ADA">
        <w:rPr>
          <w:rFonts w:ascii="Arial" w:hAnsi="Arial" w:cs="Arial"/>
          <w:sz w:val="24"/>
          <w:szCs w:val="24"/>
        </w:rPr>
        <w:t xml:space="preserve"> or </w:t>
      </w:r>
      <w:r w:rsidR="00516ADA" w:rsidRPr="00516ADA">
        <w:rPr>
          <w:rFonts w:ascii="Arial" w:hAnsi="Arial" w:cs="Arial"/>
          <w:sz w:val="24"/>
          <w:szCs w:val="24"/>
        </w:rPr>
        <w:t>§ 24A</w:t>
      </w:r>
      <w:r w:rsidR="00516ADA">
        <w:rPr>
          <w:rFonts w:ascii="Arial" w:hAnsi="Arial" w:cs="Arial"/>
          <w:sz w:val="24"/>
          <w:szCs w:val="24"/>
        </w:rPr>
        <w:t xml:space="preserve"> protections</w:t>
      </w:r>
      <w:r w:rsidR="00C2322F">
        <w:rPr>
          <w:rFonts w:ascii="Arial" w:hAnsi="Arial" w:cs="Arial"/>
          <w:sz w:val="24"/>
          <w:szCs w:val="24"/>
        </w:rPr>
        <w:t xml:space="preserve">, </w:t>
      </w:r>
      <w:r>
        <w:rPr>
          <w:rFonts w:ascii="Arial" w:hAnsi="Arial" w:cs="Arial"/>
          <w:sz w:val="24"/>
          <w:szCs w:val="24"/>
        </w:rPr>
        <w:t xml:space="preserve">please contact </w:t>
      </w:r>
      <w:r w:rsidR="00CE307D">
        <w:rPr>
          <w:rFonts w:ascii="Arial" w:hAnsi="Arial" w:cs="Arial"/>
          <w:sz w:val="24"/>
          <w:szCs w:val="24"/>
        </w:rPr>
        <w:t xml:space="preserve">the </w:t>
      </w:r>
      <w:r w:rsidR="001403F7" w:rsidRPr="001403F7">
        <w:rPr>
          <w:rFonts w:ascii="Arial" w:hAnsi="Arial" w:cs="Arial"/>
          <w:sz w:val="24"/>
          <w:szCs w:val="24"/>
        </w:rPr>
        <w:t xml:space="preserve">Institutional Review Board </w:t>
      </w:r>
      <w:r w:rsidR="001403F7">
        <w:rPr>
          <w:rFonts w:ascii="Arial" w:hAnsi="Arial" w:cs="Arial"/>
          <w:sz w:val="24"/>
          <w:szCs w:val="24"/>
        </w:rPr>
        <w:t xml:space="preserve">at </w:t>
      </w:r>
      <w:r w:rsidRPr="00D65D52">
        <w:rPr>
          <w:rFonts w:ascii="Arial" w:hAnsi="Arial" w:cs="Arial"/>
          <w:sz w:val="24"/>
          <w:szCs w:val="24"/>
        </w:rPr>
        <w:t>617-624-5621</w:t>
      </w:r>
      <w:r w:rsidR="001403F7">
        <w:rPr>
          <w:rFonts w:ascii="Arial" w:hAnsi="Arial" w:cs="Arial"/>
          <w:sz w:val="24"/>
          <w:szCs w:val="24"/>
        </w:rPr>
        <w:t xml:space="preserve"> </w:t>
      </w:r>
      <w:r w:rsidRPr="00D65D52">
        <w:rPr>
          <w:rFonts w:ascii="Arial" w:hAnsi="Arial" w:cs="Arial"/>
          <w:sz w:val="24"/>
          <w:szCs w:val="24"/>
        </w:rPr>
        <w:t>and refe</w:t>
      </w:r>
      <w:r>
        <w:rPr>
          <w:rFonts w:ascii="Arial" w:hAnsi="Arial" w:cs="Arial"/>
          <w:sz w:val="24"/>
          <w:szCs w:val="24"/>
        </w:rPr>
        <w:t xml:space="preserve">rence </w:t>
      </w:r>
      <w:r w:rsidR="00C2322F">
        <w:rPr>
          <w:rFonts w:ascii="Arial" w:hAnsi="Arial" w:cs="Arial"/>
          <w:sz w:val="24"/>
          <w:szCs w:val="24"/>
        </w:rPr>
        <w:t xml:space="preserve">the </w:t>
      </w:r>
      <w:r w:rsidR="00C2322F" w:rsidRPr="00C2322F">
        <w:rPr>
          <w:rFonts w:ascii="Arial" w:hAnsi="Arial" w:cs="Arial"/>
          <w:sz w:val="24"/>
          <w:szCs w:val="24"/>
        </w:rPr>
        <w:t>Marijuana Baseline Health Study</w:t>
      </w:r>
      <w:r w:rsidR="00C2322F">
        <w:rPr>
          <w:rFonts w:ascii="Arial" w:hAnsi="Arial" w:cs="Arial"/>
          <w:sz w:val="24"/>
          <w:szCs w:val="24"/>
        </w:rPr>
        <w:t>, Principal Investigator</w:t>
      </w:r>
      <w:r w:rsidR="00516ADA">
        <w:rPr>
          <w:rFonts w:ascii="Arial" w:hAnsi="Arial" w:cs="Arial"/>
          <w:sz w:val="24"/>
          <w:szCs w:val="24"/>
        </w:rPr>
        <w:t xml:space="preserve"> Marc A. Nascarella, PhD</w:t>
      </w:r>
      <w:r w:rsidR="00C2322F">
        <w:rPr>
          <w:rFonts w:ascii="Arial" w:hAnsi="Arial" w:cs="Arial"/>
          <w:sz w:val="24"/>
          <w:szCs w:val="24"/>
        </w:rPr>
        <w:t xml:space="preserve">, </w:t>
      </w:r>
      <w:r w:rsidRPr="00D65D52">
        <w:rPr>
          <w:rFonts w:ascii="Arial" w:hAnsi="Arial" w:cs="Arial"/>
          <w:sz w:val="24"/>
          <w:szCs w:val="24"/>
        </w:rPr>
        <w:t>IRB# 1081301</w:t>
      </w:r>
      <w:r>
        <w:rPr>
          <w:rFonts w:ascii="Arial" w:hAnsi="Arial" w:cs="Arial"/>
          <w:sz w:val="24"/>
          <w:szCs w:val="24"/>
        </w:rPr>
        <w:t xml:space="preserve">.  </w:t>
      </w:r>
    </w:p>
    <w:p w:rsidR="00053395" w:rsidRDefault="00053395">
      <w:pPr>
        <w:rPr>
          <w:rFonts w:ascii="Arial" w:hAnsi="Arial" w:cs="Arial"/>
          <w:b/>
          <w:sz w:val="24"/>
          <w:szCs w:val="24"/>
        </w:rPr>
      </w:pPr>
    </w:p>
    <w:p w:rsidR="000610F1" w:rsidRDefault="000610F1">
      <w:pPr>
        <w:rPr>
          <w:rFonts w:ascii="Arial" w:eastAsiaTheme="majorEastAsia" w:hAnsi="Arial" w:cs="Arial"/>
          <w:b/>
          <w:sz w:val="28"/>
          <w:szCs w:val="24"/>
        </w:rPr>
      </w:pPr>
      <w:r>
        <w:br w:type="page"/>
      </w:r>
    </w:p>
    <w:p w:rsidR="00724391" w:rsidRDefault="00724391" w:rsidP="000610F1">
      <w:pPr>
        <w:pStyle w:val="Heading2"/>
      </w:pPr>
      <w:bookmarkStart w:id="3" w:name="_Toc12529110"/>
      <w:r w:rsidRPr="00724391">
        <w:lastRenderedPageBreak/>
        <w:t>Introduction</w:t>
      </w:r>
      <w:bookmarkEnd w:id="3"/>
    </w:p>
    <w:p w:rsidR="006057BE" w:rsidRPr="00724391" w:rsidRDefault="006057BE" w:rsidP="000610F1">
      <w:pPr>
        <w:spacing w:after="0" w:line="240" w:lineRule="auto"/>
        <w:rPr>
          <w:rFonts w:ascii="Arial" w:hAnsi="Arial" w:cs="Arial"/>
          <w:b/>
          <w:sz w:val="24"/>
          <w:szCs w:val="24"/>
        </w:rPr>
      </w:pPr>
    </w:p>
    <w:p w:rsidR="006057BE" w:rsidRDefault="00724391" w:rsidP="000610F1">
      <w:pPr>
        <w:spacing w:after="0" w:line="240" w:lineRule="auto"/>
        <w:rPr>
          <w:rFonts w:ascii="Arial" w:hAnsi="Arial" w:cs="Arial"/>
          <w:sz w:val="24"/>
          <w:szCs w:val="24"/>
        </w:rPr>
      </w:pPr>
      <w:r w:rsidRPr="00724391">
        <w:rPr>
          <w:rFonts w:ascii="Arial" w:hAnsi="Arial" w:cs="Arial"/>
          <w:sz w:val="24"/>
          <w:szCs w:val="24"/>
        </w:rPr>
        <w:t xml:space="preserve">A legislative mandate required the Massachusetts Department of Public Health (DPH) to conduct a baseline study to investigate three topics: (1) Patterns of use, methods of consumption, and general perceptions of marijuana; (2) Incidents of impaired driving and hospitalization related to marijuana use; and (3) Economic and fiscal impacts for state and local governments (Chapter 351 of the acts of 2016).  This study, referred to as the Marijuana Baseline Health Study (MBHS), was conducted by DPH, under the leadership of the DPH Commissioner, in consultation with the Executive Office of Health and Human Services, the Executive Office for Administration and Finance, and the Executive Office </w:t>
      </w:r>
      <w:r w:rsidR="00625B58">
        <w:rPr>
          <w:rFonts w:ascii="Arial" w:hAnsi="Arial" w:cs="Arial"/>
          <w:sz w:val="24"/>
          <w:szCs w:val="24"/>
        </w:rPr>
        <w:t xml:space="preserve">of Public Safety and Security. </w:t>
      </w:r>
      <w:r w:rsidRPr="00724391">
        <w:rPr>
          <w:rFonts w:ascii="Arial" w:hAnsi="Arial" w:cs="Arial"/>
          <w:sz w:val="24"/>
          <w:szCs w:val="24"/>
        </w:rPr>
        <w:t>Pursuant to the legislative mandate, DPH entered into an agreement with the following research entities to assist with</w:t>
      </w:r>
      <w:r w:rsidR="00BC38C6">
        <w:rPr>
          <w:rFonts w:ascii="Arial" w:hAnsi="Arial" w:cs="Arial"/>
          <w:sz w:val="24"/>
          <w:szCs w:val="24"/>
        </w:rPr>
        <w:t xml:space="preserve"> the execution the study: </w:t>
      </w:r>
      <w:r w:rsidR="001403F7" w:rsidRPr="001403F7">
        <w:rPr>
          <w:rFonts w:ascii="Arial" w:hAnsi="Arial" w:cs="Arial"/>
          <w:sz w:val="24"/>
          <w:szCs w:val="24"/>
        </w:rPr>
        <w:t>University of Massachusetts Donahue Institute</w:t>
      </w:r>
      <w:r w:rsidRPr="00724391">
        <w:rPr>
          <w:rFonts w:ascii="Arial" w:hAnsi="Arial" w:cs="Arial"/>
          <w:sz w:val="24"/>
          <w:szCs w:val="24"/>
        </w:rPr>
        <w:t xml:space="preserve">, Mathematica Policy Research Inc., and JSI Research and Training, Inc.  </w:t>
      </w:r>
      <w:r w:rsidR="00645716" w:rsidRPr="00645716">
        <w:rPr>
          <w:rFonts w:ascii="Arial" w:hAnsi="Arial" w:cs="Arial"/>
          <w:sz w:val="24"/>
          <w:szCs w:val="24"/>
        </w:rPr>
        <w:t>Pursuant to Section 18 of Chapter 351 of the Acts of 2016, a Report of Findings was submitted to the legislature on June 29, 2018.  This document serves as the Final Report</w:t>
      </w:r>
    </w:p>
    <w:p w:rsidR="00645716" w:rsidRPr="00724391" w:rsidRDefault="00645716" w:rsidP="000610F1">
      <w:pPr>
        <w:spacing w:after="0" w:line="240" w:lineRule="auto"/>
        <w:rPr>
          <w:rFonts w:ascii="Arial" w:hAnsi="Arial" w:cs="Arial"/>
          <w:sz w:val="24"/>
          <w:szCs w:val="24"/>
        </w:rPr>
      </w:pPr>
    </w:p>
    <w:p w:rsidR="00724391" w:rsidRDefault="00724391" w:rsidP="000610F1">
      <w:pPr>
        <w:spacing w:after="0" w:line="240" w:lineRule="auto"/>
        <w:rPr>
          <w:rFonts w:ascii="Arial" w:hAnsi="Arial" w:cs="Arial"/>
          <w:b/>
          <w:sz w:val="24"/>
          <w:szCs w:val="24"/>
        </w:rPr>
      </w:pPr>
      <w:r w:rsidRPr="00724391">
        <w:rPr>
          <w:rFonts w:ascii="Arial" w:hAnsi="Arial" w:cs="Arial"/>
          <w:b/>
          <w:sz w:val="24"/>
          <w:szCs w:val="24"/>
        </w:rPr>
        <w:t>Topic 1: Patterns of Use and Perceptions of Marijuana</w:t>
      </w:r>
    </w:p>
    <w:p w:rsidR="006057BE" w:rsidRPr="00724391" w:rsidRDefault="006057BE" w:rsidP="000610F1">
      <w:pPr>
        <w:spacing w:after="0" w:line="240" w:lineRule="auto"/>
        <w:rPr>
          <w:rFonts w:ascii="Arial" w:hAnsi="Arial" w:cs="Arial"/>
          <w:b/>
          <w:sz w:val="24"/>
          <w:szCs w:val="24"/>
        </w:rPr>
      </w:pPr>
    </w:p>
    <w:p w:rsidR="00724391" w:rsidRPr="006057BE" w:rsidRDefault="00724391" w:rsidP="000610F1">
      <w:pPr>
        <w:pStyle w:val="ListParagraph"/>
        <w:numPr>
          <w:ilvl w:val="0"/>
          <w:numId w:val="25"/>
        </w:numPr>
        <w:spacing w:after="0" w:line="240" w:lineRule="auto"/>
        <w:rPr>
          <w:rFonts w:ascii="Arial" w:hAnsi="Arial" w:cs="Arial"/>
          <w:b/>
          <w:sz w:val="24"/>
          <w:szCs w:val="24"/>
        </w:rPr>
      </w:pPr>
      <w:r w:rsidRPr="006057BE">
        <w:rPr>
          <w:rFonts w:ascii="Arial" w:hAnsi="Arial" w:cs="Arial"/>
          <w:b/>
          <w:sz w:val="24"/>
          <w:szCs w:val="24"/>
        </w:rPr>
        <w:t xml:space="preserve">Retrospective Evaluation </w:t>
      </w:r>
    </w:p>
    <w:p w:rsidR="006057BE" w:rsidRPr="006057BE" w:rsidRDefault="006057BE" w:rsidP="000610F1">
      <w:pPr>
        <w:pStyle w:val="ListParagraph"/>
        <w:spacing w:after="0" w:line="240" w:lineRule="auto"/>
        <w:ind w:left="1140"/>
        <w:rPr>
          <w:rFonts w:ascii="Arial" w:hAnsi="Arial" w:cs="Arial"/>
          <w:b/>
          <w:sz w:val="24"/>
          <w:szCs w:val="24"/>
        </w:rPr>
      </w:pPr>
    </w:p>
    <w:p w:rsidR="00724391" w:rsidRPr="00724391" w:rsidRDefault="00724391" w:rsidP="000610F1">
      <w:pPr>
        <w:spacing w:after="0" w:line="240" w:lineRule="auto"/>
        <w:rPr>
          <w:rFonts w:ascii="Arial" w:hAnsi="Arial" w:cs="Arial"/>
          <w:sz w:val="24"/>
          <w:szCs w:val="24"/>
        </w:rPr>
      </w:pPr>
      <w:r w:rsidRPr="00724391">
        <w:rPr>
          <w:rFonts w:ascii="Arial" w:hAnsi="Arial" w:cs="Arial"/>
          <w:sz w:val="24"/>
          <w:szCs w:val="24"/>
        </w:rPr>
        <w:t>A retrospective analysis of previous surveys of “marijuana use” was conducted by comparing national and state-specific information from three states which have legalized marijuana, compared to three states which have not.  This evaluation was conducted to identify indicators which may be sensitive to factors associated with legalization of marijuana, thus providing a valuable reference to monitor trends in use and perceptions of marijuana as the legaliz</w:t>
      </w:r>
      <w:r w:rsidR="00040913">
        <w:rPr>
          <w:rFonts w:ascii="Arial" w:hAnsi="Arial" w:cs="Arial"/>
          <w:sz w:val="24"/>
          <w:szCs w:val="24"/>
        </w:rPr>
        <w:t xml:space="preserve">ation of marijuana progresses. </w:t>
      </w:r>
      <w:r w:rsidRPr="00724391">
        <w:rPr>
          <w:rFonts w:ascii="Arial" w:hAnsi="Arial" w:cs="Arial"/>
          <w:sz w:val="24"/>
          <w:szCs w:val="24"/>
        </w:rPr>
        <w:t>This retrospective analysis suggests that thirteen different indicators from national surveys with information available at the state level appear to be responsive to factors associated with the legalization of marijuana and sensitive to changes over time. These indicators include evaluating if minors have “ever used marijuana,” and if they “believe occasional use poses no risk of harm.”  The evaluation also suggests that monitoring similar indicators in adults is valuable, as well as monitoring indicators of “perceptions of great risk from smoking marijuana once a month” and “any use in the past year.”</w:t>
      </w:r>
    </w:p>
    <w:p w:rsidR="00724391" w:rsidRPr="00724391" w:rsidRDefault="00724391" w:rsidP="000610F1">
      <w:pPr>
        <w:spacing w:after="0" w:line="240" w:lineRule="auto"/>
        <w:rPr>
          <w:rFonts w:ascii="Arial" w:hAnsi="Arial" w:cs="Arial"/>
          <w:sz w:val="24"/>
          <w:szCs w:val="24"/>
        </w:rPr>
      </w:pPr>
    </w:p>
    <w:p w:rsidR="006057BE" w:rsidRPr="006057BE" w:rsidRDefault="00724391" w:rsidP="000610F1">
      <w:pPr>
        <w:pStyle w:val="ListParagraph"/>
        <w:numPr>
          <w:ilvl w:val="0"/>
          <w:numId w:val="25"/>
        </w:numPr>
        <w:spacing w:after="0" w:line="240" w:lineRule="auto"/>
        <w:rPr>
          <w:rFonts w:ascii="Arial" w:hAnsi="Arial" w:cs="Arial"/>
          <w:b/>
          <w:sz w:val="24"/>
          <w:szCs w:val="24"/>
        </w:rPr>
      </w:pPr>
      <w:r w:rsidRPr="006057BE">
        <w:rPr>
          <w:rFonts w:ascii="Arial" w:hAnsi="Arial" w:cs="Arial"/>
          <w:b/>
          <w:sz w:val="24"/>
          <w:szCs w:val="24"/>
        </w:rPr>
        <w:t>Statewide Survey</w:t>
      </w:r>
    </w:p>
    <w:p w:rsidR="00724391" w:rsidRPr="006057BE" w:rsidRDefault="00724391" w:rsidP="000610F1">
      <w:pPr>
        <w:pStyle w:val="ListParagraph"/>
        <w:spacing w:after="0" w:line="240" w:lineRule="auto"/>
        <w:ind w:left="1140"/>
        <w:rPr>
          <w:rFonts w:ascii="Arial" w:hAnsi="Arial" w:cs="Arial"/>
          <w:b/>
          <w:sz w:val="24"/>
          <w:szCs w:val="24"/>
        </w:rPr>
      </w:pPr>
      <w:r w:rsidRPr="006057BE">
        <w:rPr>
          <w:rFonts w:ascii="Arial" w:hAnsi="Arial" w:cs="Arial"/>
          <w:b/>
          <w:sz w:val="24"/>
          <w:szCs w:val="24"/>
        </w:rPr>
        <w:t xml:space="preserve"> </w:t>
      </w:r>
    </w:p>
    <w:p w:rsidR="00724391" w:rsidRDefault="00724391" w:rsidP="000610F1">
      <w:pPr>
        <w:spacing w:after="0" w:line="240" w:lineRule="auto"/>
        <w:rPr>
          <w:rFonts w:ascii="Arial" w:hAnsi="Arial" w:cs="Arial"/>
          <w:sz w:val="24"/>
          <w:szCs w:val="24"/>
        </w:rPr>
      </w:pPr>
      <w:r w:rsidRPr="00724391">
        <w:rPr>
          <w:rFonts w:ascii="Arial" w:hAnsi="Arial" w:cs="Arial"/>
          <w:sz w:val="24"/>
          <w:szCs w:val="24"/>
        </w:rPr>
        <w:t xml:space="preserve">A cross-sectional population-based survey of adults was conducted to assess past 30-day use of marijuana, </w:t>
      </w:r>
      <w:r w:rsidR="00040913">
        <w:rPr>
          <w:rFonts w:ascii="Arial" w:hAnsi="Arial" w:cs="Arial"/>
          <w:sz w:val="24"/>
          <w:szCs w:val="24"/>
        </w:rPr>
        <w:t xml:space="preserve">alcohol, and other substances. </w:t>
      </w:r>
      <w:r w:rsidRPr="00724391">
        <w:rPr>
          <w:rFonts w:ascii="Arial" w:hAnsi="Arial" w:cs="Arial"/>
          <w:sz w:val="24"/>
          <w:szCs w:val="24"/>
        </w:rPr>
        <w:t>For each of these three substance types, the survey collected information on frequency of use, spending on the substance, driving under the influence, riding as a passenger with a driver under the influence, and use of emergency</w:t>
      </w:r>
      <w:r w:rsidR="00040913">
        <w:rPr>
          <w:rFonts w:ascii="Arial" w:hAnsi="Arial" w:cs="Arial"/>
          <w:sz w:val="24"/>
          <w:szCs w:val="24"/>
        </w:rPr>
        <w:t xml:space="preserve"> room or urgent care services. </w:t>
      </w:r>
      <w:r w:rsidRPr="00724391">
        <w:rPr>
          <w:rFonts w:ascii="Arial" w:hAnsi="Arial" w:cs="Arial"/>
          <w:sz w:val="24"/>
          <w:szCs w:val="24"/>
        </w:rPr>
        <w:t>The mail and web-based survey was designed to be representative of adults in Massach</w:t>
      </w:r>
      <w:r w:rsidR="00040913">
        <w:rPr>
          <w:rFonts w:ascii="Arial" w:hAnsi="Arial" w:cs="Arial"/>
          <w:sz w:val="24"/>
          <w:szCs w:val="24"/>
        </w:rPr>
        <w:t xml:space="preserve">usetts, age 18 years or older. </w:t>
      </w:r>
      <w:r w:rsidRPr="00724391">
        <w:rPr>
          <w:rFonts w:ascii="Arial" w:hAnsi="Arial" w:cs="Arial"/>
          <w:sz w:val="24"/>
          <w:szCs w:val="24"/>
        </w:rPr>
        <w:t xml:space="preserve">Participants were chosen randomly using address-based sampling from a list of Massachusetts residential households obtained through a sampling vendor. The sample was stratified by 6 regions (Boston, Central, Metrowest, Northwest, Southeast, and </w:t>
      </w:r>
      <w:r w:rsidRPr="00724391">
        <w:rPr>
          <w:rFonts w:ascii="Arial" w:hAnsi="Arial" w:cs="Arial"/>
          <w:sz w:val="24"/>
          <w:szCs w:val="24"/>
        </w:rPr>
        <w:lastRenderedPageBreak/>
        <w:t>Western). A simple random sample of 15,000 addresses were selected to participate with an equal number of households (n = 2,5</w:t>
      </w:r>
      <w:r>
        <w:rPr>
          <w:rFonts w:ascii="Arial" w:hAnsi="Arial" w:cs="Arial"/>
          <w:sz w:val="24"/>
          <w:szCs w:val="24"/>
        </w:rPr>
        <w:t>00) selected from each region.</w:t>
      </w:r>
    </w:p>
    <w:p w:rsidR="00D8669B" w:rsidRPr="00724391" w:rsidRDefault="00D8669B" w:rsidP="000610F1">
      <w:pPr>
        <w:spacing w:after="0" w:line="240" w:lineRule="auto"/>
        <w:rPr>
          <w:rFonts w:ascii="Arial" w:hAnsi="Arial" w:cs="Arial"/>
          <w:sz w:val="24"/>
          <w:szCs w:val="24"/>
        </w:rPr>
      </w:pPr>
    </w:p>
    <w:p w:rsidR="00724391" w:rsidRDefault="00724391" w:rsidP="000610F1">
      <w:pPr>
        <w:spacing w:after="0" w:line="240" w:lineRule="auto"/>
        <w:rPr>
          <w:rFonts w:ascii="Arial" w:hAnsi="Arial" w:cs="Arial"/>
          <w:sz w:val="24"/>
          <w:szCs w:val="24"/>
        </w:rPr>
      </w:pPr>
      <w:r w:rsidRPr="00724391">
        <w:rPr>
          <w:rFonts w:ascii="Arial" w:hAnsi="Arial" w:cs="Arial"/>
          <w:sz w:val="24"/>
          <w:szCs w:val="24"/>
        </w:rPr>
        <w:t>Once duplicates were removed from the study results, there were 3,022 individuals that responded to the survey (21.8% response rate). The respondent data was weighted to allow estimates to be representative of the en</w:t>
      </w:r>
      <w:r w:rsidR="00040913">
        <w:rPr>
          <w:rFonts w:ascii="Arial" w:hAnsi="Arial" w:cs="Arial"/>
          <w:sz w:val="24"/>
          <w:szCs w:val="24"/>
        </w:rPr>
        <w:t xml:space="preserve">tire Massachusetts population. </w:t>
      </w:r>
      <w:r w:rsidRPr="00724391">
        <w:rPr>
          <w:rFonts w:ascii="Arial" w:hAnsi="Arial" w:cs="Arial"/>
          <w:sz w:val="24"/>
          <w:szCs w:val="24"/>
        </w:rPr>
        <w:t xml:space="preserve">These weighted results suggest that 21% of adults in Massachusetts have used marijuana in the past 30 days; </w:t>
      </w:r>
      <w:r w:rsidR="00625B58">
        <w:rPr>
          <w:rFonts w:ascii="Arial" w:hAnsi="Arial" w:cs="Arial"/>
          <w:sz w:val="24"/>
          <w:szCs w:val="24"/>
        </w:rPr>
        <w:t xml:space="preserve">26% of men and 17.0% of women. </w:t>
      </w:r>
      <w:r w:rsidRPr="00724391">
        <w:rPr>
          <w:rFonts w:ascii="Arial" w:hAnsi="Arial" w:cs="Arial"/>
          <w:sz w:val="24"/>
          <w:szCs w:val="24"/>
        </w:rPr>
        <w:t>The proportion of marijuana use was highest among those 18-20 years of age and 21-25 years (54.4% and 49.1%, respectively), as compared to older age groups.  Eighteen percent of adults aged 26 or older had used marijuana in the past 30 days. By region, residents in the Western area of the state report the highest prevalence of past 30-day marijuana use (~30%).  Among marijuana users living in Massachusetts, most are White, 70.8%, and many fewer are Hispanic, 12.0%, Black, 7.1%, other, 6.9%, or Asian, 3.2%.  In statistical analysis of the data (which accounted for the effect of other factors), race/ethnicity was not associated with marijuana use, suggesting that the likelihood of using marijuana is similar for each group (compared to Whites). Fifty-three percent of adults perceive marijuana to have slight or no risks.  The patterns of marijuana consumption indicate that smoking is most common, although 43% of marijuana users report using more than just one method.  More than half of all adult marijuana users (56.0%) report using marijuana only for adult non-medical purposes.  Data suggest that men are more likely than women to report past 30-day use, and adults 18-20 years old are more likely to have used marijuana, compared to adults older than 26 years old.  Marijuana use is positively associated</w:t>
      </w:r>
      <w:r w:rsidR="00625B58">
        <w:rPr>
          <w:rFonts w:ascii="Arial" w:hAnsi="Arial" w:cs="Arial"/>
          <w:sz w:val="24"/>
          <w:szCs w:val="24"/>
        </w:rPr>
        <w:t xml:space="preserve"> with past 30-day alcohol use. </w:t>
      </w:r>
      <w:r w:rsidRPr="00724391">
        <w:rPr>
          <w:rFonts w:ascii="Arial" w:hAnsi="Arial" w:cs="Arial"/>
          <w:sz w:val="24"/>
          <w:szCs w:val="24"/>
        </w:rPr>
        <w:t>Population groups such as men, White, non-Hispanic individuals and individuals age 18-20 years had the highest prevalence of marijuana use, when compared to other group</w:t>
      </w:r>
      <w:r>
        <w:rPr>
          <w:rFonts w:ascii="Arial" w:hAnsi="Arial" w:cs="Arial"/>
          <w:sz w:val="24"/>
          <w:szCs w:val="24"/>
        </w:rPr>
        <w:t xml:space="preserve">s. </w:t>
      </w:r>
    </w:p>
    <w:p w:rsidR="00D8669B" w:rsidRPr="00724391" w:rsidRDefault="00D8669B" w:rsidP="000610F1">
      <w:pPr>
        <w:spacing w:after="0" w:line="240" w:lineRule="auto"/>
        <w:rPr>
          <w:rFonts w:ascii="Arial" w:hAnsi="Arial" w:cs="Arial"/>
          <w:sz w:val="24"/>
          <w:szCs w:val="24"/>
        </w:rPr>
      </w:pPr>
    </w:p>
    <w:p w:rsidR="00724391" w:rsidRPr="00D8669B" w:rsidRDefault="00724391" w:rsidP="000610F1">
      <w:pPr>
        <w:pStyle w:val="ListParagraph"/>
        <w:numPr>
          <w:ilvl w:val="0"/>
          <w:numId w:val="25"/>
        </w:numPr>
        <w:spacing w:after="0" w:line="240" w:lineRule="auto"/>
        <w:rPr>
          <w:rFonts w:ascii="Arial" w:hAnsi="Arial" w:cs="Arial"/>
          <w:b/>
          <w:sz w:val="24"/>
          <w:szCs w:val="24"/>
        </w:rPr>
      </w:pPr>
      <w:r w:rsidRPr="00D8669B">
        <w:rPr>
          <w:rFonts w:ascii="Arial" w:hAnsi="Arial" w:cs="Arial"/>
          <w:b/>
          <w:sz w:val="24"/>
          <w:szCs w:val="24"/>
        </w:rPr>
        <w:t>Survey of Medical Use of Marijuana Patients</w:t>
      </w:r>
    </w:p>
    <w:p w:rsidR="00D8669B" w:rsidRPr="00D8669B" w:rsidRDefault="00D8669B" w:rsidP="000610F1">
      <w:pPr>
        <w:pStyle w:val="ListParagraph"/>
        <w:spacing w:after="0" w:line="240" w:lineRule="auto"/>
        <w:ind w:left="1140"/>
        <w:rPr>
          <w:rFonts w:ascii="Arial" w:hAnsi="Arial" w:cs="Arial"/>
          <w:b/>
          <w:sz w:val="24"/>
          <w:szCs w:val="24"/>
        </w:rPr>
      </w:pPr>
    </w:p>
    <w:p w:rsidR="00724391" w:rsidRDefault="00724391" w:rsidP="000610F1">
      <w:pPr>
        <w:spacing w:after="0" w:line="240" w:lineRule="auto"/>
        <w:rPr>
          <w:rFonts w:ascii="Arial" w:hAnsi="Arial" w:cs="Arial"/>
          <w:sz w:val="24"/>
          <w:szCs w:val="24"/>
        </w:rPr>
      </w:pPr>
      <w:r w:rsidRPr="00724391">
        <w:rPr>
          <w:rFonts w:ascii="Arial" w:hAnsi="Arial" w:cs="Arial"/>
          <w:sz w:val="24"/>
          <w:szCs w:val="24"/>
        </w:rPr>
        <w:t xml:space="preserve">An online survey of the patterns of use and perceptions of marijuana was sent to patients actively using medical marijuana.  The survey remained open for approximately 5 weeks, with a stated goal of characterizing how regulated legal retail marijuana is consumed in Massachusetts.  The survey included 81 questions focused on collecting information on demographics, product use, methods of use, perceptions of medical use, driving behavior, alcohol consumption, non-medical use of prescription drugs and other substances, and combined substance use.  </w:t>
      </w:r>
    </w:p>
    <w:p w:rsidR="00D8669B" w:rsidRPr="00724391" w:rsidRDefault="00D8669B" w:rsidP="000610F1">
      <w:pPr>
        <w:spacing w:after="0" w:line="240" w:lineRule="auto"/>
        <w:rPr>
          <w:rFonts w:ascii="Arial" w:hAnsi="Arial" w:cs="Arial"/>
          <w:sz w:val="24"/>
          <w:szCs w:val="24"/>
        </w:rPr>
      </w:pPr>
    </w:p>
    <w:p w:rsidR="00724391" w:rsidRDefault="00724391" w:rsidP="000610F1">
      <w:pPr>
        <w:spacing w:after="0" w:line="240" w:lineRule="auto"/>
        <w:rPr>
          <w:rFonts w:ascii="Arial" w:hAnsi="Arial" w:cs="Arial"/>
          <w:sz w:val="24"/>
          <w:szCs w:val="24"/>
        </w:rPr>
      </w:pPr>
      <w:r w:rsidRPr="00724391">
        <w:rPr>
          <w:rFonts w:ascii="Arial" w:hAnsi="Arial" w:cs="Arial"/>
          <w:sz w:val="24"/>
          <w:szCs w:val="24"/>
        </w:rPr>
        <w:t xml:space="preserve">A total of 6,934 participants completed the entire survey, for a response rate of 16%.  There were no notable differences between respondent gender, age, or county of residence as compared to the eligible population (i.e., all patients).  On average, respondents indicated marijuana use for 23.5 out of the past 30 days, with over 60% reporting marijuana use at least 21 out of the past 30 days.  However, 8% of respondents reported no use of marijuana or marijuana products in the past 30 days. Over 65% of respondents reported using marijuana or marijuana products for medical purposes for at least 1 year, with approximately 1 in 5 of respondents using marijuana or marijuana products for medical </w:t>
      </w:r>
      <w:r w:rsidR="00040913">
        <w:rPr>
          <w:rFonts w:ascii="Arial" w:hAnsi="Arial" w:cs="Arial"/>
          <w:sz w:val="24"/>
          <w:szCs w:val="24"/>
        </w:rPr>
        <w:t xml:space="preserve">purposes for at least 3 years. </w:t>
      </w:r>
      <w:r w:rsidRPr="00724391">
        <w:rPr>
          <w:rFonts w:ascii="Arial" w:hAnsi="Arial" w:cs="Arial"/>
          <w:sz w:val="24"/>
          <w:szCs w:val="24"/>
        </w:rPr>
        <w:t xml:space="preserve">On average, </w:t>
      </w:r>
      <w:r w:rsidRPr="00724391">
        <w:rPr>
          <w:rFonts w:ascii="Arial" w:hAnsi="Arial" w:cs="Arial"/>
          <w:sz w:val="24"/>
          <w:szCs w:val="24"/>
        </w:rPr>
        <w:lastRenderedPageBreak/>
        <w:t>respondents reported spending $246 on marijuana products in the past 30 days, with a significantly larger amount spent among respondents under 50 years old and among respondents with an educational attainment less than a Bachelor’s degree.  On average, participants reported using approximately 3 different mod</w:t>
      </w:r>
      <w:r w:rsidR="00040913">
        <w:rPr>
          <w:rFonts w:ascii="Arial" w:hAnsi="Arial" w:cs="Arial"/>
          <w:sz w:val="24"/>
          <w:szCs w:val="24"/>
        </w:rPr>
        <w:t xml:space="preserve">es of use in the past 30 days. </w:t>
      </w:r>
      <w:r w:rsidRPr="00724391">
        <w:rPr>
          <w:rFonts w:ascii="Arial" w:hAnsi="Arial" w:cs="Arial"/>
          <w:sz w:val="24"/>
          <w:szCs w:val="24"/>
        </w:rPr>
        <w:t>Approximately 16% of respondents who indicated marijuana use in the past 30 days reported using only 1 method of administration, while over 30% reported using 4 or more methods.  The most common method of marijuana administration was smoking dried flower (65%), followed by vaporized marijuana concentrate (62%) and edible marijuana products (51%).  The amount of product used varied by gender, age group, and educational attainment. A significantly larger proportion of males compared to females reported using vaporized dried flower or a concentrated preparation of THC referred to as “dabbing”, while a larger proportion of females compared to males reported using sublingual or orally administered uptake products and applying topical cannabis products to the skin.  A significantly larger proportion of respondents 50 years old or younger reported smoking (combusting) dried flower cigarettes (or “joints”), vaporizing dried flower, vaporizing marijuana concentrate, dabbing, or consuming edible marijuana products.  A significantly larger proportion of respondents with an educational attainment less than a Bachelor’s degree reported smoking dried flower and dabbing compared to respondents with a</w:t>
      </w:r>
      <w:r>
        <w:rPr>
          <w:rFonts w:ascii="Arial" w:hAnsi="Arial" w:cs="Arial"/>
          <w:sz w:val="24"/>
          <w:szCs w:val="24"/>
        </w:rPr>
        <w:t xml:space="preserve"> Bachelor’s degree or higher.  </w:t>
      </w:r>
    </w:p>
    <w:p w:rsidR="00D8669B" w:rsidRPr="00724391" w:rsidRDefault="00D8669B" w:rsidP="000610F1">
      <w:pPr>
        <w:spacing w:after="0" w:line="240" w:lineRule="auto"/>
        <w:rPr>
          <w:rFonts w:ascii="Arial" w:hAnsi="Arial" w:cs="Arial"/>
          <w:sz w:val="24"/>
          <w:szCs w:val="24"/>
        </w:rPr>
      </w:pPr>
    </w:p>
    <w:p w:rsidR="00724391" w:rsidRDefault="00724391" w:rsidP="000610F1">
      <w:pPr>
        <w:spacing w:after="0" w:line="240" w:lineRule="auto"/>
        <w:rPr>
          <w:rFonts w:ascii="Arial" w:hAnsi="Arial" w:cs="Arial"/>
          <w:sz w:val="24"/>
          <w:szCs w:val="24"/>
        </w:rPr>
      </w:pPr>
      <w:r w:rsidRPr="00724391">
        <w:rPr>
          <w:rFonts w:ascii="Arial" w:hAnsi="Arial" w:cs="Arial"/>
          <w:sz w:val="24"/>
          <w:szCs w:val="24"/>
        </w:rPr>
        <w:t>All respondents were asked questions related to their perceptions of the medical use of marijuana.  Over 65% of respondents reported that they believed marijuana products have been “very effective” in treating their medical condition(s), while an additional 26% believed use o</w:t>
      </w:r>
      <w:r w:rsidR="00040913">
        <w:rPr>
          <w:rFonts w:ascii="Arial" w:hAnsi="Arial" w:cs="Arial"/>
          <w:sz w:val="24"/>
          <w:szCs w:val="24"/>
        </w:rPr>
        <w:t xml:space="preserve">f marijuana to be “effective.” </w:t>
      </w:r>
      <w:r w:rsidRPr="00724391">
        <w:rPr>
          <w:rFonts w:ascii="Arial" w:hAnsi="Arial" w:cs="Arial"/>
          <w:sz w:val="24"/>
          <w:szCs w:val="24"/>
        </w:rPr>
        <w:t>Almost 90% of respondents reported that they had “somewhat high” or “very high” confidence that they were receiving safe, uncontaminated products when purchasing marijuana or marijuana products at a registered</w:t>
      </w:r>
      <w:r w:rsidR="00040913">
        <w:rPr>
          <w:rFonts w:ascii="Arial" w:hAnsi="Arial" w:cs="Arial"/>
          <w:sz w:val="24"/>
          <w:szCs w:val="24"/>
        </w:rPr>
        <w:t xml:space="preserve"> medical marijuana dispensary. </w:t>
      </w:r>
      <w:r w:rsidRPr="00724391">
        <w:rPr>
          <w:rFonts w:ascii="Arial" w:hAnsi="Arial" w:cs="Arial"/>
          <w:sz w:val="24"/>
          <w:szCs w:val="24"/>
        </w:rPr>
        <w:t>All respondents were asked questions related to positive and negative outcomes/conseq</w:t>
      </w:r>
      <w:r w:rsidR="00625B58">
        <w:rPr>
          <w:rFonts w:ascii="Arial" w:hAnsi="Arial" w:cs="Arial"/>
          <w:sz w:val="24"/>
          <w:szCs w:val="24"/>
        </w:rPr>
        <w:t xml:space="preserve">uences of their marijuana use. </w:t>
      </w:r>
      <w:r w:rsidRPr="00724391">
        <w:rPr>
          <w:rFonts w:ascii="Arial" w:hAnsi="Arial" w:cs="Arial"/>
          <w:sz w:val="24"/>
          <w:szCs w:val="24"/>
        </w:rPr>
        <w:t>Overall, respondents reported high rates of positive outcomes/consequences of marijuana use, and little obvious harm.  Among all respondents, 78% reported positive changes in their mood or mental health, and 67% reported improved physical health.  In addition, 83% of respondents reported no negative outcomes/consequences related to their marijuana use.  Approximately 10% of respondents reported driving or operating a car or other motor vehicle while under the influence of marijuana in the past 30</w:t>
      </w:r>
      <w:r>
        <w:rPr>
          <w:rFonts w:ascii="Arial" w:hAnsi="Arial" w:cs="Arial"/>
          <w:sz w:val="24"/>
          <w:szCs w:val="24"/>
        </w:rPr>
        <w:t xml:space="preserve"> days. </w:t>
      </w:r>
    </w:p>
    <w:p w:rsidR="00D8669B" w:rsidRPr="00724391" w:rsidRDefault="00D8669B" w:rsidP="000610F1">
      <w:pPr>
        <w:spacing w:after="0" w:line="240" w:lineRule="auto"/>
        <w:rPr>
          <w:rFonts w:ascii="Arial" w:hAnsi="Arial" w:cs="Arial"/>
          <w:sz w:val="24"/>
          <w:szCs w:val="24"/>
        </w:rPr>
      </w:pPr>
    </w:p>
    <w:p w:rsidR="00724391" w:rsidRDefault="00724391" w:rsidP="000610F1">
      <w:pPr>
        <w:spacing w:after="0" w:line="240" w:lineRule="auto"/>
        <w:rPr>
          <w:rFonts w:ascii="Arial" w:hAnsi="Arial" w:cs="Arial"/>
          <w:b/>
          <w:sz w:val="24"/>
          <w:szCs w:val="24"/>
        </w:rPr>
      </w:pPr>
      <w:r w:rsidRPr="00724391">
        <w:rPr>
          <w:rFonts w:ascii="Arial" w:hAnsi="Arial" w:cs="Arial"/>
          <w:b/>
          <w:sz w:val="24"/>
          <w:szCs w:val="24"/>
        </w:rPr>
        <w:t>Topic 2: Incidents of Impaired Driving and Hospitalization</w:t>
      </w:r>
    </w:p>
    <w:p w:rsidR="00D8669B" w:rsidRPr="00724391" w:rsidRDefault="00D8669B" w:rsidP="000610F1">
      <w:pPr>
        <w:spacing w:after="0" w:line="240" w:lineRule="auto"/>
        <w:rPr>
          <w:rFonts w:ascii="Arial" w:hAnsi="Arial" w:cs="Arial"/>
          <w:b/>
          <w:sz w:val="24"/>
          <w:szCs w:val="24"/>
        </w:rPr>
      </w:pPr>
    </w:p>
    <w:p w:rsidR="00724391" w:rsidRPr="00D8669B" w:rsidRDefault="00724391" w:rsidP="000610F1">
      <w:pPr>
        <w:pStyle w:val="ListParagraph"/>
        <w:numPr>
          <w:ilvl w:val="0"/>
          <w:numId w:val="26"/>
        </w:numPr>
        <w:spacing w:after="0" w:line="240" w:lineRule="auto"/>
        <w:rPr>
          <w:rFonts w:ascii="Arial" w:hAnsi="Arial" w:cs="Arial"/>
          <w:b/>
          <w:sz w:val="24"/>
          <w:szCs w:val="24"/>
        </w:rPr>
      </w:pPr>
      <w:r w:rsidRPr="00D8669B">
        <w:rPr>
          <w:rFonts w:ascii="Arial" w:hAnsi="Arial" w:cs="Arial"/>
          <w:b/>
          <w:sz w:val="24"/>
          <w:szCs w:val="24"/>
        </w:rPr>
        <w:t>Measuring Marijuana and Driving Impairment</w:t>
      </w:r>
    </w:p>
    <w:p w:rsidR="00D8669B" w:rsidRPr="00D8669B" w:rsidRDefault="00D8669B" w:rsidP="000610F1">
      <w:pPr>
        <w:pStyle w:val="ListParagraph"/>
        <w:spacing w:after="0" w:line="240" w:lineRule="auto"/>
        <w:ind w:left="1140"/>
        <w:rPr>
          <w:rFonts w:ascii="Arial" w:hAnsi="Arial" w:cs="Arial"/>
          <w:b/>
          <w:sz w:val="24"/>
          <w:szCs w:val="24"/>
        </w:rPr>
      </w:pPr>
    </w:p>
    <w:p w:rsidR="00724391" w:rsidRDefault="00724391" w:rsidP="000610F1">
      <w:pPr>
        <w:spacing w:after="0" w:line="240" w:lineRule="auto"/>
        <w:rPr>
          <w:rFonts w:ascii="Arial" w:hAnsi="Arial" w:cs="Arial"/>
          <w:sz w:val="24"/>
          <w:szCs w:val="24"/>
        </w:rPr>
      </w:pPr>
      <w:r w:rsidRPr="00724391">
        <w:rPr>
          <w:rFonts w:ascii="Arial" w:hAnsi="Arial" w:cs="Arial"/>
          <w:sz w:val="24"/>
          <w:szCs w:val="24"/>
        </w:rPr>
        <w:t>Marijuana intoxication can impair psychomotor and cognitive functions related to driving and increase the risk of involvement in a motor veh</w:t>
      </w:r>
      <w:r w:rsidR="00040913">
        <w:rPr>
          <w:rFonts w:ascii="Arial" w:hAnsi="Arial" w:cs="Arial"/>
          <w:sz w:val="24"/>
          <w:szCs w:val="24"/>
        </w:rPr>
        <w:t xml:space="preserve">icle crash. </w:t>
      </w:r>
      <w:r w:rsidRPr="00724391">
        <w:rPr>
          <w:rFonts w:ascii="Arial" w:hAnsi="Arial" w:cs="Arial"/>
          <w:sz w:val="24"/>
          <w:szCs w:val="24"/>
        </w:rPr>
        <w:t>A literature review was conducted to examine the state of the science on quantifying marijuana and impairment leading to the inabili</w:t>
      </w:r>
      <w:r w:rsidR="00040913">
        <w:rPr>
          <w:rFonts w:ascii="Arial" w:hAnsi="Arial" w:cs="Arial"/>
          <w:sz w:val="24"/>
          <w:szCs w:val="24"/>
        </w:rPr>
        <w:t xml:space="preserve">ty to operate a motor vehicle. </w:t>
      </w:r>
      <w:r w:rsidRPr="00724391">
        <w:rPr>
          <w:rFonts w:ascii="Arial" w:hAnsi="Arial" w:cs="Arial"/>
          <w:sz w:val="24"/>
          <w:szCs w:val="24"/>
        </w:rPr>
        <w:t xml:space="preserve">Various point-of-collection (POC) devices/kits were compared to standard analytical chemistry methods (e.g., gas chromatography mass spectrometry, or liquid chromatography- tandem mass spectrometry) to determine concentrations of ∆9-tetrahydrocannabinol (THC), the </w:t>
      </w:r>
      <w:r w:rsidRPr="00724391">
        <w:rPr>
          <w:rFonts w:ascii="Arial" w:hAnsi="Arial" w:cs="Arial"/>
          <w:sz w:val="24"/>
          <w:szCs w:val="24"/>
        </w:rPr>
        <w:lastRenderedPageBreak/>
        <w:t>primary psychoactive compound in marijuana.  While some of the POC devices showed a screening-level accuracy that meets or exceeds recommended standards, they are limited in their ability to serve as a diagnostic tool t</w:t>
      </w:r>
      <w:r w:rsidR="00040913">
        <w:rPr>
          <w:rFonts w:ascii="Arial" w:hAnsi="Arial" w:cs="Arial"/>
          <w:sz w:val="24"/>
          <w:szCs w:val="24"/>
        </w:rPr>
        <w:t xml:space="preserve">o indicate driving impairment. </w:t>
      </w:r>
      <w:r w:rsidRPr="00724391">
        <w:rPr>
          <w:rFonts w:ascii="Arial" w:hAnsi="Arial" w:cs="Arial"/>
          <w:sz w:val="24"/>
          <w:szCs w:val="24"/>
        </w:rPr>
        <w:t>The review of studies assessing cognitive and behavioral impacts of marijuana that are relevant to driving indicate that marijuana has cognitive and behavior effects in the areas of automative behavior (i.e. well-learned skills), especially for occasional users, and there also are likely executive function impacts (i.e. how the user interacts with traffic) for some users.  Additional research is needed to establish baseline levels of cannabinoids in blood, urine, and saliva, and the relationship between t</w:t>
      </w:r>
      <w:r w:rsidR="00625B58">
        <w:rPr>
          <w:rFonts w:ascii="Arial" w:hAnsi="Arial" w:cs="Arial"/>
          <w:sz w:val="24"/>
          <w:szCs w:val="24"/>
        </w:rPr>
        <w:t xml:space="preserve">hese levels and marijuana use. </w:t>
      </w:r>
      <w:r w:rsidRPr="00724391">
        <w:rPr>
          <w:rFonts w:ascii="Arial" w:hAnsi="Arial" w:cs="Arial"/>
          <w:sz w:val="24"/>
          <w:szCs w:val="24"/>
        </w:rPr>
        <w:t>Additional data are also needed to characterize the variability in cannabinoid levels across product t</w:t>
      </w:r>
      <w:r>
        <w:rPr>
          <w:rFonts w:ascii="Arial" w:hAnsi="Arial" w:cs="Arial"/>
          <w:sz w:val="24"/>
          <w:szCs w:val="24"/>
        </w:rPr>
        <w:t xml:space="preserve">ypes and modes of consumption. </w:t>
      </w:r>
    </w:p>
    <w:p w:rsidR="00D8669B" w:rsidRPr="00724391" w:rsidRDefault="00D8669B" w:rsidP="000610F1">
      <w:pPr>
        <w:spacing w:after="0" w:line="240" w:lineRule="auto"/>
        <w:rPr>
          <w:rFonts w:ascii="Arial" w:hAnsi="Arial" w:cs="Arial"/>
          <w:sz w:val="24"/>
          <w:szCs w:val="24"/>
        </w:rPr>
      </w:pPr>
    </w:p>
    <w:p w:rsidR="00724391" w:rsidRPr="00D8669B" w:rsidRDefault="00724391" w:rsidP="000610F1">
      <w:pPr>
        <w:pStyle w:val="ListParagraph"/>
        <w:numPr>
          <w:ilvl w:val="0"/>
          <w:numId w:val="26"/>
        </w:numPr>
        <w:spacing w:after="0" w:line="240" w:lineRule="auto"/>
        <w:rPr>
          <w:rFonts w:ascii="Arial" w:hAnsi="Arial" w:cs="Arial"/>
          <w:b/>
          <w:sz w:val="24"/>
          <w:szCs w:val="24"/>
        </w:rPr>
      </w:pPr>
      <w:r w:rsidRPr="00D8669B">
        <w:rPr>
          <w:rFonts w:ascii="Arial" w:hAnsi="Arial" w:cs="Arial"/>
          <w:b/>
          <w:sz w:val="24"/>
          <w:szCs w:val="24"/>
        </w:rPr>
        <w:t>Baseline Assessment of Medical Use of Marijuana Patients</w:t>
      </w:r>
    </w:p>
    <w:p w:rsidR="00D8669B" w:rsidRPr="00D8669B" w:rsidRDefault="00D8669B" w:rsidP="000610F1">
      <w:pPr>
        <w:pStyle w:val="ListParagraph"/>
        <w:spacing w:after="0" w:line="240" w:lineRule="auto"/>
        <w:ind w:left="1140"/>
        <w:rPr>
          <w:rFonts w:ascii="Arial" w:hAnsi="Arial" w:cs="Arial"/>
          <w:b/>
          <w:sz w:val="24"/>
          <w:szCs w:val="24"/>
        </w:rPr>
      </w:pPr>
    </w:p>
    <w:p w:rsidR="00D8669B" w:rsidRPr="00354F37" w:rsidRDefault="00724391" w:rsidP="000610F1">
      <w:pPr>
        <w:spacing w:after="0" w:line="240" w:lineRule="auto"/>
        <w:rPr>
          <w:rFonts w:ascii="Arial" w:hAnsi="Arial" w:cs="Arial"/>
          <w:b/>
          <w:sz w:val="24"/>
          <w:szCs w:val="24"/>
        </w:rPr>
      </w:pPr>
      <w:r w:rsidRPr="00354F37">
        <w:rPr>
          <w:rFonts w:ascii="Arial" w:hAnsi="Arial" w:cs="Arial"/>
          <w:sz w:val="24"/>
          <w:szCs w:val="24"/>
        </w:rPr>
        <w:t>A</w:t>
      </w:r>
      <w:r w:rsidR="00503DB6" w:rsidRPr="00354F37">
        <w:rPr>
          <w:rFonts w:ascii="Arial" w:hAnsi="Arial" w:cs="Arial"/>
          <w:sz w:val="24"/>
          <w:szCs w:val="24"/>
        </w:rPr>
        <w:t xml:space="preserve">s a follow-up to the survey of Medical Use of Marijuana patients described above, </w:t>
      </w:r>
      <w:r w:rsidR="00354F37" w:rsidRPr="00354F37">
        <w:rPr>
          <w:rFonts w:ascii="Arial" w:eastAsia="Calibri" w:hAnsi="Arial" w:cs="Arial"/>
          <w:sz w:val="24"/>
          <w:szCs w:val="20"/>
        </w:rPr>
        <w:t>DPH conducted a biomonitori</w:t>
      </w:r>
      <w:r w:rsidR="00354F37">
        <w:rPr>
          <w:rFonts w:ascii="Arial" w:eastAsia="Calibri" w:hAnsi="Arial" w:cs="Arial"/>
          <w:sz w:val="24"/>
          <w:szCs w:val="20"/>
        </w:rPr>
        <w:t xml:space="preserve">ng study to evaluate </w:t>
      </w:r>
      <w:r w:rsidR="00354F37" w:rsidRPr="00354F37">
        <w:rPr>
          <w:rFonts w:ascii="Arial" w:eastAsia="Calibri" w:hAnsi="Arial" w:cs="Arial"/>
          <w:sz w:val="24"/>
          <w:szCs w:val="20"/>
        </w:rPr>
        <w:t>baseline levels of tetrahydrocannabinol (THC) and 1-nor-9-carboxy-Δ9-tetrahydrocannnabinol (THC-COOH) in the blood and urine of patients that were regular marijuana consumers.  This study, referred to as the Baseline Assessment of Medical Marijuana Patients (BAMMP) Study, was conducted in two distinct phases.  The first “recruitment” phase, involved leveraging the patient survey component of the MBHS sent to 42,519 active medical marijuana patients, and included opinion, attitude, and perception questions as well as questions specifically addressing the magnitude, frequency, type and method of marijuana use.  The survey also collected data on the social and demographic characteristics of respondents, including: age, gender, race/ethnicity, employment status, income level as well as county and zip code of residence.  Recruitment of BAMMP study participants from the 6,934 patient survey respondents was achieved by creating a pool of respondents that indicated an interest in participating in a fo</w:t>
      </w:r>
      <w:r w:rsidR="007A7A6A">
        <w:rPr>
          <w:rFonts w:ascii="Arial" w:eastAsia="Calibri" w:hAnsi="Arial" w:cs="Arial"/>
          <w:sz w:val="24"/>
          <w:szCs w:val="20"/>
        </w:rPr>
        <w:t xml:space="preserve">llow-up research study (e.g., </w:t>
      </w:r>
      <w:r w:rsidR="00354F37" w:rsidRPr="00354F37">
        <w:rPr>
          <w:rFonts w:ascii="Arial" w:eastAsia="Calibri" w:hAnsi="Arial" w:cs="Arial"/>
          <w:sz w:val="24"/>
          <w:szCs w:val="20"/>
        </w:rPr>
        <w:t xml:space="preserve">question </w:t>
      </w:r>
      <w:r w:rsidR="007A7A6A">
        <w:rPr>
          <w:rFonts w:ascii="Arial" w:eastAsia="Calibri" w:hAnsi="Arial" w:cs="Arial"/>
          <w:sz w:val="24"/>
          <w:szCs w:val="20"/>
        </w:rPr>
        <w:t xml:space="preserve">No. 81 </w:t>
      </w:r>
      <w:r w:rsidR="00354F37" w:rsidRPr="00354F37">
        <w:rPr>
          <w:rFonts w:ascii="Arial" w:eastAsia="Calibri" w:hAnsi="Arial" w:cs="Arial"/>
          <w:sz w:val="24"/>
          <w:szCs w:val="20"/>
        </w:rPr>
        <w:t>on the patient survey</w:t>
      </w:r>
      <w:r w:rsidR="007A7A6A">
        <w:rPr>
          <w:rFonts w:ascii="Arial" w:eastAsia="Calibri" w:hAnsi="Arial" w:cs="Arial"/>
          <w:sz w:val="24"/>
          <w:szCs w:val="20"/>
        </w:rPr>
        <w:t>; see Appendix B</w:t>
      </w:r>
      <w:r w:rsidR="00354F37" w:rsidRPr="00354F37">
        <w:rPr>
          <w:rFonts w:ascii="Arial" w:eastAsia="Calibri" w:hAnsi="Arial" w:cs="Arial"/>
          <w:sz w:val="24"/>
          <w:szCs w:val="20"/>
        </w:rPr>
        <w:t>). From this pool of 2,113 interested individuals, 333 participants were selected for follow-up for study participation based on a sampling methodology to generate a sample representative of the geography, race/ethnicity, age, and gender of the statewide population.  The second “field-based” phase of the BAMMP study involved the recruitment, scheduling, and collection of detailed marijuana use information and biological specimens (e.g., blood and urine) from 134 of the 333 individuals.  These field-based appointments were conducted across the state of Massachusetts, where each of the 134 participants executed a consent form, returned a completed 7-day marijuana use diary, responded to questions on a same-day questionnaire, and underwent a physical and cognitive evaluation to confirm that they were not impaired.  Participants then provided clinical specimens of either urine (n = 16), or urine and blood (n = 118) for quantitative analysis of THC an</w:t>
      </w:r>
      <w:r w:rsidR="00D556C3">
        <w:rPr>
          <w:rFonts w:ascii="Arial" w:eastAsia="Calibri" w:hAnsi="Arial" w:cs="Arial"/>
          <w:sz w:val="24"/>
          <w:szCs w:val="20"/>
        </w:rPr>
        <w:t>d THC-COOH</w:t>
      </w:r>
      <w:r w:rsidR="00354F37" w:rsidRPr="00354F37">
        <w:rPr>
          <w:rFonts w:ascii="Arial" w:eastAsia="Calibri" w:hAnsi="Arial" w:cs="Arial"/>
          <w:sz w:val="24"/>
          <w:szCs w:val="20"/>
        </w:rPr>
        <w:t>.</w:t>
      </w:r>
      <w:r w:rsidR="00354F37">
        <w:rPr>
          <w:rFonts w:ascii="Arial" w:eastAsia="Calibri" w:hAnsi="Arial" w:cs="Arial"/>
          <w:sz w:val="24"/>
          <w:szCs w:val="20"/>
        </w:rPr>
        <w:t xml:space="preserve">  </w:t>
      </w:r>
      <w:r w:rsidR="007A7A6A">
        <w:rPr>
          <w:rFonts w:ascii="Arial" w:eastAsia="Calibri" w:hAnsi="Arial" w:cs="Arial"/>
          <w:sz w:val="24"/>
          <w:szCs w:val="20"/>
        </w:rPr>
        <w:t>A full report of the</w:t>
      </w:r>
      <w:r w:rsidR="00354F37">
        <w:rPr>
          <w:rFonts w:ascii="Arial" w:eastAsia="Calibri" w:hAnsi="Arial" w:cs="Arial"/>
          <w:sz w:val="24"/>
          <w:szCs w:val="20"/>
        </w:rPr>
        <w:t xml:space="preserve"> BAMMP study </w:t>
      </w:r>
      <w:r w:rsidR="007A7A6A">
        <w:rPr>
          <w:rFonts w:ascii="Arial" w:eastAsia="Calibri" w:hAnsi="Arial" w:cs="Arial"/>
          <w:sz w:val="24"/>
          <w:szCs w:val="20"/>
        </w:rPr>
        <w:t>findings</w:t>
      </w:r>
      <w:r w:rsidR="00354F37">
        <w:rPr>
          <w:rFonts w:ascii="Arial" w:eastAsia="Calibri" w:hAnsi="Arial" w:cs="Arial"/>
          <w:sz w:val="24"/>
          <w:szCs w:val="20"/>
        </w:rPr>
        <w:t xml:space="preserve"> are expected </w:t>
      </w:r>
      <w:r w:rsidR="00D556C3">
        <w:rPr>
          <w:rFonts w:ascii="Arial" w:eastAsia="Calibri" w:hAnsi="Arial" w:cs="Arial"/>
          <w:sz w:val="24"/>
          <w:szCs w:val="20"/>
        </w:rPr>
        <w:t>later this year</w:t>
      </w:r>
      <w:r w:rsidR="00354F37">
        <w:rPr>
          <w:rFonts w:ascii="Arial" w:eastAsia="Calibri" w:hAnsi="Arial" w:cs="Arial"/>
          <w:sz w:val="24"/>
          <w:szCs w:val="20"/>
        </w:rPr>
        <w:t xml:space="preserve">. </w:t>
      </w:r>
    </w:p>
    <w:p w:rsidR="00724391" w:rsidRDefault="00724391" w:rsidP="000610F1">
      <w:pPr>
        <w:spacing w:after="0" w:line="240" w:lineRule="auto"/>
        <w:rPr>
          <w:rFonts w:ascii="Arial" w:hAnsi="Arial" w:cs="Arial"/>
          <w:sz w:val="24"/>
          <w:szCs w:val="24"/>
        </w:rPr>
      </w:pPr>
      <w:r>
        <w:rPr>
          <w:rFonts w:ascii="Arial" w:hAnsi="Arial" w:cs="Arial"/>
          <w:sz w:val="24"/>
          <w:szCs w:val="24"/>
        </w:rPr>
        <w:t xml:space="preserve">  </w:t>
      </w:r>
    </w:p>
    <w:p w:rsidR="00D556C3" w:rsidRDefault="00D556C3" w:rsidP="000610F1">
      <w:pPr>
        <w:spacing w:after="0" w:line="240" w:lineRule="auto"/>
        <w:rPr>
          <w:rFonts w:ascii="Arial" w:hAnsi="Arial" w:cs="Arial"/>
          <w:sz w:val="24"/>
          <w:szCs w:val="24"/>
        </w:rPr>
      </w:pPr>
    </w:p>
    <w:p w:rsidR="001403F7" w:rsidRDefault="001403F7" w:rsidP="000610F1">
      <w:pPr>
        <w:spacing w:after="0" w:line="240" w:lineRule="auto"/>
        <w:rPr>
          <w:rFonts w:ascii="Arial" w:hAnsi="Arial" w:cs="Arial"/>
          <w:sz w:val="24"/>
          <w:szCs w:val="24"/>
        </w:rPr>
      </w:pPr>
    </w:p>
    <w:p w:rsidR="001403F7" w:rsidRPr="00724391" w:rsidRDefault="001403F7" w:rsidP="000610F1">
      <w:pPr>
        <w:spacing w:after="0" w:line="240" w:lineRule="auto"/>
        <w:rPr>
          <w:rFonts w:ascii="Arial" w:hAnsi="Arial" w:cs="Arial"/>
          <w:sz w:val="24"/>
          <w:szCs w:val="24"/>
        </w:rPr>
      </w:pPr>
    </w:p>
    <w:p w:rsidR="00724391" w:rsidRPr="00D8669B" w:rsidRDefault="00724391" w:rsidP="000610F1">
      <w:pPr>
        <w:pStyle w:val="ListParagraph"/>
        <w:numPr>
          <w:ilvl w:val="0"/>
          <w:numId w:val="26"/>
        </w:numPr>
        <w:spacing w:after="0" w:line="240" w:lineRule="auto"/>
        <w:rPr>
          <w:rFonts w:ascii="Arial" w:hAnsi="Arial" w:cs="Arial"/>
          <w:b/>
          <w:sz w:val="24"/>
          <w:szCs w:val="24"/>
        </w:rPr>
      </w:pPr>
      <w:r w:rsidRPr="00D8669B">
        <w:rPr>
          <w:rFonts w:ascii="Arial" w:hAnsi="Arial" w:cs="Arial"/>
          <w:b/>
          <w:sz w:val="24"/>
          <w:szCs w:val="24"/>
        </w:rPr>
        <w:lastRenderedPageBreak/>
        <w:t>Marijuana-Involved Motor Vehicle Crashes in Massachusetts</w:t>
      </w:r>
    </w:p>
    <w:p w:rsidR="00D8669B" w:rsidRPr="00D8669B" w:rsidRDefault="00D8669B" w:rsidP="000610F1">
      <w:pPr>
        <w:pStyle w:val="ListParagraph"/>
        <w:spacing w:after="0" w:line="240" w:lineRule="auto"/>
        <w:ind w:left="1140"/>
        <w:rPr>
          <w:rFonts w:ascii="Arial" w:hAnsi="Arial" w:cs="Arial"/>
          <w:b/>
          <w:sz w:val="24"/>
          <w:szCs w:val="24"/>
        </w:rPr>
      </w:pPr>
    </w:p>
    <w:p w:rsidR="00724391" w:rsidRDefault="00724391" w:rsidP="000610F1">
      <w:pPr>
        <w:spacing w:after="0" w:line="240" w:lineRule="auto"/>
        <w:rPr>
          <w:rFonts w:ascii="Arial" w:hAnsi="Arial" w:cs="Arial"/>
          <w:sz w:val="24"/>
          <w:szCs w:val="24"/>
        </w:rPr>
      </w:pPr>
      <w:r w:rsidRPr="00724391">
        <w:rPr>
          <w:rFonts w:ascii="Arial" w:hAnsi="Arial" w:cs="Arial"/>
          <w:sz w:val="24"/>
          <w:szCs w:val="24"/>
        </w:rPr>
        <w:t>Baseline prevalence of self-reported DUI-marijuana and riding with a driver under the influence of marijuana (RUI-marijuana) was characterized to identify demographic risk factors as</w:t>
      </w:r>
      <w:r w:rsidR="00625B58">
        <w:rPr>
          <w:rFonts w:ascii="Arial" w:hAnsi="Arial" w:cs="Arial"/>
          <w:sz w:val="24"/>
          <w:szCs w:val="24"/>
        </w:rPr>
        <w:t xml:space="preserve">sociated with these behaviors. </w:t>
      </w:r>
      <w:r w:rsidRPr="00724391">
        <w:rPr>
          <w:rFonts w:ascii="Arial" w:hAnsi="Arial" w:cs="Arial"/>
          <w:sz w:val="24"/>
          <w:szCs w:val="24"/>
        </w:rPr>
        <w:t>Retrospective trends and patterns of marijuana-involved motor vehicle crashes in Massachusetts were investigated between 2006 and 2016, using (1) DUI and RUI data collected as part of a statewide baseline survey of Massachusetts adults age 18 years and older; (2) Prevalence of marijuana, alcohol and drug-involved fatal crashes in Massachusetts from 2006-2016; and (3) Marijuana-involved non-f</w:t>
      </w:r>
      <w:r w:rsidR="00040913">
        <w:rPr>
          <w:rFonts w:ascii="Arial" w:hAnsi="Arial" w:cs="Arial"/>
          <w:sz w:val="24"/>
          <w:szCs w:val="24"/>
        </w:rPr>
        <w:t xml:space="preserve">atal crashes in Massachusetts. </w:t>
      </w:r>
      <w:r w:rsidRPr="00724391">
        <w:rPr>
          <w:rFonts w:ascii="Arial" w:hAnsi="Arial" w:cs="Arial"/>
          <w:sz w:val="24"/>
          <w:szCs w:val="24"/>
        </w:rPr>
        <w:t>The baseline data in Massachusetts suggests that approximately 7% of adults drove under the influence of marijuana in the past 30 days and about 12% of adults rode with a driver who was under the influence of marijuana. Nearly 35% of adults who reported marijuana use also reported DUI-marijuana, and a similar proportion reported RUI-marijuana.  Retrospective evaluation of fatal crash data suggest that over the 11-year study period of 2006-2016, there were an average of 351 crashes per year in which someone died and an average of 373 traffic fatalities per year.  Approximately 73% of the drivers who died in a crash were administ</w:t>
      </w:r>
      <w:r w:rsidR="00040913">
        <w:rPr>
          <w:rFonts w:ascii="Arial" w:hAnsi="Arial" w:cs="Arial"/>
          <w:sz w:val="24"/>
          <w:szCs w:val="24"/>
        </w:rPr>
        <w:t xml:space="preserve">ered a post-mortem blood test. </w:t>
      </w:r>
      <w:r w:rsidRPr="00724391">
        <w:rPr>
          <w:rFonts w:ascii="Arial" w:hAnsi="Arial" w:cs="Arial"/>
          <w:sz w:val="24"/>
          <w:szCs w:val="24"/>
        </w:rPr>
        <w:t>Of the deceased, blood-tested drivers, there was an increasing trend for the proportion or drivers testing positive fo</w:t>
      </w:r>
      <w:r w:rsidR="00625B58">
        <w:rPr>
          <w:rFonts w:ascii="Arial" w:hAnsi="Arial" w:cs="Arial"/>
          <w:sz w:val="24"/>
          <w:szCs w:val="24"/>
        </w:rPr>
        <w:t xml:space="preserve">r any cannabinoid post-mortem. </w:t>
      </w:r>
      <w:r w:rsidRPr="00724391">
        <w:rPr>
          <w:rFonts w:ascii="Arial" w:hAnsi="Arial" w:cs="Arial"/>
          <w:sz w:val="24"/>
          <w:szCs w:val="24"/>
        </w:rPr>
        <w:t>In contrast, alcohol-involved crashes in Massachusetts have steadily decreased in frequency since 2006.  In an examination of non-fatal crash data, an increasing number and proportion of crash reports describe marijuana.  These reports preclude the accurate characterization of marijuana-involved, non-fatal crashes as the crash reports do not systematically incl</w:t>
      </w:r>
      <w:r>
        <w:rPr>
          <w:rFonts w:ascii="Arial" w:hAnsi="Arial" w:cs="Arial"/>
          <w:sz w:val="24"/>
          <w:szCs w:val="24"/>
        </w:rPr>
        <w:t xml:space="preserve">ude reporting of drug testing. </w:t>
      </w:r>
    </w:p>
    <w:p w:rsidR="00D8669B" w:rsidRPr="00724391" w:rsidRDefault="00D8669B" w:rsidP="000610F1">
      <w:pPr>
        <w:spacing w:after="0" w:line="240" w:lineRule="auto"/>
        <w:rPr>
          <w:rFonts w:ascii="Arial" w:hAnsi="Arial" w:cs="Arial"/>
          <w:sz w:val="24"/>
          <w:szCs w:val="24"/>
        </w:rPr>
      </w:pPr>
    </w:p>
    <w:p w:rsidR="00D8669B" w:rsidRPr="00D8669B" w:rsidRDefault="00724391" w:rsidP="000610F1">
      <w:pPr>
        <w:pStyle w:val="ListParagraph"/>
        <w:numPr>
          <w:ilvl w:val="0"/>
          <w:numId w:val="26"/>
        </w:numPr>
        <w:spacing w:after="0" w:line="240" w:lineRule="auto"/>
        <w:rPr>
          <w:rFonts w:ascii="Arial" w:hAnsi="Arial" w:cs="Arial"/>
          <w:b/>
          <w:sz w:val="24"/>
          <w:szCs w:val="24"/>
        </w:rPr>
      </w:pPr>
      <w:r w:rsidRPr="00D8669B">
        <w:rPr>
          <w:rFonts w:ascii="Arial" w:hAnsi="Arial" w:cs="Arial"/>
          <w:b/>
          <w:sz w:val="24"/>
          <w:szCs w:val="24"/>
        </w:rPr>
        <w:t>Marijuana-Related Health System Contacts in Massachusetts</w:t>
      </w:r>
    </w:p>
    <w:p w:rsidR="00724391" w:rsidRPr="00D8669B" w:rsidRDefault="00724391" w:rsidP="000610F1">
      <w:pPr>
        <w:pStyle w:val="ListParagraph"/>
        <w:spacing w:after="0" w:line="240" w:lineRule="auto"/>
        <w:ind w:left="1140"/>
        <w:rPr>
          <w:rFonts w:ascii="Arial" w:hAnsi="Arial" w:cs="Arial"/>
          <w:b/>
          <w:sz w:val="24"/>
          <w:szCs w:val="24"/>
        </w:rPr>
      </w:pPr>
      <w:r w:rsidRPr="00D8669B">
        <w:rPr>
          <w:rFonts w:ascii="Arial" w:hAnsi="Arial" w:cs="Arial"/>
          <w:b/>
          <w:sz w:val="24"/>
          <w:szCs w:val="24"/>
        </w:rPr>
        <w:t xml:space="preserve"> </w:t>
      </w:r>
    </w:p>
    <w:p w:rsidR="00724391" w:rsidRDefault="00724391" w:rsidP="000610F1">
      <w:pPr>
        <w:spacing w:after="0" w:line="240" w:lineRule="auto"/>
        <w:rPr>
          <w:rFonts w:ascii="Arial" w:hAnsi="Arial" w:cs="Arial"/>
          <w:sz w:val="24"/>
          <w:szCs w:val="24"/>
        </w:rPr>
      </w:pPr>
      <w:r w:rsidRPr="00724391">
        <w:rPr>
          <w:rFonts w:ascii="Arial" w:hAnsi="Arial" w:cs="Arial"/>
          <w:sz w:val="24"/>
          <w:szCs w:val="24"/>
        </w:rPr>
        <w:t>The use of health care systems by frequent and occasional marijuana users was evaluated to determine the number and prevalence of (1) substance use treatment admissions for a primary diagnosis of cannabis use disorder; (2) emergency room and urgent care services due to marijuana, and (3) marijuana-related calls received by the regional poison control center (PCC).  This phase of the study sought to provide a summary of valuable health system-related indicators from before retail</w:t>
      </w:r>
      <w:r w:rsidR="00040913">
        <w:rPr>
          <w:rFonts w:ascii="Arial" w:hAnsi="Arial" w:cs="Arial"/>
          <w:sz w:val="24"/>
          <w:szCs w:val="24"/>
        </w:rPr>
        <w:t xml:space="preserve"> sales of adult use marijuana. </w:t>
      </w:r>
      <w:r w:rsidRPr="00724391">
        <w:rPr>
          <w:rFonts w:ascii="Arial" w:hAnsi="Arial" w:cs="Arial"/>
          <w:sz w:val="24"/>
          <w:szCs w:val="24"/>
        </w:rPr>
        <w:t>For this phase, three data sources were utilized for analyses.  First, Massachusetts-specific data were extracted from a national substance use database to compile the number of marijuana-related trea</w:t>
      </w:r>
      <w:r w:rsidR="00040913">
        <w:rPr>
          <w:rFonts w:ascii="Arial" w:hAnsi="Arial" w:cs="Arial"/>
          <w:sz w:val="24"/>
          <w:szCs w:val="24"/>
        </w:rPr>
        <w:t xml:space="preserve">tments over 2004-2014. </w:t>
      </w:r>
      <w:r w:rsidRPr="00724391">
        <w:rPr>
          <w:rFonts w:ascii="Arial" w:hAnsi="Arial" w:cs="Arial"/>
          <w:sz w:val="24"/>
          <w:szCs w:val="24"/>
        </w:rPr>
        <w:t>Second, baseline data from the statewide survey on emergency or urgent care related to marijuana use, alcohol use, and other substance use were evaluated.  Finally, data from the Massachusetts and Rhode Island Regional Poison Control Center (PCC) were evaluated to characterize marijuana-related calls (for all exposure reasons) by age and year, trends in specific marijuana product type as the source of exposure (e.g. dried pla</w:t>
      </w:r>
      <w:r>
        <w:rPr>
          <w:rFonts w:ascii="Arial" w:hAnsi="Arial" w:cs="Arial"/>
          <w:sz w:val="24"/>
          <w:szCs w:val="24"/>
        </w:rPr>
        <w:t xml:space="preserve">nt, edible preparation, etc.). </w:t>
      </w:r>
    </w:p>
    <w:p w:rsidR="00D8669B" w:rsidRPr="00724391" w:rsidRDefault="00D8669B" w:rsidP="000610F1">
      <w:pPr>
        <w:spacing w:after="0" w:line="240" w:lineRule="auto"/>
        <w:rPr>
          <w:rFonts w:ascii="Arial" w:hAnsi="Arial" w:cs="Arial"/>
          <w:sz w:val="24"/>
          <w:szCs w:val="24"/>
        </w:rPr>
      </w:pPr>
    </w:p>
    <w:p w:rsidR="00724391" w:rsidRDefault="00724391" w:rsidP="000610F1">
      <w:pPr>
        <w:spacing w:after="0" w:line="240" w:lineRule="auto"/>
        <w:rPr>
          <w:rFonts w:ascii="Arial" w:hAnsi="Arial" w:cs="Arial"/>
          <w:sz w:val="24"/>
          <w:szCs w:val="24"/>
        </w:rPr>
      </w:pPr>
      <w:r w:rsidRPr="00724391">
        <w:rPr>
          <w:rFonts w:ascii="Arial" w:hAnsi="Arial" w:cs="Arial"/>
          <w:sz w:val="24"/>
          <w:szCs w:val="24"/>
        </w:rPr>
        <w:t xml:space="preserve">These evaluations suggest that marijuana-related treatment is a small portion of the overall volume of substance use disorder treatment episodes, with an estimated </w:t>
      </w:r>
      <w:r w:rsidRPr="00724391">
        <w:rPr>
          <w:rFonts w:ascii="Arial" w:hAnsi="Arial" w:cs="Arial"/>
          <w:sz w:val="24"/>
          <w:szCs w:val="24"/>
        </w:rPr>
        <w:lastRenderedPageBreak/>
        <w:t>prevalence of 45 admissions per 100,000 individuals.  Of the 436 individuals who reported using marijuana in the past 30 days on the statewide-survey, no respondents reported marijuana-related use of emergency room or urgent care services in the prior year.  Data from the PCC suggest that the number and proportion of marijuana-related calls has been increasing over time for all age groups.  For example, during the 10-year study period (2007-2016) there were 641 calls to the PCC that involved marijuana exposure, equal to a prevalence of 9.4 c</w:t>
      </w:r>
      <w:r w:rsidR="00040913">
        <w:rPr>
          <w:rFonts w:ascii="Arial" w:hAnsi="Arial" w:cs="Arial"/>
          <w:sz w:val="24"/>
          <w:szCs w:val="24"/>
        </w:rPr>
        <w:t xml:space="preserve">alls per a 100,000 population. </w:t>
      </w:r>
      <w:r w:rsidRPr="00724391">
        <w:rPr>
          <w:rFonts w:ascii="Arial" w:hAnsi="Arial" w:cs="Arial"/>
          <w:sz w:val="24"/>
          <w:szCs w:val="24"/>
        </w:rPr>
        <w:t>The evaluated calls include incidents of unintentional exposures among children age 0-9 years old (n = 27, 4.21%).  The greatest number of calls were related to 10-19 year old individuals (n = 257, or 40.09%).  The proportion of calls due to marijuana exposure in individual ages 0-5, 6-9, and 10-20 years old showed a statistically significant increase after medical marijuana was enacted in the Commonwealth.  In all age groups, it was exposure to dried cannabis plant that resulted in the greatest number of calls to poison control, followed by edible preparat</w:t>
      </w:r>
      <w:r>
        <w:rPr>
          <w:rFonts w:ascii="Arial" w:hAnsi="Arial" w:cs="Arial"/>
          <w:sz w:val="24"/>
          <w:szCs w:val="24"/>
        </w:rPr>
        <w:t xml:space="preserve">ions.  </w:t>
      </w:r>
    </w:p>
    <w:p w:rsidR="00D8669B" w:rsidRPr="00724391" w:rsidRDefault="00D8669B" w:rsidP="000610F1">
      <w:pPr>
        <w:spacing w:after="0" w:line="240" w:lineRule="auto"/>
        <w:rPr>
          <w:rFonts w:ascii="Arial" w:hAnsi="Arial" w:cs="Arial"/>
          <w:sz w:val="24"/>
          <w:szCs w:val="24"/>
        </w:rPr>
      </w:pPr>
    </w:p>
    <w:p w:rsidR="00724391" w:rsidRDefault="00724391" w:rsidP="000610F1">
      <w:pPr>
        <w:spacing w:after="0" w:line="240" w:lineRule="auto"/>
        <w:rPr>
          <w:rFonts w:ascii="Arial" w:hAnsi="Arial" w:cs="Arial"/>
          <w:b/>
          <w:sz w:val="24"/>
          <w:szCs w:val="24"/>
        </w:rPr>
      </w:pPr>
      <w:r w:rsidRPr="00724391">
        <w:rPr>
          <w:rFonts w:ascii="Arial" w:hAnsi="Arial" w:cs="Arial"/>
          <w:b/>
          <w:sz w:val="24"/>
          <w:szCs w:val="24"/>
        </w:rPr>
        <w:t>Topic 3: Economic and Fiscal Impacts for State and Local Governments</w:t>
      </w:r>
    </w:p>
    <w:p w:rsidR="00D8669B" w:rsidRPr="00724391" w:rsidRDefault="00D8669B" w:rsidP="000610F1">
      <w:pPr>
        <w:spacing w:after="0" w:line="240" w:lineRule="auto"/>
        <w:rPr>
          <w:rFonts w:ascii="Arial" w:hAnsi="Arial" w:cs="Arial"/>
          <w:b/>
          <w:sz w:val="24"/>
          <w:szCs w:val="24"/>
        </w:rPr>
      </w:pPr>
    </w:p>
    <w:p w:rsidR="00724391" w:rsidRDefault="00724391" w:rsidP="000610F1">
      <w:pPr>
        <w:spacing w:after="0" w:line="240" w:lineRule="auto"/>
        <w:rPr>
          <w:rFonts w:ascii="Arial" w:hAnsi="Arial" w:cs="Arial"/>
          <w:sz w:val="24"/>
          <w:szCs w:val="24"/>
        </w:rPr>
      </w:pPr>
      <w:r w:rsidRPr="00724391">
        <w:rPr>
          <w:rFonts w:ascii="Arial" w:hAnsi="Arial" w:cs="Arial"/>
          <w:sz w:val="24"/>
          <w:szCs w:val="24"/>
        </w:rPr>
        <w:t>To evaluate the potential economic impacts on state and local government, a model was constructed to estimate the fiscal impacts during the first two years of retail sales.  The model included three parts: (1) a main model, which included measures that were assumed to be major drivers of state economic impacts for which there is strong evidence to inform estimates (e.g., sales tax revenue, regulatory oversight costs and revenue, and reductions in marijuana-related law enforcement activities); (2) a supplemental model, which evaluated secondary impacts on public health, public safety, and income tax revenue for which the strength of the evidence is less definitive; and (3) a local model, which estimates local tax revenue for each city or town in Massachusetts (assuming the</w:t>
      </w:r>
      <w:r>
        <w:rPr>
          <w:rFonts w:ascii="Arial" w:hAnsi="Arial" w:cs="Arial"/>
          <w:sz w:val="24"/>
          <w:szCs w:val="24"/>
        </w:rPr>
        <w:t xml:space="preserve"> maximum local tax rate of 3%).</w:t>
      </w:r>
    </w:p>
    <w:p w:rsidR="00D8669B" w:rsidRPr="00724391" w:rsidRDefault="00D8669B" w:rsidP="000610F1">
      <w:pPr>
        <w:spacing w:after="0" w:line="240" w:lineRule="auto"/>
        <w:rPr>
          <w:rFonts w:ascii="Arial" w:hAnsi="Arial" w:cs="Arial"/>
          <w:sz w:val="24"/>
          <w:szCs w:val="24"/>
        </w:rPr>
      </w:pPr>
    </w:p>
    <w:p w:rsidR="00724391" w:rsidRDefault="00724391" w:rsidP="000610F1">
      <w:pPr>
        <w:spacing w:after="0" w:line="240" w:lineRule="auto"/>
        <w:rPr>
          <w:rFonts w:ascii="Arial" w:hAnsi="Arial" w:cs="Arial"/>
          <w:sz w:val="24"/>
          <w:szCs w:val="24"/>
        </w:rPr>
      </w:pPr>
      <w:r w:rsidRPr="00724391">
        <w:rPr>
          <w:rFonts w:ascii="Arial" w:hAnsi="Arial" w:cs="Arial"/>
          <w:sz w:val="24"/>
          <w:szCs w:val="24"/>
        </w:rPr>
        <w:t>This approach suggests that marijuana will increase Massachusetts state revenue by about $215.8 million in the first two years of retail sales.  The increase will largely come from sales and excise taxes collected on retail purchases.  Based on experience from states with existing legalized adult use, sales tax revenue will be higher in the second year ($154.2 million), as compared to the first year ($61.6 million). When measures calculated with less certainty are included in the model (because of either a lack of data or uncertain timing), the state revenue may increase by an additional $65.3 million.  Because the model includes multiple measures, the overall estimate compounds uncertainty from each of the measures.  To address this, low and high</w:t>
      </w:r>
      <w:r w:rsidR="00040913">
        <w:rPr>
          <w:rFonts w:ascii="Arial" w:hAnsi="Arial" w:cs="Arial"/>
          <w:sz w:val="24"/>
          <w:szCs w:val="24"/>
        </w:rPr>
        <w:t xml:space="preserve"> ranges have been calculated. </w:t>
      </w:r>
      <w:r w:rsidRPr="00724391">
        <w:rPr>
          <w:rFonts w:ascii="Arial" w:hAnsi="Arial" w:cs="Arial"/>
          <w:sz w:val="24"/>
          <w:szCs w:val="24"/>
        </w:rPr>
        <w:t>For example, the total fiscal contribution could range from $95.7 to $405.9 million, with two major assumptions heavily influencing the estimates. The first assumption involves the number of expected marijuana users in Massachusetts. While the model uses previous population surveys that show a prevalence of use ranging from 8.6% to 12.1%, data collected in Massachusetts suggest th</w:t>
      </w:r>
      <w:r w:rsidR="009D3C3A">
        <w:rPr>
          <w:rFonts w:ascii="Arial" w:hAnsi="Arial" w:cs="Arial"/>
          <w:sz w:val="24"/>
          <w:szCs w:val="24"/>
        </w:rPr>
        <w:t>at it may be as high as 20.1%.</w:t>
      </w:r>
      <w:r w:rsidRPr="00724391">
        <w:rPr>
          <w:rFonts w:ascii="Arial" w:hAnsi="Arial" w:cs="Arial"/>
          <w:sz w:val="24"/>
          <w:szCs w:val="24"/>
        </w:rPr>
        <w:t xml:space="preserve">When this Massachusetts-based estimate is used, revenue projections increased by 38% (from $215.8 million to $298.8 million).  Another source of uncertainty is the changes that arise in a state when moving a regulated medical marijuana marketplace </w:t>
      </w:r>
      <w:r w:rsidRPr="00724391">
        <w:rPr>
          <w:rFonts w:ascii="Arial" w:hAnsi="Arial" w:cs="Arial"/>
          <w:sz w:val="24"/>
          <w:szCs w:val="24"/>
        </w:rPr>
        <w:lastRenderedPageBreak/>
        <w:t>to a combined medical and adult-use marketplace, versus changes in a state going from no sal</w:t>
      </w:r>
      <w:r>
        <w:rPr>
          <w:rFonts w:ascii="Arial" w:hAnsi="Arial" w:cs="Arial"/>
          <w:sz w:val="24"/>
          <w:szCs w:val="24"/>
        </w:rPr>
        <w:t xml:space="preserve">es to adult-use retail sales.  </w:t>
      </w:r>
    </w:p>
    <w:p w:rsidR="009D3C3A" w:rsidRDefault="009D3C3A" w:rsidP="000610F1">
      <w:pPr>
        <w:spacing w:after="0" w:line="240" w:lineRule="auto"/>
        <w:rPr>
          <w:rFonts w:ascii="Arial" w:hAnsi="Arial" w:cs="Arial"/>
          <w:sz w:val="24"/>
          <w:szCs w:val="24"/>
        </w:rPr>
      </w:pPr>
    </w:p>
    <w:p w:rsidR="00724391" w:rsidRDefault="00724391" w:rsidP="000610F1">
      <w:pPr>
        <w:spacing w:after="0" w:line="240" w:lineRule="auto"/>
        <w:rPr>
          <w:rFonts w:ascii="Arial" w:hAnsi="Arial" w:cs="Arial"/>
          <w:sz w:val="24"/>
          <w:szCs w:val="24"/>
        </w:rPr>
      </w:pPr>
      <w:r w:rsidRPr="00724391">
        <w:rPr>
          <w:rFonts w:ascii="Arial" w:hAnsi="Arial" w:cs="Arial"/>
          <w:sz w:val="24"/>
          <w:szCs w:val="24"/>
        </w:rPr>
        <w:t>The model-based approach of estimating fiscal impacts to local government, projects that local tax revenue over the first two years of retail sale are projected to be highest in the most densely populated regions (ranging from $233,498 to $2,875,048), with considerable fluctuation in the two-year revenue projections in high-density suburban cities and towns (ranging from $68,139 to $991,873, over the two year period).  These local analyses assume that approximately 65% of marijuana users would shift from purchasing their marijuana in the illicit marketplace to purchasing from a dispensary.  In general, the estimated median local tax revenue over the first two years of retail sale ranges from $72,835 in suburban communities with a low population density, to $582,899 in urban communities with a high population density.  Because these model estimates rely on the location and availability of dispensaries, each community-level estimate is dependent upon the availability of marijuana in that community and the demand for marijuana in nearby communities.  For some of the 83 cities and towns included in the primary analysis, local tax revenue estimates fluctuated dramatically based on these community-level effects (for example, fro</w:t>
      </w:r>
      <w:r w:rsidR="00040913">
        <w:rPr>
          <w:rFonts w:ascii="Arial" w:hAnsi="Arial" w:cs="Arial"/>
          <w:sz w:val="24"/>
          <w:szCs w:val="24"/>
        </w:rPr>
        <w:t xml:space="preserve">m about $992,000 to $108,000). </w:t>
      </w:r>
    </w:p>
    <w:p w:rsidR="00D8669B" w:rsidRPr="00724391" w:rsidRDefault="00D8669B" w:rsidP="000610F1">
      <w:pPr>
        <w:spacing w:after="0" w:line="240" w:lineRule="auto"/>
        <w:rPr>
          <w:rFonts w:ascii="Arial" w:hAnsi="Arial" w:cs="Arial"/>
          <w:sz w:val="24"/>
          <w:szCs w:val="24"/>
        </w:rPr>
      </w:pPr>
    </w:p>
    <w:p w:rsidR="00A6772E" w:rsidRDefault="00724391" w:rsidP="000610F1">
      <w:pPr>
        <w:spacing w:after="0" w:line="240" w:lineRule="auto"/>
        <w:rPr>
          <w:rFonts w:ascii="Arial" w:hAnsi="Arial" w:cs="Arial"/>
          <w:sz w:val="24"/>
          <w:szCs w:val="24"/>
        </w:rPr>
      </w:pPr>
      <w:r w:rsidRPr="00724391">
        <w:rPr>
          <w:rFonts w:ascii="Arial" w:hAnsi="Arial" w:cs="Arial"/>
          <w:sz w:val="24"/>
          <w:szCs w:val="24"/>
        </w:rPr>
        <w:t>In general, the modeling efforts described here estimate that adult-use marijuana sales are driven primarily by the availability of dispensaries and the potential for medical marijuana dispensaries to expand and/or convert operations to include adult-use marijuana sales.  The increase in revenue will largely be a result of retail purchases made by adults with heavy use (defined as consuming marijuana an average o</w:t>
      </w:r>
      <w:r w:rsidR="00040913">
        <w:rPr>
          <w:rFonts w:ascii="Arial" w:hAnsi="Arial" w:cs="Arial"/>
          <w:sz w:val="24"/>
          <w:szCs w:val="24"/>
        </w:rPr>
        <w:t xml:space="preserve">f 21 days or more each month). </w:t>
      </w:r>
      <w:r w:rsidRPr="00724391">
        <w:rPr>
          <w:rFonts w:ascii="Arial" w:hAnsi="Arial" w:cs="Arial"/>
          <w:sz w:val="24"/>
          <w:szCs w:val="24"/>
        </w:rPr>
        <w:t>It is difficult to speculate what regulatory costs/benefits may have already been realized when Massachusetts implemented a medical marijuana program.  For example, if revenue changes have already been realized, the assumption could be inflating some of the</w:t>
      </w:r>
      <w:r w:rsidR="00040913">
        <w:rPr>
          <w:rFonts w:ascii="Arial" w:hAnsi="Arial" w:cs="Arial"/>
          <w:sz w:val="24"/>
          <w:szCs w:val="24"/>
        </w:rPr>
        <w:t xml:space="preserve"> revenue projections by 7-28%. </w:t>
      </w:r>
      <w:r w:rsidRPr="00724391">
        <w:rPr>
          <w:rFonts w:ascii="Arial" w:hAnsi="Arial" w:cs="Arial"/>
          <w:sz w:val="24"/>
          <w:szCs w:val="24"/>
        </w:rPr>
        <w:t>While it is important to consider all aspects of the fiscal impact of legalization, the estimated increase from sales and business tax revenue appear to be most significant.</w:t>
      </w:r>
    </w:p>
    <w:p w:rsidR="009D3C3A" w:rsidRDefault="009D3C3A" w:rsidP="000610F1">
      <w:pPr>
        <w:spacing w:after="0" w:line="240" w:lineRule="auto"/>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AC40A7">
      <w:pPr>
        <w:pStyle w:val="BodyText"/>
      </w:pPr>
      <w:bookmarkStart w:id="4" w:name="_Toc512337246"/>
      <w:bookmarkStart w:id="5" w:name="_Toc513810087"/>
    </w:p>
    <w:p w:rsidR="00B41A71" w:rsidRDefault="00B41A71" w:rsidP="00B41A71">
      <w:pPr>
        <w:spacing w:after="0" w:line="240" w:lineRule="auto"/>
        <w:rPr>
          <w:rFonts w:ascii="Arial" w:eastAsiaTheme="majorEastAsia" w:hAnsi="Arial" w:cs="Arial"/>
          <w:b/>
          <w:sz w:val="24"/>
          <w:szCs w:val="24"/>
        </w:rPr>
      </w:pPr>
    </w:p>
    <w:p w:rsidR="00354F37" w:rsidRDefault="00354F37" w:rsidP="00354F37">
      <w:pPr>
        <w:jc w:val="center"/>
        <w:rPr>
          <w:rFonts w:ascii="Arial" w:hAnsi="Arial" w:cs="Arial"/>
          <w:b/>
          <w:bCs/>
          <w:sz w:val="28"/>
          <w:szCs w:val="28"/>
        </w:rPr>
      </w:pPr>
    </w:p>
    <w:p w:rsidR="00354F37" w:rsidRDefault="00354F37" w:rsidP="00354F37">
      <w:pPr>
        <w:jc w:val="center"/>
        <w:rPr>
          <w:rFonts w:ascii="Arial" w:hAnsi="Arial" w:cs="Arial"/>
          <w:b/>
          <w:bCs/>
          <w:sz w:val="28"/>
          <w:szCs w:val="28"/>
        </w:rPr>
      </w:pPr>
    </w:p>
    <w:p w:rsidR="00354F37" w:rsidRDefault="00354F37" w:rsidP="00354F37">
      <w:pPr>
        <w:jc w:val="center"/>
        <w:rPr>
          <w:rFonts w:ascii="Arial" w:hAnsi="Arial" w:cs="Arial"/>
          <w:b/>
          <w:bCs/>
          <w:sz w:val="28"/>
          <w:szCs w:val="28"/>
        </w:rPr>
      </w:pPr>
    </w:p>
    <w:p w:rsidR="00354F37" w:rsidRDefault="00354F37" w:rsidP="00354F37">
      <w:pPr>
        <w:jc w:val="center"/>
        <w:rPr>
          <w:rFonts w:ascii="Arial" w:hAnsi="Arial" w:cs="Arial"/>
          <w:b/>
          <w:bCs/>
          <w:sz w:val="28"/>
          <w:szCs w:val="28"/>
        </w:rPr>
      </w:pPr>
    </w:p>
    <w:p w:rsidR="00354F37" w:rsidRDefault="00354F37" w:rsidP="00354F37">
      <w:pPr>
        <w:jc w:val="center"/>
        <w:rPr>
          <w:rFonts w:ascii="Arial" w:hAnsi="Arial" w:cs="Arial"/>
          <w:b/>
          <w:bCs/>
          <w:sz w:val="28"/>
          <w:szCs w:val="28"/>
        </w:rPr>
      </w:pPr>
    </w:p>
    <w:p w:rsidR="00354F37" w:rsidRDefault="00354F37" w:rsidP="00354F37">
      <w:pPr>
        <w:jc w:val="center"/>
        <w:rPr>
          <w:rFonts w:ascii="Arial" w:hAnsi="Arial" w:cs="Arial"/>
          <w:b/>
          <w:bCs/>
          <w:sz w:val="28"/>
          <w:szCs w:val="28"/>
        </w:rPr>
      </w:pPr>
    </w:p>
    <w:p w:rsidR="00354F37" w:rsidRDefault="00354F37" w:rsidP="00354F37">
      <w:pPr>
        <w:jc w:val="center"/>
        <w:rPr>
          <w:rFonts w:ascii="Arial" w:hAnsi="Arial" w:cs="Arial"/>
          <w:b/>
          <w:bCs/>
          <w:sz w:val="28"/>
          <w:szCs w:val="28"/>
        </w:rPr>
      </w:pPr>
    </w:p>
    <w:p w:rsidR="005E2275" w:rsidRDefault="005E2275" w:rsidP="00AC40A7">
      <w:pPr>
        <w:pStyle w:val="BodyText"/>
      </w:pPr>
    </w:p>
    <w:p w:rsidR="005E2275" w:rsidRDefault="005E2275" w:rsidP="00AC40A7">
      <w:pPr>
        <w:pStyle w:val="BodyText"/>
      </w:pPr>
    </w:p>
    <w:p w:rsidR="005E2275" w:rsidRDefault="005E2275" w:rsidP="00AC40A7">
      <w:pPr>
        <w:pStyle w:val="BodyText"/>
      </w:pPr>
    </w:p>
    <w:p w:rsidR="005E2275" w:rsidRDefault="005E2275" w:rsidP="00AC40A7">
      <w:pPr>
        <w:pStyle w:val="BodyText"/>
      </w:pPr>
    </w:p>
    <w:p w:rsidR="005E2275" w:rsidRDefault="005E2275" w:rsidP="00AC40A7">
      <w:pPr>
        <w:pStyle w:val="BodyText"/>
      </w:pPr>
    </w:p>
    <w:p w:rsidR="005E2275" w:rsidRDefault="005E2275" w:rsidP="00AC40A7">
      <w:pPr>
        <w:pStyle w:val="BodyText"/>
      </w:pPr>
    </w:p>
    <w:p w:rsidR="005E2275" w:rsidRDefault="005E2275" w:rsidP="00AC40A7">
      <w:pPr>
        <w:pStyle w:val="BodyText"/>
      </w:pPr>
    </w:p>
    <w:p w:rsidR="00AC40A7" w:rsidRDefault="00AC40A7" w:rsidP="00AC40A7">
      <w:pPr>
        <w:pStyle w:val="BodyText"/>
      </w:pPr>
    </w:p>
    <w:p w:rsidR="00AC40A7" w:rsidRDefault="00AC40A7" w:rsidP="00AC40A7">
      <w:pPr>
        <w:pStyle w:val="BodyText"/>
      </w:pPr>
    </w:p>
    <w:p w:rsidR="00AC40A7" w:rsidRDefault="00AC40A7" w:rsidP="00AC40A7">
      <w:pPr>
        <w:pStyle w:val="BodyText"/>
      </w:pPr>
    </w:p>
    <w:p w:rsidR="00AC40A7" w:rsidRDefault="00AC40A7" w:rsidP="00AC40A7">
      <w:pPr>
        <w:pStyle w:val="BodyText"/>
      </w:pPr>
    </w:p>
    <w:p w:rsidR="00AC40A7" w:rsidRDefault="00AC40A7" w:rsidP="00AC40A7">
      <w:pPr>
        <w:pStyle w:val="BodyText"/>
      </w:pPr>
    </w:p>
    <w:p w:rsidR="00AC40A7" w:rsidRDefault="00AC40A7" w:rsidP="00AC40A7">
      <w:pPr>
        <w:pStyle w:val="BodyText"/>
      </w:pPr>
    </w:p>
    <w:p w:rsidR="00AC40A7" w:rsidRDefault="00AC40A7" w:rsidP="00AC40A7">
      <w:pPr>
        <w:pStyle w:val="BodyText"/>
      </w:pPr>
    </w:p>
    <w:p w:rsidR="0047529A" w:rsidRPr="00EE61DF" w:rsidRDefault="0047529A" w:rsidP="00B65AB9">
      <w:pPr>
        <w:pStyle w:val="Heading1"/>
      </w:pPr>
      <w:bookmarkStart w:id="6" w:name="_Toc12529111"/>
      <w:r w:rsidRPr="00EE61DF">
        <w:t>Task 1: Prevalence and Perceptions of Marijuana Use</w:t>
      </w:r>
      <w:bookmarkEnd w:id="6"/>
    </w:p>
    <w:p w:rsidR="0047529A" w:rsidRPr="00D8669B" w:rsidRDefault="0000532F" w:rsidP="00B65AB9">
      <w:pPr>
        <w:pStyle w:val="Heading1"/>
        <w:rPr>
          <w:rFonts w:cs="Arial"/>
          <w:szCs w:val="28"/>
        </w:rPr>
      </w:pPr>
      <w:bookmarkStart w:id="7" w:name="_Toc12529112"/>
      <w:r>
        <w:rPr>
          <w:rFonts w:cs="Arial"/>
          <w:bCs/>
          <w:szCs w:val="28"/>
        </w:rPr>
        <w:t>Chapter 1:</w:t>
      </w:r>
      <w:r w:rsidR="0047529A" w:rsidRPr="00D8669B">
        <w:rPr>
          <w:rFonts w:cs="Arial"/>
          <w:bCs/>
          <w:szCs w:val="28"/>
        </w:rPr>
        <w:t xml:space="preserve">  Retrospective Analysis of Indicators of Use and Perceptions of Marijuana</w:t>
      </w:r>
      <w:bookmarkEnd w:id="7"/>
    </w:p>
    <w:p w:rsidR="009D3C3A" w:rsidRPr="00D8669B" w:rsidRDefault="009D3C3A" w:rsidP="00AC40A7">
      <w:pPr>
        <w:pStyle w:val="BodyText"/>
      </w:pPr>
    </w:p>
    <w:p w:rsidR="00354F37" w:rsidRDefault="00354F37">
      <w:pPr>
        <w:rPr>
          <w:rFonts w:ascii="Arial" w:eastAsiaTheme="majorEastAsia" w:hAnsi="Arial" w:cs="Arial"/>
          <w:b/>
          <w:sz w:val="24"/>
          <w:szCs w:val="24"/>
        </w:rPr>
      </w:pPr>
      <w:bookmarkStart w:id="8" w:name="_Toc534700387"/>
      <w:r>
        <w:br w:type="page"/>
      </w:r>
    </w:p>
    <w:p w:rsidR="009D3C3A" w:rsidRDefault="009D3C3A" w:rsidP="005F7A46">
      <w:pPr>
        <w:pStyle w:val="Heading2"/>
      </w:pPr>
      <w:bookmarkStart w:id="9" w:name="_Toc11763420"/>
      <w:bookmarkStart w:id="10" w:name="_Toc11765911"/>
      <w:bookmarkStart w:id="11" w:name="_Toc11766566"/>
      <w:bookmarkStart w:id="12" w:name="_Toc11917200"/>
      <w:bookmarkStart w:id="13" w:name="_Toc11921638"/>
      <w:bookmarkStart w:id="14" w:name="_Toc12520917"/>
      <w:bookmarkStart w:id="15" w:name="_Toc12521143"/>
      <w:bookmarkStart w:id="16" w:name="_Toc12529113"/>
      <w:r w:rsidRPr="00A81EC8">
        <w:lastRenderedPageBreak/>
        <w:t>Introduction</w:t>
      </w:r>
      <w:bookmarkEnd w:id="4"/>
      <w:bookmarkEnd w:id="5"/>
      <w:bookmarkEnd w:id="8"/>
      <w:bookmarkEnd w:id="9"/>
      <w:bookmarkEnd w:id="10"/>
      <w:bookmarkEnd w:id="11"/>
      <w:bookmarkEnd w:id="12"/>
      <w:bookmarkEnd w:id="13"/>
      <w:bookmarkEnd w:id="14"/>
      <w:bookmarkEnd w:id="15"/>
      <w:bookmarkEnd w:id="16"/>
    </w:p>
    <w:p w:rsidR="009D3C3A" w:rsidRPr="000B2B65" w:rsidRDefault="009D3C3A" w:rsidP="006057BE">
      <w:pPr>
        <w:pStyle w:val="BodyText"/>
        <w:spacing w:line="240" w:lineRule="auto"/>
      </w:pPr>
    </w:p>
    <w:p w:rsidR="009D3C3A" w:rsidRDefault="009D3C3A" w:rsidP="006057BE">
      <w:pPr>
        <w:pStyle w:val="BodyText"/>
        <w:spacing w:line="240" w:lineRule="auto"/>
        <w:rPr>
          <w:sz w:val="24"/>
          <w:szCs w:val="24"/>
        </w:rPr>
      </w:pPr>
      <w:r w:rsidRPr="00A81EC8">
        <w:rPr>
          <w:sz w:val="24"/>
          <w:szCs w:val="24"/>
        </w:rPr>
        <w:t>In this chapter an exploratory, secondary data analysis of marijuana indicators using national and state-specific data from Massachusetts as well as three states which have fully legalized marijuana (Oregon, Washington, and Colorado) and three states which have made no changes to marijuana laws (Texas, Kansas, Oklahoma) is presented. The goal of the study was to identify indicators of use and perception of risk of marijuana that may be used by policymakers and program leaders to monitor the impact of the legalization of marijuana over time.</w:t>
      </w:r>
    </w:p>
    <w:p w:rsidR="009D3C3A" w:rsidRPr="00A81EC8" w:rsidRDefault="009D3C3A" w:rsidP="006057BE">
      <w:pPr>
        <w:pStyle w:val="BodyText"/>
        <w:spacing w:line="240" w:lineRule="auto"/>
        <w:rPr>
          <w:sz w:val="24"/>
          <w:szCs w:val="24"/>
        </w:rPr>
      </w:pPr>
    </w:p>
    <w:p w:rsidR="009D3C3A" w:rsidRDefault="009D3C3A" w:rsidP="005F7A46">
      <w:pPr>
        <w:pStyle w:val="Heading2"/>
      </w:pPr>
      <w:bookmarkStart w:id="17" w:name="_Toc512337247"/>
      <w:bookmarkStart w:id="18" w:name="_Toc11765912"/>
      <w:bookmarkStart w:id="19" w:name="_Toc11766567"/>
      <w:bookmarkStart w:id="20" w:name="_Toc11917201"/>
      <w:bookmarkStart w:id="21" w:name="_Toc11921639"/>
      <w:bookmarkStart w:id="22" w:name="_Toc12520918"/>
      <w:bookmarkStart w:id="23" w:name="_Toc12521144"/>
      <w:bookmarkStart w:id="24" w:name="_Toc12529114"/>
      <w:r w:rsidRPr="00A81EC8">
        <w:t>Background</w:t>
      </w:r>
      <w:bookmarkEnd w:id="17"/>
      <w:bookmarkEnd w:id="18"/>
      <w:bookmarkEnd w:id="19"/>
      <w:bookmarkEnd w:id="20"/>
      <w:bookmarkEnd w:id="21"/>
      <w:bookmarkEnd w:id="22"/>
      <w:bookmarkEnd w:id="23"/>
      <w:bookmarkEnd w:id="24"/>
    </w:p>
    <w:p w:rsidR="009D3C3A" w:rsidRPr="00A81EC8" w:rsidRDefault="009D3C3A" w:rsidP="006057BE">
      <w:pPr>
        <w:spacing w:after="0" w:line="240" w:lineRule="auto"/>
        <w:rPr>
          <w:rFonts w:ascii="Arial" w:hAnsi="Arial" w:cs="Arial"/>
          <w:b/>
          <w:sz w:val="24"/>
          <w:szCs w:val="24"/>
        </w:rPr>
      </w:pPr>
    </w:p>
    <w:p w:rsidR="009D3C3A" w:rsidRDefault="009D3C3A" w:rsidP="006057BE">
      <w:pPr>
        <w:spacing w:after="0" w:line="240" w:lineRule="auto"/>
        <w:rPr>
          <w:rFonts w:ascii="Arial" w:hAnsi="Arial" w:cs="Arial"/>
          <w:sz w:val="24"/>
          <w:szCs w:val="24"/>
        </w:rPr>
      </w:pPr>
      <w:r w:rsidRPr="00A81EC8">
        <w:rPr>
          <w:rFonts w:ascii="Arial" w:hAnsi="Arial" w:cs="Arial"/>
          <w:sz w:val="24"/>
          <w:szCs w:val="24"/>
        </w:rPr>
        <w:t>During the past two decades</w:t>
      </w:r>
      <w:r w:rsidRPr="00894E63">
        <w:rPr>
          <w:rFonts w:ascii="Arial" w:hAnsi="Arial" w:cs="Arial"/>
          <w:sz w:val="24"/>
          <w:szCs w:val="24"/>
        </w:rPr>
        <w:t>, there have been many state policy changes with regard to marijuana use. Currently, 29 states and the District of Columbia have legalized medical marijuana and 8 states have legalized recreational marijuana. National data indicates that marijuana is the most commonly used illicit drug in the U.S. and the shifts in policy align with changes in public opinion regarding the acceptance and legality of marijuana. In addition, an increase in marijuana use prevalence and a decrease in the perceived harmfulness of marijuana use have also been noted (Hall &amp; Kozlowski, 2015; Monte, Zane, &amp; Heard, 2015). Recent polls show growing support for the legalization of marijuana, with some reports indicating that over 50% of Americans now view the use of marijuana as a non-moral issue (Swift, 2013; Pew Research Center, 2013). Between 2002 and 2014, marijuana use increased from 10.2% to 13.4% among adults, and the perception of harmfulness associated with marijuana use decreased from 40% to 27.8% (Swift, 2013).</w:t>
      </w:r>
    </w:p>
    <w:p w:rsidR="009D3C3A" w:rsidRPr="00894E63" w:rsidRDefault="009D3C3A" w:rsidP="006057BE">
      <w:pPr>
        <w:spacing w:after="0" w:line="240" w:lineRule="auto"/>
        <w:rPr>
          <w:rFonts w:ascii="Arial" w:hAnsi="Arial" w:cs="Arial"/>
          <w:b/>
          <w:i/>
          <w:color w:val="1F497D" w:themeColor="text2"/>
          <w:sz w:val="24"/>
          <w:szCs w:val="24"/>
        </w:rPr>
      </w:pPr>
    </w:p>
    <w:p w:rsidR="009D3C3A" w:rsidRDefault="009D3C3A" w:rsidP="006057BE">
      <w:pPr>
        <w:spacing w:after="0" w:line="240" w:lineRule="auto"/>
        <w:rPr>
          <w:rFonts w:ascii="Arial" w:hAnsi="Arial" w:cs="Arial"/>
          <w:sz w:val="24"/>
          <w:szCs w:val="24"/>
        </w:rPr>
      </w:pPr>
      <w:r w:rsidRPr="00894E63">
        <w:rPr>
          <w:rFonts w:ascii="Arial" w:hAnsi="Arial" w:cs="Arial"/>
          <w:sz w:val="24"/>
          <w:szCs w:val="24"/>
        </w:rPr>
        <w:t xml:space="preserve">Although trends in marijuana use for both adolescents and adults have been examined using national data as well as data specific to states that have legalized marijuana, few studies, if any, have conducted a comparative analyses of legalized states versus non-legalized states with regard to marijuana use (Swift, 2013; Pew Research Center, 2013; Allen &amp; Holder, 2014; Keyes, et al. 2016). And while several studies have examined trends in marijuana use following its legalization in specific states, these trends have not been examined in relation to key policy milestones. The purpose of this study is to conduct a comparative, secondary data analysis of marijuana indicators using national and state-specific data from three legal states (Oregon, Washington, Washington) and three non-legal states (Texas, Kansas, Oklahoma). Recreational marijuana was legalized in Massachusetts in 2016, and a focal point of this study is to compare Massachusetts indicators to other states in order to identify indicators which are responsive to changes in legalization. Given changes in marijuana policies regarding recreational use, the primary purpose of this study is to identify indicators that may be sensitive to those changes and factors associated with marijuana. The data reported reflect marijuana indicators that were reported for both legal and non-legalized </w:t>
      </w:r>
      <w:r w:rsidRPr="00B0442E">
        <w:rPr>
          <w:rFonts w:ascii="Arial" w:hAnsi="Arial" w:cs="Arial"/>
          <w:sz w:val="24"/>
          <w:szCs w:val="24"/>
        </w:rPr>
        <w:t xml:space="preserve">comparison states. </w:t>
      </w:r>
    </w:p>
    <w:p w:rsidR="00D8669B" w:rsidRDefault="00D8669B" w:rsidP="00AC40A7">
      <w:pPr>
        <w:pStyle w:val="BodyText"/>
      </w:pPr>
      <w:bookmarkStart w:id="25" w:name="_Toc512337248"/>
      <w:bookmarkStart w:id="26" w:name="_Toc513810088"/>
    </w:p>
    <w:p w:rsidR="00ED2671" w:rsidRDefault="00ED2671" w:rsidP="00AC40A7">
      <w:pPr>
        <w:pStyle w:val="BodyText"/>
      </w:pPr>
      <w:bookmarkStart w:id="27" w:name="_Toc534700388"/>
    </w:p>
    <w:p w:rsidR="00ED2671" w:rsidRDefault="00ED2671" w:rsidP="00AC40A7">
      <w:pPr>
        <w:pStyle w:val="BodyText"/>
      </w:pPr>
    </w:p>
    <w:p w:rsidR="009D3C3A" w:rsidRDefault="009D3C3A" w:rsidP="005F7A46">
      <w:pPr>
        <w:pStyle w:val="Heading2"/>
      </w:pPr>
      <w:bookmarkStart w:id="28" w:name="_Toc11763421"/>
      <w:bookmarkStart w:id="29" w:name="_Toc11765913"/>
      <w:bookmarkStart w:id="30" w:name="_Toc11766568"/>
      <w:bookmarkStart w:id="31" w:name="_Toc11917202"/>
      <w:bookmarkStart w:id="32" w:name="_Toc11921640"/>
      <w:bookmarkStart w:id="33" w:name="_Toc12520919"/>
      <w:bookmarkStart w:id="34" w:name="_Toc12521145"/>
      <w:bookmarkStart w:id="35" w:name="_Toc12529115"/>
      <w:r w:rsidRPr="00B0442E">
        <w:lastRenderedPageBreak/>
        <w:t>Methods</w:t>
      </w:r>
      <w:bookmarkEnd w:id="25"/>
      <w:bookmarkEnd w:id="26"/>
      <w:bookmarkEnd w:id="27"/>
      <w:bookmarkEnd w:id="28"/>
      <w:bookmarkEnd w:id="29"/>
      <w:bookmarkEnd w:id="30"/>
      <w:bookmarkEnd w:id="31"/>
      <w:bookmarkEnd w:id="32"/>
      <w:bookmarkEnd w:id="33"/>
      <w:bookmarkEnd w:id="34"/>
      <w:bookmarkEnd w:id="35"/>
    </w:p>
    <w:p w:rsidR="009D3C3A" w:rsidRPr="000B2B65" w:rsidRDefault="009D3C3A" w:rsidP="006057BE">
      <w:pPr>
        <w:pStyle w:val="BodyText"/>
        <w:spacing w:line="240" w:lineRule="auto"/>
      </w:pPr>
    </w:p>
    <w:p w:rsidR="009D3C3A" w:rsidRDefault="009D3C3A" w:rsidP="006057BE">
      <w:pPr>
        <w:pStyle w:val="BodyText"/>
        <w:spacing w:line="240" w:lineRule="auto"/>
        <w:rPr>
          <w:sz w:val="24"/>
          <w:szCs w:val="24"/>
        </w:rPr>
      </w:pPr>
      <w:r w:rsidRPr="00B0442E">
        <w:rPr>
          <w:sz w:val="24"/>
          <w:szCs w:val="24"/>
        </w:rPr>
        <w:t>In order to identify the indicators which may be sensitive to factors associated with legalization of marijuana, a list of the most relevant potential indicators from four national data sets was detailed. This list was then honed to only those which met specific criteria for inclusion. The remaining indicators were then analyzed for responsiveness to factors associated with marijuana and change over time. In sum, the process included four steps:</w:t>
      </w:r>
    </w:p>
    <w:p w:rsidR="00784755" w:rsidRPr="00B0442E" w:rsidRDefault="00784755" w:rsidP="006057BE">
      <w:pPr>
        <w:pStyle w:val="BodyText"/>
        <w:spacing w:line="240" w:lineRule="auto"/>
        <w:rPr>
          <w:sz w:val="24"/>
          <w:szCs w:val="24"/>
        </w:rPr>
      </w:pPr>
    </w:p>
    <w:p w:rsidR="009D3C3A" w:rsidRPr="00B0442E" w:rsidRDefault="009D3C3A" w:rsidP="006057BE">
      <w:pPr>
        <w:numPr>
          <w:ilvl w:val="0"/>
          <w:numId w:val="8"/>
        </w:numPr>
        <w:spacing w:after="0" w:line="240" w:lineRule="auto"/>
        <w:rPr>
          <w:rFonts w:ascii="Arial" w:hAnsi="Arial" w:cs="Arial"/>
          <w:sz w:val="24"/>
          <w:szCs w:val="24"/>
        </w:rPr>
      </w:pPr>
      <w:r w:rsidRPr="00B0442E">
        <w:rPr>
          <w:rFonts w:ascii="Arial" w:hAnsi="Arial" w:cs="Arial"/>
          <w:sz w:val="24"/>
          <w:szCs w:val="24"/>
        </w:rPr>
        <w:t xml:space="preserve">Conduct an indicator inventory </w:t>
      </w:r>
    </w:p>
    <w:p w:rsidR="009D3C3A" w:rsidRPr="00894E63" w:rsidRDefault="009D3C3A" w:rsidP="006057BE">
      <w:pPr>
        <w:numPr>
          <w:ilvl w:val="0"/>
          <w:numId w:val="8"/>
        </w:numPr>
        <w:spacing w:after="0" w:line="240" w:lineRule="auto"/>
        <w:rPr>
          <w:rFonts w:ascii="Arial" w:hAnsi="Arial" w:cs="Arial"/>
          <w:sz w:val="24"/>
          <w:szCs w:val="24"/>
        </w:rPr>
      </w:pPr>
      <w:r w:rsidRPr="00B0442E">
        <w:rPr>
          <w:rFonts w:ascii="Arial" w:hAnsi="Arial" w:cs="Arial"/>
          <w:sz w:val="24"/>
          <w:szCs w:val="24"/>
        </w:rPr>
        <w:t>Choose comparison</w:t>
      </w:r>
      <w:r w:rsidRPr="00894E63">
        <w:rPr>
          <w:rFonts w:ascii="Arial" w:hAnsi="Arial" w:cs="Arial"/>
          <w:sz w:val="24"/>
          <w:szCs w:val="24"/>
        </w:rPr>
        <w:t xml:space="preserve"> states</w:t>
      </w:r>
    </w:p>
    <w:p w:rsidR="009D3C3A" w:rsidRPr="00894E63" w:rsidRDefault="009D3C3A" w:rsidP="006057BE">
      <w:pPr>
        <w:numPr>
          <w:ilvl w:val="0"/>
          <w:numId w:val="8"/>
        </w:numPr>
        <w:spacing w:after="0" w:line="240" w:lineRule="auto"/>
        <w:rPr>
          <w:rFonts w:ascii="Arial" w:hAnsi="Arial" w:cs="Arial"/>
          <w:sz w:val="24"/>
          <w:szCs w:val="24"/>
        </w:rPr>
      </w:pPr>
      <w:r w:rsidRPr="00894E63">
        <w:rPr>
          <w:rFonts w:ascii="Arial" w:hAnsi="Arial" w:cs="Arial"/>
          <w:sz w:val="24"/>
          <w:szCs w:val="24"/>
        </w:rPr>
        <w:t>Confirm data sources</w:t>
      </w:r>
    </w:p>
    <w:p w:rsidR="009D3C3A" w:rsidRDefault="009D3C3A" w:rsidP="006057BE">
      <w:pPr>
        <w:numPr>
          <w:ilvl w:val="0"/>
          <w:numId w:val="8"/>
        </w:numPr>
        <w:spacing w:after="0" w:line="240" w:lineRule="auto"/>
        <w:rPr>
          <w:rFonts w:ascii="Arial" w:hAnsi="Arial" w:cs="Arial"/>
          <w:sz w:val="24"/>
          <w:szCs w:val="24"/>
        </w:rPr>
      </w:pPr>
      <w:r w:rsidRPr="00894E63">
        <w:rPr>
          <w:rFonts w:ascii="Arial" w:hAnsi="Arial" w:cs="Arial"/>
          <w:sz w:val="24"/>
          <w:szCs w:val="24"/>
        </w:rPr>
        <w:t xml:space="preserve">Conduct statistical analyses </w:t>
      </w:r>
    </w:p>
    <w:p w:rsidR="00784755" w:rsidRPr="00894E63" w:rsidRDefault="00784755" w:rsidP="006057BE">
      <w:pPr>
        <w:spacing w:after="0" w:line="240" w:lineRule="auto"/>
        <w:ind w:left="360"/>
        <w:rPr>
          <w:rFonts w:ascii="Arial" w:hAnsi="Arial" w:cs="Arial"/>
          <w:sz w:val="24"/>
          <w:szCs w:val="24"/>
        </w:rPr>
      </w:pPr>
    </w:p>
    <w:p w:rsidR="009D3C3A" w:rsidRDefault="009D3C3A" w:rsidP="006057BE">
      <w:pPr>
        <w:spacing w:after="0" w:line="240" w:lineRule="auto"/>
        <w:rPr>
          <w:rFonts w:ascii="Arial" w:hAnsi="Arial" w:cs="Arial"/>
          <w:i/>
          <w:sz w:val="24"/>
          <w:szCs w:val="24"/>
        </w:rPr>
      </w:pPr>
      <w:r w:rsidRPr="00894E63">
        <w:rPr>
          <w:rFonts w:ascii="Arial" w:hAnsi="Arial" w:cs="Arial"/>
          <w:sz w:val="24"/>
          <w:szCs w:val="24"/>
        </w:rPr>
        <w:t>Along with identifying indicators that appear to be responsive to changes over time, this approach also provided a baseline for chosen indicators from which to assess future trends.</w:t>
      </w:r>
      <w:r w:rsidRPr="00894E63">
        <w:rPr>
          <w:rFonts w:ascii="Arial" w:hAnsi="Arial" w:cs="Arial"/>
          <w:i/>
          <w:sz w:val="24"/>
          <w:szCs w:val="24"/>
        </w:rPr>
        <w:t xml:space="preserve"> </w:t>
      </w:r>
    </w:p>
    <w:p w:rsidR="009D3C3A" w:rsidRPr="004227B5" w:rsidRDefault="009D3C3A" w:rsidP="006057BE">
      <w:pPr>
        <w:spacing w:after="0" w:line="240" w:lineRule="auto"/>
        <w:rPr>
          <w:rFonts w:ascii="Arial" w:hAnsi="Arial" w:cs="Arial"/>
          <w:sz w:val="24"/>
          <w:szCs w:val="24"/>
        </w:rPr>
      </w:pPr>
    </w:p>
    <w:p w:rsidR="009D3C3A" w:rsidRDefault="009D3C3A" w:rsidP="00332358">
      <w:pPr>
        <w:pStyle w:val="Heading3"/>
      </w:pPr>
      <w:bookmarkStart w:id="36" w:name="_Toc512337249"/>
      <w:bookmarkStart w:id="37" w:name="_Toc513810089"/>
      <w:bookmarkStart w:id="38" w:name="_Toc11763422"/>
      <w:bookmarkStart w:id="39" w:name="_Toc11765914"/>
      <w:bookmarkStart w:id="40" w:name="_Toc11766569"/>
      <w:r w:rsidRPr="00E8362F">
        <w:t>Indicator Inventory</w:t>
      </w:r>
      <w:bookmarkEnd w:id="36"/>
      <w:bookmarkEnd w:id="37"/>
      <w:bookmarkEnd w:id="38"/>
      <w:bookmarkEnd w:id="39"/>
      <w:bookmarkEnd w:id="40"/>
    </w:p>
    <w:p w:rsidR="009D3C3A" w:rsidRPr="000B2B65" w:rsidRDefault="009D3C3A" w:rsidP="006057BE">
      <w:pPr>
        <w:pStyle w:val="BodyText"/>
        <w:spacing w:line="240" w:lineRule="auto"/>
      </w:pPr>
    </w:p>
    <w:p w:rsidR="009D3C3A" w:rsidRDefault="009D3C3A" w:rsidP="006057BE">
      <w:pPr>
        <w:spacing w:after="0" w:line="240" w:lineRule="auto"/>
        <w:rPr>
          <w:rFonts w:ascii="Arial" w:hAnsi="Arial" w:cs="Arial"/>
          <w:sz w:val="24"/>
          <w:szCs w:val="24"/>
        </w:rPr>
      </w:pPr>
      <w:r w:rsidRPr="00894E63">
        <w:rPr>
          <w:rFonts w:ascii="Arial" w:hAnsi="Arial" w:cs="Arial"/>
          <w:sz w:val="24"/>
          <w:szCs w:val="24"/>
        </w:rPr>
        <w:t xml:space="preserve">The purpose of the inventory was to identify a comprehensive list of potential indicators and detail salient information to inform the selection of indicators for further analysis. Four data sets were selected from which to pull the comprehensive list of indicators: </w:t>
      </w:r>
    </w:p>
    <w:p w:rsidR="00784755" w:rsidRPr="00894E63" w:rsidRDefault="00784755" w:rsidP="006057BE">
      <w:pPr>
        <w:spacing w:after="0" w:line="240" w:lineRule="auto"/>
        <w:rPr>
          <w:rFonts w:ascii="Arial" w:eastAsiaTheme="majorEastAsia" w:hAnsi="Arial" w:cs="Arial"/>
          <w:b/>
          <w:i/>
          <w:color w:val="1F497D" w:themeColor="text2"/>
          <w:sz w:val="24"/>
          <w:szCs w:val="24"/>
        </w:rPr>
      </w:pPr>
    </w:p>
    <w:p w:rsidR="009D3C3A" w:rsidRPr="00894E63" w:rsidRDefault="009D3C3A" w:rsidP="006057BE">
      <w:pPr>
        <w:numPr>
          <w:ilvl w:val="0"/>
          <w:numId w:val="7"/>
        </w:numPr>
        <w:spacing w:after="0" w:line="240" w:lineRule="auto"/>
        <w:ind w:left="576" w:hanging="288"/>
        <w:rPr>
          <w:rFonts w:ascii="Arial" w:hAnsi="Arial" w:cs="Arial"/>
          <w:sz w:val="24"/>
          <w:szCs w:val="24"/>
        </w:rPr>
      </w:pPr>
      <w:r w:rsidRPr="00894E63">
        <w:rPr>
          <w:rFonts w:ascii="Arial" w:hAnsi="Arial" w:cs="Arial"/>
          <w:sz w:val="24"/>
          <w:szCs w:val="24"/>
        </w:rPr>
        <w:t>Massachusetts Youth Risk Behavior Survey (YRBS)</w:t>
      </w:r>
    </w:p>
    <w:p w:rsidR="009D3C3A" w:rsidRPr="00894E63" w:rsidRDefault="009D3C3A" w:rsidP="006057BE">
      <w:pPr>
        <w:numPr>
          <w:ilvl w:val="0"/>
          <w:numId w:val="7"/>
        </w:numPr>
        <w:spacing w:after="0" w:line="240" w:lineRule="auto"/>
        <w:ind w:left="576" w:hanging="288"/>
        <w:rPr>
          <w:rFonts w:ascii="Arial" w:hAnsi="Arial" w:cs="Arial"/>
          <w:sz w:val="24"/>
          <w:szCs w:val="24"/>
        </w:rPr>
      </w:pPr>
      <w:r w:rsidRPr="00894E63">
        <w:rPr>
          <w:rFonts w:ascii="Arial" w:hAnsi="Arial" w:cs="Arial"/>
          <w:sz w:val="24"/>
          <w:szCs w:val="24"/>
        </w:rPr>
        <w:t>Massachusetts Youth Health Survey (YHS)</w:t>
      </w:r>
    </w:p>
    <w:p w:rsidR="009D3C3A" w:rsidRPr="00894E63" w:rsidRDefault="009D3C3A" w:rsidP="006057BE">
      <w:pPr>
        <w:numPr>
          <w:ilvl w:val="0"/>
          <w:numId w:val="7"/>
        </w:numPr>
        <w:spacing w:after="0" w:line="240" w:lineRule="auto"/>
        <w:ind w:left="576" w:hanging="288"/>
        <w:rPr>
          <w:rFonts w:ascii="Arial" w:hAnsi="Arial" w:cs="Arial"/>
          <w:sz w:val="24"/>
          <w:szCs w:val="24"/>
        </w:rPr>
      </w:pPr>
      <w:r w:rsidRPr="00894E63">
        <w:rPr>
          <w:rFonts w:ascii="Arial" w:hAnsi="Arial" w:cs="Arial"/>
          <w:sz w:val="24"/>
          <w:szCs w:val="24"/>
        </w:rPr>
        <w:t>Massachusetts Behavioral Risk Factor Surveillance Survey (BRFSS)</w:t>
      </w:r>
    </w:p>
    <w:p w:rsidR="009D3C3A" w:rsidRDefault="009D3C3A" w:rsidP="006057BE">
      <w:pPr>
        <w:numPr>
          <w:ilvl w:val="0"/>
          <w:numId w:val="7"/>
        </w:numPr>
        <w:spacing w:after="0" w:line="240" w:lineRule="auto"/>
        <w:ind w:left="576" w:hanging="288"/>
        <w:rPr>
          <w:rFonts w:ascii="Arial" w:hAnsi="Arial" w:cs="Arial"/>
          <w:i/>
          <w:sz w:val="24"/>
          <w:szCs w:val="24"/>
        </w:rPr>
      </w:pPr>
      <w:r w:rsidRPr="00894E63">
        <w:rPr>
          <w:rFonts w:ascii="Arial" w:hAnsi="Arial" w:cs="Arial"/>
          <w:sz w:val="24"/>
          <w:szCs w:val="24"/>
        </w:rPr>
        <w:t>National Survey on Drug Use and Health (NSDUH</w:t>
      </w:r>
      <w:r w:rsidRPr="00894E63">
        <w:rPr>
          <w:rFonts w:ascii="Arial" w:hAnsi="Arial" w:cs="Arial"/>
          <w:i/>
          <w:sz w:val="24"/>
          <w:szCs w:val="24"/>
        </w:rPr>
        <w:t>)</w:t>
      </w:r>
    </w:p>
    <w:p w:rsidR="00784755" w:rsidRPr="00894E63" w:rsidRDefault="00784755" w:rsidP="006057BE">
      <w:pPr>
        <w:spacing w:after="0" w:line="240" w:lineRule="auto"/>
        <w:ind w:left="576"/>
        <w:rPr>
          <w:rFonts w:ascii="Arial" w:hAnsi="Arial" w:cs="Arial"/>
          <w:i/>
          <w:sz w:val="24"/>
          <w:szCs w:val="24"/>
        </w:rPr>
      </w:pPr>
    </w:p>
    <w:p w:rsidR="009D3C3A" w:rsidRDefault="009D3C3A" w:rsidP="006057BE">
      <w:pPr>
        <w:spacing w:after="0" w:line="240" w:lineRule="auto"/>
        <w:rPr>
          <w:rFonts w:ascii="Arial" w:hAnsi="Arial" w:cs="Arial"/>
          <w:sz w:val="24"/>
          <w:szCs w:val="24"/>
        </w:rPr>
      </w:pPr>
      <w:r w:rsidRPr="00894E63">
        <w:rPr>
          <w:rFonts w:ascii="Arial" w:hAnsi="Arial" w:cs="Arial"/>
          <w:sz w:val="24"/>
          <w:szCs w:val="24"/>
        </w:rPr>
        <w:t>Sixty-eight initial indicators were identified for consideration. From this list, indicators were chosen that met the following criteria:</w:t>
      </w:r>
    </w:p>
    <w:p w:rsidR="00784755" w:rsidRPr="00894E63" w:rsidRDefault="00784755" w:rsidP="006057BE">
      <w:pPr>
        <w:spacing w:after="0" w:line="240" w:lineRule="auto"/>
        <w:rPr>
          <w:rFonts w:ascii="Arial" w:hAnsi="Arial" w:cs="Arial"/>
          <w:sz w:val="24"/>
          <w:szCs w:val="24"/>
        </w:rPr>
      </w:pPr>
    </w:p>
    <w:p w:rsidR="009D3C3A" w:rsidRPr="00894E63" w:rsidRDefault="009D3C3A" w:rsidP="006057BE">
      <w:pPr>
        <w:numPr>
          <w:ilvl w:val="0"/>
          <w:numId w:val="9"/>
        </w:numPr>
        <w:spacing w:after="0" w:line="240" w:lineRule="auto"/>
        <w:contextualSpacing/>
        <w:rPr>
          <w:rFonts w:ascii="Arial" w:hAnsi="Arial" w:cs="Arial"/>
          <w:sz w:val="24"/>
          <w:szCs w:val="24"/>
        </w:rPr>
      </w:pPr>
      <w:r w:rsidRPr="00894E63">
        <w:rPr>
          <w:rFonts w:ascii="Arial" w:hAnsi="Arial" w:cs="Arial"/>
          <w:sz w:val="24"/>
          <w:szCs w:val="24"/>
        </w:rPr>
        <w:t xml:space="preserve">Represents population of youth and/or adults </w:t>
      </w:r>
    </w:p>
    <w:p w:rsidR="009D3C3A" w:rsidRPr="00894E63" w:rsidRDefault="009D3C3A" w:rsidP="006057BE">
      <w:pPr>
        <w:numPr>
          <w:ilvl w:val="0"/>
          <w:numId w:val="9"/>
        </w:numPr>
        <w:spacing w:after="0" w:line="240" w:lineRule="auto"/>
        <w:contextualSpacing/>
        <w:rPr>
          <w:rFonts w:ascii="Arial" w:hAnsi="Arial" w:cs="Arial"/>
          <w:sz w:val="24"/>
          <w:szCs w:val="24"/>
        </w:rPr>
      </w:pPr>
      <w:r w:rsidRPr="00894E63">
        <w:rPr>
          <w:rFonts w:ascii="Arial" w:hAnsi="Arial" w:cs="Arial"/>
          <w:sz w:val="24"/>
          <w:szCs w:val="24"/>
        </w:rPr>
        <w:t>Availability in potential comparison states</w:t>
      </w:r>
    </w:p>
    <w:p w:rsidR="009D3C3A" w:rsidRPr="00894E63" w:rsidRDefault="009D3C3A" w:rsidP="006057BE">
      <w:pPr>
        <w:numPr>
          <w:ilvl w:val="0"/>
          <w:numId w:val="9"/>
        </w:numPr>
        <w:spacing w:after="0" w:line="240" w:lineRule="auto"/>
        <w:contextualSpacing/>
        <w:rPr>
          <w:rFonts w:ascii="Arial" w:hAnsi="Arial" w:cs="Arial"/>
          <w:sz w:val="24"/>
          <w:szCs w:val="24"/>
        </w:rPr>
      </w:pPr>
      <w:r w:rsidRPr="00894E63">
        <w:rPr>
          <w:rFonts w:ascii="Arial" w:hAnsi="Arial" w:cs="Arial"/>
          <w:sz w:val="24"/>
          <w:szCs w:val="24"/>
        </w:rPr>
        <w:t xml:space="preserve">Sampling and weighting representative of the entire state </w:t>
      </w:r>
    </w:p>
    <w:p w:rsidR="009D3C3A" w:rsidRDefault="009D3C3A" w:rsidP="006057BE">
      <w:pPr>
        <w:numPr>
          <w:ilvl w:val="0"/>
          <w:numId w:val="9"/>
        </w:numPr>
        <w:spacing w:after="0" w:line="240" w:lineRule="auto"/>
        <w:contextualSpacing/>
        <w:rPr>
          <w:rFonts w:ascii="Arial" w:hAnsi="Arial" w:cs="Arial"/>
          <w:sz w:val="24"/>
          <w:szCs w:val="24"/>
        </w:rPr>
      </w:pPr>
      <w:r w:rsidRPr="00894E63">
        <w:rPr>
          <w:rFonts w:ascii="Arial" w:hAnsi="Arial" w:cs="Arial"/>
          <w:sz w:val="24"/>
          <w:szCs w:val="24"/>
        </w:rPr>
        <w:t>Administration at regular intervals over the course of the last 10 years</w:t>
      </w:r>
    </w:p>
    <w:p w:rsidR="00784755" w:rsidRPr="00894E63" w:rsidRDefault="00784755" w:rsidP="006057BE">
      <w:pPr>
        <w:spacing w:after="0" w:line="240" w:lineRule="auto"/>
        <w:ind w:left="720"/>
        <w:contextualSpacing/>
        <w:rPr>
          <w:rFonts w:ascii="Arial" w:hAnsi="Arial" w:cs="Arial"/>
          <w:sz w:val="24"/>
          <w:szCs w:val="24"/>
        </w:rPr>
      </w:pPr>
    </w:p>
    <w:p w:rsidR="009D3C3A" w:rsidRDefault="009D3C3A" w:rsidP="006057BE">
      <w:pPr>
        <w:spacing w:after="0" w:line="240" w:lineRule="auto"/>
        <w:rPr>
          <w:rFonts w:ascii="Arial" w:hAnsi="Arial" w:cs="Arial"/>
          <w:sz w:val="24"/>
          <w:szCs w:val="24"/>
        </w:rPr>
      </w:pPr>
      <w:r w:rsidRPr="00894E63">
        <w:rPr>
          <w:rFonts w:ascii="Arial" w:hAnsi="Arial" w:cs="Arial"/>
          <w:sz w:val="24"/>
          <w:szCs w:val="24"/>
        </w:rPr>
        <w:t>The result of the prioritization was the identification of 22 indicators for further analysis.</w:t>
      </w:r>
    </w:p>
    <w:p w:rsidR="009D3C3A" w:rsidRPr="00894E63" w:rsidRDefault="009D3C3A" w:rsidP="006057BE">
      <w:pPr>
        <w:spacing w:after="0" w:line="240" w:lineRule="auto"/>
        <w:rPr>
          <w:rFonts w:ascii="Arial" w:hAnsi="Arial" w:cs="Arial"/>
          <w:sz w:val="24"/>
          <w:szCs w:val="24"/>
        </w:rPr>
      </w:pPr>
    </w:p>
    <w:p w:rsidR="009D3C3A" w:rsidRDefault="009D3C3A" w:rsidP="00332358">
      <w:pPr>
        <w:pStyle w:val="Heading3"/>
      </w:pPr>
      <w:bookmarkStart w:id="41" w:name="_Toc512337250"/>
      <w:bookmarkStart w:id="42" w:name="_Toc513810090"/>
      <w:bookmarkStart w:id="43" w:name="_Toc11763423"/>
      <w:bookmarkStart w:id="44" w:name="_Toc11765915"/>
      <w:bookmarkStart w:id="45" w:name="_Toc11766570"/>
      <w:r w:rsidRPr="00894E63">
        <w:t>Selection of Comparison States</w:t>
      </w:r>
      <w:bookmarkEnd w:id="41"/>
      <w:bookmarkEnd w:id="42"/>
      <w:bookmarkEnd w:id="43"/>
      <w:bookmarkEnd w:id="44"/>
      <w:bookmarkEnd w:id="45"/>
    </w:p>
    <w:p w:rsidR="009D3C3A" w:rsidRPr="000B2B65" w:rsidRDefault="009D3C3A" w:rsidP="006057BE">
      <w:pPr>
        <w:pStyle w:val="BodyText"/>
        <w:spacing w:line="240" w:lineRule="auto"/>
      </w:pPr>
    </w:p>
    <w:p w:rsidR="009D3C3A" w:rsidRDefault="009D3C3A" w:rsidP="006057BE">
      <w:pPr>
        <w:spacing w:after="0" w:line="240" w:lineRule="auto"/>
        <w:rPr>
          <w:rFonts w:ascii="Arial" w:hAnsi="Arial" w:cs="Arial"/>
          <w:sz w:val="24"/>
          <w:szCs w:val="24"/>
        </w:rPr>
      </w:pPr>
      <w:r w:rsidRPr="00894E63">
        <w:rPr>
          <w:rFonts w:ascii="Arial" w:hAnsi="Arial" w:cs="Arial"/>
          <w:sz w:val="24"/>
          <w:szCs w:val="24"/>
        </w:rPr>
        <w:t xml:space="preserve">The next step was to select comparison states. Two types of comparison states were selected: those that have legalized recreational marijuana and those that have not legalized nor decriminalized marijuana use. Many states have made some changes to marijuana laws either by decriminalizing, legalizing medical marijuana use, or ultimately legalizing recreational marijuana use. These changes appear to occur in a progression </w:t>
      </w:r>
      <w:r w:rsidRPr="00894E63">
        <w:rPr>
          <w:rFonts w:ascii="Arial" w:hAnsi="Arial" w:cs="Arial"/>
          <w:sz w:val="24"/>
          <w:szCs w:val="24"/>
        </w:rPr>
        <w:lastRenderedPageBreak/>
        <w:t>and therefore our focus was to identify states on either end of the continuum. The map below (Figure 1) demonstrates the range of legalization across the United States.</w:t>
      </w:r>
    </w:p>
    <w:p w:rsidR="00784755" w:rsidRPr="00894E63" w:rsidRDefault="00784755" w:rsidP="006057BE">
      <w:pPr>
        <w:spacing w:after="0" w:line="240" w:lineRule="auto"/>
        <w:rPr>
          <w:rFonts w:ascii="Arial" w:hAnsi="Arial" w:cs="Arial"/>
          <w:sz w:val="24"/>
          <w:szCs w:val="24"/>
        </w:rPr>
      </w:pPr>
    </w:p>
    <w:p w:rsidR="009D3C3A" w:rsidRDefault="009D3C3A" w:rsidP="006057BE">
      <w:pPr>
        <w:spacing w:after="0" w:line="240" w:lineRule="auto"/>
        <w:rPr>
          <w:rFonts w:ascii="Arial" w:hAnsi="Arial" w:cs="Arial"/>
          <w:sz w:val="24"/>
          <w:szCs w:val="24"/>
        </w:rPr>
      </w:pPr>
      <w:r w:rsidRPr="00894E63">
        <w:rPr>
          <w:rFonts w:ascii="Arial" w:hAnsi="Arial" w:cs="Arial"/>
          <w:noProof/>
          <w:sz w:val="24"/>
          <w:szCs w:val="24"/>
        </w:rPr>
        <w:drawing>
          <wp:inline distT="0" distB="0" distL="0" distR="0" wp14:anchorId="79E3497F" wp14:editId="1F8781E1">
            <wp:extent cx="4780915" cy="3152775"/>
            <wp:effectExtent l="19050" t="19050" r="19685" b="28575"/>
            <wp:docPr id="4" name="Picture 4" descr="The figure shows a map of the United States, where adult use is legal: Alaska, Washington, Oregon, California, Nevada, and Colorado, Massachusetts, and Maine. Medical use only is legal in several other states, while some states have legalized cannabidiol oil. Seven states have not legalized any type of marijuana product. It was assumed that these states would be politically dissimilar (e.g. approach to criminal justice reform, social programs, etc.) from Massachusetts and therefore selecting on the basis on similarity of social factors would not be fruitful. Therefore, the selection criteria focused upon population density and unemployment rate." title="Range of marijuana legalization status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0915" cy="3152775"/>
                    </a:xfrm>
                    <a:prstGeom prst="rect">
                      <a:avLst/>
                    </a:prstGeom>
                    <a:ln>
                      <a:solidFill>
                        <a:sysClr val="windowText" lastClr="000000"/>
                      </a:solidFill>
                    </a:ln>
                  </pic:spPr>
                </pic:pic>
              </a:graphicData>
            </a:graphic>
          </wp:inline>
        </w:drawing>
      </w:r>
    </w:p>
    <w:p w:rsidR="009D3C3A" w:rsidRPr="00894E63" w:rsidRDefault="009D3C3A" w:rsidP="006057BE">
      <w:pPr>
        <w:spacing w:after="0" w:line="240" w:lineRule="auto"/>
        <w:rPr>
          <w:rFonts w:ascii="Arial" w:hAnsi="Arial" w:cs="Arial"/>
          <w:sz w:val="24"/>
          <w:szCs w:val="24"/>
        </w:rPr>
      </w:pPr>
    </w:p>
    <w:p w:rsidR="009D3C3A" w:rsidRDefault="009D3C3A" w:rsidP="006057BE">
      <w:pPr>
        <w:spacing w:after="0" w:line="240" w:lineRule="auto"/>
        <w:rPr>
          <w:rFonts w:ascii="Arial" w:hAnsi="Arial" w:cs="Arial"/>
          <w:b/>
          <w:sz w:val="24"/>
          <w:szCs w:val="24"/>
        </w:rPr>
      </w:pPr>
      <w:r w:rsidRPr="00894E63">
        <w:rPr>
          <w:rFonts w:ascii="Arial" w:hAnsi="Arial" w:cs="Arial"/>
          <w:b/>
          <w:sz w:val="24"/>
          <w:szCs w:val="24"/>
        </w:rPr>
        <w:t>Figure 1: Current marijuana legalization status by state</w:t>
      </w:r>
    </w:p>
    <w:p w:rsidR="009D3C3A" w:rsidRPr="00894E63" w:rsidRDefault="009D3C3A" w:rsidP="006057BE">
      <w:pPr>
        <w:spacing w:after="0" w:line="240" w:lineRule="auto"/>
        <w:rPr>
          <w:rFonts w:ascii="Arial" w:hAnsi="Arial" w:cs="Arial"/>
          <w:sz w:val="24"/>
          <w:szCs w:val="24"/>
        </w:rPr>
      </w:pPr>
    </w:p>
    <w:p w:rsidR="009D3C3A" w:rsidRDefault="009D3C3A" w:rsidP="006057BE">
      <w:pPr>
        <w:spacing w:after="0" w:line="240" w:lineRule="auto"/>
        <w:rPr>
          <w:rFonts w:ascii="Arial" w:hAnsi="Arial" w:cs="Arial"/>
          <w:sz w:val="24"/>
          <w:szCs w:val="24"/>
        </w:rPr>
      </w:pPr>
      <w:r w:rsidRPr="00894E63">
        <w:rPr>
          <w:rFonts w:ascii="Arial" w:hAnsi="Arial" w:cs="Arial"/>
          <w:sz w:val="24"/>
          <w:szCs w:val="24"/>
        </w:rPr>
        <w:t>For the purposes of this analysis, legalized comparison states considered included Washington, Oregon, California, Nevada, Colorado and Maine. However, only three states had legalized recreational use for sufficient time to make a trend analysis plausible: Washington, Oregon and Colorado.</w:t>
      </w:r>
    </w:p>
    <w:p w:rsidR="00784755" w:rsidRPr="00894E63" w:rsidRDefault="00784755" w:rsidP="006057BE">
      <w:pPr>
        <w:spacing w:after="0" w:line="240" w:lineRule="auto"/>
        <w:rPr>
          <w:rFonts w:ascii="Arial" w:hAnsi="Arial" w:cs="Arial"/>
          <w:sz w:val="24"/>
          <w:szCs w:val="24"/>
        </w:rPr>
      </w:pPr>
    </w:p>
    <w:p w:rsidR="000941B7" w:rsidRDefault="009D3C3A" w:rsidP="006057BE">
      <w:pPr>
        <w:spacing w:after="0" w:line="240" w:lineRule="auto"/>
        <w:rPr>
          <w:rFonts w:ascii="Arial" w:hAnsi="Arial" w:cs="Arial"/>
          <w:sz w:val="24"/>
          <w:szCs w:val="24"/>
        </w:rPr>
      </w:pPr>
      <w:r w:rsidRPr="00894E63">
        <w:rPr>
          <w:rFonts w:ascii="Arial" w:hAnsi="Arial" w:cs="Arial"/>
          <w:sz w:val="24"/>
          <w:szCs w:val="24"/>
        </w:rPr>
        <w:t xml:space="preserve">A search found that there are seven states which have not decriminalized marijuana use or possession and have no recreational or medical marijuana laws, nor any legal cannabidiol oil use. These include: Idaho, Kansas, </w:t>
      </w:r>
      <w:r>
        <w:rPr>
          <w:rFonts w:ascii="Arial" w:hAnsi="Arial" w:cs="Arial"/>
          <w:sz w:val="24"/>
          <w:szCs w:val="24"/>
        </w:rPr>
        <w:t xml:space="preserve">Louisiana, </w:t>
      </w:r>
      <w:r w:rsidRPr="00894E63">
        <w:rPr>
          <w:rFonts w:ascii="Arial" w:hAnsi="Arial" w:cs="Arial"/>
          <w:sz w:val="24"/>
          <w:szCs w:val="24"/>
        </w:rPr>
        <w:t xml:space="preserve">Nebraska, Oklahoma, South Dakota and Texas. It was assumed that states that meet this profile would be politically dissimilar (e.g. approach to criminal justice reform, social programs, etc.) from Massachusetts and therefore selecting on the basis on similarity of social factors would not be fruitful. Therefore, the selection criteria focused upon population density and unemployment rate. The table below details how each state met those criteria. Of the seven potential comparison states, the three selected had the most similar unemployment rate and population density to Massachusetts. Based on this information, the chosen non-legalization comparison states were Texas, Oklahoma </w:t>
      </w:r>
      <w:r w:rsidR="00784755">
        <w:rPr>
          <w:rFonts w:ascii="Arial" w:hAnsi="Arial" w:cs="Arial"/>
          <w:sz w:val="24"/>
          <w:szCs w:val="24"/>
        </w:rPr>
        <w:t xml:space="preserve">  </w:t>
      </w:r>
      <w:r w:rsidRPr="00894E63">
        <w:rPr>
          <w:rFonts w:ascii="Arial" w:hAnsi="Arial" w:cs="Arial"/>
          <w:sz w:val="24"/>
          <w:szCs w:val="24"/>
        </w:rPr>
        <w:t>and Kansas.</w:t>
      </w:r>
      <w:r>
        <w:rPr>
          <w:rFonts w:ascii="Arial" w:hAnsi="Arial" w:cs="Arial"/>
          <w:sz w:val="24"/>
          <w:szCs w:val="24"/>
        </w:rPr>
        <w:t xml:space="preserve">  </w:t>
      </w:r>
    </w:p>
    <w:p w:rsidR="000A008F" w:rsidRDefault="000A008F" w:rsidP="006057BE">
      <w:pPr>
        <w:spacing w:after="0" w:line="240" w:lineRule="auto"/>
        <w:rPr>
          <w:rFonts w:ascii="Arial" w:hAnsi="Arial" w:cs="Arial"/>
          <w:sz w:val="24"/>
          <w:szCs w:val="24"/>
        </w:rPr>
      </w:pPr>
    </w:p>
    <w:p w:rsidR="000A008F" w:rsidRDefault="000A008F" w:rsidP="006057BE">
      <w:pPr>
        <w:spacing w:after="0" w:line="240" w:lineRule="auto"/>
        <w:rPr>
          <w:rFonts w:ascii="Arial" w:hAnsi="Arial" w:cs="Arial"/>
          <w:sz w:val="24"/>
          <w:szCs w:val="24"/>
        </w:rPr>
      </w:pPr>
    </w:p>
    <w:p w:rsidR="000A008F" w:rsidRDefault="000A008F" w:rsidP="006057BE">
      <w:pPr>
        <w:spacing w:after="0" w:line="240" w:lineRule="auto"/>
        <w:rPr>
          <w:rFonts w:ascii="Arial" w:hAnsi="Arial" w:cs="Arial"/>
          <w:sz w:val="24"/>
          <w:szCs w:val="24"/>
        </w:rPr>
      </w:pPr>
    </w:p>
    <w:p w:rsidR="000A008F" w:rsidRDefault="000A008F" w:rsidP="006057BE">
      <w:pPr>
        <w:spacing w:after="0" w:line="240" w:lineRule="auto"/>
        <w:rPr>
          <w:rFonts w:ascii="Arial" w:hAnsi="Arial" w:cs="Arial"/>
          <w:sz w:val="24"/>
          <w:szCs w:val="24"/>
        </w:rPr>
      </w:pPr>
    </w:p>
    <w:p w:rsidR="00792C11" w:rsidRPr="00B41A71" w:rsidRDefault="00792C11" w:rsidP="006057BE">
      <w:pPr>
        <w:spacing w:after="0" w:line="240" w:lineRule="auto"/>
        <w:rPr>
          <w:rFonts w:ascii="Arial" w:hAnsi="Arial" w:cs="Arial"/>
          <w:sz w:val="24"/>
          <w:szCs w:val="24"/>
        </w:rPr>
      </w:pPr>
    </w:p>
    <w:p w:rsidR="009D3C3A" w:rsidRPr="00894E63" w:rsidRDefault="009D3C3A" w:rsidP="006057BE">
      <w:pPr>
        <w:spacing w:after="0" w:line="240" w:lineRule="auto"/>
        <w:rPr>
          <w:rFonts w:ascii="Arial" w:hAnsi="Arial" w:cs="Arial"/>
          <w:sz w:val="24"/>
          <w:szCs w:val="24"/>
        </w:rPr>
      </w:pPr>
      <w:r w:rsidRPr="00894E63">
        <w:rPr>
          <w:rFonts w:ascii="Arial" w:hAnsi="Arial" w:cs="Arial"/>
          <w:b/>
          <w:sz w:val="24"/>
          <w:szCs w:val="24"/>
        </w:rPr>
        <w:lastRenderedPageBreak/>
        <w:t>Table 1:</w:t>
      </w:r>
      <w:r w:rsidRPr="00894E63">
        <w:rPr>
          <w:rFonts w:ascii="Arial" w:hAnsi="Arial" w:cs="Arial"/>
          <w:sz w:val="24"/>
          <w:szCs w:val="24"/>
        </w:rPr>
        <w:t xml:space="preserve"> </w:t>
      </w:r>
      <w:r w:rsidRPr="00894E63">
        <w:rPr>
          <w:rFonts w:ascii="Arial" w:hAnsi="Arial" w:cs="Arial"/>
          <w:b/>
          <w:sz w:val="24"/>
          <w:szCs w:val="24"/>
        </w:rPr>
        <w:t>Comparison State Census Information</w:t>
      </w:r>
    </w:p>
    <w:tbl>
      <w:tblPr>
        <w:tblStyle w:val="TableGrid"/>
        <w:tblpPr w:leftFromText="180" w:rightFromText="180" w:vertAnchor="text" w:horzAnchor="margin" w:tblpY="96"/>
        <w:tblW w:w="0" w:type="auto"/>
        <w:tblLayout w:type="fixed"/>
        <w:tblLook w:val="04A0" w:firstRow="1" w:lastRow="0" w:firstColumn="1" w:lastColumn="0" w:noHBand="0" w:noVBand="1"/>
        <w:tblCaption w:val="Table: Comparison State Census Information"/>
        <w:tblDescription w:val="The table compares states' populations, people per square mile, and unemployment rate. States include Massachusetts, Idaho, Kansas, Nebraska, Oklahoma, South Dakota, and Texas. Massachusetts has the second highest population among these states, with 6.5 million. Massachusetts has the most people per square mile, and the unemployment rate is 4.3%, which is tied for second highest unemployment rate with Oklahoma. Only Texas has a higher unemployment rate among these states, which is 4.6%. "/>
      </w:tblPr>
      <w:tblGrid>
        <w:gridCol w:w="2344"/>
        <w:gridCol w:w="2345"/>
        <w:gridCol w:w="2344"/>
        <w:gridCol w:w="2345"/>
      </w:tblGrid>
      <w:tr w:rsidR="009D3C3A" w:rsidRPr="00A76C02" w:rsidTr="009D3C3A">
        <w:trPr>
          <w:trHeight w:val="432"/>
          <w:tblHeader/>
        </w:trPr>
        <w:tc>
          <w:tcPr>
            <w:tcW w:w="2344" w:type="dxa"/>
            <w:shd w:val="clear" w:color="auto" w:fill="auto"/>
          </w:tcPr>
          <w:p w:rsidR="009D3C3A" w:rsidRPr="00A76C02" w:rsidRDefault="009D3C3A" w:rsidP="006057BE">
            <w:pPr>
              <w:rPr>
                <w:rFonts w:ascii="Arial" w:eastAsia="Calibri" w:hAnsi="Arial" w:cs="Arial"/>
                <w:b/>
                <w:sz w:val="20"/>
                <w:szCs w:val="24"/>
              </w:rPr>
            </w:pPr>
            <w:r w:rsidRPr="00A76C02">
              <w:rPr>
                <w:rFonts w:ascii="Arial" w:eastAsia="Calibri" w:hAnsi="Arial" w:cs="Arial"/>
                <w:b/>
                <w:sz w:val="20"/>
                <w:szCs w:val="24"/>
              </w:rPr>
              <w:t>State</w:t>
            </w:r>
          </w:p>
        </w:tc>
        <w:tc>
          <w:tcPr>
            <w:tcW w:w="2345" w:type="dxa"/>
            <w:shd w:val="clear" w:color="auto" w:fill="auto"/>
          </w:tcPr>
          <w:p w:rsidR="009D3C3A" w:rsidRPr="00A76C02" w:rsidRDefault="009D3C3A" w:rsidP="006057BE">
            <w:pPr>
              <w:rPr>
                <w:rFonts w:ascii="Arial" w:eastAsia="Calibri" w:hAnsi="Arial" w:cs="Arial"/>
                <w:b/>
                <w:sz w:val="20"/>
                <w:szCs w:val="24"/>
              </w:rPr>
            </w:pPr>
            <w:r w:rsidRPr="00A76C02">
              <w:rPr>
                <w:rFonts w:ascii="Arial" w:eastAsia="Calibri" w:hAnsi="Arial" w:cs="Arial"/>
                <w:b/>
                <w:sz w:val="20"/>
                <w:szCs w:val="24"/>
              </w:rPr>
              <w:t>Population</w:t>
            </w:r>
          </w:p>
        </w:tc>
        <w:tc>
          <w:tcPr>
            <w:tcW w:w="2344" w:type="dxa"/>
            <w:shd w:val="clear" w:color="auto" w:fill="auto"/>
          </w:tcPr>
          <w:p w:rsidR="009D3C3A" w:rsidRPr="00A76C02" w:rsidRDefault="009D3C3A" w:rsidP="006057BE">
            <w:pPr>
              <w:rPr>
                <w:rFonts w:ascii="Arial" w:eastAsia="Calibri" w:hAnsi="Arial" w:cs="Arial"/>
                <w:b/>
                <w:sz w:val="20"/>
                <w:szCs w:val="24"/>
              </w:rPr>
            </w:pPr>
            <w:r w:rsidRPr="00A76C02">
              <w:rPr>
                <w:rFonts w:ascii="Arial" w:eastAsia="Calibri" w:hAnsi="Arial" w:cs="Arial"/>
                <w:b/>
                <w:sz w:val="20"/>
                <w:szCs w:val="24"/>
              </w:rPr>
              <w:t>People per sq. mile</w:t>
            </w:r>
          </w:p>
        </w:tc>
        <w:tc>
          <w:tcPr>
            <w:tcW w:w="2345" w:type="dxa"/>
            <w:shd w:val="clear" w:color="auto" w:fill="auto"/>
          </w:tcPr>
          <w:p w:rsidR="009D3C3A" w:rsidRPr="00A76C02" w:rsidRDefault="009D3C3A" w:rsidP="006057BE">
            <w:pPr>
              <w:rPr>
                <w:rFonts w:ascii="Arial" w:eastAsia="Calibri" w:hAnsi="Arial" w:cs="Arial"/>
                <w:b/>
                <w:sz w:val="20"/>
                <w:szCs w:val="24"/>
              </w:rPr>
            </w:pPr>
            <w:r w:rsidRPr="00A76C02">
              <w:rPr>
                <w:rFonts w:ascii="Arial" w:eastAsia="Calibri" w:hAnsi="Arial" w:cs="Arial"/>
                <w:b/>
                <w:sz w:val="20"/>
                <w:szCs w:val="24"/>
              </w:rPr>
              <w:t>Unemployment rate</w:t>
            </w:r>
          </w:p>
        </w:tc>
      </w:tr>
      <w:tr w:rsidR="009D3C3A" w:rsidRPr="00A76C02" w:rsidTr="009D3C3A">
        <w:trPr>
          <w:trHeight w:val="432"/>
        </w:trPr>
        <w:tc>
          <w:tcPr>
            <w:tcW w:w="2344" w:type="dxa"/>
          </w:tcPr>
          <w:p w:rsidR="009D3C3A" w:rsidRPr="00A76C02" w:rsidRDefault="009D3C3A" w:rsidP="006057BE">
            <w:pPr>
              <w:rPr>
                <w:rFonts w:ascii="Arial" w:eastAsia="Calibri" w:hAnsi="Arial" w:cs="Arial"/>
                <w:i/>
                <w:sz w:val="20"/>
                <w:szCs w:val="24"/>
              </w:rPr>
            </w:pPr>
            <w:r w:rsidRPr="00A76C02">
              <w:rPr>
                <w:rFonts w:ascii="Arial" w:eastAsia="Calibri" w:hAnsi="Arial" w:cs="Arial"/>
                <w:i/>
                <w:sz w:val="20"/>
                <w:szCs w:val="24"/>
              </w:rPr>
              <w:t>Massachusetts</w:t>
            </w:r>
          </w:p>
        </w:tc>
        <w:tc>
          <w:tcPr>
            <w:tcW w:w="2345" w:type="dxa"/>
          </w:tcPr>
          <w:p w:rsidR="009D3C3A" w:rsidRPr="00A76C02" w:rsidRDefault="009D3C3A" w:rsidP="006057BE">
            <w:pPr>
              <w:rPr>
                <w:rFonts w:ascii="Arial" w:eastAsia="Calibri" w:hAnsi="Arial" w:cs="Arial"/>
                <w:i/>
                <w:sz w:val="20"/>
                <w:szCs w:val="24"/>
              </w:rPr>
            </w:pPr>
            <w:r w:rsidRPr="00A76C02">
              <w:rPr>
                <w:rFonts w:ascii="Arial" w:eastAsia="Calibri" w:hAnsi="Arial" w:cs="Arial"/>
                <w:i/>
                <w:sz w:val="20"/>
                <w:szCs w:val="24"/>
              </w:rPr>
              <w:t>6,547,629</w:t>
            </w:r>
          </w:p>
        </w:tc>
        <w:tc>
          <w:tcPr>
            <w:tcW w:w="2344" w:type="dxa"/>
          </w:tcPr>
          <w:p w:rsidR="009D3C3A" w:rsidRPr="00A76C02" w:rsidRDefault="009D3C3A" w:rsidP="006057BE">
            <w:pPr>
              <w:rPr>
                <w:rFonts w:ascii="Arial" w:eastAsia="Calibri" w:hAnsi="Arial" w:cs="Arial"/>
                <w:i/>
                <w:sz w:val="20"/>
                <w:szCs w:val="24"/>
              </w:rPr>
            </w:pPr>
            <w:r w:rsidRPr="00A76C02">
              <w:rPr>
                <w:rFonts w:ascii="Arial" w:eastAsia="Calibri" w:hAnsi="Arial" w:cs="Arial"/>
                <w:i/>
                <w:sz w:val="20"/>
                <w:szCs w:val="24"/>
              </w:rPr>
              <w:t>839.4</w:t>
            </w:r>
          </w:p>
        </w:tc>
        <w:tc>
          <w:tcPr>
            <w:tcW w:w="2345" w:type="dxa"/>
          </w:tcPr>
          <w:p w:rsidR="009D3C3A" w:rsidRPr="00A76C02" w:rsidRDefault="009D3C3A" w:rsidP="006057BE">
            <w:pPr>
              <w:rPr>
                <w:rFonts w:ascii="Arial" w:eastAsia="Calibri" w:hAnsi="Arial" w:cs="Arial"/>
                <w:i/>
                <w:sz w:val="20"/>
                <w:szCs w:val="24"/>
              </w:rPr>
            </w:pPr>
            <w:r w:rsidRPr="00A76C02">
              <w:rPr>
                <w:rFonts w:ascii="Arial" w:eastAsia="Calibri" w:hAnsi="Arial" w:cs="Arial"/>
                <w:i/>
                <w:sz w:val="20"/>
                <w:szCs w:val="24"/>
              </w:rPr>
              <w:t>4.3%</w:t>
            </w:r>
          </w:p>
        </w:tc>
      </w:tr>
      <w:tr w:rsidR="009D3C3A" w:rsidRPr="00A76C02" w:rsidTr="009D3C3A">
        <w:trPr>
          <w:trHeight w:val="432"/>
        </w:trPr>
        <w:tc>
          <w:tcPr>
            <w:tcW w:w="2344"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Idaho</w:t>
            </w:r>
          </w:p>
        </w:tc>
        <w:tc>
          <w:tcPr>
            <w:tcW w:w="2345"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1,567,582</w:t>
            </w:r>
          </w:p>
        </w:tc>
        <w:tc>
          <w:tcPr>
            <w:tcW w:w="2344"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19.0</w:t>
            </w:r>
          </w:p>
        </w:tc>
        <w:tc>
          <w:tcPr>
            <w:tcW w:w="2345"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3.1%</w:t>
            </w:r>
          </w:p>
        </w:tc>
      </w:tr>
      <w:tr w:rsidR="009D3C3A" w:rsidRPr="00A76C02" w:rsidTr="009D3C3A">
        <w:trPr>
          <w:trHeight w:val="432"/>
        </w:trPr>
        <w:tc>
          <w:tcPr>
            <w:tcW w:w="2344"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Kansas</w:t>
            </w:r>
          </w:p>
        </w:tc>
        <w:tc>
          <w:tcPr>
            <w:tcW w:w="2345"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2,853,118</w:t>
            </w:r>
          </w:p>
        </w:tc>
        <w:tc>
          <w:tcPr>
            <w:tcW w:w="2344"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34.9</w:t>
            </w:r>
          </w:p>
        </w:tc>
        <w:tc>
          <w:tcPr>
            <w:tcW w:w="2345"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3.7%</w:t>
            </w:r>
          </w:p>
        </w:tc>
      </w:tr>
      <w:tr w:rsidR="009D3C3A" w:rsidRPr="00A76C02" w:rsidTr="009D3C3A">
        <w:trPr>
          <w:trHeight w:val="432"/>
        </w:trPr>
        <w:tc>
          <w:tcPr>
            <w:tcW w:w="2344"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Nebraska</w:t>
            </w:r>
          </w:p>
        </w:tc>
        <w:tc>
          <w:tcPr>
            <w:tcW w:w="2345"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1,826,341</w:t>
            </w:r>
          </w:p>
        </w:tc>
        <w:tc>
          <w:tcPr>
            <w:tcW w:w="2344"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23.8</w:t>
            </w:r>
          </w:p>
        </w:tc>
        <w:tc>
          <w:tcPr>
            <w:tcW w:w="2345"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2.9%</w:t>
            </w:r>
          </w:p>
        </w:tc>
      </w:tr>
      <w:tr w:rsidR="009D3C3A" w:rsidRPr="00A76C02" w:rsidTr="009D3C3A">
        <w:trPr>
          <w:trHeight w:val="432"/>
        </w:trPr>
        <w:tc>
          <w:tcPr>
            <w:tcW w:w="2344"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Oklahoma</w:t>
            </w:r>
          </w:p>
        </w:tc>
        <w:tc>
          <w:tcPr>
            <w:tcW w:w="2345"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3,751,351</w:t>
            </w:r>
          </w:p>
        </w:tc>
        <w:tc>
          <w:tcPr>
            <w:tcW w:w="2344"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54.7</w:t>
            </w:r>
          </w:p>
        </w:tc>
        <w:tc>
          <w:tcPr>
            <w:tcW w:w="2345"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4.3%</w:t>
            </w:r>
          </w:p>
        </w:tc>
      </w:tr>
      <w:tr w:rsidR="009D3C3A" w:rsidRPr="00A76C02" w:rsidTr="009D3C3A">
        <w:trPr>
          <w:trHeight w:val="432"/>
        </w:trPr>
        <w:tc>
          <w:tcPr>
            <w:tcW w:w="2344"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South Dakota</w:t>
            </w:r>
          </w:p>
        </w:tc>
        <w:tc>
          <w:tcPr>
            <w:tcW w:w="2345"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814,180</w:t>
            </w:r>
          </w:p>
        </w:tc>
        <w:tc>
          <w:tcPr>
            <w:tcW w:w="2344"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10.7</w:t>
            </w:r>
          </w:p>
        </w:tc>
        <w:tc>
          <w:tcPr>
            <w:tcW w:w="2345"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3.0%</w:t>
            </w:r>
          </w:p>
        </w:tc>
      </w:tr>
      <w:tr w:rsidR="009D3C3A" w:rsidRPr="00A76C02" w:rsidTr="009D3C3A">
        <w:trPr>
          <w:trHeight w:val="432"/>
        </w:trPr>
        <w:tc>
          <w:tcPr>
            <w:tcW w:w="2344"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Texas</w:t>
            </w:r>
          </w:p>
        </w:tc>
        <w:tc>
          <w:tcPr>
            <w:tcW w:w="2345"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25,145,561</w:t>
            </w:r>
          </w:p>
        </w:tc>
        <w:tc>
          <w:tcPr>
            <w:tcW w:w="2344"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96.3</w:t>
            </w:r>
          </w:p>
        </w:tc>
        <w:tc>
          <w:tcPr>
            <w:tcW w:w="2345" w:type="dxa"/>
          </w:tcPr>
          <w:p w:rsidR="009D3C3A" w:rsidRPr="00A76C02" w:rsidRDefault="009D3C3A" w:rsidP="006057BE">
            <w:pPr>
              <w:rPr>
                <w:rFonts w:ascii="Arial" w:eastAsia="Calibri" w:hAnsi="Arial" w:cs="Arial"/>
                <w:sz w:val="20"/>
                <w:szCs w:val="24"/>
              </w:rPr>
            </w:pPr>
            <w:r w:rsidRPr="00A76C02">
              <w:rPr>
                <w:rFonts w:ascii="Arial" w:eastAsia="Calibri" w:hAnsi="Arial" w:cs="Arial"/>
                <w:sz w:val="20"/>
                <w:szCs w:val="24"/>
              </w:rPr>
              <w:t>4.6%</w:t>
            </w:r>
          </w:p>
        </w:tc>
      </w:tr>
    </w:tbl>
    <w:p w:rsidR="000941B7" w:rsidRDefault="000941B7" w:rsidP="00AC40A7">
      <w:pPr>
        <w:pStyle w:val="BodyText"/>
      </w:pPr>
      <w:bookmarkStart w:id="46" w:name="_Toc512337251"/>
      <w:bookmarkStart w:id="47" w:name="_Toc513810091"/>
    </w:p>
    <w:p w:rsidR="000941B7" w:rsidRDefault="000941B7" w:rsidP="00AC40A7">
      <w:pPr>
        <w:pStyle w:val="BodyText"/>
      </w:pPr>
    </w:p>
    <w:p w:rsidR="009D3C3A" w:rsidRDefault="009D3C3A" w:rsidP="00332358">
      <w:pPr>
        <w:pStyle w:val="Heading3"/>
      </w:pPr>
      <w:bookmarkStart w:id="48" w:name="_Toc11763424"/>
      <w:bookmarkStart w:id="49" w:name="_Toc11765916"/>
      <w:bookmarkStart w:id="50" w:name="_Toc11766571"/>
      <w:r w:rsidRPr="00894E63">
        <w:t>Confirmation of Data Sources</w:t>
      </w:r>
      <w:bookmarkEnd w:id="46"/>
      <w:bookmarkEnd w:id="47"/>
      <w:bookmarkEnd w:id="48"/>
      <w:bookmarkEnd w:id="49"/>
      <w:bookmarkEnd w:id="50"/>
    </w:p>
    <w:p w:rsidR="009D3C3A" w:rsidRPr="000B2B65" w:rsidRDefault="009D3C3A" w:rsidP="006057BE">
      <w:pPr>
        <w:pStyle w:val="BodyText"/>
        <w:spacing w:line="240" w:lineRule="auto"/>
      </w:pPr>
    </w:p>
    <w:p w:rsidR="009D3C3A" w:rsidRPr="00894E63" w:rsidRDefault="009D3C3A" w:rsidP="006057BE">
      <w:pPr>
        <w:spacing w:after="0" w:line="240" w:lineRule="auto"/>
        <w:rPr>
          <w:rFonts w:ascii="Arial" w:hAnsi="Arial" w:cs="Arial"/>
          <w:sz w:val="24"/>
          <w:szCs w:val="24"/>
        </w:rPr>
      </w:pPr>
      <w:r w:rsidRPr="00894E63">
        <w:rPr>
          <w:rFonts w:ascii="Arial" w:hAnsi="Arial" w:cs="Arial"/>
          <w:sz w:val="24"/>
          <w:szCs w:val="24"/>
        </w:rPr>
        <w:t>Once the indicators and comparison states were chosen for analysis, the data sets were obtained. For adults, the final data sources include the NSDUH and the BRFSS. While raw NSDUH data were not available due to upgrades to SAMHSA’s online data portal and restricted data access system, a limited number of NSDUH indicators (with point estimates and confidence intervals) were available from SAMHSA’s public data access system for Massachusetts, the U.S., and all comparison states. BRFSS data regarding marijuana were only available for Washington state; other states did not include marijuana questions or included them too recently for a trend analysis to be conducted.</w:t>
      </w:r>
    </w:p>
    <w:p w:rsidR="009D3C3A" w:rsidRDefault="009D3C3A" w:rsidP="006057BE">
      <w:pPr>
        <w:spacing w:after="0" w:line="240" w:lineRule="auto"/>
        <w:rPr>
          <w:rFonts w:ascii="Arial" w:hAnsi="Arial" w:cs="Arial"/>
          <w:sz w:val="24"/>
          <w:szCs w:val="24"/>
        </w:rPr>
      </w:pPr>
      <w:r w:rsidRPr="00894E63">
        <w:rPr>
          <w:rFonts w:ascii="Arial" w:hAnsi="Arial" w:cs="Arial"/>
          <w:sz w:val="24"/>
          <w:szCs w:val="24"/>
        </w:rPr>
        <w:t xml:space="preserve">For youth, the final data sources included the NSDUH, the YRBS, the YHS, the Healthy Youth Survey from Washington state. While the Healthy Kids Colorado Survey and the Oregon Healthy Teen Data Set were explored for use. Ultimately, they were not used due to their failing to meet the criteria set forth for the indicator inventory or their indicators did not align with Massachusetts indicators. The NSDUH data were available as described above through the public data access system for a limited number of indicators for youth aged 12-17. For high school youth, YRBS data were available for the U.S., Massachusetts, Texas, Kansas, and Oklahoma. Colorado deployed the YRBS through 2011, then switched to include the YRBS instrument in the Healthy Kids Colorado Survey, which is available for 2013 and 2015. In Washington State, the Healthy Youth Survey sampled students in grades 10 and 12; these data are not directly comparable to YRBS data but are presented on their own for trend analysis. The raw Healthy Youth Survey data were not available, but point estimates and confidence intervals available from published reports were used. For middle school youth, Massachusetts data are available from the YHS, and Washington state data are available from the Healthy Youth Survey for grades 6 and 8. </w:t>
      </w:r>
    </w:p>
    <w:p w:rsidR="00784755" w:rsidRDefault="00784755" w:rsidP="00AC40A7">
      <w:pPr>
        <w:pStyle w:val="BodyText"/>
      </w:pPr>
      <w:bookmarkStart w:id="51" w:name="_Toc512337252"/>
      <w:bookmarkStart w:id="52" w:name="_Toc513810092"/>
    </w:p>
    <w:p w:rsidR="00B41A71" w:rsidRDefault="00B41A71" w:rsidP="00AC40A7">
      <w:pPr>
        <w:pStyle w:val="BodyText"/>
      </w:pPr>
    </w:p>
    <w:p w:rsidR="00AC40A7" w:rsidRDefault="00AC40A7" w:rsidP="00AC40A7">
      <w:pPr>
        <w:pStyle w:val="BodyText"/>
      </w:pPr>
    </w:p>
    <w:p w:rsidR="000A008F" w:rsidRPr="000A008F" w:rsidRDefault="000A008F" w:rsidP="000A008F">
      <w:pPr>
        <w:pStyle w:val="BodyText"/>
      </w:pPr>
    </w:p>
    <w:p w:rsidR="009D3C3A" w:rsidRDefault="009D3C3A" w:rsidP="00332358">
      <w:pPr>
        <w:pStyle w:val="Heading3"/>
      </w:pPr>
      <w:bookmarkStart w:id="53" w:name="_Toc11763425"/>
      <w:bookmarkStart w:id="54" w:name="_Toc11765917"/>
      <w:bookmarkStart w:id="55" w:name="_Toc11766572"/>
      <w:r w:rsidRPr="00894E63">
        <w:lastRenderedPageBreak/>
        <w:t>Statistical Analysis</w:t>
      </w:r>
      <w:bookmarkEnd w:id="51"/>
      <w:bookmarkEnd w:id="52"/>
      <w:bookmarkEnd w:id="53"/>
      <w:bookmarkEnd w:id="54"/>
      <w:bookmarkEnd w:id="55"/>
    </w:p>
    <w:p w:rsidR="009D3C3A" w:rsidRPr="000B2B65" w:rsidRDefault="009D3C3A" w:rsidP="006057BE">
      <w:pPr>
        <w:pStyle w:val="BodyText"/>
        <w:spacing w:line="240" w:lineRule="auto"/>
      </w:pPr>
    </w:p>
    <w:p w:rsidR="009D3C3A" w:rsidRDefault="009D3C3A" w:rsidP="006057BE">
      <w:pPr>
        <w:spacing w:after="0" w:line="240" w:lineRule="auto"/>
        <w:rPr>
          <w:rFonts w:ascii="Arial" w:hAnsi="Arial" w:cs="Arial"/>
          <w:sz w:val="24"/>
          <w:szCs w:val="24"/>
        </w:rPr>
      </w:pPr>
      <w:r w:rsidRPr="00894E63">
        <w:rPr>
          <w:rFonts w:ascii="Arial" w:hAnsi="Arial" w:cs="Arial"/>
          <w:sz w:val="24"/>
          <w:szCs w:val="24"/>
        </w:rPr>
        <w:t>Where raw data were available (for the YRBS, BRFSS, YHS), tests for linear and non-linear trends using logistic regression were conducted. Data were compiled and analyzed in two ways. Variables representing gender, race, and grade (in the case of youth data) were entered as control variables to adjust for demographic shifts in the underlying populations. Where raw data were not available, a significant trend was determined by non-overlapping confidence intervals; this analysis did not adjust for demographic variables. Because the sampling for each of the surveys involved complex sampling, SPSS Complex Samples version 21.0 was used to account for the sampling design and to ensure there was not an underestimation of the standard errors (Cambron</w:t>
      </w:r>
      <w:r>
        <w:rPr>
          <w:rFonts w:ascii="Arial" w:hAnsi="Arial" w:cs="Arial"/>
          <w:sz w:val="24"/>
          <w:szCs w:val="24"/>
        </w:rPr>
        <w:t>, Guttmannova &amp; Fleming, 2017).</w:t>
      </w:r>
    </w:p>
    <w:p w:rsidR="009D3C3A" w:rsidRPr="00894E63" w:rsidRDefault="009D3C3A" w:rsidP="006057BE">
      <w:pPr>
        <w:spacing w:after="0" w:line="240" w:lineRule="auto"/>
        <w:rPr>
          <w:rFonts w:ascii="Arial" w:hAnsi="Arial" w:cs="Arial"/>
          <w:sz w:val="24"/>
          <w:szCs w:val="24"/>
        </w:rPr>
      </w:pPr>
    </w:p>
    <w:p w:rsidR="009D3C3A" w:rsidRDefault="009D3C3A" w:rsidP="006057BE">
      <w:pPr>
        <w:spacing w:after="0" w:line="240" w:lineRule="auto"/>
        <w:rPr>
          <w:rFonts w:ascii="Arial" w:hAnsi="Arial" w:cs="Arial"/>
          <w:sz w:val="24"/>
          <w:szCs w:val="24"/>
        </w:rPr>
      </w:pPr>
      <w:r w:rsidRPr="00894E63">
        <w:rPr>
          <w:rFonts w:ascii="Arial" w:hAnsi="Arial" w:cs="Arial"/>
          <w:sz w:val="24"/>
          <w:szCs w:val="24"/>
        </w:rPr>
        <w:t>Finally, a literature review of peer-reviewed journal articles related to marijuana legalization and block grant review was conducted to inform the selection of key milestones related to marijuana legislation in each state. Trends for each of the marijuana indicators were plotted alongside the key milestones to illustrate which indicators may be sensitive to state-level changes.</w:t>
      </w:r>
    </w:p>
    <w:p w:rsidR="009D3C3A" w:rsidRPr="00894E63" w:rsidRDefault="009D3C3A" w:rsidP="006057BE">
      <w:pPr>
        <w:spacing w:after="0" w:line="240" w:lineRule="auto"/>
        <w:rPr>
          <w:rFonts w:ascii="Arial" w:hAnsi="Arial" w:cs="Arial"/>
          <w:sz w:val="24"/>
          <w:szCs w:val="24"/>
        </w:rPr>
      </w:pPr>
    </w:p>
    <w:p w:rsidR="009D3C3A" w:rsidRDefault="009D3C3A" w:rsidP="005F7A46">
      <w:pPr>
        <w:pStyle w:val="Heading2"/>
      </w:pPr>
      <w:bookmarkStart w:id="56" w:name="_Toc512337253"/>
      <w:bookmarkStart w:id="57" w:name="_Toc513810093"/>
      <w:bookmarkStart w:id="58" w:name="_Toc11763426"/>
      <w:bookmarkStart w:id="59" w:name="_Toc11765918"/>
      <w:bookmarkStart w:id="60" w:name="_Toc11766573"/>
      <w:bookmarkStart w:id="61" w:name="_Toc11917203"/>
      <w:bookmarkStart w:id="62" w:name="_Toc11921641"/>
      <w:bookmarkStart w:id="63" w:name="_Toc12520920"/>
      <w:bookmarkStart w:id="64" w:name="_Toc12521146"/>
      <w:bookmarkStart w:id="65" w:name="_Toc12529116"/>
      <w:r w:rsidRPr="00894E63">
        <w:t>Results</w:t>
      </w:r>
      <w:bookmarkEnd w:id="56"/>
      <w:bookmarkEnd w:id="57"/>
      <w:bookmarkEnd w:id="58"/>
      <w:bookmarkEnd w:id="59"/>
      <w:bookmarkEnd w:id="60"/>
      <w:bookmarkEnd w:id="61"/>
      <w:bookmarkEnd w:id="62"/>
      <w:bookmarkEnd w:id="63"/>
      <w:bookmarkEnd w:id="64"/>
      <w:bookmarkEnd w:id="65"/>
    </w:p>
    <w:p w:rsidR="009D3C3A" w:rsidRPr="000B2B65" w:rsidRDefault="009D3C3A" w:rsidP="006057BE">
      <w:pPr>
        <w:pStyle w:val="BodyText"/>
        <w:spacing w:line="240" w:lineRule="auto"/>
      </w:pPr>
    </w:p>
    <w:p w:rsidR="009D3C3A" w:rsidRPr="00894E63" w:rsidRDefault="009D3C3A" w:rsidP="006057BE">
      <w:pPr>
        <w:spacing w:after="0" w:line="240" w:lineRule="auto"/>
        <w:rPr>
          <w:rFonts w:ascii="Arial" w:hAnsi="Arial" w:cs="Arial"/>
          <w:sz w:val="24"/>
          <w:szCs w:val="24"/>
        </w:rPr>
      </w:pPr>
      <w:r w:rsidRPr="00894E63">
        <w:rPr>
          <w:rFonts w:ascii="Arial" w:hAnsi="Arial" w:cs="Arial"/>
          <w:sz w:val="24"/>
          <w:szCs w:val="24"/>
        </w:rPr>
        <w:t>The retrospective analysis resulted in identifying 13 indicators which appear to be responsive to factors associated to marijuana legalization and sensitive to change over time. Table 2 below presents a summary of the results of the analysis.</w:t>
      </w:r>
    </w:p>
    <w:p w:rsidR="009D3C3A" w:rsidRDefault="009D3C3A" w:rsidP="006057BE">
      <w:pPr>
        <w:spacing w:after="0" w:line="240" w:lineRule="auto"/>
        <w:rPr>
          <w:rFonts w:ascii="Arial" w:hAnsi="Arial" w:cs="Arial"/>
          <w:b/>
          <w:sz w:val="24"/>
          <w:szCs w:val="24"/>
        </w:rPr>
        <w:sectPr w:rsidR="009D3C3A" w:rsidSect="00AD5307">
          <w:headerReference w:type="default" r:id="rId14"/>
          <w:footerReference w:type="default" r:id="rId15"/>
          <w:footerReference w:type="first" r:id="rId16"/>
          <w:pgSz w:w="12240" w:h="15840" w:code="1"/>
          <w:pgMar w:top="1440" w:right="1440" w:bottom="1440" w:left="1440" w:header="720" w:footer="720" w:gutter="0"/>
          <w:pgNumType w:start="0"/>
          <w:cols w:space="720"/>
          <w:titlePg/>
          <w:docGrid w:linePitch="360"/>
        </w:sectPr>
      </w:pPr>
    </w:p>
    <w:p w:rsidR="00FF2F11" w:rsidRPr="000941B7" w:rsidRDefault="009D3C3A" w:rsidP="006057BE">
      <w:pPr>
        <w:spacing w:after="0" w:line="240" w:lineRule="auto"/>
        <w:rPr>
          <w:rFonts w:ascii="Arial" w:hAnsi="Arial" w:cs="Arial"/>
          <w:b/>
          <w:sz w:val="24"/>
          <w:szCs w:val="24"/>
        </w:rPr>
      </w:pPr>
      <w:r w:rsidRPr="000A008F">
        <w:rPr>
          <w:rFonts w:ascii="Arial" w:hAnsi="Arial" w:cs="Arial"/>
          <w:b/>
          <w:sz w:val="24"/>
          <w:szCs w:val="24"/>
        </w:rPr>
        <w:lastRenderedPageBreak/>
        <w:t>Table 2:</w:t>
      </w:r>
      <w:r w:rsidRPr="000A008F">
        <w:rPr>
          <w:rFonts w:ascii="Arial" w:hAnsi="Arial" w:cs="Arial"/>
          <w:sz w:val="24"/>
          <w:szCs w:val="24"/>
        </w:rPr>
        <w:t xml:space="preserve"> </w:t>
      </w:r>
      <w:r w:rsidRPr="000A008F">
        <w:rPr>
          <w:rFonts w:ascii="Arial" w:hAnsi="Arial" w:cs="Arial"/>
          <w:b/>
          <w:sz w:val="24"/>
          <w:szCs w:val="24"/>
        </w:rPr>
        <w:t>Retrospective Analysis Results</w:t>
      </w:r>
    </w:p>
    <w:tbl>
      <w:tblPr>
        <w:tblStyle w:val="TableGrid"/>
        <w:tblW w:w="5000" w:type="pct"/>
        <w:tblLook w:val="04A0" w:firstRow="1" w:lastRow="0" w:firstColumn="1" w:lastColumn="0" w:noHBand="0" w:noVBand="1"/>
        <w:tblCaption w:val="Retrospective Analysis Results"/>
        <w:tblDescription w:val="The retrospective analysis resulted in identifying 13 indicators which appear to be responsive to factors associated to marijuana legalization and sensitive to change over time. Examples include &quot;Current marijuana use&quot;, &quot;use before age 13&quot;, and beliefs about marijuana posing no risk of harm.  The table presents a summary of the results of the analysis."/>
      </w:tblPr>
      <w:tblGrid>
        <w:gridCol w:w="1911"/>
        <w:gridCol w:w="1157"/>
        <w:gridCol w:w="1572"/>
        <w:gridCol w:w="2021"/>
        <w:gridCol w:w="1157"/>
        <w:gridCol w:w="1758"/>
      </w:tblGrid>
      <w:tr w:rsidR="009D3C3A" w:rsidRPr="00894E63" w:rsidTr="009D3C3A">
        <w:trPr>
          <w:tblHeader/>
        </w:trPr>
        <w:tc>
          <w:tcPr>
            <w:tcW w:w="2423" w:type="pct"/>
            <w:gridSpan w:val="3"/>
            <w:shd w:val="clear" w:color="auto" w:fill="auto"/>
            <w:vAlign w:val="center"/>
          </w:tcPr>
          <w:p w:rsidR="009D3C3A" w:rsidRPr="00A76C02" w:rsidRDefault="009D3C3A" w:rsidP="006057BE">
            <w:pPr>
              <w:jc w:val="center"/>
              <w:rPr>
                <w:rFonts w:ascii="Arial" w:hAnsi="Arial" w:cs="Arial"/>
                <w:b/>
                <w:sz w:val="20"/>
                <w:szCs w:val="24"/>
              </w:rPr>
            </w:pPr>
            <w:r w:rsidRPr="00A76C02">
              <w:rPr>
                <w:rFonts w:ascii="Arial" w:hAnsi="Arial" w:cs="Arial"/>
                <w:b/>
                <w:sz w:val="20"/>
                <w:szCs w:val="24"/>
              </w:rPr>
              <w:t>Youth</w:t>
            </w:r>
          </w:p>
        </w:tc>
        <w:tc>
          <w:tcPr>
            <w:tcW w:w="2577" w:type="pct"/>
            <w:gridSpan w:val="3"/>
            <w:shd w:val="clear" w:color="auto" w:fill="auto"/>
            <w:vAlign w:val="center"/>
          </w:tcPr>
          <w:p w:rsidR="009D3C3A" w:rsidRPr="00A76C02" w:rsidRDefault="009D3C3A" w:rsidP="006057BE">
            <w:pPr>
              <w:jc w:val="center"/>
              <w:rPr>
                <w:rFonts w:ascii="Arial" w:hAnsi="Arial" w:cs="Arial"/>
                <w:b/>
                <w:sz w:val="20"/>
                <w:szCs w:val="24"/>
              </w:rPr>
            </w:pPr>
            <w:r w:rsidRPr="00A76C02">
              <w:rPr>
                <w:rFonts w:ascii="Arial" w:hAnsi="Arial" w:cs="Arial"/>
                <w:b/>
                <w:sz w:val="20"/>
                <w:szCs w:val="24"/>
              </w:rPr>
              <w:t>Adult</w:t>
            </w:r>
          </w:p>
        </w:tc>
      </w:tr>
      <w:tr w:rsidR="009D3C3A" w:rsidRPr="00894E63" w:rsidTr="009D3C3A">
        <w:trPr>
          <w:trHeight w:val="561"/>
          <w:tblHeader/>
        </w:trPr>
        <w:tc>
          <w:tcPr>
            <w:tcW w:w="998" w:type="pct"/>
            <w:shd w:val="clear" w:color="auto" w:fill="auto"/>
            <w:hideMark/>
          </w:tcPr>
          <w:p w:rsidR="009D3C3A" w:rsidRPr="00A76C02" w:rsidRDefault="009D3C3A" w:rsidP="006057BE">
            <w:pPr>
              <w:rPr>
                <w:rFonts w:ascii="Arial" w:hAnsi="Arial" w:cs="Arial"/>
                <w:sz w:val="20"/>
                <w:szCs w:val="24"/>
              </w:rPr>
            </w:pPr>
            <w:r w:rsidRPr="00A76C02">
              <w:rPr>
                <w:rFonts w:ascii="Arial" w:hAnsi="Arial" w:cs="Arial"/>
                <w:b/>
                <w:bCs/>
                <w:sz w:val="20"/>
                <w:szCs w:val="24"/>
              </w:rPr>
              <w:t>Indicator</w:t>
            </w:r>
          </w:p>
        </w:tc>
        <w:tc>
          <w:tcPr>
            <w:tcW w:w="604" w:type="pct"/>
            <w:shd w:val="clear" w:color="auto" w:fill="auto"/>
            <w:hideMark/>
          </w:tcPr>
          <w:p w:rsidR="009D3C3A" w:rsidRPr="00A76C02" w:rsidRDefault="009D3C3A" w:rsidP="006057BE">
            <w:pPr>
              <w:rPr>
                <w:rFonts w:ascii="Arial" w:hAnsi="Arial" w:cs="Arial"/>
                <w:sz w:val="20"/>
                <w:szCs w:val="24"/>
              </w:rPr>
            </w:pPr>
            <w:r w:rsidRPr="00A76C02">
              <w:rPr>
                <w:rFonts w:ascii="Arial" w:hAnsi="Arial" w:cs="Arial"/>
                <w:b/>
                <w:bCs/>
                <w:sz w:val="20"/>
                <w:szCs w:val="24"/>
              </w:rPr>
              <w:t>Data Source</w:t>
            </w:r>
          </w:p>
        </w:tc>
        <w:tc>
          <w:tcPr>
            <w:tcW w:w="820" w:type="pct"/>
            <w:shd w:val="clear" w:color="auto" w:fill="auto"/>
            <w:hideMark/>
          </w:tcPr>
          <w:p w:rsidR="009D3C3A" w:rsidRPr="00A76C02" w:rsidRDefault="009D3C3A" w:rsidP="006057BE">
            <w:pPr>
              <w:rPr>
                <w:rFonts w:ascii="Arial" w:hAnsi="Arial" w:cs="Arial"/>
                <w:sz w:val="20"/>
                <w:szCs w:val="24"/>
              </w:rPr>
            </w:pPr>
            <w:r w:rsidRPr="00A76C02">
              <w:rPr>
                <w:rFonts w:ascii="Arial" w:hAnsi="Arial" w:cs="Arial"/>
                <w:b/>
                <w:bCs/>
                <w:sz w:val="20"/>
                <w:szCs w:val="24"/>
              </w:rPr>
              <w:t>Type of Analysis</w:t>
            </w:r>
          </w:p>
        </w:tc>
        <w:tc>
          <w:tcPr>
            <w:tcW w:w="1055" w:type="pct"/>
            <w:shd w:val="clear" w:color="auto" w:fill="auto"/>
            <w:hideMark/>
          </w:tcPr>
          <w:p w:rsidR="009D3C3A" w:rsidRPr="00A76C02" w:rsidRDefault="009D3C3A" w:rsidP="006057BE">
            <w:pPr>
              <w:rPr>
                <w:rFonts w:ascii="Arial" w:hAnsi="Arial" w:cs="Arial"/>
                <w:sz w:val="20"/>
                <w:szCs w:val="24"/>
              </w:rPr>
            </w:pPr>
            <w:r w:rsidRPr="00A76C02">
              <w:rPr>
                <w:rFonts w:ascii="Arial" w:hAnsi="Arial" w:cs="Arial"/>
                <w:b/>
                <w:bCs/>
                <w:sz w:val="20"/>
                <w:szCs w:val="24"/>
              </w:rPr>
              <w:t>Indicator</w:t>
            </w:r>
          </w:p>
        </w:tc>
        <w:tc>
          <w:tcPr>
            <w:tcW w:w="604" w:type="pct"/>
            <w:shd w:val="clear" w:color="auto" w:fill="auto"/>
            <w:hideMark/>
          </w:tcPr>
          <w:p w:rsidR="009D3C3A" w:rsidRPr="00A76C02" w:rsidRDefault="009D3C3A" w:rsidP="006057BE">
            <w:pPr>
              <w:rPr>
                <w:rFonts w:ascii="Arial" w:hAnsi="Arial" w:cs="Arial"/>
                <w:sz w:val="20"/>
                <w:szCs w:val="24"/>
              </w:rPr>
            </w:pPr>
            <w:r w:rsidRPr="00A76C02">
              <w:rPr>
                <w:rFonts w:ascii="Arial" w:hAnsi="Arial" w:cs="Arial"/>
                <w:b/>
                <w:bCs/>
                <w:sz w:val="20"/>
                <w:szCs w:val="24"/>
              </w:rPr>
              <w:t>Data Source</w:t>
            </w:r>
          </w:p>
        </w:tc>
        <w:tc>
          <w:tcPr>
            <w:tcW w:w="918" w:type="pct"/>
            <w:shd w:val="clear" w:color="auto" w:fill="auto"/>
            <w:hideMark/>
          </w:tcPr>
          <w:p w:rsidR="009D3C3A" w:rsidRPr="00A76C02" w:rsidRDefault="009D3C3A" w:rsidP="006057BE">
            <w:pPr>
              <w:rPr>
                <w:rFonts w:ascii="Arial" w:hAnsi="Arial" w:cs="Arial"/>
                <w:sz w:val="20"/>
                <w:szCs w:val="24"/>
              </w:rPr>
            </w:pPr>
            <w:r w:rsidRPr="00A76C02">
              <w:rPr>
                <w:rFonts w:ascii="Arial" w:hAnsi="Arial" w:cs="Arial"/>
                <w:b/>
                <w:bCs/>
                <w:sz w:val="20"/>
                <w:szCs w:val="24"/>
              </w:rPr>
              <w:t>Type of Analysis</w:t>
            </w:r>
          </w:p>
        </w:tc>
      </w:tr>
      <w:tr w:rsidR="009D3C3A" w:rsidRPr="00894E63" w:rsidTr="009D3C3A">
        <w:trPr>
          <w:trHeight w:val="845"/>
        </w:trPr>
        <w:tc>
          <w:tcPr>
            <w:tcW w:w="998"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Ever Used Marijuana - Middle School Students</w:t>
            </w:r>
          </w:p>
        </w:tc>
        <w:tc>
          <w:tcPr>
            <w:tcW w:w="604"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YHS</w:t>
            </w:r>
          </w:p>
        </w:tc>
        <w:tc>
          <w:tcPr>
            <w:tcW w:w="820"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F-test, p=0.002</w:t>
            </w:r>
          </w:p>
        </w:tc>
        <w:tc>
          <w:tcPr>
            <w:tcW w:w="1055"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Ever Used Marijuana - Adults Ages 18 and Older</w:t>
            </w:r>
          </w:p>
        </w:tc>
        <w:tc>
          <w:tcPr>
            <w:tcW w:w="604"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BRFFS</w:t>
            </w:r>
          </w:p>
        </w:tc>
        <w:tc>
          <w:tcPr>
            <w:tcW w:w="918"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F-test, p=0.000</w:t>
            </w:r>
          </w:p>
        </w:tc>
      </w:tr>
      <w:tr w:rsidR="009D3C3A" w:rsidRPr="00894E63" w:rsidTr="009D3C3A">
        <w:trPr>
          <w:trHeight w:val="898"/>
        </w:trPr>
        <w:tc>
          <w:tcPr>
            <w:tcW w:w="998"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Used Marijuana Before Age 13 - High School Students</w:t>
            </w:r>
          </w:p>
        </w:tc>
        <w:tc>
          <w:tcPr>
            <w:tcW w:w="604"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YRBS</w:t>
            </w:r>
          </w:p>
        </w:tc>
        <w:tc>
          <w:tcPr>
            <w:tcW w:w="820"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F-test, p=0.005</w:t>
            </w:r>
          </w:p>
        </w:tc>
        <w:tc>
          <w:tcPr>
            <w:tcW w:w="1055"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Use in the Past Year - Adults Ages 18-25</w:t>
            </w:r>
          </w:p>
        </w:tc>
        <w:tc>
          <w:tcPr>
            <w:tcW w:w="604"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NSDUH</w:t>
            </w:r>
          </w:p>
        </w:tc>
        <w:tc>
          <w:tcPr>
            <w:tcW w:w="918"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State comparison, non-overlapping 95% confidence intervals</w:t>
            </w:r>
          </w:p>
        </w:tc>
      </w:tr>
      <w:tr w:rsidR="009D3C3A" w:rsidRPr="00894E63" w:rsidTr="009D3C3A">
        <w:trPr>
          <w:trHeight w:val="1142"/>
        </w:trPr>
        <w:tc>
          <w:tcPr>
            <w:tcW w:w="998"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Current Marijuana Use - Middle School Students</w:t>
            </w:r>
          </w:p>
        </w:tc>
        <w:tc>
          <w:tcPr>
            <w:tcW w:w="604"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YHS</w:t>
            </w:r>
          </w:p>
        </w:tc>
        <w:tc>
          <w:tcPr>
            <w:tcW w:w="820"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F-test, p=0.000</w:t>
            </w:r>
          </w:p>
        </w:tc>
        <w:tc>
          <w:tcPr>
            <w:tcW w:w="1055"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Use in the Past Year - Adults Ages 26+</w:t>
            </w:r>
          </w:p>
        </w:tc>
        <w:tc>
          <w:tcPr>
            <w:tcW w:w="604"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NSDUH</w:t>
            </w:r>
          </w:p>
        </w:tc>
        <w:tc>
          <w:tcPr>
            <w:tcW w:w="918"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State comparison, non-overlapping 95% confidence intervals</w:t>
            </w:r>
          </w:p>
        </w:tc>
      </w:tr>
      <w:tr w:rsidR="009D3C3A" w:rsidRPr="00894E63" w:rsidTr="009D3C3A">
        <w:trPr>
          <w:trHeight w:val="898"/>
        </w:trPr>
        <w:tc>
          <w:tcPr>
            <w:tcW w:w="998"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 xml:space="preserve">Believe Occasional Marijuana Use Poses No Risk of Harm - High School Students </w:t>
            </w:r>
          </w:p>
        </w:tc>
        <w:tc>
          <w:tcPr>
            <w:tcW w:w="604"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YHS</w:t>
            </w:r>
          </w:p>
        </w:tc>
        <w:tc>
          <w:tcPr>
            <w:tcW w:w="820"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F-test, p=0.000</w:t>
            </w:r>
          </w:p>
        </w:tc>
        <w:tc>
          <w:tcPr>
            <w:tcW w:w="1055"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Current Marijuana Use - Adults Ages 18-25</w:t>
            </w:r>
          </w:p>
        </w:tc>
        <w:tc>
          <w:tcPr>
            <w:tcW w:w="604"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NSDUH</w:t>
            </w:r>
          </w:p>
        </w:tc>
        <w:tc>
          <w:tcPr>
            <w:tcW w:w="918"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State comparison, non-overlapping 95% confidence intervals</w:t>
            </w:r>
          </w:p>
        </w:tc>
      </w:tr>
      <w:tr w:rsidR="009D3C3A" w:rsidRPr="00894E63" w:rsidTr="009D3C3A">
        <w:trPr>
          <w:trHeight w:val="898"/>
        </w:trPr>
        <w:tc>
          <w:tcPr>
            <w:tcW w:w="998"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Believe it Would Be Easy to Obtain Marijuana - High School Students</w:t>
            </w:r>
          </w:p>
        </w:tc>
        <w:tc>
          <w:tcPr>
            <w:tcW w:w="604"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YHS</w:t>
            </w:r>
          </w:p>
        </w:tc>
        <w:tc>
          <w:tcPr>
            <w:tcW w:w="820"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F-test, p=0.001</w:t>
            </w:r>
          </w:p>
        </w:tc>
        <w:tc>
          <w:tcPr>
            <w:tcW w:w="1055"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Current Marijuana Use - Adults Ages 26+</w:t>
            </w:r>
          </w:p>
        </w:tc>
        <w:tc>
          <w:tcPr>
            <w:tcW w:w="604"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NSDUH</w:t>
            </w:r>
          </w:p>
        </w:tc>
        <w:tc>
          <w:tcPr>
            <w:tcW w:w="918"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State comparison, non-overlapping 95% confidence intervals</w:t>
            </w:r>
          </w:p>
        </w:tc>
      </w:tr>
      <w:tr w:rsidR="009D3C3A" w:rsidRPr="00894E63" w:rsidTr="009D3C3A">
        <w:trPr>
          <w:trHeight w:val="1405"/>
        </w:trPr>
        <w:tc>
          <w:tcPr>
            <w:tcW w:w="998"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Perceptions of Great Risk of Smoking Marijuana Once a Month, Youth Ages 12-17</w:t>
            </w:r>
          </w:p>
        </w:tc>
        <w:tc>
          <w:tcPr>
            <w:tcW w:w="604" w:type="pct"/>
            <w:hideMark/>
          </w:tcPr>
          <w:p w:rsidR="009D3C3A" w:rsidRPr="00A76C02" w:rsidRDefault="009D3C3A" w:rsidP="006057BE">
            <w:pPr>
              <w:rPr>
                <w:rFonts w:ascii="Arial" w:hAnsi="Arial" w:cs="Arial"/>
                <w:sz w:val="20"/>
                <w:szCs w:val="24"/>
              </w:rPr>
            </w:pPr>
            <w:r w:rsidRPr="00A76C02">
              <w:rPr>
                <w:rFonts w:ascii="Arial" w:hAnsi="Arial" w:cs="Arial"/>
                <w:sz w:val="20"/>
                <w:szCs w:val="24"/>
              </w:rPr>
              <w:t>NSDUH</w:t>
            </w:r>
          </w:p>
          <w:p w:rsidR="009D3C3A" w:rsidRPr="00A76C02" w:rsidRDefault="009D3C3A" w:rsidP="006057BE">
            <w:pPr>
              <w:rPr>
                <w:rFonts w:ascii="Arial" w:hAnsi="Arial" w:cs="Arial"/>
                <w:sz w:val="20"/>
                <w:szCs w:val="24"/>
              </w:rPr>
            </w:pPr>
            <w:r w:rsidRPr="00A76C02">
              <w:rPr>
                <w:rFonts w:ascii="Arial" w:hAnsi="Arial" w:cs="Arial"/>
                <w:sz w:val="20"/>
                <w:szCs w:val="24"/>
              </w:rPr>
              <w:t>(data not available for 2014-15)</w:t>
            </w:r>
          </w:p>
        </w:tc>
        <w:tc>
          <w:tcPr>
            <w:tcW w:w="820"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State comparison, non-overlapping 95% confidence intervals</w:t>
            </w:r>
          </w:p>
        </w:tc>
        <w:tc>
          <w:tcPr>
            <w:tcW w:w="1055"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 xml:space="preserve">Perceptions of Great Risk of Smoking Marijuana Once a Month, Adults Ages 18-25 </w:t>
            </w:r>
          </w:p>
        </w:tc>
        <w:tc>
          <w:tcPr>
            <w:tcW w:w="604"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NSDUH</w:t>
            </w:r>
          </w:p>
          <w:p w:rsidR="009D3C3A" w:rsidRPr="00A76C02" w:rsidRDefault="009D3C3A" w:rsidP="006057BE">
            <w:pPr>
              <w:rPr>
                <w:rFonts w:ascii="Arial" w:hAnsi="Arial" w:cs="Arial"/>
                <w:sz w:val="20"/>
                <w:szCs w:val="24"/>
              </w:rPr>
            </w:pPr>
            <w:r w:rsidRPr="00A76C02">
              <w:rPr>
                <w:rFonts w:ascii="Arial" w:hAnsi="Arial" w:cs="Arial"/>
                <w:bCs/>
                <w:sz w:val="20"/>
                <w:szCs w:val="24"/>
              </w:rPr>
              <w:t>(data not available for 2014-15)</w:t>
            </w:r>
          </w:p>
        </w:tc>
        <w:tc>
          <w:tcPr>
            <w:tcW w:w="918"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State comparison, non-overlapping 95% confidence intervals</w:t>
            </w:r>
          </w:p>
        </w:tc>
      </w:tr>
      <w:tr w:rsidR="009D3C3A" w:rsidRPr="00894E63" w:rsidTr="009D3C3A">
        <w:trPr>
          <w:trHeight w:val="710"/>
        </w:trPr>
        <w:tc>
          <w:tcPr>
            <w:tcW w:w="998" w:type="pct"/>
            <w:hideMark/>
          </w:tcPr>
          <w:p w:rsidR="009D3C3A" w:rsidRPr="00A76C02" w:rsidRDefault="009D3C3A" w:rsidP="006057BE">
            <w:pPr>
              <w:rPr>
                <w:rFonts w:ascii="Arial" w:hAnsi="Arial" w:cs="Arial"/>
                <w:sz w:val="20"/>
                <w:szCs w:val="24"/>
              </w:rPr>
            </w:pPr>
          </w:p>
        </w:tc>
        <w:tc>
          <w:tcPr>
            <w:tcW w:w="604" w:type="pct"/>
            <w:hideMark/>
          </w:tcPr>
          <w:p w:rsidR="009D3C3A" w:rsidRPr="00A76C02" w:rsidRDefault="009D3C3A" w:rsidP="006057BE">
            <w:pPr>
              <w:rPr>
                <w:rFonts w:ascii="Arial" w:hAnsi="Arial" w:cs="Arial"/>
                <w:sz w:val="20"/>
                <w:szCs w:val="24"/>
              </w:rPr>
            </w:pPr>
          </w:p>
        </w:tc>
        <w:tc>
          <w:tcPr>
            <w:tcW w:w="820" w:type="pct"/>
            <w:hideMark/>
          </w:tcPr>
          <w:p w:rsidR="009D3C3A" w:rsidRPr="00A76C02" w:rsidRDefault="009D3C3A" w:rsidP="006057BE">
            <w:pPr>
              <w:rPr>
                <w:rFonts w:ascii="Arial" w:hAnsi="Arial" w:cs="Arial"/>
                <w:sz w:val="20"/>
                <w:szCs w:val="24"/>
              </w:rPr>
            </w:pPr>
          </w:p>
        </w:tc>
        <w:tc>
          <w:tcPr>
            <w:tcW w:w="1055"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Perceptions of Great Risk of Smoking Marijuana Once a Month, Adults Ages 26+</w:t>
            </w:r>
          </w:p>
        </w:tc>
        <w:tc>
          <w:tcPr>
            <w:tcW w:w="604"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NSDUH</w:t>
            </w:r>
          </w:p>
          <w:p w:rsidR="009D3C3A" w:rsidRPr="00A76C02" w:rsidRDefault="009D3C3A" w:rsidP="006057BE">
            <w:pPr>
              <w:rPr>
                <w:rFonts w:ascii="Arial" w:hAnsi="Arial" w:cs="Arial"/>
                <w:sz w:val="20"/>
                <w:szCs w:val="24"/>
              </w:rPr>
            </w:pPr>
            <w:r w:rsidRPr="00A76C02">
              <w:rPr>
                <w:rFonts w:ascii="Arial" w:hAnsi="Arial" w:cs="Arial"/>
                <w:bCs/>
                <w:sz w:val="20"/>
                <w:szCs w:val="24"/>
              </w:rPr>
              <w:t>(data not available for 2014-15)</w:t>
            </w:r>
          </w:p>
        </w:tc>
        <w:tc>
          <w:tcPr>
            <w:tcW w:w="918" w:type="pct"/>
            <w:hideMark/>
          </w:tcPr>
          <w:p w:rsidR="009D3C3A" w:rsidRPr="00A76C02" w:rsidRDefault="009D3C3A" w:rsidP="006057BE">
            <w:pPr>
              <w:rPr>
                <w:rFonts w:ascii="Arial" w:hAnsi="Arial" w:cs="Arial"/>
                <w:sz w:val="20"/>
                <w:szCs w:val="24"/>
              </w:rPr>
            </w:pPr>
            <w:r w:rsidRPr="00A76C02">
              <w:rPr>
                <w:rFonts w:ascii="Arial" w:hAnsi="Arial" w:cs="Arial"/>
                <w:bCs/>
                <w:sz w:val="20"/>
                <w:szCs w:val="24"/>
              </w:rPr>
              <w:t>State comparison, non-overlapping 95% confidence intervals</w:t>
            </w:r>
          </w:p>
        </w:tc>
      </w:tr>
    </w:tbl>
    <w:p w:rsidR="009D3C3A" w:rsidRDefault="009D3C3A" w:rsidP="006057BE">
      <w:pPr>
        <w:pStyle w:val="BodyText"/>
        <w:spacing w:line="240" w:lineRule="auto"/>
      </w:pPr>
      <w:bookmarkStart w:id="66" w:name="_Toc512337254"/>
      <w:bookmarkStart w:id="67" w:name="_Toc513810094"/>
    </w:p>
    <w:p w:rsidR="009D3C3A" w:rsidRDefault="009D3C3A" w:rsidP="00332358">
      <w:pPr>
        <w:pStyle w:val="Heading3"/>
      </w:pPr>
      <w:bookmarkStart w:id="68" w:name="_Toc11763427"/>
      <w:bookmarkStart w:id="69" w:name="_Toc11765919"/>
      <w:bookmarkStart w:id="70" w:name="_Toc11766574"/>
      <w:r w:rsidRPr="00894E63">
        <w:t>Indicators of Youth Marijuana Use</w:t>
      </w:r>
      <w:bookmarkEnd w:id="66"/>
      <w:bookmarkEnd w:id="67"/>
      <w:bookmarkEnd w:id="68"/>
      <w:bookmarkEnd w:id="69"/>
      <w:bookmarkEnd w:id="70"/>
    </w:p>
    <w:p w:rsidR="009D3C3A" w:rsidRPr="000B2B65" w:rsidRDefault="009D3C3A" w:rsidP="006057BE">
      <w:pPr>
        <w:pStyle w:val="BodyText"/>
        <w:spacing w:line="240" w:lineRule="auto"/>
      </w:pPr>
    </w:p>
    <w:p w:rsidR="009D3C3A" w:rsidRPr="00894E63" w:rsidRDefault="009D3C3A" w:rsidP="006057BE">
      <w:pPr>
        <w:spacing w:after="0" w:line="240" w:lineRule="auto"/>
        <w:rPr>
          <w:rFonts w:ascii="Arial" w:hAnsi="Arial" w:cs="Arial"/>
          <w:sz w:val="24"/>
          <w:szCs w:val="24"/>
        </w:rPr>
      </w:pPr>
      <w:r w:rsidRPr="00894E63">
        <w:rPr>
          <w:rFonts w:ascii="Arial" w:hAnsi="Arial" w:cs="Arial"/>
          <w:sz w:val="24"/>
          <w:szCs w:val="24"/>
        </w:rPr>
        <w:t>Marijuana use among youth has generally been stable over time, both in states that have legalized recreational marijuana use and those that have not. However, data from Massachusetts suggest that marijuana use may be declining among Massachusetts middle school aged youth. Please see Figure 2 below.</w:t>
      </w:r>
    </w:p>
    <w:p w:rsidR="009D3C3A" w:rsidRPr="00894E63" w:rsidRDefault="009D3C3A" w:rsidP="006057BE">
      <w:pPr>
        <w:spacing w:after="0" w:line="240" w:lineRule="auto"/>
        <w:rPr>
          <w:rFonts w:ascii="Arial" w:hAnsi="Arial" w:cs="Arial"/>
          <w:sz w:val="24"/>
          <w:szCs w:val="24"/>
        </w:rPr>
      </w:pPr>
      <w:r w:rsidRPr="00894E63">
        <w:rPr>
          <w:rFonts w:ascii="Arial" w:hAnsi="Arial" w:cs="Arial"/>
          <w:noProof/>
          <w:sz w:val="24"/>
          <w:szCs w:val="24"/>
        </w:rPr>
        <w:lastRenderedPageBreak/>
        <w:drawing>
          <wp:inline distT="0" distB="0" distL="0" distR="0" wp14:anchorId="2C8E4811" wp14:editId="696F77E9">
            <wp:extent cx="6142355" cy="4162425"/>
            <wp:effectExtent l="0" t="0" r="0" b="0"/>
            <wp:docPr id="5" name="Picture 5" descr="Marijuana use among youth has generally been stable over time, both in states that have legalized recreational marijuana use and those that have not. However, data from Massachusetts suggest that marijuana use may be declining among Massachusetts middle school aged youth." title="Massachsetts ever used marijuana (middle schoo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4729" cy="4177587"/>
                    </a:xfrm>
                    <a:prstGeom prst="rect">
                      <a:avLst/>
                    </a:prstGeom>
                    <a:noFill/>
                    <a:ln>
                      <a:noFill/>
                    </a:ln>
                  </pic:spPr>
                </pic:pic>
              </a:graphicData>
            </a:graphic>
          </wp:inline>
        </w:drawing>
      </w:r>
    </w:p>
    <w:p w:rsidR="009D3C3A" w:rsidRDefault="009D3C3A" w:rsidP="006057BE">
      <w:pPr>
        <w:spacing w:after="0" w:line="240" w:lineRule="auto"/>
        <w:rPr>
          <w:rFonts w:ascii="Arial" w:hAnsi="Arial" w:cs="Arial"/>
          <w:b/>
          <w:sz w:val="24"/>
          <w:szCs w:val="24"/>
        </w:rPr>
      </w:pPr>
    </w:p>
    <w:p w:rsidR="009D3C3A" w:rsidRDefault="009D3C3A" w:rsidP="006057BE">
      <w:pPr>
        <w:spacing w:after="0" w:line="240" w:lineRule="auto"/>
        <w:rPr>
          <w:rFonts w:ascii="Arial" w:hAnsi="Arial" w:cs="Arial"/>
          <w:b/>
          <w:sz w:val="24"/>
          <w:szCs w:val="24"/>
        </w:rPr>
      </w:pPr>
      <w:r w:rsidRPr="00894E63">
        <w:rPr>
          <w:rFonts w:ascii="Arial" w:hAnsi="Arial" w:cs="Arial"/>
          <w:b/>
          <w:sz w:val="24"/>
          <w:szCs w:val="24"/>
        </w:rPr>
        <w:t xml:space="preserve">Figure 2: Massachusetts Ever Used Marijuana, Middle School Students </w:t>
      </w:r>
    </w:p>
    <w:p w:rsidR="009D3C3A" w:rsidRPr="00894E63" w:rsidRDefault="009D3C3A" w:rsidP="006057BE">
      <w:pPr>
        <w:spacing w:after="0" w:line="240" w:lineRule="auto"/>
        <w:rPr>
          <w:rFonts w:ascii="Arial" w:hAnsi="Arial" w:cs="Arial"/>
          <w:b/>
          <w:sz w:val="24"/>
          <w:szCs w:val="24"/>
        </w:rPr>
      </w:pPr>
    </w:p>
    <w:p w:rsidR="009D3C3A" w:rsidRPr="00894E63" w:rsidRDefault="009D3C3A" w:rsidP="006057BE">
      <w:pPr>
        <w:spacing w:after="0" w:line="240" w:lineRule="auto"/>
        <w:rPr>
          <w:rFonts w:ascii="Arial" w:hAnsi="Arial" w:cs="Arial"/>
          <w:sz w:val="24"/>
          <w:szCs w:val="24"/>
        </w:rPr>
      </w:pPr>
      <w:r w:rsidRPr="00894E63">
        <w:rPr>
          <w:rFonts w:ascii="Arial" w:hAnsi="Arial" w:cs="Arial"/>
          <w:sz w:val="24"/>
          <w:szCs w:val="24"/>
        </w:rPr>
        <w:t>The specific indicators that show possible sensitivity to changes include:</w:t>
      </w:r>
    </w:p>
    <w:p w:rsidR="009D3C3A" w:rsidRPr="00894E63" w:rsidRDefault="009D3C3A" w:rsidP="006057BE">
      <w:pPr>
        <w:numPr>
          <w:ilvl w:val="0"/>
          <w:numId w:val="1"/>
        </w:numPr>
        <w:spacing w:after="0" w:line="240" w:lineRule="auto"/>
        <w:rPr>
          <w:rFonts w:ascii="Arial" w:hAnsi="Arial" w:cs="Arial"/>
          <w:sz w:val="24"/>
          <w:szCs w:val="24"/>
        </w:rPr>
      </w:pPr>
      <w:r w:rsidRPr="00894E63">
        <w:rPr>
          <w:rFonts w:ascii="Arial" w:hAnsi="Arial" w:cs="Arial"/>
          <w:sz w:val="24"/>
          <w:szCs w:val="24"/>
        </w:rPr>
        <w:t>Ever Used Marijuana - Middle School Students</w:t>
      </w:r>
    </w:p>
    <w:p w:rsidR="009D3C3A" w:rsidRPr="00894E63" w:rsidRDefault="009D3C3A" w:rsidP="006057BE">
      <w:pPr>
        <w:numPr>
          <w:ilvl w:val="0"/>
          <w:numId w:val="1"/>
        </w:numPr>
        <w:spacing w:after="0" w:line="240" w:lineRule="auto"/>
        <w:rPr>
          <w:rFonts w:ascii="Arial" w:hAnsi="Arial" w:cs="Arial"/>
          <w:sz w:val="24"/>
          <w:szCs w:val="24"/>
        </w:rPr>
      </w:pPr>
      <w:r w:rsidRPr="00894E63">
        <w:rPr>
          <w:rFonts w:ascii="Arial" w:hAnsi="Arial" w:cs="Arial"/>
          <w:sz w:val="24"/>
          <w:szCs w:val="24"/>
        </w:rPr>
        <w:t>Current Marijuana Use - Middle School Students</w:t>
      </w:r>
    </w:p>
    <w:p w:rsidR="009D3C3A" w:rsidRDefault="009D3C3A" w:rsidP="006057BE">
      <w:pPr>
        <w:numPr>
          <w:ilvl w:val="0"/>
          <w:numId w:val="1"/>
        </w:numPr>
        <w:spacing w:after="0" w:line="240" w:lineRule="auto"/>
        <w:rPr>
          <w:rFonts w:ascii="Arial" w:hAnsi="Arial" w:cs="Arial"/>
          <w:sz w:val="24"/>
          <w:szCs w:val="24"/>
        </w:rPr>
      </w:pPr>
      <w:r w:rsidRPr="00894E63">
        <w:rPr>
          <w:rFonts w:ascii="Arial" w:hAnsi="Arial" w:cs="Arial"/>
          <w:sz w:val="24"/>
          <w:szCs w:val="24"/>
        </w:rPr>
        <w:t>Used Marijuana Before Age 13 - High School Students</w:t>
      </w:r>
    </w:p>
    <w:p w:rsidR="009D3C3A" w:rsidRPr="00894E63" w:rsidRDefault="009D3C3A" w:rsidP="006057BE">
      <w:pPr>
        <w:spacing w:after="0" w:line="240" w:lineRule="auto"/>
        <w:ind w:left="720"/>
        <w:rPr>
          <w:rFonts w:ascii="Arial" w:hAnsi="Arial" w:cs="Arial"/>
          <w:sz w:val="24"/>
          <w:szCs w:val="24"/>
        </w:rPr>
      </w:pPr>
    </w:p>
    <w:p w:rsidR="009D3C3A" w:rsidRDefault="009D3C3A" w:rsidP="00332358">
      <w:pPr>
        <w:pStyle w:val="Heading3"/>
      </w:pPr>
      <w:bookmarkStart w:id="71" w:name="_Toc512337255"/>
      <w:bookmarkStart w:id="72" w:name="_Toc513810095"/>
      <w:bookmarkStart w:id="73" w:name="_Toc11763428"/>
      <w:bookmarkStart w:id="74" w:name="_Toc11765920"/>
      <w:bookmarkStart w:id="75" w:name="_Toc11766575"/>
      <w:r w:rsidRPr="00894E63">
        <w:t>Indicators of Youth Marijuana Perceptions</w:t>
      </w:r>
      <w:bookmarkEnd w:id="71"/>
      <w:bookmarkEnd w:id="72"/>
      <w:bookmarkEnd w:id="73"/>
      <w:bookmarkEnd w:id="74"/>
      <w:bookmarkEnd w:id="75"/>
    </w:p>
    <w:p w:rsidR="009D3C3A" w:rsidRPr="000B2B65" w:rsidRDefault="009D3C3A" w:rsidP="006057BE">
      <w:pPr>
        <w:pStyle w:val="BodyText"/>
        <w:spacing w:line="240" w:lineRule="auto"/>
      </w:pPr>
    </w:p>
    <w:p w:rsidR="009D3C3A" w:rsidRPr="00894E63" w:rsidRDefault="009D3C3A" w:rsidP="006057BE">
      <w:pPr>
        <w:spacing w:after="0" w:line="240" w:lineRule="auto"/>
        <w:rPr>
          <w:rFonts w:ascii="Arial" w:hAnsi="Arial" w:cs="Arial"/>
          <w:sz w:val="24"/>
          <w:szCs w:val="24"/>
        </w:rPr>
      </w:pPr>
      <w:r w:rsidRPr="00894E63">
        <w:rPr>
          <w:rFonts w:ascii="Arial" w:hAnsi="Arial" w:cs="Arial"/>
          <w:noProof/>
          <w:sz w:val="24"/>
          <w:szCs w:val="24"/>
        </w:rPr>
        <mc:AlternateContent>
          <mc:Choice Requires="wps">
            <w:drawing>
              <wp:anchor distT="0" distB="0" distL="114300" distR="114300" simplePos="0" relativeHeight="251659264" behindDoc="0" locked="0" layoutInCell="1" allowOverlap="1" wp14:anchorId="74580746" wp14:editId="701BFC44">
                <wp:simplePos x="0" y="0"/>
                <wp:positionH relativeFrom="column">
                  <wp:posOffset>870585</wp:posOffset>
                </wp:positionH>
                <wp:positionV relativeFrom="paragraph">
                  <wp:posOffset>3910330</wp:posOffset>
                </wp:positionV>
                <wp:extent cx="6603999" cy="311496"/>
                <wp:effectExtent l="0" t="0" r="0" b="0"/>
                <wp:wrapNone/>
                <wp:docPr id="1" name="Rectangle 3"/>
                <wp:cNvGraphicFramePr/>
                <a:graphic xmlns:a="http://schemas.openxmlformats.org/drawingml/2006/main">
                  <a:graphicData uri="http://schemas.microsoft.com/office/word/2010/wordprocessingShape">
                    <wps:wsp>
                      <wps:cNvSpPr/>
                      <wps:spPr>
                        <a:xfrm>
                          <a:off x="0" y="0"/>
                          <a:ext cx="6603999" cy="311496"/>
                        </a:xfrm>
                        <a:prstGeom prst="rect">
                          <a:avLst/>
                        </a:prstGeom>
                      </wps:spPr>
                      <wps:bodyPr wrap="square">
                        <a:spAutoFit/>
                      </wps:bodyPr>
                    </wps:wsp>
                  </a:graphicData>
                </a:graphic>
              </wp:anchor>
            </w:drawing>
          </mc:Choice>
          <mc:Fallback>
            <w:pict>
              <v:rect id="Rectangle 3" o:spid="_x0000_s1026" style="position:absolute;margin-left:68.55pt;margin-top:307.9pt;width:520pt;height:24.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" filled="f" stroked="f">
                <v:textbox style="mso-fit-shape-to-text:t"/>
              </v:rect>
            </w:pict>
          </mc:Fallback>
        </mc:AlternateContent>
      </w:r>
      <w:r w:rsidRPr="00894E63">
        <w:rPr>
          <w:rFonts w:ascii="Arial" w:hAnsi="Arial" w:cs="Arial"/>
          <w:sz w:val="24"/>
          <w:szCs w:val="24"/>
        </w:rPr>
        <w:t xml:space="preserve">Perceptions that there is great risk in occasional marijuana use have been declining over time among youth. This trend is present in Massachusetts, nationally, and in legalized and non-legalized comparison states. </w:t>
      </w:r>
      <w:r>
        <w:rPr>
          <w:rFonts w:ascii="Arial" w:hAnsi="Arial" w:cs="Arial"/>
          <w:sz w:val="24"/>
          <w:szCs w:val="24"/>
        </w:rPr>
        <w:t xml:space="preserve"> </w:t>
      </w:r>
      <w:r w:rsidRPr="00BB6527">
        <w:rPr>
          <w:rFonts w:ascii="Arial" w:hAnsi="Arial" w:cs="Arial"/>
          <w:sz w:val="24"/>
          <w:szCs w:val="24"/>
        </w:rPr>
        <w:t xml:space="preserve">More youth in </w:t>
      </w:r>
      <w:r w:rsidRPr="00894E63">
        <w:rPr>
          <w:rFonts w:ascii="Arial" w:hAnsi="Arial" w:cs="Arial"/>
          <w:sz w:val="24"/>
          <w:szCs w:val="24"/>
        </w:rPr>
        <w:t xml:space="preserve">non-legalized </w:t>
      </w:r>
      <w:r>
        <w:rPr>
          <w:rFonts w:ascii="Arial" w:hAnsi="Arial" w:cs="Arial"/>
          <w:sz w:val="24"/>
          <w:szCs w:val="24"/>
        </w:rPr>
        <w:t xml:space="preserve">comparison </w:t>
      </w:r>
      <w:r w:rsidRPr="00894E63">
        <w:rPr>
          <w:rFonts w:ascii="Arial" w:hAnsi="Arial" w:cs="Arial"/>
          <w:sz w:val="24"/>
          <w:szCs w:val="24"/>
        </w:rPr>
        <w:t xml:space="preserve">states </w:t>
      </w:r>
      <w:r>
        <w:rPr>
          <w:rFonts w:ascii="Arial" w:hAnsi="Arial" w:cs="Arial"/>
          <w:sz w:val="24"/>
          <w:szCs w:val="24"/>
        </w:rPr>
        <w:t xml:space="preserve">perceive </w:t>
      </w:r>
      <w:r w:rsidRPr="00BB6527">
        <w:rPr>
          <w:rFonts w:ascii="Arial" w:hAnsi="Arial" w:cs="Arial"/>
          <w:sz w:val="24"/>
          <w:szCs w:val="24"/>
        </w:rPr>
        <w:t>that there is great risk</w:t>
      </w:r>
      <w:r>
        <w:rPr>
          <w:rFonts w:ascii="Arial" w:hAnsi="Arial" w:cs="Arial"/>
          <w:sz w:val="24"/>
          <w:szCs w:val="24"/>
        </w:rPr>
        <w:t xml:space="preserve"> for </w:t>
      </w:r>
      <w:r w:rsidRPr="00894E63">
        <w:rPr>
          <w:rFonts w:ascii="Arial" w:hAnsi="Arial" w:cs="Arial"/>
          <w:sz w:val="24"/>
          <w:szCs w:val="24"/>
        </w:rPr>
        <w:t>occasional marijuana use</w:t>
      </w:r>
      <w:r>
        <w:rPr>
          <w:rFonts w:ascii="Arial" w:hAnsi="Arial" w:cs="Arial"/>
          <w:sz w:val="24"/>
          <w:szCs w:val="24"/>
        </w:rPr>
        <w:t xml:space="preserve"> than youth in legalized states. </w:t>
      </w:r>
      <w:r w:rsidRPr="00894E63">
        <w:rPr>
          <w:rFonts w:ascii="Arial" w:hAnsi="Arial" w:cs="Arial"/>
          <w:sz w:val="24"/>
          <w:szCs w:val="24"/>
        </w:rPr>
        <w:t>Please see Figure 3 below. Massachusetts youth perceive the risk of occasional marijuana use to be lowest of all states included in analysis. In Massachusetts, this shift in perception of risk may be more pronounced in high school aged youth than in younger youth.</w:t>
      </w:r>
    </w:p>
    <w:p w:rsidR="009D3C3A" w:rsidRPr="00894E63" w:rsidRDefault="009D3C3A" w:rsidP="006057BE">
      <w:pPr>
        <w:spacing w:after="0" w:line="240" w:lineRule="auto"/>
        <w:rPr>
          <w:rFonts w:ascii="Arial" w:hAnsi="Arial" w:cs="Arial"/>
          <w:sz w:val="24"/>
          <w:szCs w:val="24"/>
        </w:rPr>
      </w:pPr>
      <w:r w:rsidRPr="00894E63">
        <w:rPr>
          <w:rFonts w:ascii="Arial" w:hAnsi="Arial" w:cs="Arial"/>
          <w:noProof/>
          <w:sz w:val="24"/>
          <w:szCs w:val="24"/>
        </w:rPr>
        <w:lastRenderedPageBreak/>
        <w:drawing>
          <wp:inline distT="0" distB="0" distL="0" distR="0" wp14:anchorId="7CA9B5DC" wp14:editId="15B2AE30">
            <wp:extent cx="6171606" cy="5105400"/>
            <wp:effectExtent l="0" t="0" r="635" b="0"/>
            <wp:docPr id="9" name="Picture 9" descr="Massachusetts youth perceive the risk of occasional marijuana use to be lowest of all states included in analysis. Non-legalized states included in the analysis include Kansas, Oklahoma, and Texas.  Legalized states included in the analysis include Oregon, Colorado, and Washington. In Massachusetts, this shift in perception of risk may be more pronounced in high school aged youth than in younger youth." title="Massachusetts and Comparison States Perceptions of Great Risk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3394" cy="5115152"/>
                    </a:xfrm>
                    <a:prstGeom prst="rect">
                      <a:avLst/>
                    </a:prstGeom>
                    <a:noFill/>
                    <a:ln>
                      <a:noFill/>
                    </a:ln>
                  </pic:spPr>
                </pic:pic>
              </a:graphicData>
            </a:graphic>
          </wp:inline>
        </w:drawing>
      </w:r>
    </w:p>
    <w:p w:rsidR="009D3C3A" w:rsidRDefault="009D3C3A" w:rsidP="006057BE">
      <w:pPr>
        <w:spacing w:after="0" w:line="240" w:lineRule="auto"/>
        <w:rPr>
          <w:rFonts w:ascii="Arial" w:hAnsi="Arial" w:cs="Arial"/>
          <w:b/>
          <w:sz w:val="24"/>
          <w:szCs w:val="24"/>
        </w:rPr>
      </w:pPr>
    </w:p>
    <w:p w:rsidR="009D3C3A" w:rsidRDefault="009D3C3A" w:rsidP="006057BE">
      <w:pPr>
        <w:spacing w:after="0" w:line="240" w:lineRule="auto"/>
        <w:rPr>
          <w:rFonts w:ascii="Arial" w:hAnsi="Arial" w:cs="Arial"/>
          <w:b/>
          <w:sz w:val="24"/>
          <w:szCs w:val="24"/>
        </w:rPr>
      </w:pPr>
      <w:r w:rsidRPr="00894E63">
        <w:rPr>
          <w:rFonts w:ascii="Arial" w:hAnsi="Arial" w:cs="Arial"/>
          <w:b/>
          <w:sz w:val="24"/>
          <w:szCs w:val="24"/>
        </w:rPr>
        <w:t xml:space="preserve">Figure 3: Massachusetts and Comparison States Perceptions of Great Risk of </w:t>
      </w:r>
    </w:p>
    <w:p w:rsidR="009D3C3A" w:rsidRDefault="009D3C3A" w:rsidP="006057BE">
      <w:pPr>
        <w:spacing w:after="0" w:line="240" w:lineRule="auto"/>
        <w:rPr>
          <w:rFonts w:ascii="Arial" w:hAnsi="Arial" w:cs="Arial"/>
          <w:b/>
          <w:sz w:val="24"/>
          <w:szCs w:val="24"/>
        </w:rPr>
      </w:pPr>
      <w:r w:rsidRPr="00894E63">
        <w:rPr>
          <w:rFonts w:ascii="Arial" w:hAnsi="Arial" w:cs="Arial"/>
          <w:b/>
          <w:sz w:val="24"/>
          <w:szCs w:val="24"/>
        </w:rPr>
        <w:t>Smoking Marijuana Once a Month, Youth Ages 12-17</w:t>
      </w:r>
    </w:p>
    <w:p w:rsidR="009D3C3A" w:rsidRPr="00894E63" w:rsidRDefault="009D3C3A" w:rsidP="006057BE">
      <w:pPr>
        <w:spacing w:after="0" w:line="240" w:lineRule="auto"/>
        <w:rPr>
          <w:rFonts w:ascii="Arial" w:hAnsi="Arial" w:cs="Arial"/>
          <w:b/>
          <w:sz w:val="24"/>
          <w:szCs w:val="24"/>
        </w:rPr>
      </w:pPr>
    </w:p>
    <w:p w:rsidR="009D3C3A" w:rsidRPr="00894E63" w:rsidRDefault="009D3C3A" w:rsidP="006057BE">
      <w:pPr>
        <w:spacing w:after="0" w:line="240" w:lineRule="auto"/>
        <w:rPr>
          <w:rFonts w:ascii="Arial" w:hAnsi="Arial" w:cs="Arial"/>
          <w:sz w:val="24"/>
          <w:szCs w:val="24"/>
        </w:rPr>
      </w:pPr>
      <w:r w:rsidRPr="00894E63">
        <w:rPr>
          <w:rFonts w:ascii="Arial" w:hAnsi="Arial" w:cs="Arial"/>
          <w:sz w:val="24"/>
          <w:szCs w:val="24"/>
        </w:rPr>
        <w:t>Given the parallel trends in several states, trends in these indicators may reflect larger national shifts rather than responses to state-level policy:</w:t>
      </w:r>
    </w:p>
    <w:p w:rsidR="009D3C3A" w:rsidRPr="00894E63" w:rsidRDefault="009D3C3A" w:rsidP="006057BE">
      <w:pPr>
        <w:numPr>
          <w:ilvl w:val="0"/>
          <w:numId w:val="2"/>
        </w:numPr>
        <w:spacing w:after="0" w:line="240" w:lineRule="auto"/>
        <w:rPr>
          <w:rFonts w:ascii="Arial" w:hAnsi="Arial" w:cs="Arial"/>
          <w:sz w:val="24"/>
          <w:szCs w:val="24"/>
        </w:rPr>
      </w:pPr>
      <w:r w:rsidRPr="00894E63">
        <w:rPr>
          <w:rFonts w:ascii="Arial" w:hAnsi="Arial" w:cs="Arial"/>
          <w:sz w:val="24"/>
          <w:szCs w:val="24"/>
        </w:rPr>
        <w:t>Perceptions of Great Risk of Smoking Marijuana Once a Month, Youth Ages 12-17</w:t>
      </w:r>
    </w:p>
    <w:p w:rsidR="009D3C3A" w:rsidRDefault="009D3C3A" w:rsidP="00AC40A7">
      <w:pPr>
        <w:pStyle w:val="BodyText"/>
      </w:pPr>
      <w:bookmarkStart w:id="76" w:name="_Toc512337256"/>
      <w:bookmarkStart w:id="77" w:name="_Toc513810096"/>
    </w:p>
    <w:p w:rsidR="009D3C3A" w:rsidRDefault="009D3C3A" w:rsidP="00332358">
      <w:pPr>
        <w:pStyle w:val="Heading3"/>
      </w:pPr>
      <w:bookmarkStart w:id="78" w:name="_Toc11763429"/>
      <w:bookmarkStart w:id="79" w:name="_Toc11765921"/>
      <w:bookmarkStart w:id="80" w:name="_Toc11766576"/>
      <w:r w:rsidRPr="00894E63">
        <w:t>Indicators of Adult Marijuana Use</w:t>
      </w:r>
      <w:bookmarkEnd w:id="76"/>
      <w:bookmarkEnd w:id="77"/>
      <w:bookmarkEnd w:id="78"/>
      <w:bookmarkEnd w:id="79"/>
      <w:bookmarkEnd w:id="80"/>
    </w:p>
    <w:p w:rsidR="009D3C3A" w:rsidRPr="000B2B65" w:rsidRDefault="009D3C3A" w:rsidP="006057BE">
      <w:pPr>
        <w:pStyle w:val="BodyText"/>
        <w:spacing w:line="240" w:lineRule="auto"/>
      </w:pPr>
    </w:p>
    <w:p w:rsidR="009D3C3A" w:rsidRDefault="009D3C3A" w:rsidP="006057BE">
      <w:pPr>
        <w:spacing w:after="0" w:line="240" w:lineRule="auto"/>
        <w:rPr>
          <w:rFonts w:ascii="Arial" w:hAnsi="Arial" w:cs="Arial"/>
          <w:sz w:val="24"/>
          <w:szCs w:val="24"/>
        </w:rPr>
      </w:pPr>
      <w:r w:rsidRPr="00894E63">
        <w:rPr>
          <w:rFonts w:ascii="Arial" w:hAnsi="Arial" w:cs="Arial"/>
          <w:sz w:val="24"/>
          <w:szCs w:val="24"/>
        </w:rPr>
        <w:t xml:space="preserve">Marijuana use seems to be increasing among some adult populations. Marijuana use among adults ages 26 and older has been increasing in Massachusetts and in states that have legalized recreational marijuana. This trend is also present nationally, though not in all non-legalized comparison states. Additionally, states that have legalized marijuana have higher rates of current use than states that do not. Finally, states that </w:t>
      </w:r>
      <w:r w:rsidRPr="00894E63">
        <w:rPr>
          <w:rFonts w:ascii="Arial" w:hAnsi="Arial" w:cs="Arial"/>
          <w:sz w:val="24"/>
          <w:szCs w:val="24"/>
        </w:rPr>
        <w:lastRenderedPageBreak/>
        <w:t>have not legalized have rates of current use that is closer to the national average.</w:t>
      </w:r>
      <w:r>
        <w:rPr>
          <w:rFonts w:ascii="Arial" w:hAnsi="Arial" w:cs="Arial"/>
          <w:sz w:val="24"/>
          <w:szCs w:val="24"/>
        </w:rPr>
        <w:t xml:space="preserve"> Please see Figure 4</w:t>
      </w:r>
      <w:r w:rsidR="000A008F">
        <w:rPr>
          <w:rFonts w:ascii="Arial" w:hAnsi="Arial" w:cs="Arial"/>
          <w:sz w:val="24"/>
          <w:szCs w:val="24"/>
        </w:rPr>
        <w:t>.</w:t>
      </w:r>
    </w:p>
    <w:p w:rsidR="00ED2671" w:rsidRDefault="00ED2671" w:rsidP="006057BE">
      <w:pPr>
        <w:spacing w:after="0" w:line="240" w:lineRule="auto"/>
        <w:rPr>
          <w:rFonts w:ascii="Arial" w:hAnsi="Arial" w:cs="Arial"/>
          <w:sz w:val="24"/>
          <w:szCs w:val="24"/>
        </w:rPr>
      </w:pPr>
    </w:p>
    <w:p w:rsidR="009D3C3A" w:rsidRDefault="009D3C3A" w:rsidP="006057BE">
      <w:pPr>
        <w:spacing w:after="0" w:line="240" w:lineRule="auto"/>
        <w:rPr>
          <w:rFonts w:ascii="Arial" w:hAnsi="Arial" w:cs="Arial"/>
          <w:sz w:val="24"/>
          <w:szCs w:val="24"/>
        </w:rPr>
      </w:pPr>
      <w:r w:rsidRPr="00894E63">
        <w:rPr>
          <w:rFonts w:ascii="Arial" w:hAnsi="Arial" w:cs="Arial"/>
          <w:noProof/>
          <w:sz w:val="24"/>
          <w:szCs w:val="24"/>
        </w:rPr>
        <w:drawing>
          <wp:inline distT="0" distB="0" distL="0" distR="0" wp14:anchorId="02D12542" wp14:editId="2C8F02D6">
            <wp:extent cx="6030529" cy="4876800"/>
            <wp:effectExtent l="0" t="0" r="0" b="0"/>
            <wp:docPr id="2" name="Picture 2" descr="States that have legalized marijuana have higher rates of current use than states that do not. States that have not legalized marijuana have rates of current use closer to the national average. The national average is 6.6%, while the Massachusetts average for this age group is 9.2%" title="Massachusetts and comparison states: Current use age 26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529" cy="4876800"/>
                    </a:xfrm>
                    <a:prstGeom prst="rect">
                      <a:avLst/>
                    </a:prstGeom>
                    <a:noFill/>
                    <a:ln>
                      <a:noFill/>
                    </a:ln>
                  </pic:spPr>
                </pic:pic>
              </a:graphicData>
            </a:graphic>
          </wp:inline>
        </w:drawing>
      </w:r>
    </w:p>
    <w:p w:rsidR="009D3C3A" w:rsidRDefault="009D3C3A" w:rsidP="006057BE">
      <w:pPr>
        <w:spacing w:after="0" w:line="240" w:lineRule="auto"/>
        <w:rPr>
          <w:rFonts w:ascii="Arial" w:hAnsi="Arial" w:cs="Arial"/>
          <w:b/>
          <w:sz w:val="24"/>
          <w:szCs w:val="24"/>
        </w:rPr>
      </w:pPr>
    </w:p>
    <w:p w:rsidR="009D3C3A" w:rsidRDefault="009D3C3A" w:rsidP="006057BE">
      <w:pPr>
        <w:spacing w:after="0" w:line="240" w:lineRule="auto"/>
        <w:rPr>
          <w:rFonts w:ascii="Arial" w:hAnsi="Arial" w:cs="Arial"/>
          <w:b/>
          <w:sz w:val="24"/>
          <w:szCs w:val="24"/>
        </w:rPr>
      </w:pPr>
      <w:r w:rsidRPr="00894E63">
        <w:rPr>
          <w:rFonts w:ascii="Arial" w:hAnsi="Arial" w:cs="Arial"/>
          <w:b/>
          <w:sz w:val="24"/>
          <w:szCs w:val="24"/>
        </w:rPr>
        <w:t xml:space="preserve">Figure 4: Massachusetts and Comparison States Current Use Ages 26 and Older </w:t>
      </w:r>
    </w:p>
    <w:p w:rsidR="009D3C3A" w:rsidRPr="00FD097C" w:rsidRDefault="009D3C3A" w:rsidP="006057BE">
      <w:pPr>
        <w:spacing w:after="0" w:line="240" w:lineRule="auto"/>
        <w:rPr>
          <w:rFonts w:ascii="Arial" w:hAnsi="Arial" w:cs="Arial"/>
          <w:sz w:val="24"/>
          <w:szCs w:val="24"/>
        </w:rPr>
      </w:pPr>
    </w:p>
    <w:p w:rsidR="009D3C3A" w:rsidRPr="00894E63" w:rsidRDefault="009D3C3A" w:rsidP="006057BE">
      <w:pPr>
        <w:spacing w:after="0" w:line="240" w:lineRule="auto"/>
        <w:rPr>
          <w:rFonts w:ascii="Arial" w:hAnsi="Arial" w:cs="Arial"/>
          <w:sz w:val="24"/>
          <w:szCs w:val="24"/>
        </w:rPr>
      </w:pPr>
      <w:r w:rsidRPr="00894E63">
        <w:rPr>
          <w:rFonts w:ascii="Arial" w:hAnsi="Arial" w:cs="Arial"/>
          <w:sz w:val="24"/>
          <w:szCs w:val="24"/>
        </w:rPr>
        <w:t>Among adults ages 18-25, who have higher rates of marijuana use than their older counterparts, use has increased in some legalized states but not in Massachusetts. Overall rates of use for all adults ages 18 and older have increased in Washington State, where recreational marijuana is legal.</w:t>
      </w:r>
    </w:p>
    <w:p w:rsidR="009D3C3A" w:rsidRPr="00894E63" w:rsidRDefault="009D3C3A" w:rsidP="006057BE">
      <w:pPr>
        <w:spacing w:after="0" w:line="240" w:lineRule="auto"/>
        <w:rPr>
          <w:rFonts w:ascii="Arial" w:hAnsi="Arial" w:cs="Arial"/>
          <w:sz w:val="24"/>
          <w:szCs w:val="24"/>
        </w:rPr>
      </w:pPr>
      <w:r w:rsidRPr="00894E63">
        <w:rPr>
          <w:rFonts w:ascii="Arial" w:hAnsi="Arial" w:cs="Arial"/>
          <w:sz w:val="24"/>
          <w:szCs w:val="24"/>
        </w:rPr>
        <w:t>The specific indicators that show possible sensitivity to policy changes include:</w:t>
      </w:r>
    </w:p>
    <w:p w:rsidR="009D3C3A" w:rsidRPr="00894E63" w:rsidRDefault="009D3C3A" w:rsidP="006057BE">
      <w:pPr>
        <w:numPr>
          <w:ilvl w:val="0"/>
          <w:numId w:val="3"/>
        </w:numPr>
        <w:spacing w:after="0" w:line="240" w:lineRule="auto"/>
        <w:rPr>
          <w:rFonts w:ascii="Arial" w:hAnsi="Arial" w:cs="Arial"/>
          <w:sz w:val="24"/>
          <w:szCs w:val="24"/>
        </w:rPr>
      </w:pPr>
      <w:r w:rsidRPr="00894E63">
        <w:rPr>
          <w:rFonts w:ascii="Arial" w:hAnsi="Arial" w:cs="Arial"/>
          <w:sz w:val="24"/>
          <w:szCs w:val="24"/>
        </w:rPr>
        <w:t>Current Marijuana Use - Adults Ages 18-25 and Adults Ages 26+</w:t>
      </w:r>
    </w:p>
    <w:p w:rsidR="009D3C3A" w:rsidRPr="00894E63" w:rsidRDefault="009D3C3A" w:rsidP="006057BE">
      <w:pPr>
        <w:numPr>
          <w:ilvl w:val="0"/>
          <w:numId w:val="3"/>
        </w:numPr>
        <w:spacing w:after="0" w:line="240" w:lineRule="auto"/>
        <w:rPr>
          <w:rFonts w:ascii="Arial" w:hAnsi="Arial" w:cs="Arial"/>
          <w:sz w:val="24"/>
          <w:szCs w:val="24"/>
        </w:rPr>
      </w:pPr>
      <w:r w:rsidRPr="00894E63">
        <w:rPr>
          <w:rFonts w:ascii="Arial" w:hAnsi="Arial" w:cs="Arial"/>
          <w:sz w:val="24"/>
          <w:szCs w:val="24"/>
        </w:rPr>
        <w:t>Use in the Past Year - Adults Ages 18-25 and Adults Ages 26+</w:t>
      </w:r>
    </w:p>
    <w:p w:rsidR="009D3C3A" w:rsidRPr="00894E63" w:rsidRDefault="009D3C3A" w:rsidP="006057BE">
      <w:pPr>
        <w:numPr>
          <w:ilvl w:val="0"/>
          <w:numId w:val="3"/>
        </w:numPr>
        <w:spacing w:after="0" w:line="240" w:lineRule="auto"/>
        <w:rPr>
          <w:rFonts w:ascii="Arial" w:hAnsi="Arial" w:cs="Arial"/>
          <w:sz w:val="24"/>
          <w:szCs w:val="24"/>
        </w:rPr>
      </w:pPr>
      <w:r w:rsidRPr="00894E63">
        <w:rPr>
          <w:rFonts w:ascii="Arial" w:hAnsi="Arial" w:cs="Arial"/>
          <w:sz w:val="24"/>
          <w:szCs w:val="24"/>
        </w:rPr>
        <w:t>Current Marijuana Use - Adults Ages 18 and Older</w:t>
      </w:r>
    </w:p>
    <w:p w:rsidR="009D3C3A" w:rsidRDefault="009D3C3A" w:rsidP="006057BE">
      <w:pPr>
        <w:numPr>
          <w:ilvl w:val="0"/>
          <w:numId w:val="3"/>
        </w:numPr>
        <w:spacing w:after="0" w:line="240" w:lineRule="auto"/>
        <w:rPr>
          <w:rFonts w:ascii="Arial" w:hAnsi="Arial" w:cs="Arial"/>
          <w:sz w:val="24"/>
          <w:szCs w:val="24"/>
        </w:rPr>
      </w:pPr>
      <w:r w:rsidRPr="00894E63">
        <w:rPr>
          <w:rFonts w:ascii="Arial" w:hAnsi="Arial" w:cs="Arial"/>
          <w:sz w:val="24"/>
          <w:szCs w:val="24"/>
        </w:rPr>
        <w:t>Ever Used Marijuana - Adults Ages 18 and Older</w:t>
      </w:r>
    </w:p>
    <w:p w:rsidR="009D3C3A" w:rsidRPr="00894E63" w:rsidRDefault="009D3C3A" w:rsidP="006057BE">
      <w:pPr>
        <w:spacing w:after="0" w:line="240" w:lineRule="auto"/>
        <w:ind w:left="720"/>
        <w:rPr>
          <w:rFonts w:ascii="Arial" w:hAnsi="Arial" w:cs="Arial"/>
          <w:sz w:val="24"/>
          <w:szCs w:val="24"/>
        </w:rPr>
      </w:pPr>
    </w:p>
    <w:p w:rsidR="00AC40A7" w:rsidRDefault="00AC40A7" w:rsidP="00AC40A7">
      <w:pPr>
        <w:pStyle w:val="BodyText"/>
      </w:pPr>
      <w:bookmarkStart w:id="81" w:name="_Toc11763430"/>
      <w:bookmarkStart w:id="82" w:name="_Toc512337257"/>
      <w:bookmarkStart w:id="83" w:name="_Toc513810097"/>
    </w:p>
    <w:p w:rsidR="00AC40A7" w:rsidRDefault="00AC40A7" w:rsidP="00AC40A7">
      <w:pPr>
        <w:pStyle w:val="BodyText"/>
      </w:pPr>
    </w:p>
    <w:p w:rsidR="00ED2671" w:rsidRPr="00ED2671" w:rsidRDefault="00ED2671" w:rsidP="00332358">
      <w:pPr>
        <w:pStyle w:val="Heading3"/>
      </w:pPr>
      <w:bookmarkStart w:id="84" w:name="_Toc11765922"/>
      <w:bookmarkStart w:id="85" w:name="_Toc11766577"/>
      <w:r w:rsidRPr="00ED2671">
        <w:lastRenderedPageBreak/>
        <w:t xml:space="preserve">Indicators of </w:t>
      </w:r>
      <w:r>
        <w:t>Adult Marijuana Perceptions</w:t>
      </w:r>
      <w:bookmarkEnd w:id="81"/>
      <w:bookmarkEnd w:id="84"/>
      <w:bookmarkEnd w:id="85"/>
      <w:r>
        <w:t xml:space="preserve"> </w:t>
      </w:r>
    </w:p>
    <w:p w:rsidR="00ED2671" w:rsidRDefault="00ED2671" w:rsidP="00AC40A7">
      <w:pPr>
        <w:pStyle w:val="BodyText"/>
      </w:pPr>
    </w:p>
    <w:bookmarkEnd w:id="82"/>
    <w:bookmarkEnd w:id="83"/>
    <w:p w:rsidR="009D3C3A" w:rsidRDefault="009D3C3A" w:rsidP="006057BE">
      <w:pPr>
        <w:spacing w:after="0" w:line="240" w:lineRule="auto"/>
        <w:rPr>
          <w:rFonts w:ascii="Arial" w:hAnsi="Arial" w:cs="Arial"/>
          <w:sz w:val="24"/>
          <w:szCs w:val="24"/>
        </w:rPr>
      </w:pPr>
      <w:r w:rsidRPr="00894E63">
        <w:rPr>
          <w:rFonts w:ascii="Arial" w:hAnsi="Arial" w:cs="Arial"/>
          <w:sz w:val="24"/>
          <w:szCs w:val="24"/>
        </w:rPr>
        <w:t>As with youth, perceptions about the risks of marijuana use among adults seem to be shifting; fewer adults believe there is great risk in occasional use. This trend is occurring in Massachusetts, nationally, and in legalized and non-legalized states. Those adults in non-legalized states perceive the risk of occasional use to be higher than those in legalized states. Massachusetts adults’ perceptions were closer to those in legalized comparison states than non-legalized.  Please see Figures 5 and 6 below.</w:t>
      </w:r>
    </w:p>
    <w:p w:rsidR="009D3C3A" w:rsidRPr="00894E63" w:rsidRDefault="009D3C3A" w:rsidP="006057BE">
      <w:pPr>
        <w:spacing w:after="0" w:line="240" w:lineRule="auto"/>
        <w:rPr>
          <w:rFonts w:ascii="Arial" w:hAnsi="Arial" w:cs="Arial"/>
          <w:sz w:val="24"/>
          <w:szCs w:val="24"/>
        </w:rPr>
      </w:pPr>
    </w:p>
    <w:p w:rsidR="009D3C3A" w:rsidRPr="00894E63" w:rsidRDefault="009D3C3A" w:rsidP="006057BE">
      <w:pPr>
        <w:spacing w:after="0" w:line="240" w:lineRule="auto"/>
        <w:rPr>
          <w:rFonts w:ascii="Arial" w:hAnsi="Arial" w:cs="Arial"/>
          <w:sz w:val="24"/>
          <w:szCs w:val="24"/>
        </w:rPr>
      </w:pPr>
      <w:r w:rsidRPr="00894E63">
        <w:rPr>
          <w:rFonts w:ascii="Arial" w:hAnsi="Arial" w:cs="Arial"/>
          <w:noProof/>
          <w:sz w:val="24"/>
          <w:szCs w:val="24"/>
        </w:rPr>
        <w:drawing>
          <wp:inline distT="0" distB="0" distL="0" distR="0" wp14:anchorId="056C8585" wp14:editId="2F4AE528">
            <wp:extent cx="5724525" cy="4901734"/>
            <wp:effectExtent l="0" t="0" r="0" b="0"/>
            <wp:docPr id="12" name="Picture 12" descr="The figure shows that fewer adults believe there is great risk in occasional marijuana use. This trend is occurring in Massachusetts, nationally, and in legalized and non-legalized states. Non-legalized state adults perceive the risk of occasional use to be higher than adults in legalized states. Massachusetts adults’ perceptions were closer to those in legalized comparison states than non-legalized.  " title="Massachusetts and Comparison States Perceptions of Great Risk of Smoking Marijuana Once a Mnoth (Ages 18 t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921" cy="4920911"/>
                    </a:xfrm>
                    <a:prstGeom prst="rect">
                      <a:avLst/>
                    </a:prstGeom>
                    <a:noFill/>
                    <a:ln>
                      <a:noFill/>
                    </a:ln>
                  </pic:spPr>
                </pic:pic>
              </a:graphicData>
            </a:graphic>
          </wp:inline>
        </w:drawing>
      </w:r>
    </w:p>
    <w:p w:rsidR="000A008F" w:rsidRDefault="000A008F" w:rsidP="006057BE">
      <w:pPr>
        <w:spacing w:after="0" w:line="240" w:lineRule="auto"/>
        <w:rPr>
          <w:rFonts w:ascii="Arial" w:hAnsi="Arial" w:cs="Arial"/>
          <w:b/>
          <w:sz w:val="24"/>
          <w:szCs w:val="24"/>
        </w:rPr>
      </w:pPr>
    </w:p>
    <w:p w:rsidR="000941B7" w:rsidRDefault="009D3C3A" w:rsidP="006057BE">
      <w:pPr>
        <w:spacing w:after="0" w:line="240" w:lineRule="auto"/>
        <w:rPr>
          <w:rFonts w:ascii="Arial" w:hAnsi="Arial" w:cs="Arial"/>
          <w:b/>
          <w:sz w:val="24"/>
          <w:szCs w:val="24"/>
        </w:rPr>
      </w:pPr>
      <w:r w:rsidRPr="00894E63">
        <w:rPr>
          <w:rFonts w:ascii="Arial" w:hAnsi="Arial" w:cs="Arial"/>
          <w:b/>
          <w:sz w:val="24"/>
          <w:szCs w:val="24"/>
        </w:rPr>
        <w:t>Figure 5. Massachusetts and Comparison States Perceptions of Great Risk of Smoking Marijuana Once a Month, Adults Ages 18-25</w:t>
      </w:r>
    </w:p>
    <w:p w:rsidR="000941B7" w:rsidRPr="00894E63" w:rsidRDefault="000941B7" w:rsidP="006057BE">
      <w:pPr>
        <w:spacing w:after="0" w:line="240" w:lineRule="auto"/>
        <w:rPr>
          <w:rFonts w:ascii="Arial" w:hAnsi="Arial" w:cs="Arial"/>
          <w:b/>
          <w:sz w:val="24"/>
          <w:szCs w:val="24"/>
        </w:rPr>
      </w:pPr>
    </w:p>
    <w:p w:rsidR="009D3C3A" w:rsidRPr="00894E63" w:rsidRDefault="009D3C3A" w:rsidP="006057BE">
      <w:pPr>
        <w:spacing w:after="0" w:line="240" w:lineRule="auto"/>
        <w:rPr>
          <w:rFonts w:ascii="Arial" w:hAnsi="Arial" w:cs="Arial"/>
          <w:sz w:val="24"/>
          <w:szCs w:val="24"/>
        </w:rPr>
      </w:pPr>
      <w:r w:rsidRPr="00894E63">
        <w:rPr>
          <w:rFonts w:ascii="Arial" w:hAnsi="Arial" w:cs="Arial"/>
          <w:noProof/>
          <w:sz w:val="24"/>
          <w:szCs w:val="24"/>
        </w:rPr>
        <w:lastRenderedPageBreak/>
        <w:drawing>
          <wp:inline distT="0" distB="0" distL="0" distR="0" wp14:anchorId="6745FEF4" wp14:editId="0352C52A">
            <wp:extent cx="6228703" cy="5210175"/>
            <wp:effectExtent l="0" t="0" r="1270" b="0"/>
            <wp:docPr id="13" name="Picture 13" descr="The figure shows that perception of risk of use once per month among adults older than 26 has decreased. There may be larger national shifts rather than in response to state-specific policies as they evolve." title="Massachusetts and Comparison States Perceptions of Great Risk of Smoknig Once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1196" cy="5228990"/>
                    </a:xfrm>
                    <a:prstGeom prst="rect">
                      <a:avLst/>
                    </a:prstGeom>
                    <a:noFill/>
                    <a:ln>
                      <a:noFill/>
                    </a:ln>
                  </pic:spPr>
                </pic:pic>
              </a:graphicData>
            </a:graphic>
          </wp:inline>
        </w:drawing>
      </w:r>
    </w:p>
    <w:p w:rsidR="009D3C3A" w:rsidRDefault="009D3C3A" w:rsidP="006057BE">
      <w:pPr>
        <w:spacing w:after="0" w:line="240" w:lineRule="auto"/>
        <w:rPr>
          <w:rFonts w:ascii="Arial" w:hAnsi="Arial" w:cs="Arial"/>
          <w:b/>
          <w:sz w:val="24"/>
          <w:szCs w:val="24"/>
        </w:rPr>
      </w:pPr>
    </w:p>
    <w:p w:rsidR="009D3C3A" w:rsidRDefault="009D3C3A" w:rsidP="006057BE">
      <w:pPr>
        <w:spacing w:after="0" w:line="240" w:lineRule="auto"/>
        <w:rPr>
          <w:rFonts w:ascii="Arial" w:hAnsi="Arial" w:cs="Arial"/>
          <w:b/>
          <w:sz w:val="24"/>
          <w:szCs w:val="24"/>
        </w:rPr>
      </w:pPr>
      <w:r w:rsidRPr="00894E63">
        <w:rPr>
          <w:rFonts w:ascii="Arial" w:hAnsi="Arial" w:cs="Arial"/>
          <w:b/>
          <w:sz w:val="24"/>
          <w:szCs w:val="24"/>
        </w:rPr>
        <w:t>Figure 6: Massachusetts and Comparison States Perceptions of Great Risk of Smoking Marijuana Once a Month, Adults Ages 26+</w:t>
      </w:r>
    </w:p>
    <w:p w:rsidR="009D3C3A" w:rsidRPr="00894E63" w:rsidRDefault="009D3C3A" w:rsidP="006057BE">
      <w:pPr>
        <w:spacing w:after="0" w:line="240" w:lineRule="auto"/>
        <w:rPr>
          <w:rFonts w:ascii="Arial" w:hAnsi="Arial" w:cs="Arial"/>
          <w:b/>
          <w:sz w:val="24"/>
          <w:szCs w:val="24"/>
        </w:rPr>
      </w:pPr>
    </w:p>
    <w:p w:rsidR="009D3C3A" w:rsidRPr="00894E63" w:rsidRDefault="009D3C3A" w:rsidP="006057BE">
      <w:pPr>
        <w:spacing w:after="0" w:line="240" w:lineRule="auto"/>
        <w:rPr>
          <w:rFonts w:ascii="Arial" w:hAnsi="Arial" w:cs="Arial"/>
          <w:sz w:val="24"/>
          <w:szCs w:val="24"/>
        </w:rPr>
      </w:pPr>
      <w:r w:rsidRPr="00894E63">
        <w:rPr>
          <w:rFonts w:ascii="Arial" w:hAnsi="Arial" w:cs="Arial"/>
          <w:sz w:val="24"/>
          <w:szCs w:val="24"/>
        </w:rPr>
        <w:t>Given the parallel trends in several states, trends in these indicators may reflect larger national shifts rather than responses to state-level policy:</w:t>
      </w:r>
    </w:p>
    <w:p w:rsidR="009D3C3A" w:rsidRPr="00894E63" w:rsidRDefault="009D3C3A" w:rsidP="006057BE">
      <w:pPr>
        <w:numPr>
          <w:ilvl w:val="0"/>
          <w:numId w:val="4"/>
        </w:numPr>
        <w:spacing w:after="0" w:line="240" w:lineRule="auto"/>
        <w:rPr>
          <w:rFonts w:ascii="Arial" w:hAnsi="Arial" w:cs="Arial"/>
          <w:sz w:val="24"/>
          <w:szCs w:val="24"/>
        </w:rPr>
      </w:pPr>
      <w:r w:rsidRPr="00894E63">
        <w:rPr>
          <w:rFonts w:ascii="Arial" w:hAnsi="Arial" w:cs="Arial"/>
          <w:sz w:val="24"/>
          <w:szCs w:val="24"/>
        </w:rPr>
        <w:t>Perceptions of Great Risk of Smoking Marijuana Once a Month - Adults Ages 18-25 and Adults Ages 26+</w:t>
      </w:r>
    </w:p>
    <w:p w:rsidR="009D3C3A" w:rsidRDefault="009D3C3A" w:rsidP="00AC40A7">
      <w:pPr>
        <w:pStyle w:val="BodyText"/>
      </w:pPr>
      <w:bookmarkStart w:id="86" w:name="_Toc512337258"/>
      <w:bookmarkStart w:id="87" w:name="_Toc513810098"/>
    </w:p>
    <w:p w:rsidR="00ED2671" w:rsidRDefault="00ED2671" w:rsidP="00AC40A7">
      <w:pPr>
        <w:pStyle w:val="BodyText"/>
      </w:pPr>
    </w:p>
    <w:p w:rsidR="00ED2671" w:rsidRDefault="00ED2671" w:rsidP="00AC40A7">
      <w:pPr>
        <w:pStyle w:val="BodyText"/>
      </w:pPr>
    </w:p>
    <w:p w:rsidR="00ED2671" w:rsidRDefault="00ED2671" w:rsidP="00AC40A7">
      <w:pPr>
        <w:pStyle w:val="BodyText"/>
      </w:pPr>
    </w:p>
    <w:p w:rsidR="00ED2671" w:rsidRDefault="00ED2671" w:rsidP="00AC40A7">
      <w:pPr>
        <w:pStyle w:val="BodyText"/>
      </w:pPr>
    </w:p>
    <w:p w:rsidR="000A008F" w:rsidRDefault="000A008F" w:rsidP="000A008F">
      <w:pPr>
        <w:pStyle w:val="BodyText"/>
      </w:pPr>
    </w:p>
    <w:p w:rsidR="000A008F" w:rsidRDefault="000A008F" w:rsidP="000A008F">
      <w:pPr>
        <w:pStyle w:val="BodyText"/>
      </w:pPr>
    </w:p>
    <w:p w:rsidR="000A008F" w:rsidRPr="000A008F" w:rsidRDefault="000A008F" w:rsidP="000A008F">
      <w:pPr>
        <w:pStyle w:val="BodyText"/>
      </w:pPr>
    </w:p>
    <w:p w:rsidR="00ED2671" w:rsidRDefault="00ED2671" w:rsidP="00AC40A7">
      <w:pPr>
        <w:pStyle w:val="BodyText"/>
      </w:pPr>
    </w:p>
    <w:p w:rsidR="009D3C3A" w:rsidRDefault="009D3C3A" w:rsidP="005F7A46">
      <w:pPr>
        <w:pStyle w:val="Heading2"/>
      </w:pPr>
      <w:bookmarkStart w:id="88" w:name="_Toc11765923"/>
      <w:bookmarkStart w:id="89" w:name="_Toc11766578"/>
      <w:bookmarkStart w:id="90" w:name="_Toc11917204"/>
      <w:bookmarkStart w:id="91" w:name="_Toc11921642"/>
      <w:bookmarkStart w:id="92" w:name="_Toc12520921"/>
      <w:bookmarkStart w:id="93" w:name="_Toc12521147"/>
      <w:bookmarkStart w:id="94" w:name="_Toc12529117"/>
      <w:r w:rsidRPr="00894E63">
        <w:lastRenderedPageBreak/>
        <w:t>Discussion</w:t>
      </w:r>
      <w:bookmarkEnd w:id="86"/>
      <w:bookmarkEnd w:id="87"/>
      <w:bookmarkEnd w:id="88"/>
      <w:bookmarkEnd w:id="89"/>
      <w:bookmarkEnd w:id="90"/>
      <w:bookmarkEnd w:id="91"/>
      <w:bookmarkEnd w:id="92"/>
      <w:bookmarkEnd w:id="93"/>
      <w:bookmarkEnd w:id="94"/>
    </w:p>
    <w:p w:rsidR="009D3C3A" w:rsidRPr="000B2B65" w:rsidRDefault="009D3C3A" w:rsidP="006057BE">
      <w:pPr>
        <w:pStyle w:val="BodyText"/>
        <w:spacing w:line="240" w:lineRule="auto"/>
      </w:pPr>
    </w:p>
    <w:p w:rsidR="009D3C3A" w:rsidRPr="00894E63" w:rsidRDefault="009D3C3A" w:rsidP="006057BE">
      <w:pPr>
        <w:spacing w:after="0" w:line="240" w:lineRule="auto"/>
        <w:rPr>
          <w:rFonts w:ascii="Arial" w:hAnsi="Arial" w:cs="Arial"/>
          <w:sz w:val="24"/>
          <w:szCs w:val="24"/>
        </w:rPr>
      </w:pPr>
      <w:r w:rsidRPr="00894E63">
        <w:rPr>
          <w:rFonts w:ascii="Arial" w:hAnsi="Arial" w:cs="Arial"/>
          <w:sz w:val="24"/>
          <w:szCs w:val="24"/>
        </w:rPr>
        <w:t>Massachusetts rates and trends consistently reflected those in comparison states that have legalized marijuana (Colorado, Oregon and Washington). And likewise legal states’ trends (Kansas, Texas and Oklahoma), when comparisons were available, were different from trends in non-legal states. This suggests that some indicators may be responsive to factors associated with legalization of marijuana. The 6 indicators, 2 youth and 4 adult indicators, that differentiated between legal and non-legalized comparison states include:</w:t>
      </w:r>
    </w:p>
    <w:p w:rsidR="009D3C3A" w:rsidRPr="00894E63" w:rsidRDefault="009D3C3A" w:rsidP="006057BE">
      <w:pPr>
        <w:numPr>
          <w:ilvl w:val="0"/>
          <w:numId w:val="5"/>
        </w:numPr>
        <w:spacing w:after="0" w:line="240" w:lineRule="auto"/>
        <w:rPr>
          <w:rFonts w:ascii="Arial" w:hAnsi="Arial" w:cs="Arial"/>
          <w:sz w:val="24"/>
          <w:szCs w:val="24"/>
        </w:rPr>
      </w:pPr>
      <w:r w:rsidRPr="00894E63">
        <w:rPr>
          <w:rFonts w:ascii="Arial" w:hAnsi="Arial" w:cs="Arial"/>
          <w:sz w:val="24"/>
          <w:szCs w:val="24"/>
        </w:rPr>
        <w:t>Used Marijuana Before Age 13, High School Students</w:t>
      </w:r>
    </w:p>
    <w:p w:rsidR="009D3C3A" w:rsidRPr="00894E63" w:rsidRDefault="009D3C3A" w:rsidP="006057BE">
      <w:pPr>
        <w:numPr>
          <w:ilvl w:val="0"/>
          <w:numId w:val="5"/>
        </w:numPr>
        <w:spacing w:after="0" w:line="240" w:lineRule="auto"/>
        <w:rPr>
          <w:rFonts w:ascii="Arial" w:hAnsi="Arial" w:cs="Arial"/>
          <w:sz w:val="24"/>
          <w:szCs w:val="24"/>
        </w:rPr>
      </w:pPr>
      <w:r w:rsidRPr="00894E63">
        <w:rPr>
          <w:rFonts w:ascii="Arial" w:hAnsi="Arial" w:cs="Arial"/>
          <w:sz w:val="24"/>
          <w:szCs w:val="24"/>
        </w:rPr>
        <w:t>Perceptions of Great Risk of Smoking Marijuana Once a Month, Youth Ages 12-17</w:t>
      </w:r>
    </w:p>
    <w:p w:rsidR="009D3C3A" w:rsidRPr="00894E63" w:rsidRDefault="009D3C3A" w:rsidP="006057BE">
      <w:pPr>
        <w:numPr>
          <w:ilvl w:val="0"/>
          <w:numId w:val="5"/>
        </w:numPr>
        <w:spacing w:after="0" w:line="240" w:lineRule="auto"/>
        <w:rPr>
          <w:rFonts w:ascii="Arial" w:hAnsi="Arial" w:cs="Arial"/>
          <w:sz w:val="24"/>
          <w:szCs w:val="24"/>
        </w:rPr>
      </w:pPr>
      <w:r w:rsidRPr="00894E63">
        <w:rPr>
          <w:rFonts w:ascii="Arial" w:hAnsi="Arial" w:cs="Arial"/>
          <w:sz w:val="24"/>
          <w:szCs w:val="24"/>
        </w:rPr>
        <w:t>Current Marijuana Use, Adults Ages 26+</w:t>
      </w:r>
    </w:p>
    <w:p w:rsidR="009D3C3A" w:rsidRPr="00894E63" w:rsidRDefault="009D3C3A" w:rsidP="006057BE">
      <w:pPr>
        <w:numPr>
          <w:ilvl w:val="0"/>
          <w:numId w:val="5"/>
        </w:numPr>
        <w:spacing w:after="0" w:line="240" w:lineRule="auto"/>
        <w:rPr>
          <w:rFonts w:ascii="Arial" w:hAnsi="Arial" w:cs="Arial"/>
          <w:sz w:val="24"/>
          <w:szCs w:val="24"/>
        </w:rPr>
      </w:pPr>
      <w:r w:rsidRPr="00894E63">
        <w:rPr>
          <w:rFonts w:ascii="Arial" w:hAnsi="Arial" w:cs="Arial"/>
          <w:sz w:val="24"/>
          <w:szCs w:val="24"/>
        </w:rPr>
        <w:t>Use in the Past Year, Adults Ages 26+</w:t>
      </w:r>
    </w:p>
    <w:p w:rsidR="009D3C3A" w:rsidRPr="00894E63" w:rsidRDefault="009D3C3A" w:rsidP="006057BE">
      <w:pPr>
        <w:numPr>
          <w:ilvl w:val="0"/>
          <w:numId w:val="5"/>
        </w:numPr>
        <w:spacing w:after="0" w:line="240" w:lineRule="auto"/>
        <w:rPr>
          <w:rFonts w:ascii="Arial" w:hAnsi="Arial" w:cs="Arial"/>
          <w:sz w:val="24"/>
          <w:szCs w:val="24"/>
        </w:rPr>
      </w:pPr>
      <w:r w:rsidRPr="00894E63">
        <w:rPr>
          <w:rFonts w:ascii="Arial" w:hAnsi="Arial" w:cs="Arial"/>
          <w:sz w:val="24"/>
          <w:szCs w:val="24"/>
        </w:rPr>
        <w:t>Perceptions of Great Risk of Smoking Marijuana Once a Month, Adults Ages 18-25</w:t>
      </w:r>
    </w:p>
    <w:p w:rsidR="009D3C3A" w:rsidRDefault="009D3C3A" w:rsidP="006057BE">
      <w:pPr>
        <w:numPr>
          <w:ilvl w:val="0"/>
          <w:numId w:val="5"/>
        </w:numPr>
        <w:spacing w:after="0" w:line="240" w:lineRule="auto"/>
        <w:rPr>
          <w:rFonts w:ascii="Arial" w:hAnsi="Arial" w:cs="Arial"/>
          <w:sz w:val="24"/>
          <w:szCs w:val="24"/>
        </w:rPr>
      </w:pPr>
      <w:r w:rsidRPr="00894E63">
        <w:rPr>
          <w:rFonts w:ascii="Arial" w:hAnsi="Arial" w:cs="Arial"/>
          <w:sz w:val="24"/>
          <w:szCs w:val="24"/>
        </w:rPr>
        <w:t>Perceptions of Great Risk of Smoking Marijuana Once a Month, Adults Ages 26+</w:t>
      </w:r>
    </w:p>
    <w:p w:rsidR="009D3C3A" w:rsidRPr="00894E63" w:rsidRDefault="009D3C3A" w:rsidP="000A008F">
      <w:pPr>
        <w:spacing w:after="0" w:line="240" w:lineRule="auto"/>
        <w:ind w:left="720"/>
        <w:rPr>
          <w:rFonts w:ascii="Arial" w:hAnsi="Arial" w:cs="Arial"/>
          <w:sz w:val="24"/>
          <w:szCs w:val="24"/>
        </w:rPr>
      </w:pPr>
    </w:p>
    <w:p w:rsidR="009D3C3A" w:rsidRDefault="009D3C3A" w:rsidP="006057BE">
      <w:pPr>
        <w:spacing w:after="0" w:line="240" w:lineRule="auto"/>
        <w:rPr>
          <w:rFonts w:ascii="Arial" w:hAnsi="Arial" w:cs="Arial"/>
          <w:sz w:val="24"/>
          <w:szCs w:val="24"/>
        </w:rPr>
      </w:pPr>
      <w:r w:rsidRPr="00894E63">
        <w:rPr>
          <w:rFonts w:ascii="Arial" w:hAnsi="Arial" w:cs="Arial"/>
          <w:sz w:val="24"/>
          <w:szCs w:val="24"/>
        </w:rPr>
        <w:t>In some cases, the exact items from which the indicators are drawn, were not available for other states. For these indicators, analysis of the trends in response to policy changes was conducted. The</w:t>
      </w:r>
      <w:r>
        <w:rPr>
          <w:rFonts w:ascii="Arial" w:hAnsi="Arial" w:cs="Arial"/>
          <w:sz w:val="24"/>
          <w:szCs w:val="24"/>
        </w:rPr>
        <w:t xml:space="preserve"> study identified 7 indicators, </w:t>
      </w:r>
      <w:r w:rsidRPr="00894E63">
        <w:rPr>
          <w:rFonts w:ascii="Arial" w:hAnsi="Arial" w:cs="Arial"/>
          <w:sz w:val="24"/>
          <w:szCs w:val="24"/>
        </w:rPr>
        <w:t xml:space="preserve">4 youth indicators and 3 adult </w:t>
      </w:r>
      <w:r>
        <w:rPr>
          <w:rFonts w:ascii="Arial" w:hAnsi="Arial" w:cs="Arial"/>
          <w:sz w:val="24"/>
          <w:szCs w:val="24"/>
        </w:rPr>
        <w:t xml:space="preserve">indicators, </w:t>
      </w:r>
      <w:r w:rsidRPr="00894E63">
        <w:rPr>
          <w:rFonts w:ascii="Arial" w:hAnsi="Arial" w:cs="Arial"/>
          <w:sz w:val="24"/>
          <w:szCs w:val="24"/>
        </w:rPr>
        <w:t>which appear to be responsive to changes over time. These indicators include:</w:t>
      </w:r>
    </w:p>
    <w:p w:rsidR="009D3C3A" w:rsidRPr="00894E63" w:rsidRDefault="009D3C3A" w:rsidP="006057BE">
      <w:pPr>
        <w:spacing w:after="0" w:line="240" w:lineRule="auto"/>
        <w:rPr>
          <w:rFonts w:ascii="Arial" w:hAnsi="Arial" w:cs="Arial"/>
          <w:sz w:val="24"/>
          <w:szCs w:val="24"/>
        </w:rPr>
      </w:pPr>
    </w:p>
    <w:p w:rsidR="009D3C3A" w:rsidRPr="00894E63" w:rsidRDefault="009D3C3A" w:rsidP="006057BE">
      <w:pPr>
        <w:numPr>
          <w:ilvl w:val="0"/>
          <w:numId w:val="6"/>
        </w:numPr>
        <w:spacing w:after="0" w:line="240" w:lineRule="auto"/>
        <w:rPr>
          <w:rFonts w:ascii="Arial" w:hAnsi="Arial" w:cs="Arial"/>
          <w:sz w:val="24"/>
          <w:szCs w:val="24"/>
        </w:rPr>
      </w:pPr>
      <w:r w:rsidRPr="00894E63">
        <w:rPr>
          <w:rFonts w:ascii="Arial" w:hAnsi="Arial" w:cs="Arial"/>
          <w:sz w:val="24"/>
          <w:szCs w:val="24"/>
        </w:rPr>
        <w:t>Ever Used Marijuana - Middle School Students</w:t>
      </w:r>
    </w:p>
    <w:p w:rsidR="009D3C3A" w:rsidRPr="00894E63" w:rsidRDefault="009D3C3A" w:rsidP="006057BE">
      <w:pPr>
        <w:numPr>
          <w:ilvl w:val="0"/>
          <w:numId w:val="6"/>
        </w:numPr>
        <w:spacing w:after="0" w:line="240" w:lineRule="auto"/>
        <w:rPr>
          <w:rFonts w:ascii="Arial" w:hAnsi="Arial" w:cs="Arial"/>
          <w:sz w:val="24"/>
          <w:szCs w:val="24"/>
        </w:rPr>
      </w:pPr>
      <w:r w:rsidRPr="00894E63">
        <w:rPr>
          <w:rFonts w:ascii="Arial" w:hAnsi="Arial" w:cs="Arial"/>
          <w:sz w:val="24"/>
          <w:szCs w:val="24"/>
        </w:rPr>
        <w:t>Current Marijuana Use - Middle School Students</w:t>
      </w:r>
    </w:p>
    <w:p w:rsidR="009D3C3A" w:rsidRPr="00894E63" w:rsidRDefault="009D3C3A" w:rsidP="006057BE">
      <w:pPr>
        <w:numPr>
          <w:ilvl w:val="0"/>
          <w:numId w:val="6"/>
        </w:numPr>
        <w:spacing w:after="0" w:line="240" w:lineRule="auto"/>
        <w:rPr>
          <w:rFonts w:ascii="Arial" w:hAnsi="Arial" w:cs="Arial"/>
          <w:sz w:val="24"/>
          <w:szCs w:val="24"/>
        </w:rPr>
      </w:pPr>
      <w:r w:rsidRPr="00894E63">
        <w:rPr>
          <w:rFonts w:ascii="Arial" w:hAnsi="Arial" w:cs="Arial"/>
          <w:sz w:val="24"/>
          <w:szCs w:val="24"/>
        </w:rPr>
        <w:t xml:space="preserve">Believe Occasional Marijuana Use Poses No Risk of Harm - High School Students </w:t>
      </w:r>
    </w:p>
    <w:p w:rsidR="009D3C3A" w:rsidRPr="00894E63" w:rsidRDefault="009D3C3A" w:rsidP="006057BE">
      <w:pPr>
        <w:numPr>
          <w:ilvl w:val="0"/>
          <w:numId w:val="6"/>
        </w:numPr>
        <w:spacing w:after="0" w:line="240" w:lineRule="auto"/>
        <w:rPr>
          <w:rFonts w:ascii="Arial" w:hAnsi="Arial" w:cs="Arial"/>
          <w:sz w:val="24"/>
          <w:szCs w:val="24"/>
        </w:rPr>
      </w:pPr>
      <w:r w:rsidRPr="00894E63">
        <w:rPr>
          <w:rFonts w:ascii="Arial" w:hAnsi="Arial" w:cs="Arial"/>
          <w:sz w:val="24"/>
          <w:szCs w:val="24"/>
        </w:rPr>
        <w:t>Believe it Would Be Easy to Obtain Marijuana - High School Students</w:t>
      </w:r>
    </w:p>
    <w:p w:rsidR="009D3C3A" w:rsidRPr="00894E63" w:rsidRDefault="009D3C3A" w:rsidP="006057BE">
      <w:pPr>
        <w:numPr>
          <w:ilvl w:val="0"/>
          <w:numId w:val="6"/>
        </w:numPr>
        <w:spacing w:after="0" w:line="240" w:lineRule="auto"/>
        <w:rPr>
          <w:rFonts w:ascii="Arial" w:hAnsi="Arial" w:cs="Arial"/>
          <w:sz w:val="24"/>
          <w:szCs w:val="24"/>
        </w:rPr>
      </w:pPr>
      <w:r w:rsidRPr="00894E63">
        <w:rPr>
          <w:rFonts w:ascii="Arial" w:hAnsi="Arial" w:cs="Arial"/>
          <w:sz w:val="24"/>
          <w:szCs w:val="24"/>
        </w:rPr>
        <w:t xml:space="preserve">Current Marijuana Use - Adults Ages 18-25 </w:t>
      </w:r>
    </w:p>
    <w:p w:rsidR="009D3C3A" w:rsidRPr="00894E63" w:rsidRDefault="009D3C3A" w:rsidP="006057BE">
      <w:pPr>
        <w:numPr>
          <w:ilvl w:val="0"/>
          <w:numId w:val="6"/>
        </w:numPr>
        <w:spacing w:after="0" w:line="240" w:lineRule="auto"/>
        <w:rPr>
          <w:rFonts w:ascii="Arial" w:hAnsi="Arial" w:cs="Arial"/>
          <w:sz w:val="24"/>
          <w:szCs w:val="24"/>
        </w:rPr>
      </w:pPr>
      <w:r w:rsidRPr="00894E63">
        <w:rPr>
          <w:rFonts w:ascii="Arial" w:hAnsi="Arial" w:cs="Arial"/>
          <w:sz w:val="24"/>
          <w:szCs w:val="24"/>
        </w:rPr>
        <w:t xml:space="preserve">Use in the Past Year - Adults Ages 18-25 </w:t>
      </w:r>
    </w:p>
    <w:p w:rsidR="009D3C3A" w:rsidRPr="009D3C3A" w:rsidRDefault="009D3C3A" w:rsidP="006057BE">
      <w:pPr>
        <w:numPr>
          <w:ilvl w:val="0"/>
          <w:numId w:val="6"/>
        </w:numPr>
        <w:spacing w:after="0" w:line="240" w:lineRule="auto"/>
        <w:rPr>
          <w:rFonts w:ascii="Arial" w:hAnsi="Arial" w:cs="Arial"/>
          <w:sz w:val="24"/>
          <w:szCs w:val="24"/>
        </w:rPr>
      </w:pPr>
      <w:r w:rsidRPr="00894E63">
        <w:rPr>
          <w:rFonts w:ascii="Arial" w:hAnsi="Arial" w:cs="Arial"/>
          <w:sz w:val="24"/>
          <w:szCs w:val="24"/>
        </w:rPr>
        <w:t>Ever Used Marijuana - Adults Ages 18 and Older</w:t>
      </w:r>
    </w:p>
    <w:p w:rsidR="009D3C3A" w:rsidRDefault="009D3C3A" w:rsidP="006057BE">
      <w:pPr>
        <w:spacing w:after="0" w:line="240" w:lineRule="auto"/>
        <w:rPr>
          <w:rFonts w:ascii="Arial" w:hAnsi="Arial" w:cs="Arial"/>
          <w:sz w:val="24"/>
          <w:szCs w:val="24"/>
        </w:rPr>
      </w:pPr>
    </w:p>
    <w:p w:rsidR="009D3C3A" w:rsidRDefault="009D3C3A" w:rsidP="006057BE">
      <w:pPr>
        <w:spacing w:after="0" w:line="240" w:lineRule="auto"/>
      </w:pPr>
      <w:r w:rsidRPr="00894E63">
        <w:rPr>
          <w:rFonts w:ascii="Arial" w:hAnsi="Arial" w:cs="Arial"/>
          <w:sz w:val="24"/>
          <w:szCs w:val="24"/>
        </w:rPr>
        <w:t>One indicator, Current Marijuana Use - Adults Ages 18 and Older, was only available for Washington State and therefore it is difficult to assert that similar trends would be evident in Massachusetts.</w:t>
      </w:r>
      <w:r>
        <w:rPr>
          <w:rFonts w:ascii="Arial" w:hAnsi="Arial" w:cs="Arial"/>
          <w:sz w:val="24"/>
          <w:szCs w:val="24"/>
        </w:rPr>
        <w:t xml:space="preserve"> </w:t>
      </w:r>
      <w:r w:rsidRPr="00894E63">
        <w:rPr>
          <w:rFonts w:ascii="Arial" w:hAnsi="Arial" w:cs="Arial"/>
          <w:sz w:val="24"/>
          <w:szCs w:val="24"/>
        </w:rPr>
        <w:t xml:space="preserve">The data sets utilized were helpful when considering trends in use, consumption, and perceptions of marijuana for health and policy-related purposes. While these data are rich information, consistency with regard to the availability of the data and wording of the questions make drawing state comparisons challenging. </w:t>
      </w:r>
    </w:p>
    <w:p w:rsidR="009D3C3A" w:rsidRDefault="009D3C3A" w:rsidP="006057BE">
      <w:pPr>
        <w:spacing w:after="0" w:line="240" w:lineRule="auto"/>
      </w:pPr>
    </w:p>
    <w:p w:rsidR="009D3C3A" w:rsidRDefault="009D3C3A" w:rsidP="006057BE">
      <w:pPr>
        <w:spacing w:after="0" w:line="240" w:lineRule="auto"/>
      </w:pPr>
    </w:p>
    <w:p w:rsidR="009D3C3A" w:rsidRDefault="009D3C3A" w:rsidP="006057BE">
      <w:pPr>
        <w:spacing w:after="0" w:line="240" w:lineRule="auto"/>
      </w:pPr>
    </w:p>
    <w:p w:rsidR="009D3C3A" w:rsidRDefault="009D3C3A" w:rsidP="006057BE">
      <w:pPr>
        <w:spacing w:after="0" w:line="240" w:lineRule="auto"/>
      </w:pPr>
    </w:p>
    <w:p w:rsidR="009D3C3A" w:rsidRDefault="009D3C3A" w:rsidP="006057BE">
      <w:pPr>
        <w:spacing w:after="0" w:line="240" w:lineRule="auto"/>
      </w:pPr>
    </w:p>
    <w:p w:rsidR="00ED2671" w:rsidRDefault="00ED2671" w:rsidP="00AC40A7">
      <w:pPr>
        <w:pStyle w:val="BodyText"/>
      </w:pPr>
    </w:p>
    <w:p w:rsidR="009D3C3A" w:rsidRDefault="009D3C3A" w:rsidP="005F7A46">
      <w:pPr>
        <w:pStyle w:val="Heading2"/>
      </w:pPr>
      <w:bookmarkStart w:id="95" w:name="_Toc11765924"/>
      <w:bookmarkStart w:id="96" w:name="_Toc11766579"/>
      <w:bookmarkStart w:id="97" w:name="_Toc11917205"/>
      <w:bookmarkStart w:id="98" w:name="_Toc11921643"/>
      <w:bookmarkStart w:id="99" w:name="_Toc12520922"/>
      <w:bookmarkStart w:id="100" w:name="_Toc12521148"/>
      <w:bookmarkStart w:id="101" w:name="_Toc12529118"/>
      <w:r w:rsidRPr="00704436">
        <w:lastRenderedPageBreak/>
        <w:t>References</w:t>
      </w:r>
      <w:bookmarkEnd w:id="95"/>
      <w:bookmarkEnd w:id="96"/>
      <w:bookmarkEnd w:id="97"/>
      <w:bookmarkEnd w:id="98"/>
      <w:bookmarkEnd w:id="99"/>
      <w:bookmarkEnd w:id="100"/>
      <w:bookmarkEnd w:id="101"/>
    </w:p>
    <w:p w:rsidR="00FF2F11" w:rsidRPr="00FF2F11" w:rsidRDefault="00FF2F11" w:rsidP="00FF2F11">
      <w:pPr>
        <w:pStyle w:val="BodyText"/>
      </w:pPr>
    </w:p>
    <w:p w:rsidR="009D3C3A" w:rsidRPr="00894E63" w:rsidRDefault="009D3C3A" w:rsidP="006057BE">
      <w:pPr>
        <w:spacing w:after="0" w:line="240" w:lineRule="auto"/>
        <w:ind w:left="720" w:hanging="720"/>
        <w:rPr>
          <w:rFonts w:ascii="Arial" w:hAnsi="Arial" w:cs="Arial"/>
          <w:sz w:val="24"/>
          <w:szCs w:val="24"/>
        </w:rPr>
      </w:pPr>
      <w:r w:rsidRPr="00894E63">
        <w:rPr>
          <w:rFonts w:ascii="Arial" w:eastAsia="Times New Roman" w:hAnsi="Arial" w:cs="Arial"/>
          <w:sz w:val="24"/>
          <w:szCs w:val="24"/>
        </w:rPr>
        <w:t xml:space="preserve">Allen, J., &amp; Holder, M. D. (2014). Marijuana use and well-being in university students. </w:t>
      </w:r>
      <w:r>
        <w:rPr>
          <w:rFonts w:ascii="Arial" w:eastAsia="Times New Roman" w:hAnsi="Arial" w:cs="Arial"/>
          <w:i/>
          <w:iCs/>
          <w:sz w:val="24"/>
          <w:szCs w:val="24"/>
        </w:rPr>
        <w:t xml:space="preserve">Journal </w:t>
      </w:r>
      <w:r w:rsidRPr="00894E63">
        <w:rPr>
          <w:rFonts w:ascii="Arial" w:eastAsia="Times New Roman" w:hAnsi="Arial" w:cs="Arial"/>
          <w:i/>
          <w:iCs/>
          <w:sz w:val="24"/>
          <w:szCs w:val="24"/>
        </w:rPr>
        <w:t>of Happiness Studies</w:t>
      </w:r>
      <w:r w:rsidRPr="00894E63">
        <w:rPr>
          <w:rFonts w:ascii="Arial" w:eastAsia="Times New Roman" w:hAnsi="Arial" w:cs="Arial"/>
          <w:sz w:val="24"/>
          <w:szCs w:val="24"/>
        </w:rPr>
        <w:t xml:space="preserve">, </w:t>
      </w:r>
      <w:r w:rsidRPr="00894E63">
        <w:rPr>
          <w:rFonts w:ascii="Arial" w:eastAsia="Times New Roman" w:hAnsi="Arial" w:cs="Arial"/>
          <w:i/>
          <w:iCs/>
          <w:sz w:val="24"/>
          <w:szCs w:val="24"/>
        </w:rPr>
        <w:t>15</w:t>
      </w:r>
      <w:r w:rsidRPr="00894E63">
        <w:rPr>
          <w:rFonts w:ascii="Arial" w:eastAsia="Times New Roman" w:hAnsi="Arial" w:cs="Arial"/>
          <w:sz w:val="24"/>
          <w:szCs w:val="24"/>
        </w:rPr>
        <w:t>(2), 301–321. https://doi.org/10.1007/s10902-013-9423-1</w:t>
      </w:r>
      <w:r>
        <w:rPr>
          <w:rFonts w:ascii="Arial" w:eastAsia="Times New Roman" w:hAnsi="Arial" w:cs="Arial"/>
          <w:sz w:val="24"/>
          <w:szCs w:val="24"/>
        </w:rPr>
        <w:t>.</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Arria, A. M., Caldeira, K. M., O'Grady, K. E., Vincent, K. B., Fitzelle, D. B., Johnson, E. P., &amp; Wish, E. D. (2008). Drug exposure opportunities and use patterns among college students: results of a longitudinal prospective cohort study. </w:t>
      </w:r>
      <w:r w:rsidRPr="00894E63">
        <w:rPr>
          <w:rFonts w:ascii="Arial" w:hAnsi="Arial" w:cs="Arial"/>
          <w:i/>
          <w:iCs/>
          <w:sz w:val="24"/>
          <w:szCs w:val="24"/>
        </w:rPr>
        <w:t>Subst Abus, 29</w:t>
      </w:r>
      <w:r w:rsidRPr="00894E63">
        <w:rPr>
          <w:rFonts w:ascii="Arial" w:hAnsi="Arial" w:cs="Arial"/>
          <w:sz w:val="24"/>
          <w:szCs w:val="24"/>
        </w:rPr>
        <w:t>(4), 19-38. doi: 10.1080/08897070802418451</w:t>
      </w:r>
      <w:r>
        <w:rPr>
          <w:rFonts w:ascii="Arial" w:hAnsi="Arial" w:cs="Arial"/>
          <w:sz w:val="24"/>
          <w:szCs w:val="24"/>
        </w:rPr>
        <w:t>.</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eastAsia="Times New Roman" w:hAnsi="Arial" w:cs="Arial"/>
          <w:sz w:val="24"/>
          <w:szCs w:val="24"/>
        </w:rPr>
        <w:t>Bachhuber MA, Saloner B, Cunningham CO, Barry CL. (2014) Medical cannabis laws and</w:t>
      </w:r>
      <w:r w:rsidRPr="00894E63">
        <w:rPr>
          <w:rFonts w:ascii="Arial" w:hAnsi="Arial" w:cs="Arial"/>
          <w:sz w:val="24"/>
          <w:szCs w:val="24"/>
        </w:rPr>
        <w:t xml:space="preserve"> </w:t>
      </w:r>
      <w:r w:rsidRPr="00894E63">
        <w:rPr>
          <w:rFonts w:ascii="Arial" w:eastAsia="Times New Roman" w:hAnsi="Arial" w:cs="Arial"/>
          <w:sz w:val="24"/>
          <w:szCs w:val="24"/>
        </w:rPr>
        <w:t xml:space="preserve">opioid analgesic overdose mortality in the United States, 1999-2010. </w:t>
      </w:r>
      <w:r w:rsidRPr="00894E63">
        <w:rPr>
          <w:rFonts w:ascii="Arial" w:eastAsia="Times New Roman" w:hAnsi="Arial" w:cs="Arial"/>
          <w:i/>
          <w:sz w:val="24"/>
          <w:szCs w:val="24"/>
        </w:rPr>
        <w:t>JAMA Intern Med,</w:t>
      </w:r>
      <w:r w:rsidRPr="00894E63">
        <w:rPr>
          <w:rFonts w:ascii="Arial" w:eastAsia="Times New Roman" w:hAnsi="Arial" w:cs="Arial"/>
          <w:sz w:val="24"/>
          <w:szCs w:val="24"/>
        </w:rPr>
        <w:t xml:space="preserve"> Oct;174(10):1668-73.</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Buckner, J. D. (2013). College cannabis use: the unique roles of social norms, motives, and expectancies. </w:t>
      </w:r>
      <w:r w:rsidRPr="00894E63">
        <w:rPr>
          <w:rFonts w:ascii="Arial" w:hAnsi="Arial" w:cs="Arial"/>
          <w:i/>
          <w:iCs/>
          <w:sz w:val="24"/>
          <w:szCs w:val="24"/>
        </w:rPr>
        <w:t>J Stud Alcohol Drugs, 74</w:t>
      </w:r>
      <w:r w:rsidRPr="00894E63">
        <w:rPr>
          <w:rFonts w:ascii="Arial" w:hAnsi="Arial" w:cs="Arial"/>
          <w:sz w:val="24"/>
          <w:szCs w:val="24"/>
        </w:rPr>
        <w:t xml:space="preserve">(5), 720-726. </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Budney, A.J., Moore, B.A. (2002). Development and consequences of cannabis dependence. </w:t>
      </w:r>
      <w:r w:rsidRPr="00894E63">
        <w:rPr>
          <w:rFonts w:ascii="Arial" w:hAnsi="Arial" w:cs="Arial"/>
          <w:i/>
          <w:sz w:val="24"/>
          <w:szCs w:val="24"/>
        </w:rPr>
        <w:t>Journal of Clinical Pharmacology</w:t>
      </w:r>
      <w:r w:rsidRPr="00894E63">
        <w:rPr>
          <w:rFonts w:ascii="Arial" w:hAnsi="Arial" w:cs="Arial"/>
          <w:sz w:val="24"/>
          <w:szCs w:val="24"/>
        </w:rPr>
        <w:t>, 42(11 Supplement): 28S-33S.</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Cambron, C., Guttmannova, K., &amp; Fleming, C. B. (2017). State and national contexts in evaluating cannabis laws: A case study of Washington State. </w:t>
      </w:r>
      <w:r w:rsidRPr="00894E63">
        <w:rPr>
          <w:rFonts w:ascii="Arial" w:hAnsi="Arial" w:cs="Arial"/>
          <w:i/>
          <w:sz w:val="24"/>
          <w:szCs w:val="24"/>
        </w:rPr>
        <w:t>Journal of Drug Issues</w:t>
      </w:r>
      <w:r w:rsidRPr="00894E63">
        <w:rPr>
          <w:rFonts w:ascii="Arial" w:hAnsi="Arial" w:cs="Arial"/>
          <w:sz w:val="24"/>
          <w:szCs w:val="24"/>
        </w:rPr>
        <w:t>, 47(1), 74–90. https://doi.org/10.1177/0022042616678607</w:t>
      </w:r>
      <w:r>
        <w:rPr>
          <w:rFonts w:ascii="Arial" w:hAnsi="Arial" w:cs="Arial"/>
          <w:sz w:val="24"/>
          <w:szCs w:val="24"/>
        </w:rPr>
        <w:t>.</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Caulkins, J.P. (2018). The real dangers of marijuana. </w:t>
      </w:r>
      <w:r w:rsidRPr="00894E63">
        <w:rPr>
          <w:rFonts w:ascii="Arial" w:hAnsi="Arial" w:cs="Arial"/>
          <w:i/>
          <w:sz w:val="24"/>
          <w:szCs w:val="24"/>
        </w:rPr>
        <w:t>National Affairs,</w:t>
      </w:r>
      <w:r w:rsidRPr="00894E63">
        <w:rPr>
          <w:rFonts w:ascii="Arial" w:hAnsi="Arial" w:cs="Arial"/>
          <w:sz w:val="24"/>
          <w:szCs w:val="24"/>
        </w:rPr>
        <w:t xml:space="preserve"> 35. </w:t>
      </w:r>
      <w:r>
        <w:rPr>
          <w:rFonts w:ascii="Arial" w:hAnsi="Arial" w:cs="Arial"/>
          <w:sz w:val="24"/>
          <w:szCs w:val="24"/>
        </w:rPr>
        <w:t>Retrieved from</w:t>
      </w:r>
      <w:r w:rsidRPr="00894E63">
        <w:rPr>
          <w:rFonts w:ascii="Arial" w:hAnsi="Arial" w:cs="Arial"/>
          <w:sz w:val="24"/>
          <w:szCs w:val="24"/>
        </w:rPr>
        <w:t xml:space="preserve"> </w:t>
      </w:r>
      <w:hyperlink r:id="rId22" w:history="1">
        <w:r w:rsidRPr="00F06ED6">
          <w:rPr>
            <w:rStyle w:val="Hyperlink"/>
            <w:rFonts w:ascii="Arial" w:hAnsi="Arial" w:cs="Arial"/>
            <w:sz w:val="24"/>
            <w:szCs w:val="24"/>
          </w:rPr>
          <w:t>https://www.nationalaffairs.com/publications/detail/the-real-dangers-of-marijuana</w:t>
        </w:r>
      </w:hyperlink>
      <w:r>
        <w:rPr>
          <w:rFonts w:ascii="Arial" w:hAnsi="Arial" w:cs="Arial"/>
          <w:sz w:val="24"/>
          <w:szCs w:val="24"/>
        </w:rPr>
        <w:t>.</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Chen, P., &amp; Jacobson, K. C. (2012). Developmental trajectories of substance use from early adolescence to young adulthood: gender and racial/ethnic differences. </w:t>
      </w:r>
      <w:r w:rsidRPr="00894E63">
        <w:rPr>
          <w:rFonts w:ascii="Arial" w:hAnsi="Arial" w:cs="Arial"/>
          <w:i/>
          <w:iCs/>
          <w:sz w:val="24"/>
          <w:szCs w:val="24"/>
        </w:rPr>
        <w:t>J Adolesc Health, 50</w:t>
      </w:r>
      <w:r w:rsidRPr="00894E63">
        <w:rPr>
          <w:rFonts w:ascii="Arial" w:hAnsi="Arial" w:cs="Arial"/>
          <w:sz w:val="24"/>
          <w:szCs w:val="24"/>
        </w:rPr>
        <w:t>(2), 154-163. doi: 10.1016/j.jadohealth.2011.05.013</w:t>
      </w:r>
      <w:r>
        <w:rPr>
          <w:rFonts w:ascii="Arial" w:hAnsi="Arial" w:cs="Arial"/>
          <w:sz w:val="24"/>
          <w:szCs w:val="24"/>
        </w:rPr>
        <w:t>.</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Cook, S. H., Bauermeister, J. A., Gordon-Messer, D., &amp; Zimmerman, M. A. (2013). Online network influences on emerging adults' alcohol and drug use. </w:t>
      </w:r>
      <w:r w:rsidRPr="00894E63">
        <w:rPr>
          <w:rFonts w:ascii="Arial" w:hAnsi="Arial" w:cs="Arial"/>
          <w:i/>
          <w:iCs/>
          <w:sz w:val="24"/>
          <w:szCs w:val="24"/>
        </w:rPr>
        <w:t>J Youth Adolesc, 42</w:t>
      </w:r>
      <w:r w:rsidRPr="00894E63">
        <w:rPr>
          <w:rFonts w:ascii="Arial" w:hAnsi="Arial" w:cs="Arial"/>
          <w:sz w:val="24"/>
          <w:szCs w:val="24"/>
        </w:rPr>
        <w:t>(11), 1674-1686. doi: 10.1007/s10964-012-9869-1</w:t>
      </w:r>
      <w:r>
        <w:rPr>
          <w:rFonts w:ascii="Arial" w:hAnsi="Arial" w:cs="Arial"/>
          <w:sz w:val="24"/>
          <w:szCs w:val="24"/>
        </w:rPr>
        <w:t>.</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DeWit, D. J., Offord, D. R., &amp; Wong, M. (1997). Patterns of onset and cessation of drug use over the early part of the life course. </w:t>
      </w:r>
      <w:r w:rsidRPr="00894E63">
        <w:rPr>
          <w:rFonts w:ascii="Arial" w:hAnsi="Arial" w:cs="Arial"/>
          <w:i/>
          <w:iCs/>
          <w:sz w:val="24"/>
          <w:szCs w:val="24"/>
        </w:rPr>
        <w:t>Health Educ Behav, 24</w:t>
      </w:r>
      <w:r w:rsidRPr="00894E63">
        <w:rPr>
          <w:rFonts w:ascii="Arial" w:hAnsi="Arial" w:cs="Arial"/>
          <w:sz w:val="24"/>
          <w:szCs w:val="24"/>
        </w:rPr>
        <w:t xml:space="preserve">(6), 746-758. </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Fihn, S.D., Francis, J., Clancy, C., Nielson, C., Nelson, K., Rumsfeld, J., Cullen, T., Bates, J., Graham, G.L. (2014). Insights from advanced analytics at the Veterans Health Administration. </w:t>
      </w:r>
      <w:r w:rsidRPr="00894E63">
        <w:rPr>
          <w:rFonts w:ascii="Arial" w:hAnsi="Arial" w:cs="Arial"/>
          <w:i/>
          <w:sz w:val="24"/>
          <w:szCs w:val="24"/>
        </w:rPr>
        <w:t>Health Affairs (Millwood)</w:t>
      </w:r>
      <w:r w:rsidRPr="00894E63">
        <w:rPr>
          <w:rFonts w:ascii="Arial" w:hAnsi="Arial" w:cs="Arial"/>
          <w:sz w:val="24"/>
          <w:szCs w:val="24"/>
        </w:rPr>
        <w:t>, 33(7): 1203-1211.</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Gordon, A.J., Conley, J.W., Gordon, J.M. (2013). Medical consequences of marijuana use: a review of current literature. </w:t>
      </w:r>
      <w:r w:rsidRPr="00894E63">
        <w:rPr>
          <w:rFonts w:ascii="Arial" w:hAnsi="Arial" w:cs="Arial"/>
          <w:i/>
          <w:sz w:val="24"/>
          <w:szCs w:val="24"/>
        </w:rPr>
        <w:t>Current Psychology Reports</w:t>
      </w:r>
      <w:r w:rsidRPr="00894E63">
        <w:rPr>
          <w:rFonts w:ascii="Arial" w:hAnsi="Arial" w:cs="Arial"/>
          <w:sz w:val="24"/>
          <w:szCs w:val="24"/>
        </w:rPr>
        <w:t>, 15(12): 419.</w:t>
      </w:r>
    </w:p>
    <w:p w:rsidR="009D3C3A"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Halamka, J. (2007, November 12). Data, information, knowledge, and wisdom. [Web log post]. Retrieved from</w:t>
      </w:r>
      <w:r w:rsidRPr="00704436">
        <w:rPr>
          <w:rFonts w:ascii="Arial" w:hAnsi="Arial" w:cs="Arial"/>
          <w:sz w:val="24"/>
          <w:szCs w:val="24"/>
        </w:rPr>
        <w:t xml:space="preserve"> </w:t>
      </w:r>
      <w:hyperlink r:id="rId23" w:history="1">
        <w:r w:rsidRPr="00704436">
          <w:rPr>
            <w:rStyle w:val="Hyperlink"/>
            <w:rFonts w:ascii="Arial" w:hAnsi="Arial" w:cs="Arial"/>
            <w:sz w:val="24"/>
            <w:szCs w:val="24"/>
          </w:rPr>
          <w:t>http://geekdoctor.blogspot.com/2007/11/data-information-knowledge-and-wisdom.html</w:t>
        </w:r>
      </w:hyperlink>
      <w:r>
        <w:rPr>
          <w:rFonts w:ascii="Arial" w:hAnsi="Arial" w:cs="Arial"/>
          <w:sz w:val="24"/>
          <w:szCs w:val="24"/>
        </w:rPr>
        <w:t>.</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Hall, W., Degenhardt, L. (2014). The adverse health effects of chronic cannabis use. </w:t>
      </w:r>
      <w:r w:rsidRPr="00894E63">
        <w:rPr>
          <w:rFonts w:ascii="Arial" w:hAnsi="Arial" w:cs="Arial"/>
          <w:i/>
          <w:sz w:val="24"/>
          <w:szCs w:val="24"/>
        </w:rPr>
        <w:t>Drug Testing and Analysis</w:t>
      </w:r>
      <w:r w:rsidRPr="00894E63">
        <w:rPr>
          <w:rFonts w:ascii="Arial" w:hAnsi="Arial" w:cs="Arial"/>
          <w:sz w:val="24"/>
          <w:szCs w:val="24"/>
        </w:rPr>
        <w:t>, 6(1-2): 39-45.</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Hall, W. &amp; Degenhardt, L. (2009). Adverse health effects of non-medical cannabis use. </w:t>
      </w:r>
      <w:r w:rsidRPr="00894E63">
        <w:rPr>
          <w:rFonts w:ascii="Arial" w:hAnsi="Arial" w:cs="Arial"/>
          <w:i/>
          <w:iCs/>
          <w:sz w:val="24"/>
          <w:szCs w:val="24"/>
        </w:rPr>
        <w:t>Lancet</w:t>
      </w:r>
      <w:r w:rsidRPr="00894E63">
        <w:rPr>
          <w:rFonts w:ascii="Arial" w:hAnsi="Arial" w:cs="Arial"/>
          <w:iCs/>
          <w:sz w:val="24"/>
          <w:szCs w:val="24"/>
        </w:rPr>
        <w:t xml:space="preserve">, </w:t>
      </w:r>
      <w:r w:rsidRPr="00894E63">
        <w:rPr>
          <w:rFonts w:ascii="Arial" w:hAnsi="Arial" w:cs="Arial"/>
          <w:sz w:val="24"/>
          <w:szCs w:val="24"/>
        </w:rPr>
        <w:t>374, 1383–1391.</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Hall, W. &amp; Kozlowski, L.T. (2015). The diverging trajectories of cannabis and tobacco policies in the United States: reasons and possible implications. </w:t>
      </w:r>
      <w:r w:rsidRPr="00894E63">
        <w:rPr>
          <w:rFonts w:ascii="Arial" w:hAnsi="Arial" w:cs="Arial"/>
          <w:i/>
          <w:sz w:val="24"/>
          <w:szCs w:val="24"/>
        </w:rPr>
        <w:t>Addiction</w:t>
      </w:r>
      <w:r w:rsidRPr="00894E63">
        <w:rPr>
          <w:rFonts w:ascii="Arial" w:hAnsi="Arial" w:cs="Arial"/>
          <w:sz w:val="24"/>
          <w:szCs w:val="24"/>
        </w:rPr>
        <w:t>, 313(3), 241–242.  https://doi.org/10.1038/nbt.3121.ChIP-nexus</w:t>
      </w:r>
      <w:r>
        <w:rPr>
          <w:rFonts w:ascii="Arial" w:hAnsi="Arial" w:cs="Arial"/>
          <w:sz w:val="24"/>
          <w:szCs w:val="24"/>
        </w:rPr>
        <w:t>.</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Hasin DS, Sarvet AL, Cerdá M, Keyes KM, Stohl M, Galea S, Wall MM. (2017) US Adult </w:t>
      </w:r>
      <w:r w:rsidRPr="00894E63">
        <w:rPr>
          <w:rFonts w:ascii="Arial" w:hAnsi="Arial" w:cs="Arial"/>
          <w:sz w:val="24"/>
          <w:szCs w:val="24"/>
        </w:rPr>
        <w:lastRenderedPageBreak/>
        <w:t xml:space="preserve">Illicit Cannabis Use, Cannabis Use Disorder, and Medical Marijuana Laws: 1991-1992 to 2012-2013. </w:t>
      </w:r>
      <w:r w:rsidRPr="00894E63">
        <w:rPr>
          <w:rFonts w:ascii="Arial" w:hAnsi="Arial" w:cs="Arial"/>
          <w:i/>
          <w:sz w:val="24"/>
          <w:szCs w:val="24"/>
        </w:rPr>
        <w:t>JAMA Psychiatry,</w:t>
      </w:r>
      <w:r w:rsidRPr="00894E63">
        <w:rPr>
          <w:rFonts w:ascii="Arial" w:hAnsi="Arial" w:cs="Arial"/>
          <w:sz w:val="24"/>
          <w:szCs w:val="24"/>
        </w:rPr>
        <w:t xml:space="preserve"> Jun 1;74(6):579-588.</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Inaba DS &amp; Cohen WE. Uppers, downers, all arounders. Seventh Edition. CNS Productions, Inc. Medford OR.</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Kandel, D. B., &amp; Chen, K. (2000). Types of marijuana users by longitudinal course. </w:t>
      </w:r>
      <w:r w:rsidRPr="00894E63">
        <w:rPr>
          <w:rFonts w:ascii="Arial" w:hAnsi="Arial" w:cs="Arial"/>
          <w:i/>
          <w:iCs/>
          <w:sz w:val="24"/>
          <w:szCs w:val="24"/>
        </w:rPr>
        <w:t>J Stud Alcohol, 61</w:t>
      </w:r>
      <w:r w:rsidRPr="00894E63">
        <w:rPr>
          <w:rFonts w:ascii="Arial" w:hAnsi="Arial" w:cs="Arial"/>
          <w:sz w:val="24"/>
          <w:szCs w:val="24"/>
        </w:rPr>
        <w:t xml:space="preserve">(3), 367-378. </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eastAsia="Times New Roman" w:hAnsi="Arial" w:cs="Arial"/>
          <w:sz w:val="24"/>
          <w:szCs w:val="24"/>
        </w:rPr>
        <w:t xml:space="preserve">Keyes, K. M., Wall, M., Cerdá, M., Schulenberg, J., O’Malley, P. M., Galea, S., Hasin, D.S. (2016). How does state marijuana policy affect US youth? Medical marijuana laws, marijuana use and perceived harmfulness: 1991–2014. </w:t>
      </w:r>
      <w:r w:rsidRPr="00894E63">
        <w:rPr>
          <w:rFonts w:ascii="Arial" w:eastAsia="Times New Roman" w:hAnsi="Arial" w:cs="Arial"/>
          <w:i/>
          <w:iCs/>
          <w:sz w:val="24"/>
          <w:szCs w:val="24"/>
        </w:rPr>
        <w:t>Addiction</w:t>
      </w:r>
      <w:r w:rsidRPr="00894E63">
        <w:rPr>
          <w:rFonts w:ascii="Arial" w:eastAsia="Times New Roman" w:hAnsi="Arial" w:cs="Arial"/>
          <w:sz w:val="24"/>
          <w:szCs w:val="24"/>
        </w:rPr>
        <w:t xml:space="preserve">, </w:t>
      </w:r>
      <w:r w:rsidRPr="00894E63">
        <w:rPr>
          <w:rFonts w:ascii="Arial" w:eastAsia="Times New Roman" w:hAnsi="Arial" w:cs="Arial"/>
          <w:i/>
          <w:iCs/>
          <w:sz w:val="24"/>
          <w:szCs w:val="24"/>
        </w:rPr>
        <w:t>111</w:t>
      </w:r>
      <w:r w:rsidRPr="00894E63">
        <w:rPr>
          <w:rFonts w:ascii="Arial" w:eastAsia="Times New Roman" w:hAnsi="Arial" w:cs="Arial"/>
          <w:sz w:val="24"/>
          <w:szCs w:val="24"/>
        </w:rPr>
        <w:t>(12), 2187–2195. https://doi.org/10.1111/add.13523</w:t>
      </w:r>
      <w:r>
        <w:rPr>
          <w:rFonts w:ascii="Arial" w:eastAsia="Times New Roman" w:hAnsi="Arial" w:cs="Arial"/>
          <w:sz w:val="24"/>
          <w:szCs w:val="24"/>
        </w:rPr>
        <w:t>.</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Longhurst, C.A., Harrington, R.A., Shah, N.H. (2014). A 'green button' for using aggregate patient data at the point of care. </w:t>
      </w:r>
      <w:r w:rsidRPr="00894E63">
        <w:rPr>
          <w:rFonts w:ascii="Arial" w:hAnsi="Arial" w:cs="Arial"/>
          <w:i/>
          <w:sz w:val="24"/>
          <w:szCs w:val="24"/>
        </w:rPr>
        <w:t>Health Affairs (Millwood)</w:t>
      </w:r>
      <w:r w:rsidRPr="00894E63">
        <w:rPr>
          <w:rFonts w:ascii="Arial" w:hAnsi="Arial" w:cs="Arial"/>
          <w:sz w:val="24"/>
          <w:szCs w:val="24"/>
        </w:rPr>
        <w:t>, 33(7): 1229-1235.</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Martins SS, Mauro CM, Santaella-Tenorio J, Kim JH, Cerda M, Keyes KM, Hasin DS, Galea S, Wall M. (2016). State-level medical marijuana laws, marijuana use and perceived availability of marijuana among the general U.S. population. </w:t>
      </w:r>
      <w:r w:rsidRPr="00894E63">
        <w:rPr>
          <w:rFonts w:ascii="Arial" w:hAnsi="Arial" w:cs="Arial"/>
          <w:i/>
          <w:sz w:val="24"/>
          <w:szCs w:val="24"/>
        </w:rPr>
        <w:t>Drug Alcohol Depend</w:t>
      </w:r>
      <w:r w:rsidRPr="00894E63">
        <w:rPr>
          <w:rFonts w:ascii="Arial" w:hAnsi="Arial" w:cs="Arial"/>
          <w:sz w:val="24"/>
          <w:szCs w:val="24"/>
        </w:rPr>
        <w:t>. Dec 1; 169:26-32.</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McCabe, S. E. (2008). Misperceptions of non-medical prescription drug use: a web survey of college students. </w:t>
      </w:r>
      <w:r w:rsidRPr="00894E63">
        <w:rPr>
          <w:rFonts w:ascii="Arial" w:hAnsi="Arial" w:cs="Arial"/>
          <w:i/>
          <w:iCs/>
          <w:sz w:val="24"/>
          <w:szCs w:val="24"/>
        </w:rPr>
        <w:t>Addict Behav, 33</w:t>
      </w:r>
      <w:r w:rsidRPr="00894E63">
        <w:rPr>
          <w:rFonts w:ascii="Arial" w:hAnsi="Arial" w:cs="Arial"/>
          <w:sz w:val="24"/>
          <w:szCs w:val="24"/>
        </w:rPr>
        <w:t>(5), 713-724. doi: 10.1016/j.addbeh.2007.12.008</w:t>
      </w:r>
      <w:r>
        <w:rPr>
          <w:rFonts w:ascii="Arial" w:hAnsi="Arial" w:cs="Arial"/>
          <w:sz w:val="24"/>
          <w:szCs w:val="24"/>
        </w:rPr>
        <w:t>.</w:t>
      </w:r>
    </w:p>
    <w:p w:rsidR="009D3C3A" w:rsidRPr="00894E63" w:rsidRDefault="009D3C3A" w:rsidP="006057BE">
      <w:pPr>
        <w:spacing w:after="0" w:line="240" w:lineRule="auto"/>
        <w:ind w:left="720" w:hanging="720"/>
        <w:rPr>
          <w:rFonts w:ascii="Arial" w:eastAsia="Times New Roman" w:hAnsi="Arial" w:cs="Arial"/>
          <w:sz w:val="24"/>
          <w:szCs w:val="24"/>
        </w:rPr>
      </w:pPr>
      <w:r w:rsidRPr="00894E63">
        <w:rPr>
          <w:rFonts w:ascii="Arial" w:eastAsia="Times New Roman" w:hAnsi="Arial" w:cs="Arial"/>
          <w:sz w:val="24"/>
          <w:szCs w:val="24"/>
        </w:rPr>
        <w:t>Monte, A. A., Zane, R. D., &amp; Heard, K. J. (2015). The implication</w:t>
      </w:r>
      <w:r>
        <w:rPr>
          <w:rFonts w:ascii="Arial" w:eastAsia="Times New Roman" w:hAnsi="Arial" w:cs="Arial"/>
          <w:sz w:val="24"/>
          <w:szCs w:val="24"/>
        </w:rPr>
        <w:t xml:space="preserve">s of marijuana legalization in </w:t>
      </w:r>
      <w:r w:rsidRPr="00894E63">
        <w:rPr>
          <w:rFonts w:ascii="Arial" w:eastAsia="Times New Roman" w:hAnsi="Arial" w:cs="Arial"/>
          <w:sz w:val="24"/>
          <w:szCs w:val="24"/>
        </w:rPr>
        <w:t xml:space="preserve">Colorado. </w:t>
      </w:r>
      <w:r w:rsidRPr="00894E63">
        <w:rPr>
          <w:rFonts w:ascii="Arial" w:eastAsia="Times New Roman" w:hAnsi="Arial" w:cs="Arial"/>
          <w:i/>
          <w:iCs/>
          <w:sz w:val="24"/>
          <w:szCs w:val="24"/>
        </w:rPr>
        <w:t>JAMA</w:t>
      </w:r>
      <w:r w:rsidRPr="00894E63">
        <w:rPr>
          <w:rFonts w:ascii="Arial" w:eastAsia="Times New Roman" w:hAnsi="Arial" w:cs="Arial"/>
          <w:sz w:val="24"/>
          <w:szCs w:val="24"/>
        </w:rPr>
        <w:t xml:space="preserve">, </w:t>
      </w:r>
      <w:r w:rsidRPr="00894E63">
        <w:rPr>
          <w:rFonts w:ascii="Arial" w:eastAsia="Times New Roman" w:hAnsi="Arial" w:cs="Arial"/>
          <w:i/>
          <w:iCs/>
          <w:sz w:val="24"/>
          <w:szCs w:val="24"/>
        </w:rPr>
        <w:t>313</w:t>
      </w:r>
      <w:r>
        <w:rPr>
          <w:rFonts w:ascii="Arial" w:eastAsia="Times New Roman" w:hAnsi="Arial" w:cs="Arial"/>
          <w:sz w:val="24"/>
          <w:szCs w:val="24"/>
        </w:rPr>
        <w:t xml:space="preserve">(3), 241–242. </w:t>
      </w:r>
      <w:hyperlink r:id="rId24" w:history="1">
        <w:r w:rsidRPr="00894E63">
          <w:rPr>
            <w:rStyle w:val="Hyperlink"/>
            <w:rFonts w:ascii="Arial" w:eastAsia="Times New Roman" w:hAnsi="Arial" w:cs="Arial"/>
            <w:sz w:val="24"/>
            <w:szCs w:val="24"/>
          </w:rPr>
          <w:t>https://doi.org/10.1038/nbt.3121.ChIP-nexus</w:t>
        </w:r>
      </w:hyperlink>
      <w:r>
        <w:rPr>
          <w:rStyle w:val="Hyperlink"/>
          <w:rFonts w:ascii="Arial" w:eastAsia="Times New Roman" w:hAnsi="Arial" w:cs="Arial"/>
          <w:sz w:val="24"/>
          <w:szCs w:val="24"/>
        </w:rPr>
        <w:t>.</w:t>
      </w:r>
    </w:p>
    <w:p w:rsidR="009D3C3A" w:rsidRPr="00894E63" w:rsidRDefault="009D3C3A" w:rsidP="006057BE">
      <w:pPr>
        <w:spacing w:after="0" w:line="240" w:lineRule="auto"/>
        <w:ind w:left="720" w:hanging="720"/>
        <w:rPr>
          <w:rFonts w:ascii="Arial" w:hAnsi="Arial" w:cs="Arial"/>
          <w:sz w:val="24"/>
          <w:szCs w:val="24"/>
        </w:rPr>
      </w:pPr>
      <w:r w:rsidRPr="00894E63">
        <w:rPr>
          <w:rFonts w:ascii="Arial" w:eastAsia="Times New Roman" w:hAnsi="Arial" w:cs="Arial"/>
          <w:sz w:val="24"/>
          <w:szCs w:val="24"/>
        </w:rPr>
        <w:t xml:space="preserve">Olfson M, Wall MM, Liu SM, Blanco C. (2018). Cannabis Use and Risk of Prescription Opioid Use Disorder in the United States. </w:t>
      </w:r>
      <w:r w:rsidRPr="00894E63">
        <w:rPr>
          <w:rFonts w:ascii="Arial" w:eastAsia="Times New Roman" w:hAnsi="Arial" w:cs="Arial"/>
          <w:i/>
          <w:sz w:val="24"/>
          <w:szCs w:val="24"/>
        </w:rPr>
        <w:t>Am J Psychiatry</w:t>
      </w:r>
      <w:r w:rsidRPr="00894E63">
        <w:rPr>
          <w:rFonts w:ascii="Arial" w:eastAsia="Times New Roman" w:hAnsi="Arial" w:cs="Arial"/>
          <w:sz w:val="24"/>
          <w:szCs w:val="24"/>
        </w:rPr>
        <w:t>. Jan 1;175(1):47-53.</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Pacula, R.L., Kilmer, B., Wagenaar, A.C., Chaloupka, F.J., Caulkins, J.P. (2014). Developing public health regulations for marijuana: lessons from alcohol and tobacco. </w:t>
      </w:r>
      <w:r w:rsidRPr="00894E63">
        <w:rPr>
          <w:rFonts w:ascii="Arial" w:hAnsi="Arial" w:cs="Arial"/>
          <w:i/>
          <w:sz w:val="24"/>
          <w:szCs w:val="24"/>
        </w:rPr>
        <w:t>American Journal of Public Health</w:t>
      </w:r>
      <w:r w:rsidRPr="00894E63">
        <w:rPr>
          <w:rFonts w:ascii="Arial" w:hAnsi="Arial" w:cs="Arial"/>
          <w:sz w:val="24"/>
          <w:szCs w:val="24"/>
        </w:rPr>
        <w:t>, 104(6): 1021-1028.</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Pacula, R.L., MacCoun, R., Reuter, P., Chriqui, J., Kilmer, B., Harris, K., Paoli, L., Schäfer, C. (2005). What does it mean to decriminalize marijuana? A cross-national empirical examination. </w:t>
      </w:r>
      <w:r w:rsidRPr="00894E63">
        <w:rPr>
          <w:rFonts w:ascii="Arial" w:hAnsi="Arial" w:cs="Arial"/>
          <w:i/>
          <w:sz w:val="24"/>
          <w:szCs w:val="24"/>
        </w:rPr>
        <w:t>Advances in Health Economics and Health Services Research</w:t>
      </w:r>
      <w:r w:rsidRPr="00894E63">
        <w:rPr>
          <w:rFonts w:ascii="Arial" w:hAnsi="Arial" w:cs="Arial"/>
          <w:sz w:val="24"/>
          <w:szCs w:val="24"/>
        </w:rPr>
        <w:t>, 16: 347-369.</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Pew Research Center. (2014). America’s new drug policy landscape: Two-thirds favor treatment, not jail, for use of heroin, cocaine. </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Pischke, C. R., Zeeb, H., van Hal, G., Vriesacker, B., McAlaney, J., Bewick, B. M., . . . Mikolajczyk, R. T. (2012). A feasibility trial to examine the social norms approach for the prevention and reduction of licit and illicit drug use in European University and college students. </w:t>
      </w:r>
      <w:r w:rsidRPr="00894E63">
        <w:rPr>
          <w:rFonts w:ascii="Arial" w:hAnsi="Arial" w:cs="Arial"/>
          <w:i/>
          <w:iCs/>
          <w:sz w:val="24"/>
          <w:szCs w:val="24"/>
        </w:rPr>
        <w:t>BMC Public Health, 12</w:t>
      </w:r>
      <w:r w:rsidRPr="00894E63">
        <w:rPr>
          <w:rFonts w:ascii="Arial" w:hAnsi="Arial" w:cs="Arial"/>
          <w:sz w:val="24"/>
          <w:szCs w:val="24"/>
        </w:rPr>
        <w:t>, 882. doi: 10.1186/1471-2458-12-882</w:t>
      </w:r>
      <w:r>
        <w:rPr>
          <w:rFonts w:ascii="Arial" w:hAnsi="Arial" w:cs="Arial"/>
          <w:sz w:val="24"/>
          <w:szCs w:val="24"/>
        </w:rPr>
        <w:t>.</w:t>
      </w:r>
    </w:p>
    <w:p w:rsidR="009D3C3A" w:rsidRPr="00894E63" w:rsidRDefault="009D3C3A" w:rsidP="006057BE">
      <w:pPr>
        <w:widowControl w:val="0"/>
        <w:autoSpaceDE w:val="0"/>
        <w:autoSpaceDN w:val="0"/>
        <w:adjustRightInd w:val="0"/>
        <w:spacing w:after="0" w:line="240" w:lineRule="auto"/>
        <w:ind w:left="720" w:hanging="720"/>
        <w:rPr>
          <w:rFonts w:ascii="Arial" w:eastAsia="Times New Roman" w:hAnsi="Arial" w:cs="Arial"/>
          <w:sz w:val="24"/>
          <w:szCs w:val="24"/>
        </w:rPr>
      </w:pPr>
      <w:r w:rsidRPr="00894E63">
        <w:rPr>
          <w:rFonts w:ascii="Arial" w:eastAsia="Times New Roman" w:hAnsi="Arial" w:cs="Arial"/>
          <w:sz w:val="24"/>
          <w:szCs w:val="24"/>
        </w:rPr>
        <w:t>Powell D, Pacula RL, Jacobson M. (2018). Do medical marijuana laws reduce addictions</w:t>
      </w:r>
      <w:r w:rsidRPr="00894E63">
        <w:rPr>
          <w:rFonts w:ascii="Arial" w:hAnsi="Arial" w:cs="Arial"/>
          <w:sz w:val="24"/>
          <w:szCs w:val="24"/>
        </w:rPr>
        <w:t xml:space="preserve"> </w:t>
      </w:r>
      <w:r w:rsidRPr="00894E63">
        <w:rPr>
          <w:rFonts w:ascii="Arial" w:eastAsia="Times New Roman" w:hAnsi="Arial" w:cs="Arial"/>
          <w:sz w:val="24"/>
          <w:szCs w:val="24"/>
        </w:rPr>
        <w:t xml:space="preserve">and deaths related to pain killers? </w:t>
      </w:r>
      <w:r w:rsidRPr="00894E63">
        <w:rPr>
          <w:rFonts w:ascii="Arial" w:eastAsia="Times New Roman" w:hAnsi="Arial" w:cs="Arial"/>
          <w:i/>
          <w:sz w:val="24"/>
          <w:szCs w:val="24"/>
        </w:rPr>
        <w:t>J Health Econ,</w:t>
      </w:r>
      <w:r w:rsidRPr="00894E63">
        <w:rPr>
          <w:rFonts w:ascii="Arial" w:eastAsia="Times New Roman" w:hAnsi="Arial" w:cs="Arial"/>
          <w:sz w:val="24"/>
          <w:szCs w:val="24"/>
        </w:rPr>
        <w:t xml:space="preserve"> Jan 30;58:29-42.</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Schulenberg JE, Merline AC, Johnston LD, O'Malley PM, Bachman JG, Laetz VB. (2005). Trajectories of Marijuana Use During the Transition to Adulthood: The Big Picture Based on National Panel Data. </w:t>
      </w:r>
      <w:r w:rsidRPr="00894E63">
        <w:rPr>
          <w:rFonts w:ascii="Arial" w:hAnsi="Arial" w:cs="Arial"/>
          <w:i/>
          <w:sz w:val="24"/>
          <w:szCs w:val="24"/>
        </w:rPr>
        <w:t>J Drug Issues,</w:t>
      </w:r>
      <w:r w:rsidRPr="00894E63">
        <w:rPr>
          <w:rFonts w:ascii="Arial" w:hAnsi="Arial" w:cs="Arial"/>
          <w:sz w:val="24"/>
          <w:szCs w:val="24"/>
        </w:rPr>
        <w:t xml:space="preserve"> 35(2):255-279.</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Substance Abuse and Mental Health Services Administration. (2017). Key substance use and mental health indicators in the United States: Results from the 2016 </w:t>
      </w:r>
      <w:r w:rsidRPr="00894E63">
        <w:rPr>
          <w:rFonts w:ascii="Arial" w:hAnsi="Arial" w:cs="Arial"/>
          <w:sz w:val="24"/>
          <w:szCs w:val="24"/>
        </w:rPr>
        <w:lastRenderedPageBreak/>
        <w:t xml:space="preserve">National Survey on Drug Use and Health (HHS Publication No. SMA 17-5044, NSDUH Series H-52). Rockville, MD: Center for Behavioral Health Statistics and Quality, Substance Abuse and Mental Health Services Administration. Retrieved </w:t>
      </w:r>
      <w:r w:rsidRPr="00F06ED6">
        <w:rPr>
          <w:rFonts w:ascii="Arial" w:hAnsi="Arial" w:cs="Arial"/>
          <w:sz w:val="24"/>
          <w:szCs w:val="24"/>
        </w:rPr>
        <w:t xml:space="preserve">from </w:t>
      </w:r>
      <w:hyperlink r:id="rId25" w:history="1">
        <w:r w:rsidRPr="00F06ED6">
          <w:rPr>
            <w:rStyle w:val="Hyperlink"/>
            <w:rFonts w:ascii="Arial" w:hAnsi="Arial" w:cs="Arial"/>
            <w:sz w:val="24"/>
            <w:szCs w:val="24"/>
          </w:rPr>
          <w:t>https://www.samhsa.gov/data/</w:t>
        </w:r>
      </w:hyperlink>
      <w:r w:rsidRPr="00F06ED6">
        <w:rPr>
          <w:rFonts w:ascii="Arial" w:hAnsi="Arial" w:cs="Arial"/>
          <w:sz w:val="24"/>
          <w:szCs w:val="24"/>
        </w:rPr>
        <w:t>.</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Swift, A. (2013). For first time Americans favor legalizing marijuana. Retrieved from: </w:t>
      </w:r>
      <w:hyperlink r:id="rId26" w:history="1">
        <w:r w:rsidRPr="00F06ED6">
          <w:rPr>
            <w:rStyle w:val="Hyperlink"/>
            <w:rFonts w:ascii="Arial" w:hAnsi="Arial" w:cs="Arial"/>
            <w:sz w:val="24"/>
            <w:szCs w:val="24"/>
          </w:rPr>
          <w:t>www.gallup.com</w:t>
        </w:r>
      </w:hyperlink>
      <w:r w:rsidRPr="00F06ED6">
        <w:rPr>
          <w:rFonts w:ascii="Arial" w:hAnsi="Arial" w:cs="Arial"/>
          <w:sz w:val="24"/>
          <w:szCs w:val="24"/>
        </w:rPr>
        <w:t>.</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Swift, W., Coffey, C., Degenhardt, L., Carlin, J. B., Romaniuk, H., &amp; Patton, G. C. (2012). Cannabis and progression to other substance use in young adults: findings from a 13-year prospective population-based study. </w:t>
      </w:r>
      <w:r w:rsidRPr="00894E63">
        <w:rPr>
          <w:rFonts w:ascii="Arial" w:hAnsi="Arial" w:cs="Arial"/>
          <w:i/>
          <w:iCs/>
          <w:sz w:val="24"/>
          <w:szCs w:val="24"/>
        </w:rPr>
        <w:t>J Epidemiol Community Health, 66</w:t>
      </w:r>
      <w:r w:rsidRPr="00894E63">
        <w:rPr>
          <w:rFonts w:ascii="Arial" w:hAnsi="Arial" w:cs="Arial"/>
          <w:sz w:val="24"/>
          <w:szCs w:val="24"/>
        </w:rPr>
        <w:t>(7), e26. doi: 10.1136/jech.2010.129056</w:t>
      </w:r>
      <w:r>
        <w:rPr>
          <w:rFonts w:ascii="Arial" w:hAnsi="Arial" w:cs="Arial"/>
          <w:sz w:val="24"/>
          <w:szCs w:val="24"/>
        </w:rPr>
        <w:t>.</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Tai, B., Hu, L., Ghitza, U.E., Sparenborg, S., Van Veldhuisen, P., Lindblad, R. (2014). Patient registries for substance use disorders. </w:t>
      </w:r>
      <w:r w:rsidRPr="00894E63">
        <w:rPr>
          <w:rFonts w:ascii="Arial" w:hAnsi="Arial" w:cs="Arial"/>
          <w:i/>
          <w:sz w:val="24"/>
          <w:szCs w:val="24"/>
        </w:rPr>
        <w:t>Substance Abuse and Rehabilitation</w:t>
      </w:r>
      <w:r w:rsidRPr="00894E63">
        <w:rPr>
          <w:rFonts w:ascii="Arial" w:hAnsi="Arial" w:cs="Arial"/>
          <w:sz w:val="24"/>
          <w:szCs w:val="24"/>
        </w:rPr>
        <w:t>, 5: 81-86.</w:t>
      </w:r>
    </w:p>
    <w:p w:rsidR="009D3C3A" w:rsidRPr="00894E63"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894E63">
        <w:rPr>
          <w:rFonts w:ascii="Arial" w:hAnsi="Arial" w:cs="Arial"/>
          <w:sz w:val="24"/>
          <w:szCs w:val="24"/>
        </w:rPr>
        <w:t xml:space="preserve">Tzilos, G. K., Reddy, M. K., Caviness, C. M., Anderson, B. J., &amp; Stein, M. D. (2014). Getting higher: co-occurring drug use among marijuana-using emerging adults. </w:t>
      </w:r>
      <w:r w:rsidRPr="00894E63">
        <w:rPr>
          <w:rFonts w:ascii="Arial" w:hAnsi="Arial" w:cs="Arial"/>
          <w:i/>
          <w:iCs/>
          <w:sz w:val="24"/>
          <w:szCs w:val="24"/>
        </w:rPr>
        <w:t>J Addict Dis, 33</w:t>
      </w:r>
      <w:r w:rsidRPr="00894E63">
        <w:rPr>
          <w:rFonts w:ascii="Arial" w:hAnsi="Arial" w:cs="Arial"/>
          <w:sz w:val="24"/>
          <w:szCs w:val="24"/>
        </w:rPr>
        <w:t>(3), 202-209. doi: 10.1080/10550887.2014.950024</w:t>
      </w:r>
      <w:r>
        <w:rPr>
          <w:rFonts w:ascii="Arial" w:hAnsi="Arial" w:cs="Arial"/>
          <w:sz w:val="24"/>
          <w:szCs w:val="24"/>
        </w:rPr>
        <w:t>.</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Volkow, N.D., Baler, R.D., Compton, W.M., Weiss, S.R.B. (2014). Adverse Health Effects of Marijuana Use. </w:t>
      </w:r>
      <w:r w:rsidRPr="00894E63">
        <w:rPr>
          <w:rFonts w:ascii="Arial" w:hAnsi="Arial" w:cs="Arial"/>
          <w:i/>
          <w:sz w:val="24"/>
          <w:szCs w:val="24"/>
        </w:rPr>
        <w:t>The New England Journal of Medicine</w:t>
      </w:r>
      <w:r w:rsidRPr="00894E63">
        <w:rPr>
          <w:rFonts w:ascii="Arial" w:hAnsi="Arial" w:cs="Arial"/>
          <w:sz w:val="24"/>
          <w:szCs w:val="24"/>
        </w:rPr>
        <w:t xml:space="preserve">, 370: 2219-2227. </w:t>
      </w:r>
    </w:p>
    <w:p w:rsidR="009D3C3A" w:rsidRPr="00894E63" w:rsidRDefault="009D3C3A" w:rsidP="006057BE">
      <w:pPr>
        <w:spacing w:after="0" w:line="240" w:lineRule="auto"/>
        <w:ind w:left="720" w:hanging="720"/>
        <w:rPr>
          <w:rFonts w:ascii="Arial" w:hAnsi="Arial" w:cs="Arial"/>
          <w:sz w:val="24"/>
          <w:szCs w:val="24"/>
        </w:rPr>
      </w:pPr>
      <w:r w:rsidRPr="00894E63">
        <w:rPr>
          <w:rFonts w:ascii="Arial" w:eastAsia="Times New Roman" w:hAnsi="Arial" w:cs="Arial"/>
          <w:sz w:val="24"/>
          <w:szCs w:val="24"/>
        </w:rPr>
        <w:t xml:space="preserve">Vyas MB, LeBaron VT, Gilson AM. (2018). The use of cannabis in response to the opioid crisis: A review of the literature. </w:t>
      </w:r>
      <w:r w:rsidRPr="00894E63">
        <w:rPr>
          <w:rFonts w:ascii="Arial" w:eastAsia="Times New Roman" w:hAnsi="Arial" w:cs="Arial"/>
          <w:i/>
          <w:sz w:val="24"/>
          <w:szCs w:val="24"/>
        </w:rPr>
        <w:t>Nurs Outlook,</w:t>
      </w:r>
      <w:r w:rsidRPr="00894E63">
        <w:rPr>
          <w:rFonts w:ascii="Arial" w:eastAsia="Times New Roman" w:hAnsi="Arial" w:cs="Arial"/>
          <w:sz w:val="24"/>
          <w:szCs w:val="24"/>
        </w:rPr>
        <w:t xml:space="preserve"> Jan - Feb;66(1):56-65.</w:t>
      </w:r>
    </w:p>
    <w:p w:rsidR="009D3C3A" w:rsidRPr="00894E63" w:rsidRDefault="009D3C3A" w:rsidP="006057BE">
      <w:pPr>
        <w:spacing w:after="0" w:line="240" w:lineRule="auto"/>
        <w:ind w:left="720" w:hanging="720"/>
        <w:rPr>
          <w:rFonts w:ascii="Arial" w:hAnsi="Arial" w:cs="Arial"/>
          <w:sz w:val="24"/>
          <w:szCs w:val="24"/>
        </w:rPr>
      </w:pPr>
      <w:r w:rsidRPr="00894E63">
        <w:rPr>
          <w:rFonts w:ascii="Arial" w:hAnsi="Arial" w:cs="Arial"/>
          <w:sz w:val="24"/>
          <w:szCs w:val="24"/>
        </w:rPr>
        <w:t xml:space="preserve">Weil, A.R. (2014). Big data in health: a new era for research and patient care. </w:t>
      </w:r>
      <w:r w:rsidRPr="00894E63">
        <w:rPr>
          <w:rFonts w:ascii="Arial" w:hAnsi="Arial" w:cs="Arial"/>
          <w:i/>
          <w:sz w:val="24"/>
          <w:szCs w:val="24"/>
        </w:rPr>
        <w:t>Health Affairs (Millwood)</w:t>
      </w:r>
      <w:r w:rsidRPr="00894E63">
        <w:rPr>
          <w:rFonts w:ascii="Arial" w:hAnsi="Arial" w:cs="Arial"/>
          <w:sz w:val="24"/>
          <w:szCs w:val="24"/>
        </w:rPr>
        <w:t>, 33(7): 1110.</w:t>
      </w:r>
    </w:p>
    <w:p w:rsidR="009D3C3A" w:rsidRDefault="009D3C3A" w:rsidP="006057BE">
      <w:pPr>
        <w:pStyle w:val="EndNoteBibliography"/>
        <w:spacing w:after="0"/>
        <w:ind w:left="720" w:hanging="720"/>
        <w:rPr>
          <w:rFonts w:ascii="Arial" w:hAnsi="Arial" w:cs="Arial"/>
          <w:sz w:val="24"/>
          <w:szCs w:val="24"/>
        </w:rPr>
      </w:pPr>
      <w:r w:rsidRPr="00894E63">
        <w:rPr>
          <w:rFonts w:ascii="Arial" w:hAnsi="Arial" w:cs="Arial"/>
          <w:sz w:val="24"/>
          <w:szCs w:val="24"/>
        </w:rPr>
        <w:fldChar w:fldCharType="begin"/>
      </w:r>
      <w:r w:rsidRPr="00894E63">
        <w:rPr>
          <w:rFonts w:ascii="Arial" w:hAnsi="Arial" w:cs="Arial"/>
          <w:sz w:val="24"/>
          <w:szCs w:val="24"/>
        </w:rPr>
        <w:instrText xml:space="preserve"> ADDIN EN.REFLIST </w:instrText>
      </w:r>
      <w:r w:rsidRPr="00894E63">
        <w:rPr>
          <w:rFonts w:ascii="Arial" w:hAnsi="Arial" w:cs="Arial"/>
          <w:sz w:val="24"/>
          <w:szCs w:val="24"/>
        </w:rPr>
        <w:fldChar w:fldCharType="separate"/>
      </w:r>
      <w:r w:rsidRPr="00894E63">
        <w:rPr>
          <w:rFonts w:ascii="Arial" w:hAnsi="Arial" w:cs="Arial"/>
          <w:sz w:val="24"/>
          <w:szCs w:val="24"/>
        </w:rPr>
        <w:t xml:space="preserve">Zou, G. (2004). A modified poisson regression approach to prospective studies with binary data. </w:t>
      </w:r>
      <w:r w:rsidRPr="00894E63">
        <w:rPr>
          <w:rFonts w:ascii="Arial" w:hAnsi="Arial" w:cs="Arial"/>
          <w:i/>
          <w:sz w:val="24"/>
          <w:szCs w:val="24"/>
        </w:rPr>
        <w:t>Am J Epidemiol, 159</w:t>
      </w:r>
      <w:r w:rsidRPr="00894E63">
        <w:rPr>
          <w:rFonts w:ascii="Arial" w:hAnsi="Arial" w:cs="Arial"/>
          <w:sz w:val="24"/>
          <w:szCs w:val="24"/>
        </w:rPr>
        <w:t xml:space="preserve">(7), 702-706. </w:t>
      </w:r>
      <w:r w:rsidRPr="00894E63">
        <w:rPr>
          <w:rFonts w:ascii="Arial" w:hAnsi="Arial" w:cs="Arial"/>
          <w:sz w:val="24"/>
          <w:szCs w:val="24"/>
        </w:rPr>
        <w:fldChar w:fldCharType="end"/>
      </w: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pStyle w:val="EndNoteBibliography"/>
        <w:spacing w:after="0"/>
        <w:ind w:left="720" w:hanging="720"/>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784755" w:rsidRPr="00784755" w:rsidRDefault="00784755" w:rsidP="006057BE">
      <w:pPr>
        <w:spacing w:after="0" w:line="240" w:lineRule="auto"/>
        <w:jc w:val="both"/>
        <w:rPr>
          <w:rFonts w:ascii="Arial" w:hAnsi="Arial" w:cs="Arial"/>
          <w:sz w:val="28"/>
          <w:szCs w:val="24"/>
        </w:rPr>
      </w:pPr>
    </w:p>
    <w:p w:rsidR="009D3C3A" w:rsidRDefault="009D3C3A" w:rsidP="006057BE">
      <w:pPr>
        <w:spacing w:after="0" w:line="240" w:lineRule="auto"/>
        <w:jc w:val="both"/>
        <w:rPr>
          <w:rFonts w:ascii="Arial" w:hAnsi="Arial" w:cs="Arial"/>
          <w:sz w:val="24"/>
          <w:szCs w:val="24"/>
        </w:rPr>
      </w:pPr>
    </w:p>
    <w:p w:rsidR="00FF2F11" w:rsidRDefault="00FF2F11" w:rsidP="006057BE">
      <w:pPr>
        <w:spacing w:after="0" w:line="240" w:lineRule="auto"/>
        <w:jc w:val="center"/>
        <w:rPr>
          <w:rFonts w:ascii="Arial" w:hAnsi="Arial" w:cs="Arial"/>
          <w:bCs/>
          <w:sz w:val="28"/>
          <w:szCs w:val="28"/>
        </w:rPr>
      </w:pPr>
    </w:p>
    <w:p w:rsidR="00FF2F11" w:rsidRDefault="00FF2F11" w:rsidP="006057BE">
      <w:pPr>
        <w:spacing w:after="0" w:line="240" w:lineRule="auto"/>
        <w:jc w:val="center"/>
        <w:rPr>
          <w:rFonts w:ascii="Arial" w:hAnsi="Arial" w:cs="Arial"/>
          <w:bCs/>
          <w:sz w:val="28"/>
          <w:szCs w:val="28"/>
        </w:rPr>
      </w:pPr>
    </w:p>
    <w:p w:rsidR="00FF2F11" w:rsidRDefault="00FF2F11" w:rsidP="006057BE">
      <w:pPr>
        <w:spacing w:after="0" w:line="240" w:lineRule="auto"/>
        <w:jc w:val="center"/>
        <w:rPr>
          <w:rFonts w:ascii="Arial" w:hAnsi="Arial" w:cs="Arial"/>
          <w:bCs/>
          <w:sz w:val="28"/>
          <w:szCs w:val="28"/>
        </w:rPr>
      </w:pPr>
    </w:p>
    <w:p w:rsidR="00FF2F11" w:rsidRDefault="00FF2F11" w:rsidP="006057BE">
      <w:pPr>
        <w:spacing w:after="0" w:line="240" w:lineRule="auto"/>
        <w:jc w:val="center"/>
        <w:rPr>
          <w:rFonts w:ascii="Arial" w:hAnsi="Arial" w:cs="Arial"/>
          <w:bCs/>
          <w:sz w:val="28"/>
          <w:szCs w:val="28"/>
        </w:rPr>
      </w:pPr>
    </w:p>
    <w:p w:rsidR="00FF2F11" w:rsidRDefault="00FF2F11" w:rsidP="006057BE">
      <w:pPr>
        <w:spacing w:after="0" w:line="240" w:lineRule="auto"/>
        <w:jc w:val="center"/>
        <w:rPr>
          <w:rFonts w:ascii="Arial" w:hAnsi="Arial" w:cs="Arial"/>
          <w:bCs/>
          <w:sz w:val="28"/>
          <w:szCs w:val="28"/>
        </w:rPr>
      </w:pPr>
    </w:p>
    <w:p w:rsidR="00FF2F11" w:rsidRDefault="00FF2F11" w:rsidP="006057BE">
      <w:pPr>
        <w:spacing w:after="0" w:line="240" w:lineRule="auto"/>
        <w:jc w:val="center"/>
        <w:rPr>
          <w:rFonts w:ascii="Arial" w:hAnsi="Arial" w:cs="Arial"/>
          <w:bCs/>
          <w:sz w:val="28"/>
          <w:szCs w:val="28"/>
        </w:rPr>
      </w:pPr>
    </w:p>
    <w:p w:rsidR="00FF2F11" w:rsidRDefault="00FF2F11" w:rsidP="006057BE">
      <w:pPr>
        <w:spacing w:after="0" w:line="240" w:lineRule="auto"/>
        <w:jc w:val="center"/>
        <w:rPr>
          <w:rFonts w:ascii="Arial" w:hAnsi="Arial" w:cs="Arial"/>
          <w:bCs/>
          <w:sz w:val="28"/>
          <w:szCs w:val="28"/>
        </w:rPr>
      </w:pPr>
    </w:p>
    <w:p w:rsidR="00FF2F11" w:rsidRDefault="00FF2F11" w:rsidP="006057BE">
      <w:pPr>
        <w:spacing w:after="0" w:line="240" w:lineRule="auto"/>
        <w:jc w:val="center"/>
        <w:rPr>
          <w:rFonts w:ascii="Arial" w:hAnsi="Arial" w:cs="Arial"/>
          <w:bCs/>
          <w:sz w:val="28"/>
          <w:szCs w:val="28"/>
        </w:rPr>
      </w:pPr>
    </w:p>
    <w:p w:rsidR="00FF2F11" w:rsidRDefault="00FF2F11" w:rsidP="006057BE">
      <w:pPr>
        <w:spacing w:after="0" w:line="240" w:lineRule="auto"/>
        <w:jc w:val="center"/>
        <w:rPr>
          <w:rFonts w:ascii="Arial" w:hAnsi="Arial" w:cs="Arial"/>
          <w:bCs/>
          <w:sz w:val="28"/>
          <w:szCs w:val="28"/>
        </w:rPr>
      </w:pPr>
    </w:p>
    <w:p w:rsidR="00FF2F11" w:rsidRDefault="00FF2F11" w:rsidP="006057BE">
      <w:pPr>
        <w:spacing w:after="0" w:line="240" w:lineRule="auto"/>
        <w:jc w:val="center"/>
        <w:rPr>
          <w:rFonts w:ascii="Arial" w:hAnsi="Arial" w:cs="Arial"/>
          <w:bCs/>
          <w:sz w:val="28"/>
          <w:szCs w:val="28"/>
        </w:rPr>
      </w:pPr>
    </w:p>
    <w:p w:rsidR="00FF2F11" w:rsidRDefault="00FF2F11" w:rsidP="006057BE">
      <w:pPr>
        <w:spacing w:after="0" w:line="240" w:lineRule="auto"/>
        <w:jc w:val="center"/>
        <w:rPr>
          <w:rFonts w:ascii="Arial" w:hAnsi="Arial" w:cs="Arial"/>
          <w:bCs/>
          <w:sz w:val="28"/>
          <w:szCs w:val="28"/>
        </w:rPr>
      </w:pPr>
    </w:p>
    <w:p w:rsidR="0047529A" w:rsidRPr="00FF2F11" w:rsidRDefault="0000532F" w:rsidP="00DB63D3">
      <w:pPr>
        <w:pStyle w:val="Heading1"/>
      </w:pPr>
      <w:bookmarkStart w:id="102" w:name="_Toc12529119"/>
      <w:r>
        <w:t>Chapter 2:</w:t>
      </w:r>
      <w:r w:rsidR="0047529A" w:rsidRPr="00FF2F11">
        <w:t xml:space="preserve">  Prevalence and Correlates of Marijuana Use among Adults in Massachusetts</w:t>
      </w:r>
      <w:bookmarkEnd w:id="102"/>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784755" w:rsidRDefault="00784755" w:rsidP="00AC40A7">
      <w:pPr>
        <w:pStyle w:val="BodyText"/>
      </w:pPr>
      <w:bookmarkStart w:id="103" w:name="_Toc513810100"/>
    </w:p>
    <w:p w:rsidR="00FF2F11" w:rsidRDefault="00FF2F11" w:rsidP="00AC40A7">
      <w:pPr>
        <w:pStyle w:val="BodyText"/>
      </w:pPr>
    </w:p>
    <w:p w:rsidR="00FF2F11" w:rsidRPr="00AC40A7" w:rsidRDefault="00FF2F11" w:rsidP="00AC40A7">
      <w:pPr>
        <w:pStyle w:val="BodyText"/>
      </w:pPr>
    </w:p>
    <w:p w:rsidR="00FF2F11" w:rsidRDefault="00FF2F11" w:rsidP="00AC40A7">
      <w:pPr>
        <w:pStyle w:val="BodyText"/>
      </w:pPr>
    </w:p>
    <w:bookmarkEnd w:id="103"/>
    <w:p w:rsidR="009D3C3A" w:rsidRDefault="009D3C3A" w:rsidP="006057BE">
      <w:pPr>
        <w:spacing w:after="0" w:line="240" w:lineRule="auto"/>
        <w:rPr>
          <w:rFonts w:ascii="Arial" w:hAnsi="Arial"/>
        </w:rPr>
      </w:pPr>
    </w:p>
    <w:p w:rsidR="00FF2F11" w:rsidRDefault="00FF2F11" w:rsidP="006057BE">
      <w:pPr>
        <w:spacing w:after="0" w:line="240" w:lineRule="auto"/>
        <w:rPr>
          <w:rFonts w:ascii="Arial" w:hAnsi="Arial"/>
        </w:rPr>
      </w:pPr>
    </w:p>
    <w:p w:rsidR="00FF2F11" w:rsidRPr="00FF2F11" w:rsidRDefault="00FF2F11" w:rsidP="00D450ED">
      <w:pPr>
        <w:pStyle w:val="Heading2"/>
        <w:rPr>
          <w:shd w:val="clear" w:color="auto" w:fill="FFFFFF"/>
        </w:rPr>
      </w:pPr>
      <w:bookmarkStart w:id="104" w:name="_Toc11917207"/>
      <w:bookmarkStart w:id="105" w:name="_Toc11921645"/>
      <w:bookmarkStart w:id="106" w:name="_Toc12520924"/>
      <w:bookmarkStart w:id="107" w:name="_Toc12521150"/>
      <w:bookmarkStart w:id="108" w:name="_Toc12529120"/>
      <w:r w:rsidRPr="00FF2F11">
        <w:rPr>
          <w:shd w:val="clear" w:color="auto" w:fill="FFFFFF"/>
        </w:rPr>
        <w:lastRenderedPageBreak/>
        <w:t>Introduction</w:t>
      </w:r>
      <w:bookmarkEnd w:id="104"/>
      <w:bookmarkEnd w:id="105"/>
      <w:bookmarkEnd w:id="106"/>
      <w:bookmarkEnd w:id="107"/>
      <w:bookmarkEnd w:id="108"/>
      <w:r w:rsidRPr="00FF2F11">
        <w:rPr>
          <w:shd w:val="clear" w:color="auto" w:fill="FFFFFF"/>
        </w:rPr>
        <w:t xml:space="preserve"> </w:t>
      </w:r>
    </w:p>
    <w:p w:rsidR="00FF2F11" w:rsidRDefault="00FF2F11" w:rsidP="006057BE">
      <w:pPr>
        <w:spacing w:after="0" w:line="240" w:lineRule="auto"/>
        <w:rPr>
          <w:rFonts w:ascii="Arial" w:hAnsi="Arial" w:cs="Arial"/>
          <w:sz w:val="24"/>
          <w:szCs w:val="24"/>
          <w:shd w:val="clear" w:color="auto" w:fill="FFFFFF"/>
        </w:rPr>
      </w:pPr>
    </w:p>
    <w:p w:rsidR="009D3C3A" w:rsidRDefault="009D3C3A" w:rsidP="006057BE">
      <w:pPr>
        <w:spacing w:after="0" w:line="240" w:lineRule="auto"/>
        <w:rPr>
          <w:rFonts w:ascii="Arial" w:hAnsi="Arial" w:cs="Arial"/>
          <w:sz w:val="24"/>
          <w:szCs w:val="24"/>
        </w:rPr>
      </w:pPr>
      <w:r w:rsidRPr="009D3C3A">
        <w:rPr>
          <w:rFonts w:ascii="Arial" w:hAnsi="Arial" w:cs="Arial"/>
          <w:sz w:val="24"/>
          <w:szCs w:val="24"/>
          <w:shd w:val="clear" w:color="auto" w:fill="FFFFFF"/>
        </w:rPr>
        <w:t xml:space="preserve">In this Chapter, we report on prevalence of marijuana use among adults in Massachusetts, the characteristics of marijuana users compared with non-users, and the correlates of marijuana use. Findings are based on data provided by Massachusetts adults who completed a survey in the fall of 2017. Despite the existence of several ongoing surveys of Massachusetts adults, such as the Behavioral Risk Factor Surveillance Survey (BRFSS) and the National Survey on Drug Use and Health (NSDUH), </w:t>
      </w:r>
      <w:r w:rsidRPr="009D3C3A">
        <w:rPr>
          <w:rFonts w:ascii="Arial" w:hAnsi="Arial" w:cs="Arial"/>
          <w:sz w:val="24"/>
          <w:szCs w:val="24"/>
        </w:rPr>
        <w:t xml:space="preserve">there are significant gaps in the information that they provide. For example, existing Massachusetts databases did not provide information about various modes of consumption (from smoking, to eating, to vaping and dabbing). </w:t>
      </w:r>
    </w:p>
    <w:p w:rsidR="00784755" w:rsidRPr="009D3C3A" w:rsidRDefault="00784755"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sz w:val="24"/>
          <w:szCs w:val="24"/>
          <w:shd w:val="clear" w:color="auto" w:fill="FFFFFF"/>
        </w:rPr>
      </w:pPr>
      <w:r w:rsidRPr="009D3C3A">
        <w:rPr>
          <w:rFonts w:ascii="Arial" w:hAnsi="Arial" w:cs="Arial"/>
          <w:sz w:val="24"/>
          <w:szCs w:val="24"/>
        </w:rPr>
        <w:t xml:space="preserve">The purpose of this survey was to address these gaps and provide a “snapshot” of marijuana use and related behaviors in Massachusetts in the time before retail sales of adult use marijuana begin. This study provides a “baseline” or benchmark against which future studies can make comparisons. </w:t>
      </w:r>
      <w:r w:rsidRPr="009D3C3A">
        <w:rPr>
          <w:rFonts w:ascii="Arial" w:hAnsi="Arial" w:cs="Arial"/>
          <w:sz w:val="24"/>
          <w:szCs w:val="24"/>
          <w:shd w:val="clear" w:color="auto" w:fill="FFFFFF"/>
        </w:rPr>
        <w:t>The information from this survey will enable ongoing study of impacts that can inform the Commonwealth’s policy and regulatory response over the course of the next several years.</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keepNext/>
        <w:keepLines/>
        <w:spacing w:after="0" w:line="240" w:lineRule="auto"/>
        <w:outlineLvl w:val="1"/>
        <w:rPr>
          <w:rFonts w:ascii="Arial" w:eastAsiaTheme="majorEastAsia" w:hAnsi="Arial" w:cs="Arial"/>
          <w:b/>
          <w:sz w:val="24"/>
          <w:szCs w:val="24"/>
        </w:rPr>
      </w:pPr>
      <w:bookmarkStart w:id="109" w:name="_Toc513810101"/>
      <w:bookmarkStart w:id="110" w:name="_Toc11765926"/>
      <w:bookmarkStart w:id="111" w:name="_Toc11766581"/>
      <w:bookmarkStart w:id="112" w:name="_Toc11917208"/>
      <w:bookmarkStart w:id="113" w:name="_Toc11921646"/>
      <w:bookmarkStart w:id="114" w:name="_Toc12520925"/>
      <w:bookmarkStart w:id="115" w:name="_Toc12521151"/>
      <w:bookmarkStart w:id="116" w:name="_Toc12529121"/>
      <w:r w:rsidRPr="009D3C3A">
        <w:rPr>
          <w:rFonts w:ascii="Arial" w:eastAsiaTheme="majorEastAsia" w:hAnsi="Arial" w:cs="Arial"/>
          <w:b/>
          <w:sz w:val="24"/>
          <w:szCs w:val="24"/>
        </w:rPr>
        <w:t>Methods</w:t>
      </w:r>
      <w:bookmarkEnd w:id="109"/>
      <w:bookmarkEnd w:id="110"/>
      <w:bookmarkEnd w:id="111"/>
      <w:bookmarkEnd w:id="112"/>
      <w:bookmarkEnd w:id="113"/>
      <w:bookmarkEnd w:id="114"/>
      <w:bookmarkEnd w:id="115"/>
      <w:bookmarkEnd w:id="116"/>
    </w:p>
    <w:p w:rsidR="009D3C3A" w:rsidRPr="009D3C3A" w:rsidRDefault="009D3C3A" w:rsidP="006057BE">
      <w:pPr>
        <w:spacing w:after="0" w:line="240" w:lineRule="auto"/>
        <w:rPr>
          <w:rFonts w:ascii="Arial" w:hAnsi="Arial"/>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We conducted a cross-sectional, population-based survey of adults in Massachusetts. This study was approved by the Institutional Review Board at the Massachusetts Department of Public Health. A copy of the survey instrument can be found in the Appendix</w:t>
      </w:r>
      <w:r w:rsidR="00104C7B">
        <w:rPr>
          <w:rFonts w:ascii="Arial" w:hAnsi="Arial" w:cs="Arial"/>
          <w:sz w:val="24"/>
          <w:szCs w:val="24"/>
        </w:rPr>
        <w:t xml:space="preserve"> A</w:t>
      </w:r>
      <w:r w:rsidRPr="009D3C3A">
        <w:rPr>
          <w:rFonts w:ascii="Arial" w:hAnsi="Arial" w:cs="Arial"/>
          <w:sz w:val="24"/>
          <w:szCs w:val="24"/>
        </w:rPr>
        <w:t>.</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keepNext/>
        <w:keepLines/>
        <w:spacing w:after="0" w:line="240" w:lineRule="auto"/>
        <w:outlineLvl w:val="2"/>
        <w:rPr>
          <w:rFonts w:ascii="Arial" w:eastAsiaTheme="majorEastAsia" w:hAnsi="Arial" w:cs="Arial"/>
          <w:b/>
          <w:i/>
          <w:sz w:val="24"/>
          <w:szCs w:val="24"/>
        </w:rPr>
      </w:pPr>
      <w:bookmarkStart w:id="117" w:name="_Toc509177109"/>
      <w:bookmarkStart w:id="118" w:name="_Toc513810102"/>
      <w:bookmarkStart w:id="119" w:name="_Toc11765927"/>
      <w:bookmarkStart w:id="120" w:name="_Toc11766582"/>
      <w:r w:rsidRPr="009D3C3A">
        <w:rPr>
          <w:rFonts w:ascii="Arial" w:eastAsiaTheme="majorEastAsia" w:hAnsi="Arial" w:cs="Arial"/>
          <w:b/>
          <w:i/>
          <w:sz w:val="24"/>
          <w:szCs w:val="24"/>
        </w:rPr>
        <w:t>Data Collection and Participants</w:t>
      </w:r>
      <w:bookmarkEnd w:id="117"/>
      <w:bookmarkEnd w:id="118"/>
      <w:bookmarkEnd w:id="119"/>
      <w:bookmarkEnd w:id="120"/>
    </w:p>
    <w:p w:rsidR="009D3C3A" w:rsidRPr="009D3C3A" w:rsidRDefault="009D3C3A" w:rsidP="006057BE">
      <w:pPr>
        <w:spacing w:after="0" w:line="240" w:lineRule="auto"/>
        <w:rPr>
          <w:rFonts w:ascii="Arial" w:hAnsi="Arial"/>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The University of Massachusetts Amherst partnered with the University of Massachusetts Donahue Institute to conducted a mail and web-based survey designed to be representative of adults in Massachusetts, age 18 years or older. Participants were chosen randomly using address-based sampling from a list of Massachusetts residential households obtained through a sampling vendor. The sample was stratified by 6 regions (Boston, Central, Metrowest, Northweast, Southeast, and Western). Addresses that were known to be vacant, seasonal, educational, or drop points were excluded from the sample. A simple random sample of 15,000 addresses were selected to participate with an equal number of households (n=2500) selected from each region. The survey was then administered in four waves over a four-week period.</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i/>
          <w:sz w:val="24"/>
          <w:szCs w:val="24"/>
        </w:rPr>
      </w:pPr>
      <w:r w:rsidRPr="009D3C3A">
        <w:rPr>
          <w:rFonts w:ascii="Arial" w:hAnsi="Arial" w:cs="Arial"/>
          <w:i/>
          <w:sz w:val="24"/>
          <w:szCs w:val="24"/>
        </w:rPr>
        <w:t>Wave 1: Pre-notification postcard</w:t>
      </w:r>
    </w:p>
    <w:p w:rsidR="009D3C3A" w:rsidRPr="009D3C3A" w:rsidRDefault="009D3C3A" w:rsidP="006057BE">
      <w:pPr>
        <w:spacing w:after="0" w:line="240" w:lineRule="auto"/>
        <w:rPr>
          <w:rFonts w:ascii="Arial" w:hAnsi="Arial" w:cs="Arial"/>
          <w:i/>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A pre-notification postcard was sent to selected addresses informing participants about the survey eligibility to participate. On the postcard and all subsequent mailings an online survey link with a unique access code was provided for those who chose to complete the web-based version. Online survey participants could only complete the survey once, and quality checks were implemented to identify duplicate completions (by </w:t>
      </w:r>
      <w:r w:rsidRPr="009D3C3A">
        <w:rPr>
          <w:rFonts w:ascii="Arial" w:hAnsi="Arial" w:cs="Arial"/>
          <w:sz w:val="24"/>
          <w:szCs w:val="24"/>
        </w:rPr>
        <w:lastRenderedPageBreak/>
        <w:t>mail and online) using the same code. The postcard and all subsequent materials included a means to opt out of participation by calling the researchers.</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i/>
          <w:sz w:val="24"/>
          <w:szCs w:val="24"/>
        </w:rPr>
      </w:pPr>
      <w:r w:rsidRPr="009D3C3A">
        <w:rPr>
          <w:rFonts w:ascii="Arial" w:hAnsi="Arial" w:cs="Arial"/>
          <w:i/>
          <w:sz w:val="24"/>
          <w:szCs w:val="24"/>
        </w:rPr>
        <w:t>Wave 2: Mail Survey</w:t>
      </w:r>
    </w:p>
    <w:p w:rsidR="009D3C3A" w:rsidRPr="009D3C3A" w:rsidRDefault="009D3C3A" w:rsidP="006057BE">
      <w:pPr>
        <w:spacing w:after="0" w:line="240" w:lineRule="auto"/>
        <w:rPr>
          <w:rFonts w:ascii="Arial" w:hAnsi="Arial" w:cs="Arial"/>
          <w:i/>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The postcard was followed by a survey packet containing an informed consent letter, the full survey, a postage-paid business reply envelope, and an up-front cash incentive of $2. The survey instructed the adult in the household with the most recent birthday to complete the survey. Responses were tracked with a unique identification number to allow for follow-up mailings.</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i/>
          <w:sz w:val="24"/>
          <w:szCs w:val="24"/>
        </w:rPr>
      </w:pPr>
      <w:r w:rsidRPr="009D3C3A">
        <w:rPr>
          <w:rFonts w:ascii="Arial" w:hAnsi="Arial" w:cs="Arial"/>
          <w:i/>
          <w:sz w:val="24"/>
          <w:szCs w:val="24"/>
        </w:rPr>
        <w:t>Wave 3: Reminder Postcard</w:t>
      </w:r>
    </w:p>
    <w:p w:rsidR="009D3C3A" w:rsidRPr="009D3C3A" w:rsidRDefault="009D3C3A" w:rsidP="006057BE">
      <w:pPr>
        <w:spacing w:after="0" w:line="240" w:lineRule="auto"/>
        <w:rPr>
          <w:rFonts w:ascii="Arial" w:hAnsi="Arial" w:cs="Arial"/>
          <w:i/>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After the initial wave of survey mailing, a reminder postcard with the online link was sent to all non-responders. </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i/>
          <w:sz w:val="24"/>
          <w:szCs w:val="24"/>
        </w:rPr>
      </w:pPr>
      <w:r w:rsidRPr="009D3C3A">
        <w:rPr>
          <w:rFonts w:ascii="Arial" w:hAnsi="Arial" w:cs="Arial"/>
          <w:i/>
          <w:sz w:val="24"/>
          <w:szCs w:val="24"/>
        </w:rPr>
        <w:t>Wave 4: Final Mail Survey</w:t>
      </w:r>
    </w:p>
    <w:p w:rsidR="009D3C3A" w:rsidRPr="009D3C3A" w:rsidRDefault="009D3C3A" w:rsidP="006057BE">
      <w:pPr>
        <w:spacing w:after="0" w:line="240" w:lineRule="auto"/>
        <w:rPr>
          <w:rFonts w:ascii="Arial" w:hAnsi="Arial" w:cs="Arial"/>
          <w:i/>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The final opportunity to respond was via paper-based survey with the informed consent cover letter and online link. This was sent to those who still had not responded or had not notified the researchers of their desire not to participate.</w:t>
      </w: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 </w:t>
      </w: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Data were collected between November 7, 2017 (first online response opportunity) and December 30, 2017. Completed mail surveys were scanned using a computerized system. The scanned dataset was combined with the online responses and an initial quality review removed all duplicate surveys from the dataset. The resultant dataset included 3,023 respondents with a 21.7% response rate. </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keepNext/>
        <w:keepLines/>
        <w:spacing w:after="0" w:line="240" w:lineRule="auto"/>
        <w:outlineLvl w:val="2"/>
        <w:rPr>
          <w:rFonts w:ascii="Arial" w:eastAsiaTheme="majorEastAsia" w:hAnsi="Arial" w:cs="Arial"/>
          <w:b/>
          <w:i/>
          <w:sz w:val="24"/>
          <w:szCs w:val="24"/>
        </w:rPr>
      </w:pPr>
      <w:bookmarkStart w:id="121" w:name="_Toc513810103"/>
      <w:bookmarkStart w:id="122" w:name="_Toc11765928"/>
      <w:bookmarkStart w:id="123" w:name="_Toc11766583"/>
      <w:r w:rsidRPr="009D3C3A">
        <w:rPr>
          <w:rFonts w:ascii="Arial" w:eastAsiaTheme="majorEastAsia" w:hAnsi="Arial" w:cs="Arial"/>
          <w:b/>
          <w:i/>
          <w:sz w:val="24"/>
          <w:szCs w:val="24"/>
        </w:rPr>
        <w:t>Measures</w:t>
      </w:r>
      <w:bookmarkEnd w:id="121"/>
      <w:bookmarkEnd w:id="122"/>
      <w:bookmarkEnd w:id="123"/>
      <w:r w:rsidRPr="009D3C3A">
        <w:rPr>
          <w:rFonts w:ascii="Arial" w:eastAsiaTheme="majorEastAsia" w:hAnsi="Arial" w:cs="Arial"/>
          <w:b/>
          <w:i/>
          <w:sz w:val="24"/>
          <w:szCs w:val="24"/>
        </w:rPr>
        <w:t xml:space="preserve"> </w:t>
      </w:r>
    </w:p>
    <w:p w:rsidR="009D3C3A" w:rsidRPr="009D3C3A" w:rsidRDefault="009D3C3A" w:rsidP="006057BE">
      <w:pPr>
        <w:spacing w:after="0" w:line="240" w:lineRule="auto"/>
        <w:rPr>
          <w:rFonts w:ascii="Arial" w:hAnsi="Arial"/>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The survey contained 37 items that assessed a limited number of demographic characteristics, past 30-day substance use (marijuana, alcohol, and other substances), and behaviors related to substance use such as driving under the influence and riding with a driver who was under the influence. When possible the wording of items was aligned with national population health surveys (e.g. Behavioral Risk Factor Surveillance Survey, National Survey on Drug Use and Health) to facilitate comparisons of estimates. </w:t>
      </w:r>
    </w:p>
    <w:p w:rsidR="009D3C3A" w:rsidRPr="009D3C3A" w:rsidRDefault="009D3C3A" w:rsidP="006057BE">
      <w:pPr>
        <w:spacing w:after="0" w:line="240" w:lineRule="auto"/>
        <w:rPr>
          <w:rFonts w:ascii="Arial" w:hAnsi="Arial" w:cs="Arial"/>
          <w:sz w:val="24"/>
          <w:szCs w:val="24"/>
        </w:rPr>
      </w:pPr>
    </w:p>
    <w:p w:rsidR="009D3C3A" w:rsidRPr="00AC40A7" w:rsidRDefault="009D3C3A" w:rsidP="00AC40A7">
      <w:pPr>
        <w:pStyle w:val="Heading4"/>
      </w:pPr>
      <w:r w:rsidRPr="00AC40A7">
        <w:t xml:space="preserve">Demographic characteristics </w:t>
      </w:r>
    </w:p>
    <w:p w:rsidR="00784755" w:rsidRDefault="00784755" w:rsidP="006057BE">
      <w:pPr>
        <w:spacing w:after="0" w:line="240" w:lineRule="auto"/>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Basic demographics were ascertained. Participant age was ascertained by asking the survey respondent to report their year of birth. Participants reported gender as female, male, or other. Race/ethnicity was asked with two questions. One asked “Are you Hispanic or Latino?” and required a yes/no response. The second question asked “Which one or more of the following would you say is your race?” with response options that included (1) white or Caucasian, (2) Black or African American, (3) Asian, (4) Native </w:t>
      </w:r>
      <w:r w:rsidRPr="009D3C3A">
        <w:rPr>
          <w:rFonts w:ascii="Arial" w:hAnsi="Arial" w:cs="Arial"/>
          <w:sz w:val="24"/>
          <w:szCs w:val="24"/>
        </w:rPr>
        <w:lastRenderedPageBreak/>
        <w:t xml:space="preserve">Hawaiian or Other Pacific Islander, (5) Native American or Alaska Native, (6) Some other race. Participants could choose as may categories as were applicable. The survey ascertained the participants’ highest degree or level of school completed, which was reported on the survey with 10 categories ranging from “never attended school or only attended kindergarten” to “doctorate degree”. For analysis, this was coded to a 3-level variable that included: (1) high school or less, (2) any college, (3) graduate degree. </w:t>
      </w: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The survey asked about annual household income using the following categories (1) less than $15,000 (2) $15-29,000 (3) $30,000-49,000 (4) 50,000-99,000 (5) 100,000-150,000, or (6) 150,000 or more. Participants also reported zip code as well as home ownership (own, rent, something else). Participants reported their type of healthcare coverage as one or more of the following (1) private commercial or group plan (2) Medicare, (3) Medicaid, (4) Commonwealth Care Program (Health Connector), (5) Indian Health Service (6) Veterans Affairs (7) No health insurance, or (8) other plan.</w:t>
      </w: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 </w:t>
      </w:r>
    </w:p>
    <w:p w:rsidR="009D3C3A" w:rsidRPr="009D3C3A" w:rsidRDefault="009D3C3A" w:rsidP="006057BE">
      <w:pPr>
        <w:keepNext/>
        <w:keepLines/>
        <w:spacing w:after="0" w:line="240" w:lineRule="auto"/>
        <w:outlineLvl w:val="3"/>
        <w:rPr>
          <w:rFonts w:ascii="Arial" w:eastAsiaTheme="majorEastAsia" w:hAnsi="Arial" w:cs="Arial"/>
          <w:i/>
          <w:iCs/>
          <w:sz w:val="24"/>
          <w:szCs w:val="24"/>
        </w:rPr>
      </w:pPr>
      <w:r w:rsidRPr="009D3C3A">
        <w:rPr>
          <w:rFonts w:ascii="Arial" w:eastAsiaTheme="majorEastAsia" w:hAnsi="Arial" w:cs="Arial"/>
          <w:i/>
          <w:iCs/>
          <w:sz w:val="24"/>
          <w:szCs w:val="24"/>
        </w:rPr>
        <w:t>Substance Use</w:t>
      </w:r>
    </w:p>
    <w:p w:rsidR="009D3C3A" w:rsidRPr="009D3C3A" w:rsidRDefault="009D3C3A" w:rsidP="00AC40A7">
      <w:pPr>
        <w:pStyle w:val="BodyText"/>
      </w:pPr>
      <w:r w:rsidRPr="009D3C3A">
        <w:t xml:space="preserve"> </w:t>
      </w: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The survey ascertained past 30-day use of marijuana, alcohol, and other substances. Marijuana use was assessed with the yes/no question “In the past 30 days, did you use marijuana or hashish at least once?” For those who responded “yes,” the survey asked about the number of days on which the participated used marijuana in the past 30 days. The purpose of marijuana use was ascertained with a multiple response item indicating use for one or more of the following: adult use (non-medical), medical use (prescribed by a qualified physician), or medical use (not prescribed by a qualified physician). The mode of use (smoking, eating, drinking, vaporizing, etc.) was assessed with a multiple response item. </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Past 30-day alcohol use was reported with the yes/no question “</w:t>
      </w:r>
      <w:r w:rsidRPr="009D3C3A">
        <w:rPr>
          <w:rFonts w:ascii="Arial" w:hAnsi="Arial" w:cs="Arial"/>
          <w:bCs/>
          <w:sz w:val="24"/>
          <w:szCs w:val="24"/>
        </w:rPr>
        <w:t xml:space="preserve">During the past 30 days, did you have at least one drink of any alcoholic beverage such as beer, wine, a malt beverage, or liquor?” For those who responded “yes,” </w:t>
      </w:r>
      <w:r w:rsidRPr="009D3C3A">
        <w:rPr>
          <w:rFonts w:ascii="Arial" w:hAnsi="Arial" w:cs="Arial"/>
          <w:sz w:val="24"/>
          <w:szCs w:val="24"/>
        </w:rPr>
        <w:t xml:space="preserve">the survey asked them to provide the number of days per week that participants consumed an alcoholic beverage. Use of other substances was coded as “Yes” if participants reported use of crack/cocaine, heroin, non-medical use of antianxiety drugs (sedatives, tranquilizers, anxiolytics, or sleeping drugs such as benzodiazepines or barbiturates), non-medical use of prescription opioids, or other drugs (e.g. hallucinogens, non-medical use of stimulants). The instructions to participants in the section of the survey on other substances noted that “non-medical” prescription drug use means using it to get high or experience pleasurable effects, see what the effects are like, or use with friends. </w:t>
      </w:r>
      <w:bookmarkStart w:id="124" w:name="_Toc509177110"/>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Items and results pertaining to driving under the influence of marijuana, alcohol, and other drugs are reported in </w:t>
      </w:r>
      <w:r w:rsidR="00D46CCC">
        <w:rPr>
          <w:rFonts w:ascii="Arial" w:hAnsi="Arial" w:cs="Arial"/>
          <w:sz w:val="24"/>
          <w:szCs w:val="24"/>
        </w:rPr>
        <w:t>Task</w:t>
      </w:r>
      <w:r w:rsidRPr="009D3C3A">
        <w:rPr>
          <w:rFonts w:ascii="Arial" w:hAnsi="Arial" w:cs="Arial"/>
          <w:sz w:val="24"/>
          <w:szCs w:val="24"/>
        </w:rPr>
        <w:t xml:space="preserve"> 2 of this report, along with items pertaining to use of hospital emergency rooms and urgent care related to substance use. </w:t>
      </w:r>
    </w:p>
    <w:p w:rsidR="009D3C3A" w:rsidRPr="009D3C3A" w:rsidRDefault="009D3C3A" w:rsidP="006057BE">
      <w:pPr>
        <w:spacing w:after="0" w:line="240" w:lineRule="auto"/>
        <w:rPr>
          <w:rFonts w:ascii="Arial" w:hAnsi="Arial" w:cs="Arial"/>
          <w:sz w:val="24"/>
          <w:szCs w:val="24"/>
        </w:rPr>
      </w:pPr>
    </w:p>
    <w:p w:rsidR="009D3C3A" w:rsidRPr="009D3C3A" w:rsidRDefault="009D3C3A" w:rsidP="00AC40A7">
      <w:pPr>
        <w:pStyle w:val="Heading3"/>
      </w:pPr>
      <w:bookmarkStart w:id="125" w:name="_Toc513810104"/>
      <w:bookmarkStart w:id="126" w:name="_Toc11765929"/>
      <w:bookmarkStart w:id="127" w:name="_Toc11766584"/>
      <w:r w:rsidRPr="009D3C3A">
        <w:t>Data Quality Assessment</w:t>
      </w:r>
      <w:bookmarkEnd w:id="125"/>
      <w:bookmarkEnd w:id="126"/>
      <w:bookmarkEnd w:id="127"/>
    </w:p>
    <w:p w:rsidR="009D3C3A" w:rsidRPr="009D3C3A" w:rsidRDefault="009D3C3A" w:rsidP="006057BE">
      <w:pPr>
        <w:spacing w:after="0" w:line="240" w:lineRule="auto"/>
        <w:rPr>
          <w:rFonts w:ascii="Arial" w:hAnsi="Arial"/>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The data was subject to a quality check process. Duplicates were identified and removed, leaving 3268 respondents. We verified that skip logic was properly applied. Other instances with out-of-range responses (e.g. reported having 33 children in the home) were also coded as missing. Any instances in which returned responses were </w:t>
      </w:r>
      <w:r w:rsidRPr="009D3C3A">
        <w:rPr>
          <w:rFonts w:ascii="Arial" w:hAnsi="Arial" w:cs="Arial"/>
          <w:sz w:val="24"/>
          <w:szCs w:val="24"/>
        </w:rPr>
        <w:lastRenderedPageBreak/>
        <w:t>unreasonable were coded as a missing response on the illogical variable. In cases in which a respondent reported driving under the influence of a substance, but did not first report using that substance, we set the response to the question about use to yes. This affected a very small number of cases.</w:t>
      </w:r>
    </w:p>
    <w:p w:rsidR="009D3C3A" w:rsidRPr="009D3C3A" w:rsidRDefault="009D3C3A" w:rsidP="006057BE">
      <w:pPr>
        <w:spacing w:after="0" w:line="240" w:lineRule="auto"/>
        <w:rPr>
          <w:rFonts w:ascii="Arial" w:hAnsi="Arial" w:cs="Arial"/>
          <w:sz w:val="24"/>
          <w:szCs w:val="24"/>
        </w:rPr>
      </w:pPr>
    </w:p>
    <w:p w:rsidR="009D3C3A" w:rsidRPr="009D3C3A" w:rsidRDefault="009D3C3A" w:rsidP="00AC40A7">
      <w:pPr>
        <w:pStyle w:val="Heading3"/>
      </w:pPr>
      <w:bookmarkStart w:id="128" w:name="_Toc513810105"/>
      <w:bookmarkStart w:id="129" w:name="_Toc11765930"/>
      <w:bookmarkStart w:id="130" w:name="_Toc11766585"/>
      <w:r w:rsidRPr="009D3C3A">
        <w:t>Statistical Procedures and Analysis</w:t>
      </w:r>
      <w:bookmarkEnd w:id="124"/>
      <w:bookmarkEnd w:id="128"/>
      <w:bookmarkEnd w:id="129"/>
      <w:bookmarkEnd w:id="130"/>
    </w:p>
    <w:p w:rsidR="009D3C3A" w:rsidRPr="009D3C3A" w:rsidRDefault="009D3C3A" w:rsidP="006057BE">
      <w:pPr>
        <w:spacing w:after="0" w:line="240" w:lineRule="auto"/>
        <w:rPr>
          <w:rFonts w:ascii="Arial" w:hAnsi="Arial"/>
        </w:rPr>
      </w:pPr>
    </w:p>
    <w:p w:rsidR="009D3C3A" w:rsidRPr="009D3C3A" w:rsidRDefault="009D3C3A" w:rsidP="00AC40A7">
      <w:pPr>
        <w:pStyle w:val="Heading4"/>
      </w:pPr>
      <w:r w:rsidRPr="009D3C3A">
        <w:t>Weighting</w:t>
      </w:r>
    </w:p>
    <w:p w:rsidR="00AC40A7" w:rsidRDefault="00AC40A7"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Weights were assigned to each completed survey so that the survey responses closely represent the Massachusetts population relative to age, gender, race, and education. The weighting scheme included six steps that are summarized below. </w:t>
      </w: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First, a weight was assigned to directly account for the sampling fraction of addresses. Second, using information on the sample addresses, adjustments were made for unknown eligibility of the addresses. Eligibility was classified into one of four categories: (1) eligible respondent, (2) eligible non-respondent, (3) known ineligible addresses, and (4) unknown status. Eligible respondents resided at the sample address, were 18 years or older, and lived in Massachusetts for 6 or more months per year. Addresses with unknown status included addresses where surveys were not returned (n=11,163), surveys bounced back to the post office (presumably based on refusal of recipient) (n=504), and surveys returned blank (n=65). The eligibility weighting accounted for the fact that our knowledge of eligibility status may be related to other address characteristics such as the type of postal route (rural, street, firm, high-rise, etc.). </w:t>
      </w: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The third step in the weighting was to adjust for non-response. We defined a complete survey as one in which the respondent provided basic demographics (age, gender, race, and education) and answered the item on past 30-day marijuana use. We observed a difference in the survey completion rate for eligible addresses by region (p=0.03) and a weight was developed to account for this. Household size was accounted for next. </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Raking was then used to align the weights to the distribution of four demographic variables (age, gender, race/ethnicity, and education) to the Massachusetts target population based on the 2016 American Community Survey Public Use Microdata Sample (PUMS) data. The last step trimmed weights to improve estimation accuracy. </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keepNext/>
        <w:keepLines/>
        <w:spacing w:after="0" w:line="240" w:lineRule="auto"/>
        <w:outlineLvl w:val="3"/>
        <w:rPr>
          <w:rFonts w:ascii="Arial" w:eastAsiaTheme="majorEastAsia" w:hAnsi="Arial" w:cs="Arial"/>
          <w:i/>
          <w:iCs/>
          <w:sz w:val="24"/>
          <w:szCs w:val="24"/>
        </w:rPr>
      </w:pPr>
      <w:r w:rsidRPr="009D3C3A">
        <w:rPr>
          <w:rFonts w:ascii="Arial" w:eastAsiaTheme="majorEastAsia" w:hAnsi="Arial" w:cs="Arial"/>
          <w:i/>
          <w:iCs/>
          <w:sz w:val="24"/>
          <w:szCs w:val="24"/>
        </w:rPr>
        <w:t>Statistical Analysis</w:t>
      </w:r>
    </w:p>
    <w:p w:rsidR="00784755" w:rsidRDefault="00784755" w:rsidP="006057BE">
      <w:pPr>
        <w:spacing w:after="0" w:line="240" w:lineRule="auto"/>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In most cases, variables were defined as shown on the survey. For example, past 30-day marijuana use was defined as “Yes” based on an answer of yes to the question, “In the past 30 days, did you use marijuana or hashish at least once?” For analysis purposes, we coded race as a 5-level categorical variable with the following categories (1) White, non-Hispanic, (2) Black non-Hispanic, (3) Any Hispanic/Latino (4) Asian, non-Hispanic, (5) Other. </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First, we examined the bivariate differences in characteristics between adults who had used marijuana in the past 30 days and those who had not. Next, we used modified </w:t>
      </w:r>
      <w:r w:rsidRPr="009D3C3A">
        <w:rPr>
          <w:rFonts w:ascii="Arial" w:hAnsi="Arial" w:cs="Arial"/>
          <w:sz w:val="24"/>
          <w:szCs w:val="24"/>
        </w:rPr>
        <w:lastRenderedPageBreak/>
        <w:t xml:space="preserve">Poisson regression with robust standard errors </w:t>
      </w:r>
      <w:r w:rsidRPr="009D3C3A">
        <w:rPr>
          <w:rFonts w:ascii="Arial" w:hAnsi="Arial" w:cs="Arial"/>
          <w:sz w:val="24"/>
          <w:szCs w:val="24"/>
        </w:rPr>
        <w:fldChar w:fldCharType="begin"/>
      </w:r>
      <w:r w:rsidRPr="009D3C3A">
        <w:rPr>
          <w:rFonts w:ascii="Arial" w:hAnsi="Arial" w:cs="Arial"/>
          <w:sz w:val="24"/>
          <w:szCs w:val="24"/>
        </w:rPr>
        <w:instrText xml:space="preserve"> ADDIN EN.CITE &lt;EndNote&gt;&lt;Cite&gt;&lt;Author&gt;Zou&lt;/Author&gt;&lt;Year&gt;2004&lt;/Year&gt;&lt;RecNum&gt;518&lt;/RecNum&gt;&lt;DisplayText&gt;(Zou, 2004)&lt;/DisplayText&gt;&lt;record&gt;&lt;rec-number&gt;518&lt;/rec-number&gt;&lt;foreign-keys&gt;&lt;key app="EN" db-id="d0tr9f9wrrzr9lef5rsvpsadtz2we0sa25tw" timestamp="1522255421"&gt;518&lt;/key&gt;&lt;key app="ENWeb" db-id=""&gt;0&lt;/key&gt;&lt;/foreign-keys&gt;&lt;ref-type name="Journal Article"&gt;17&lt;/ref-type&gt;&lt;contributors&gt;&lt;authors&gt;&lt;author&gt;Zou, G.&lt;/author&gt;&lt;/authors&gt;&lt;/contributors&gt;&lt;auth-address&gt;Robarts Clinical Trials, Robarts Research Institute, London, Ontario, Canada. gzou@robarts.ca&lt;/auth-address&gt;&lt;titles&gt;&lt;title&gt;A modified poisson regression approach to prospective studies with binary data&lt;/title&gt;&lt;secondary-title&gt;Am J Epidemiol&lt;/secondary-title&gt;&lt;/titles&gt;&lt;periodical&gt;&lt;full-title&gt;Am J Epidemiol&lt;/full-title&gt;&lt;/periodical&gt;&lt;pages&gt;702-6&lt;/pages&gt;&lt;volume&gt;159&lt;/volume&gt;&lt;number&gt;7&lt;/number&gt;&lt;keywords&gt;&lt;keyword&gt;Clinical Trials as Topic/*statistics &amp;amp; numerical data&lt;/keyword&gt;&lt;keyword&gt;Data Interpretation, Statistical&lt;/keyword&gt;&lt;keyword&gt;Humans&lt;/keyword&gt;&lt;keyword&gt;*Poisson Distribution&lt;/keyword&gt;&lt;keyword&gt;Prospective Studies&lt;/keyword&gt;&lt;keyword&gt;*Regression Analysis&lt;/keyword&gt;&lt;keyword&gt;Reproducibility of Results&lt;/keyword&gt;&lt;keyword&gt;*Risk&lt;/keyword&gt;&lt;/keywords&gt;&lt;dates&gt;&lt;year&gt;2004&lt;/year&gt;&lt;pub-dates&gt;&lt;date&gt;Apr 1&lt;/date&gt;&lt;/pub-dates&gt;&lt;/dates&gt;&lt;isbn&gt;0002-9262 (Print)&amp;#xD;0002-9262 (Linking)&lt;/isbn&gt;&lt;accession-num&gt;15033648&lt;/accession-num&gt;&lt;urls&gt;&lt;related-urls&gt;&lt;url&gt;http://www.ncbi.nlm.nih.gov/pubmed/15033648&lt;/url&gt;&lt;/related-urls&gt;&lt;/urls&gt;&lt;/record&gt;&lt;/Cite&gt;&lt;/EndNote&gt;</w:instrText>
      </w:r>
      <w:r w:rsidRPr="009D3C3A">
        <w:rPr>
          <w:rFonts w:ascii="Arial" w:hAnsi="Arial" w:cs="Arial"/>
          <w:sz w:val="24"/>
          <w:szCs w:val="24"/>
        </w:rPr>
        <w:fldChar w:fldCharType="separate"/>
      </w:r>
      <w:r w:rsidRPr="009D3C3A">
        <w:rPr>
          <w:rFonts w:ascii="Arial" w:hAnsi="Arial" w:cs="Arial"/>
          <w:noProof/>
          <w:sz w:val="24"/>
          <w:szCs w:val="24"/>
        </w:rPr>
        <w:t>(Zou, 2004)</w:t>
      </w:r>
      <w:r w:rsidRPr="009D3C3A">
        <w:rPr>
          <w:rFonts w:ascii="Arial" w:hAnsi="Arial" w:cs="Arial"/>
          <w:sz w:val="24"/>
          <w:szCs w:val="24"/>
        </w:rPr>
        <w:fldChar w:fldCharType="end"/>
      </w:r>
      <w:r w:rsidRPr="009D3C3A">
        <w:rPr>
          <w:rFonts w:ascii="Arial" w:hAnsi="Arial" w:cs="Arial"/>
          <w:sz w:val="24"/>
          <w:szCs w:val="24"/>
        </w:rPr>
        <w:t xml:space="preserve"> to assess associations between use of marijuana (yes/no), gender, age, race/ethnicity, and other covariates (education, home ownership, children in household, region, alcohol and other substance use). This approach allowed estimation of relative risk, adjusting for potential confounders. </w:t>
      </w:r>
      <w:r w:rsidRPr="009D3C3A">
        <w:rPr>
          <w:rFonts w:ascii="Arial" w:hAnsi="Arial" w:cs="Arial"/>
          <w:bCs/>
          <w:sz w:val="24"/>
          <w:szCs w:val="24"/>
        </w:rPr>
        <w:t>W</w:t>
      </w:r>
      <w:r w:rsidRPr="009D3C3A">
        <w:rPr>
          <w:rFonts w:ascii="Arial" w:hAnsi="Arial" w:cs="Arial"/>
          <w:sz w:val="24"/>
          <w:szCs w:val="24"/>
        </w:rPr>
        <w:t xml:space="preserve">e used a two-tailed significance level at p &lt;0.05 for all statistical tests. All analyses were weighted to account for the complex survey design, yielding results that have been adjusted to be representative of the adult population in Massachusetts. The analysis for this report was generated using SAS/STAT software, Version 9.4 of the SAS System for Windows (Copyright © 2016 SAS Institute Inc. Cary, NC, USA.) with the exception of the Poisson regression models which were generated using Stata 15 statistical software (StataCorp, LLC, College Station, TX). </w:t>
      </w:r>
    </w:p>
    <w:p w:rsidR="009D3C3A" w:rsidRPr="009D3C3A" w:rsidRDefault="009D3C3A" w:rsidP="006057BE">
      <w:pPr>
        <w:spacing w:after="0" w:line="240" w:lineRule="auto"/>
        <w:rPr>
          <w:rFonts w:ascii="Arial" w:eastAsia="Times New Roman" w:hAnsi="Arial" w:cs="Arial"/>
          <w:sz w:val="24"/>
          <w:szCs w:val="24"/>
        </w:rPr>
      </w:pPr>
    </w:p>
    <w:p w:rsidR="009D3C3A" w:rsidRPr="009D3C3A" w:rsidRDefault="009D3C3A" w:rsidP="005F7A46">
      <w:pPr>
        <w:pStyle w:val="Heading2"/>
      </w:pPr>
      <w:bookmarkStart w:id="131" w:name="_Toc513810106"/>
      <w:bookmarkStart w:id="132" w:name="_Toc11765931"/>
      <w:bookmarkStart w:id="133" w:name="_Toc11766586"/>
      <w:bookmarkStart w:id="134" w:name="_Toc11917209"/>
      <w:bookmarkStart w:id="135" w:name="_Toc11921647"/>
      <w:bookmarkStart w:id="136" w:name="_Toc12520926"/>
      <w:bookmarkStart w:id="137" w:name="_Toc12521152"/>
      <w:bookmarkStart w:id="138" w:name="_Toc12529122"/>
      <w:r w:rsidRPr="009D3C3A">
        <w:t>Results</w:t>
      </w:r>
      <w:bookmarkEnd w:id="131"/>
      <w:bookmarkEnd w:id="132"/>
      <w:bookmarkEnd w:id="133"/>
      <w:bookmarkEnd w:id="134"/>
      <w:bookmarkEnd w:id="135"/>
      <w:bookmarkEnd w:id="136"/>
      <w:bookmarkEnd w:id="137"/>
      <w:bookmarkEnd w:id="138"/>
    </w:p>
    <w:p w:rsidR="009D3C3A" w:rsidRPr="009D3C3A" w:rsidRDefault="009D3C3A" w:rsidP="006057BE">
      <w:pPr>
        <w:spacing w:after="0" w:line="240" w:lineRule="auto"/>
        <w:rPr>
          <w:rFonts w:ascii="Arial" w:hAnsi="Arial"/>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A total of 3,528 surveys were returned, of which 260 were duplicates. And additional 245 were determined ineligible or incomplete. After removing the duplicate, ineligible and complete surveys, 3,023 remained. The logic-checking process resulted in identification of one case in which multiple questions had unreasonable responses. This case was dropped, resulting in a final analytic sample of 3,022.</w:t>
      </w:r>
    </w:p>
    <w:p w:rsidR="009D3C3A" w:rsidRPr="009D3C3A" w:rsidRDefault="009D3C3A" w:rsidP="006057BE">
      <w:pPr>
        <w:spacing w:after="0" w:line="240" w:lineRule="auto"/>
        <w:rPr>
          <w:rFonts w:ascii="Arial" w:hAnsi="Arial" w:cs="Arial"/>
          <w:sz w:val="24"/>
          <w:szCs w:val="24"/>
        </w:rPr>
      </w:pPr>
    </w:p>
    <w:p w:rsidR="009D3C3A" w:rsidRPr="009D3C3A" w:rsidRDefault="009D3C3A" w:rsidP="00AC40A7">
      <w:pPr>
        <w:pStyle w:val="Heading3"/>
      </w:pPr>
      <w:bookmarkStart w:id="139" w:name="_Toc513810107"/>
      <w:bookmarkStart w:id="140" w:name="_Toc11765932"/>
      <w:bookmarkStart w:id="141" w:name="_Toc11766587"/>
      <w:r w:rsidRPr="009D3C3A">
        <w:t>Prevalence of Marijuana Use</w:t>
      </w:r>
      <w:bookmarkEnd w:id="139"/>
      <w:bookmarkEnd w:id="140"/>
      <w:bookmarkEnd w:id="141"/>
    </w:p>
    <w:p w:rsidR="009D3C3A" w:rsidRPr="009D3C3A" w:rsidRDefault="009D3C3A" w:rsidP="006057BE">
      <w:pPr>
        <w:spacing w:after="0" w:line="240" w:lineRule="auto"/>
        <w:rPr>
          <w:rFonts w:ascii="Arial" w:hAnsi="Arial"/>
        </w:rPr>
      </w:pPr>
    </w:p>
    <w:p w:rsidR="009D3C3A" w:rsidRPr="009D3C3A" w:rsidRDefault="009D3C3A" w:rsidP="006057BE">
      <w:pPr>
        <w:spacing w:after="0" w:line="240" w:lineRule="auto"/>
        <w:rPr>
          <w:rFonts w:ascii="Arial" w:eastAsia="Calibri" w:hAnsi="Arial" w:cs="Arial"/>
          <w:sz w:val="24"/>
          <w:szCs w:val="24"/>
        </w:rPr>
      </w:pPr>
      <w:r w:rsidRPr="009D3C3A">
        <w:rPr>
          <w:rFonts w:ascii="Arial" w:eastAsia="Calibri" w:hAnsi="Arial" w:cs="Arial"/>
          <w:sz w:val="24"/>
          <w:szCs w:val="24"/>
        </w:rPr>
        <w:t>Of the 3,022 adults in the sample, 439 self-reported marijuana use in the past 30 days, and 2,583 did not. After data were weighted, results indicate that 21.1% of adults in Massachusetts have used marijuana in the past 30 days (95% Confidence Interval [CI] 18.6, 23.6), and 78.9% have not (95% CI 76.4, 81.4) (Table 1). Hereafter, we report only the population-level point estimates; confidence interval data are presented in each table.</w:t>
      </w:r>
    </w:p>
    <w:p w:rsidR="009D3C3A" w:rsidRPr="009D3C3A" w:rsidRDefault="009D3C3A" w:rsidP="006057BE">
      <w:pPr>
        <w:spacing w:after="0" w:line="240" w:lineRule="auto"/>
        <w:rPr>
          <w:rFonts w:ascii="Arial" w:eastAsia="Calibri" w:hAnsi="Arial" w:cs="Arial"/>
          <w:sz w:val="24"/>
          <w:szCs w:val="24"/>
        </w:rPr>
      </w:pPr>
    </w:p>
    <w:p w:rsidR="009D3C3A" w:rsidRPr="009D3C3A" w:rsidRDefault="009D3C3A" w:rsidP="006057BE">
      <w:pPr>
        <w:spacing w:after="0" w:line="240" w:lineRule="auto"/>
        <w:rPr>
          <w:rFonts w:ascii="Arial" w:eastAsia="Calibri" w:hAnsi="Arial" w:cs="Arial"/>
          <w:sz w:val="24"/>
          <w:szCs w:val="24"/>
        </w:rPr>
      </w:pPr>
      <w:r w:rsidRPr="009D3C3A">
        <w:rPr>
          <w:rFonts w:ascii="Arial" w:eastAsia="Calibri" w:hAnsi="Arial" w:cs="Arial"/>
          <w:sz w:val="24"/>
          <w:szCs w:val="24"/>
        </w:rPr>
        <w:t xml:space="preserve">We examined prevalence rates of past 30-day marijuana use among key socio-demographic groups. These analyses indicated that 25.9% of adult men in Massachusetts and 17.0% of women have used marijuana in the past 30 days. </w:t>
      </w: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By age category, past 30-day marijuana use was reported by 54.4% of adults aged 18 to 20, 49.1% of those aged 21 to 25, 34.5% of those aged 26 to 29, 22.7% of those aged 30 to 39, 19.3% of those aged 40 to 49, 18.7% of those aged 50 to 59, 14.1% of those aged 60 to 69, and 3.4% of those aged 70 or older. To enable comparisons of age-specific marijuana prevalence with other estimates (presented in Chapter 1), we changed the categorization of age to create a category that captured aged 26 or older. Past 30-day marijuana use was reported by 18.0% (95% CI 15.7, 20.3) of adults aged 26 or older. By race/ethnicity, past 30-day marijuana use was reported by 20.1% of Whites, 27.1% of Hispanics, 10.4% of Asians, 25.8% of Blacks, and 37.5% of other race/ethnic groups. By educational attainment, past 30-day marijuana use was reported by 24.7% of adults with a High School education or less, 22.9% of those with a college degree, and 10.7% of adults with a post-secondary graduate degree. By income, past 30-day marijuana use was reported by 32.5% of adults earning less than $15,000. Fewer people in each of the higher income categories reported past 30-day use, with </w:t>
      </w:r>
      <w:r w:rsidRPr="009D3C3A">
        <w:rPr>
          <w:rFonts w:ascii="Arial" w:hAnsi="Arial" w:cs="Arial"/>
          <w:sz w:val="24"/>
          <w:szCs w:val="24"/>
        </w:rPr>
        <w:lastRenderedPageBreak/>
        <w:t>prevalence rates ranging between about 17.3% and 25%. By region, past 30-day marijuana use was reported by 29.8% of Western residents, 20.9% of Southeast residents, 20.5% of Boston residents, 20.1% of Northeast residents, 19.6% of Central residents, and 18.2% of Metrowest residents.</w:t>
      </w:r>
    </w:p>
    <w:p w:rsidR="009D3C3A" w:rsidRPr="009D3C3A" w:rsidRDefault="009D3C3A" w:rsidP="006057BE">
      <w:pPr>
        <w:spacing w:after="0" w:line="240" w:lineRule="auto"/>
        <w:rPr>
          <w:rFonts w:ascii="Arial" w:hAnsi="Arial" w:cs="Arial"/>
          <w:sz w:val="24"/>
          <w:szCs w:val="24"/>
        </w:rPr>
      </w:pPr>
    </w:p>
    <w:p w:rsidR="009D3C3A" w:rsidRPr="009D3C3A" w:rsidRDefault="009D3C3A" w:rsidP="00AC40A7">
      <w:pPr>
        <w:pStyle w:val="Heading3"/>
      </w:pPr>
      <w:bookmarkStart w:id="142" w:name="_Toc513810108"/>
      <w:bookmarkStart w:id="143" w:name="_Toc11765933"/>
      <w:bookmarkStart w:id="144" w:name="_Toc11766588"/>
      <w:r w:rsidRPr="009D3C3A">
        <w:t>Socio-Demographic Characteristics</w:t>
      </w:r>
      <w:bookmarkEnd w:id="142"/>
      <w:bookmarkEnd w:id="143"/>
      <w:bookmarkEnd w:id="144"/>
    </w:p>
    <w:p w:rsidR="009D3C3A" w:rsidRPr="009D3C3A" w:rsidRDefault="009D3C3A" w:rsidP="006057BE">
      <w:pPr>
        <w:spacing w:after="0" w:line="240" w:lineRule="auto"/>
        <w:rPr>
          <w:rFonts w:ascii="Arial" w:hAnsi="Arial"/>
        </w:rPr>
      </w:pPr>
    </w:p>
    <w:p w:rsidR="009D3C3A" w:rsidRPr="009D3C3A" w:rsidRDefault="009D3C3A" w:rsidP="006057BE">
      <w:pPr>
        <w:spacing w:after="0" w:line="240" w:lineRule="auto"/>
        <w:rPr>
          <w:rFonts w:ascii="Arial" w:eastAsia="Times New Roman" w:hAnsi="Arial" w:cs="Arial"/>
          <w:sz w:val="24"/>
          <w:szCs w:val="24"/>
        </w:rPr>
      </w:pPr>
      <w:r w:rsidRPr="009D3C3A">
        <w:rPr>
          <w:rFonts w:ascii="Arial" w:hAnsi="Arial" w:cs="Arial"/>
          <w:sz w:val="24"/>
          <w:szCs w:val="24"/>
        </w:rPr>
        <w:t xml:space="preserve">Table 2 presents </w:t>
      </w:r>
      <w:r w:rsidRPr="009D3C3A">
        <w:rPr>
          <w:rFonts w:ascii="Arial" w:eastAsia="Times New Roman" w:hAnsi="Arial" w:cs="Arial"/>
          <w:sz w:val="24"/>
          <w:szCs w:val="24"/>
        </w:rPr>
        <w:t>socio-demographic characteristics of adults who had used marijuana in the past 30 days compared with adults who had not.</w:t>
      </w:r>
      <w:r w:rsidRPr="009D3C3A">
        <w:rPr>
          <w:rFonts w:ascii="Arial" w:eastAsia="Times New Roman" w:hAnsi="Arial" w:cs="Arial"/>
          <w:b/>
          <w:sz w:val="24"/>
          <w:szCs w:val="24"/>
        </w:rPr>
        <w:t xml:space="preserve"> </w:t>
      </w:r>
      <w:r w:rsidRPr="009D3C3A">
        <w:rPr>
          <w:rFonts w:ascii="Arial" w:eastAsia="Times New Roman" w:hAnsi="Arial" w:cs="Arial"/>
          <w:sz w:val="24"/>
          <w:szCs w:val="24"/>
        </w:rPr>
        <w:t>A greater proportion of marijuana users than non-users are men, 57.7% versus 44.5% (p&lt;0.001).</w:t>
      </w:r>
    </w:p>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With respect to age, marijuana users tend to be younger than non-users, with a greater proportion of them in the youngest age categories (p&lt;0.001). Specifically, 9.6% of marijuana users are aged 18 to 20, versus 2.2% of non-users, 14.7% of marijuana users are 21 to 25, versus 4.2% of non-users, and 14.3% of marijuana users are 26 to 29, versus 7.4% of non-users. For the 30 to 59 age categories, differences between marijuana users and non-users are small (&lt;5%). A smaller proportion of marijuana users than non-users are aged 60 to 69, 10.1% versus 16.7%, and a smaller proportion are 70 or older, 2.3% versus 17.2%.</w:t>
      </w:r>
    </w:p>
    <w:p w:rsidR="009D3C3A" w:rsidRPr="009D3C3A" w:rsidRDefault="009D3C3A" w:rsidP="006057BE">
      <w:pPr>
        <w:spacing w:after="0" w:line="240" w:lineRule="auto"/>
        <w:rPr>
          <w:rFonts w:ascii="Arial" w:eastAsia="Times New Roman" w:hAnsi="Arial" w:cs="Arial"/>
          <w:sz w:val="24"/>
          <w:szCs w:val="24"/>
        </w:rPr>
      </w:pPr>
    </w:p>
    <w:p w:rsidR="009D3C3A" w:rsidRPr="009D3C3A" w:rsidRDefault="009D3C3A" w:rsidP="006057BE">
      <w:pPr>
        <w:spacing w:after="0" w:line="240" w:lineRule="auto"/>
        <w:rPr>
          <w:rFonts w:ascii="Arial" w:eastAsia="Calibri" w:hAnsi="Arial" w:cs="Arial"/>
          <w:sz w:val="24"/>
          <w:szCs w:val="24"/>
        </w:rPr>
      </w:pPr>
      <w:r w:rsidRPr="009D3C3A">
        <w:rPr>
          <w:rFonts w:ascii="Arial" w:eastAsia="Times New Roman" w:hAnsi="Arial" w:cs="Arial"/>
          <w:sz w:val="24"/>
          <w:szCs w:val="24"/>
        </w:rPr>
        <w:t>A smaller proportion of marijuana users than non-users are White or Asian, and a greater proportion are Hispanic, African American, or other race/ethnicity (p&lt;0.05). Specifically, 70.8% of marijuana users are White, versus 75.5% of non-users, and 3.2% of marijuana users are Asian, versus 7.3% of non-users. Among marijuana users, 12.0% are Hispanic, 7.1% are African American, and 6.9% are another race/ethnicity. Among non-users, in comparison, 8.7% are Hispanic, 5.5% are African American, and 3.1% are another race/ethnicity.</w:t>
      </w:r>
    </w:p>
    <w:p w:rsidR="00784755" w:rsidRDefault="00784755"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FF2F11" w:rsidRDefault="00FF2F11" w:rsidP="006057BE">
      <w:pPr>
        <w:spacing w:after="0" w:line="240" w:lineRule="auto"/>
        <w:rPr>
          <w:rFonts w:ascii="Arial" w:eastAsia="Calibri" w:hAnsi="Arial" w:cs="Arial"/>
          <w:sz w:val="24"/>
          <w:szCs w:val="24"/>
        </w:rPr>
      </w:pPr>
    </w:p>
    <w:p w:rsidR="00784755" w:rsidRPr="007837F5" w:rsidRDefault="009D3C3A" w:rsidP="007837F5">
      <w:pPr>
        <w:tabs>
          <w:tab w:val="left" w:pos="-2070"/>
        </w:tabs>
        <w:spacing w:after="0" w:line="240" w:lineRule="auto"/>
        <w:rPr>
          <w:rFonts w:ascii="Arial" w:hAnsi="Arial" w:cs="Arial"/>
          <w:b/>
          <w:sz w:val="24"/>
          <w:szCs w:val="24"/>
        </w:rPr>
      </w:pPr>
      <w:r w:rsidRPr="007837F5">
        <w:rPr>
          <w:rFonts w:ascii="Arial" w:hAnsi="Arial" w:cs="Arial"/>
          <w:b/>
          <w:sz w:val="24"/>
          <w:szCs w:val="24"/>
        </w:rPr>
        <w:lastRenderedPageBreak/>
        <w:t>Table 1. Prevalence Rate of Past 30</w:t>
      </w:r>
      <w:r w:rsidR="007837F5">
        <w:rPr>
          <w:rFonts w:ascii="Arial" w:hAnsi="Arial" w:cs="Arial"/>
          <w:b/>
          <w:sz w:val="24"/>
          <w:szCs w:val="24"/>
        </w:rPr>
        <w:t>-day Marijuana Use by Key Socio -</w:t>
      </w:r>
      <w:r w:rsidRPr="007837F5">
        <w:rPr>
          <w:rFonts w:ascii="Arial" w:hAnsi="Arial" w:cs="Arial"/>
          <w:b/>
          <w:sz w:val="24"/>
          <w:szCs w:val="24"/>
        </w:rPr>
        <w:t>Demographic Characteristics</w:t>
      </w:r>
    </w:p>
    <w:tbl>
      <w:tblPr>
        <w:tblW w:w="5778" w:type="dxa"/>
        <w:tblLook w:val="04A0" w:firstRow="1" w:lastRow="0" w:firstColumn="1" w:lastColumn="0" w:noHBand="0" w:noVBand="1"/>
        <w:tblCaption w:val="Prevalence Rate of Past 30-day Marijuana Use by Socio-demographic Characteristics"/>
        <w:tblDescription w:val="The table shows socio-demographic characteristics of adults who had used marijuana in the past 30 days compared with adults who had not. A greater proportion of marijuana users than non-users are men.  Users tend to be younger than non-users, with a greater proportion of them in the youngest age categories. A smaller proportion of marijuana users than non-users are White or Asian, and a greater proportion are Hispanic, African American, or other race/ethnicity. A greater proportion of users than non-users have a High School diploma or college degree, and a smaller proportion have attained a graduate degree. A smaller proportion of users than non-users own a home, and a greater proportion rent or have another type of living arrangements.&#10;There are no differences between users and non-users regarding income, having children in the home, health insurance type, and region of residence. For both groups, most report an income of $50,000 to $99,999 or more, few have children in the home, private health insurance is the most common type of health insurance, followed by Medicare and Mass Health.&#10;&#10;"/>
      </w:tblPr>
      <w:tblGrid>
        <w:gridCol w:w="2986"/>
        <w:gridCol w:w="902"/>
        <w:gridCol w:w="900"/>
        <w:gridCol w:w="990"/>
      </w:tblGrid>
      <w:tr w:rsidR="009D3C3A" w:rsidRPr="009D3C3A" w:rsidTr="000A008F">
        <w:trPr>
          <w:trHeight w:val="255"/>
        </w:trPr>
        <w:tc>
          <w:tcPr>
            <w:tcW w:w="2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 </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890"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r>
      <w:tr w:rsidR="009D3C3A" w:rsidRPr="009D3C3A" w:rsidTr="007837F5">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Total population</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sz w:val="24"/>
                <w:szCs w:val="24"/>
              </w:rPr>
            </w:pPr>
            <w:r w:rsidRPr="009D3C3A">
              <w:rPr>
                <w:rFonts w:ascii="Arial" w:eastAsia="Times New Roman" w:hAnsi="Arial" w:cs="Arial"/>
                <w:sz w:val="24"/>
                <w:szCs w:val="24"/>
              </w:rPr>
              <w:t>21.1</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sz w:val="24"/>
                <w:szCs w:val="24"/>
              </w:rPr>
            </w:pPr>
            <w:r w:rsidRPr="009D3C3A">
              <w:rPr>
                <w:rFonts w:ascii="Arial" w:eastAsia="Times New Roman" w:hAnsi="Arial" w:cs="Arial"/>
                <w:sz w:val="24"/>
                <w:szCs w:val="24"/>
              </w:rPr>
              <w:t>18.6</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sz w:val="24"/>
                <w:szCs w:val="24"/>
              </w:rPr>
            </w:pPr>
            <w:r w:rsidRPr="009D3C3A">
              <w:rPr>
                <w:rFonts w:ascii="Arial" w:eastAsia="Times New Roman" w:hAnsi="Arial" w:cs="Arial"/>
                <w:sz w:val="24"/>
                <w:szCs w:val="24"/>
              </w:rPr>
              <w:t>23.6</w:t>
            </w:r>
          </w:p>
        </w:tc>
      </w:tr>
      <w:tr w:rsidR="009D3C3A" w:rsidRPr="009D3C3A" w:rsidTr="007837F5">
        <w:trPr>
          <w:trHeight w:val="255"/>
        </w:trPr>
        <w:tc>
          <w:tcPr>
            <w:tcW w:w="2986" w:type="dxa"/>
            <w:tcBorders>
              <w:top w:val="single" w:sz="4" w:space="0" w:color="auto"/>
              <w:left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Gender</w:t>
            </w:r>
          </w:p>
        </w:tc>
        <w:tc>
          <w:tcPr>
            <w:tcW w:w="902" w:type="dxa"/>
            <w:tcBorders>
              <w:top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c>
          <w:tcPr>
            <w:tcW w:w="900" w:type="dxa"/>
            <w:tcBorders>
              <w:top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c>
          <w:tcPr>
            <w:tcW w:w="990" w:type="dxa"/>
            <w:tcBorders>
              <w:top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Female</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17.0</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14.1</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20.0</w:t>
            </w:r>
          </w:p>
        </w:tc>
      </w:tr>
      <w:tr w:rsidR="009D3C3A" w:rsidRPr="009D3C3A" w:rsidTr="007837F5">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Male</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25.9</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21.9</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29.9</w:t>
            </w:r>
          </w:p>
        </w:tc>
      </w:tr>
      <w:tr w:rsidR="009D3C3A" w:rsidRPr="009D3C3A" w:rsidTr="007837F5">
        <w:trPr>
          <w:trHeight w:val="255"/>
        </w:trPr>
        <w:tc>
          <w:tcPr>
            <w:tcW w:w="2986" w:type="dxa"/>
            <w:tcBorders>
              <w:top w:val="single" w:sz="4" w:space="0" w:color="auto"/>
              <w:left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Age</w:t>
            </w:r>
          </w:p>
        </w:tc>
        <w:tc>
          <w:tcPr>
            <w:tcW w:w="902" w:type="dxa"/>
            <w:tcBorders>
              <w:top w:val="single" w:sz="4" w:space="0" w:color="auto"/>
              <w:bottom w:val="single" w:sz="4" w:space="0" w:color="auto"/>
            </w:tcBorders>
            <w:shd w:val="clear" w:color="auto" w:fill="auto"/>
            <w:noWrap/>
            <w:vAlign w:val="bottom"/>
            <w:hideMark/>
          </w:tcPr>
          <w:p w:rsidR="009D3C3A" w:rsidRPr="007837F5" w:rsidRDefault="009D3C3A" w:rsidP="006057BE">
            <w:pPr>
              <w:spacing w:after="0" w:line="240" w:lineRule="auto"/>
              <w:rPr>
                <w:rFonts w:ascii="Arial" w:eastAsia="Times New Roman" w:hAnsi="Arial" w:cs="Arial"/>
                <w:b/>
                <w:bCs/>
                <w:sz w:val="24"/>
                <w:szCs w:val="24"/>
              </w:rPr>
            </w:pPr>
            <w:r w:rsidRPr="007837F5">
              <w:rPr>
                <w:rFonts w:ascii="Arial" w:eastAsia="Times New Roman" w:hAnsi="Arial" w:cs="Arial"/>
                <w:b/>
                <w:bCs/>
                <w:sz w:val="24"/>
                <w:szCs w:val="24"/>
              </w:rPr>
              <w:t> </w:t>
            </w:r>
          </w:p>
        </w:tc>
        <w:tc>
          <w:tcPr>
            <w:tcW w:w="900" w:type="dxa"/>
            <w:tcBorders>
              <w:top w:val="single" w:sz="4" w:space="0" w:color="auto"/>
              <w:bottom w:val="single" w:sz="4" w:space="0" w:color="auto"/>
            </w:tcBorders>
            <w:shd w:val="clear" w:color="auto" w:fill="auto"/>
            <w:noWrap/>
            <w:vAlign w:val="bottom"/>
            <w:hideMark/>
          </w:tcPr>
          <w:p w:rsidR="009D3C3A" w:rsidRPr="007837F5" w:rsidRDefault="009D3C3A" w:rsidP="006057BE">
            <w:pPr>
              <w:spacing w:after="0" w:line="240" w:lineRule="auto"/>
              <w:rPr>
                <w:rFonts w:ascii="Arial" w:eastAsia="Times New Roman" w:hAnsi="Arial" w:cs="Arial"/>
                <w:b/>
                <w:bCs/>
                <w:sz w:val="24"/>
                <w:szCs w:val="24"/>
              </w:rPr>
            </w:pPr>
            <w:r w:rsidRPr="007837F5">
              <w:rPr>
                <w:rFonts w:ascii="Arial" w:eastAsia="Times New Roman" w:hAnsi="Arial" w:cs="Arial"/>
                <w:b/>
                <w:bCs/>
                <w:sz w:val="24"/>
                <w:szCs w:val="24"/>
              </w:rPr>
              <w:t> </w:t>
            </w:r>
          </w:p>
        </w:tc>
        <w:tc>
          <w:tcPr>
            <w:tcW w:w="990" w:type="dxa"/>
            <w:tcBorders>
              <w:top w:val="single" w:sz="4" w:space="0" w:color="auto"/>
              <w:bottom w:val="single" w:sz="4" w:space="0" w:color="auto"/>
              <w:right w:val="single" w:sz="4" w:space="0" w:color="auto"/>
            </w:tcBorders>
            <w:shd w:val="clear" w:color="auto" w:fill="auto"/>
            <w:noWrap/>
            <w:vAlign w:val="bottom"/>
            <w:hideMark/>
          </w:tcPr>
          <w:p w:rsidR="009D3C3A" w:rsidRPr="007837F5" w:rsidRDefault="009D3C3A" w:rsidP="006057BE">
            <w:pPr>
              <w:spacing w:after="0" w:line="240" w:lineRule="auto"/>
              <w:rPr>
                <w:rFonts w:ascii="Arial" w:eastAsia="Times New Roman" w:hAnsi="Arial" w:cs="Arial"/>
                <w:b/>
                <w:bCs/>
                <w:sz w:val="24"/>
                <w:szCs w:val="24"/>
              </w:rPr>
            </w:pPr>
            <w:r w:rsidRPr="007837F5">
              <w:rPr>
                <w:rFonts w:ascii="Arial" w:eastAsia="Times New Roman" w:hAnsi="Arial" w:cs="Arial"/>
                <w:b/>
                <w:bCs/>
                <w:sz w:val="24"/>
                <w:szCs w:val="24"/>
              </w:rPr>
              <w:t> </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18-20</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54.4</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32.3</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76.4</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21-25</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49.1</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35.1</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63.1</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26-29</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34.5</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23.6</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45.5</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30-39</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22.7</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16.7</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28.7</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40-49</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19.3</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12.8</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25.8</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50=59</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18.7</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14.9</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22.5</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60-69</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14.1</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10.4</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17.8</w:t>
            </w:r>
          </w:p>
        </w:tc>
      </w:tr>
      <w:tr w:rsidR="009D3C3A" w:rsidRPr="009D3C3A" w:rsidTr="007837F5">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&gt;=70</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3.4</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1.0</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5.9</w:t>
            </w:r>
          </w:p>
        </w:tc>
      </w:tr>
      <w:tr w:rsidR="009D3C3A" w:rsidRPr="009D3C3A" w:rsidTr="007837F5">
        <w:trPr>
          <w:trHeight w:val="255"/>
        </w:trPr>
        <w:tc>
          <w:tcPr>
            <w:tcW w:w="2986" w:type="dxa"/>
            <w:tcBorders>
              <w:top w:val="single" w:sz="4" w:space="0" w:color="auto"/>
              <w:left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Race/Ethnicity</w:t>
            </w:r>
          </w:p>
        </w:tc>
        <w:tc>
          <w:tcPr>
            <w:tcW w:w="902" w:type="dxa"/>
            <w:tcBorders>
              <w:top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c>
          <w:tcPr>
            <w:tcW w:w="900" w:type="dxa"/>
            <w:tcBorders>
              <w:top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c>
          <w:tcPr>
            <w:tcW w:w="990" w:type="dxa"/>
            <w:tcBorders>
              <w:top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White, non-Hispanic</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20.1</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17.5</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22.8</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Hispanic</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27.1</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16.7</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37.5</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Asian, non-Hispanic</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10.4</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2.7</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18.2</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Black, non-Hispanic</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25.8</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12.1</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39.5</w:t>
            </w:r>
          </w:p>
        </w:tc>
      </w:tr>
      <w:tr w:rsidR="009D3C3A" w:rsidRPr="009D3C3A" w:rsidTr="007837F5">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Other, non-Hispanic</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37.4</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21.9</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52.9</w:t>
            </w:r>
          </w:p>
        </w:tc>
      </w:tr>
      <w:tr w:rsidR="009D3C3A" w:rsidRPr="009D3C3A" w:rsidTr="007837F5">
        <w:trPr>
          <w:trHeight w:val="255"/>
        </w:trPr>
        <w:tc>
          <w:tcPr>
            <w:tcW w:w="2986" w:type="dxa"/>
            <w:tcBorders>
              <w:top w:val="single" w:sz="4" w:space="0" w:color="auto"/>
              <w:left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Education</w:t>
            </w:r>
          </w:p>
        </w:tc>
        <w:tc>
          <w:tcPr>
            <w:tcW w:w="902" w:type="dxa"/>
            <w:tcBorders>
              <w:top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c>
          <w:tcPr>
            <w:tcW w:w="900" w:type="dxa"/>
            <w:tcBorders>
              <w:top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c>
          <w:tcPr>
            <w:tcW w:w="990" w:type="dxa"/>
            <w:tcBorders>
              <w:top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&lt;=HS</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24.7</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19.1</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30.3</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College</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22.9</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19.6</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26.1</w:t>
            </w:r>
          </w:p>
        </w:tc>
      </w:tr>
      <w:tr w:rsidR="009D3C3A" w:rsidRPr="009D3C3A" w:rsidTr="007837F5">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Graduate degree</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10.7</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7.9</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13.4</w:t>
            </w:r>
          </w:p>
        </w:tc>
      </w:tr>
      <w:tr w:rsidR="009D3C3A" w:rsidRPr="009D3C3A" w:rsidTr="007837F5">
        <w:trPr>
          <w:trHeight w:val="255"/>
        </w:trPr>
        <w:tc>
          <w:tcPr>
            <w:tcW w:w="2986" w:type="dxa"/>
            <w:tcBorders>
              <w:top w:val="single" w:sz="4" w:space="0" w:color="auto"/>
              <w:left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Income</w:t>
            </w:r>
          </w:p>
        </w:tc>
        <w:tc>
          <w:tcPr>
            <w:tcW w:w="902" w:type="dxa"/>
            <w:tcBorders>
              <w:top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c>
          <w:tcPr>
            <w:tcW w:w="900" w:type="dxa"/>
            <w:tcBorders>
              <w:top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c>
          <w:tcPr>
            <w:tcW w:w="990" w:type="dxa"/>
            <w:tcBorders>
              <w:top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Less than $15,000</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32.5</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22.7</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42.4</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$15,000  -  $29,999</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24.6</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16.2</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33.1</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$30,000  -  $49,999</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17.3</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11.2</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23.4</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$50,000  -  $99,999</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20.7</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16.0</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25.4</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$100,000  -  $149,999</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21.5</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15.7</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27.3</w:t>
            </w:r>
          </w:p>
        </w:tc>
      </w:tr>
      <w:tr w:rsidR="009D3C3A" w:rsidRPr="009D3C3A" w:rsidTr="007837F5">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$150,000 or more</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19.8</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13.9</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25.7</w:t>
            </w:r>
          </w:p>
        </w:tc>
      </w:tr>
      <w:tr w:rsidR="009D3C3A" w:rsidRPr="009D3C3A" w:rsidTr="007837F5">
        <w:trPr>
          <w:trHeight w:val="255"/>
        </w:trPr>
        <w:tc>
          <w:tcPr>
            <w:tcW w:w="2986" w:type="dxa"/>
            <w:tcBorders>
              <w:top w:val="single" w:sz="4" w:space="0" w:color="auto"/>
              <w:left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Region</w:t>
            </w:r>
          </w:p>
        </w:tc>
        <w:tc>
          <w:tcPr>
            <w:tcW w:w="902" w:type="dxa"/>
            <w:tcBorders>
              <w:top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c>
          <w:tcPr>
            <w:tcW w:w="900" w:type="dxa"/>
            <w:tcBorders>
              <w:top w:val="single" w:sz="4" w:space="0" w:color="auto"/>
              <w:bottom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c>
          <w:tcPr>
            <w:tcW w:w="990" w:type="dxa"/>
            <w:tcBorders>
              <w:top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Boston</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20.5</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13.8</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27.2</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Central</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19.6</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14.0</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25.3</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Metrowest</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18.2</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12.6</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23.7</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Northeast</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20.1</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14.6</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25.7</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Southeast</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20.9</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14.7</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27.2</w:t>
            </w:r>
          </w:p>
        </w:tc>
      </w:tr>
      <w:tr w:rsidR="009D3C3A" w:rsidRPr="009D3C3A" w:rsidTr="000A008F">
        <w:trPr>
          <w:trHeight w:val="255"/>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Western</w:t>
            </w:r>
          </w:p>
        </w:tc>
        <w:tc>
          <w:tcPr>
            <w:tcW w:w="90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29.8</w:t>
            </w:r>
          </w:p>
        </w:tc>
        <w:tc>
          <w:tcPr>
            <w:tcW w:w="90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23.2</w:t>
            </w:r>
          </w:p>
        </w:tc>
        <w:tc>
          <w:tcPr>
            <w:tcW w:w="99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color w:val="000000"/>
                <w:sz w:val="24"/>
                <w:szCs w:val="24"/>
              </w:rPr>
            </w:pPr>
            <w:r w:rsidRPr="009D3C3A">
              <w:rPr>
                <w:rFonts w:ascii="Arial" w:eastAsia="Times New Roman" w:hAnsi="Arial" w:cs="Arial"/>
                <w:color w:val="000000"/>
                <w:sz w:val="24"/>
                <w:szCs w:val="24"/>
              </w:rPr>
              <w:t>36.4</w:t>
            </w:r>
          </w:p>
        </w:tc>
      </w:tr>
    </w:tbl>
    <w:p w:rsidR="00784755" w:rsidRDefault="00784755" w:rsidP="006057BE">
      <w:pPr>
        <w:spacing w:after="0" w:line="240" w:lineRule="auto"/>
        <w:rPr>
          <w:rFonts w:ascii="Arial" w:eastAsia="Calibri" w:hAnsi="Arial" w:cs="Arial"/>
          <w:noProof/>
          <w:sz w:val="24"/>
          <w:szCs w:val="24"/>
        </w:rPr>
      </w:pPr>
    </w:p>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A greater proportion of marijuana users than non-users have attained a High School diploma or college degree, and a smaller proportion have attained a graduate degree (p&lt;0.001). A smaller proportion of marijuana users than non-users own a home, and a greater proportion rent or have another type of living arrangements (p&lt;0.001).</w:t>
      </w:r>
    </w:p>
    <w:p w:rsidR="000941B7" w:rsidRPr="007837F5" w:rsidRDefault="009D3C3A" w:rsidP="007837F5">
      <w:pPr>
        <w:spacing w:after="0" w:line="240" w:lineRule="auto"/>
        <w:rPr>
          <w:rFonts w:ascii="Arial" w:eastAsia="Times New Roman" w:hAnsi="Arial" w:cs="Arial"/>
          <w:sz w:val="24"/>
          <w:szCs w:val="24"/>
        </w:rPr>
      </w:pPr>
      <w:r w:rsidRPr="009D3C3A">
        <w:rPr>
          <w:rFonts w:ascii="Arial" w:eastAsia="Times New Roman" w:hAnsi="Arial" w:cs="Arial"/>
          <w:sz w:val="24"/>
          <w:szCs w:val="24"/>
        </w:rPr>
        <w:lastRenderedPageBreak/>
        <w:t>There are no differences between marijuana users and non-users in the remaining socio-demographic characteristics, including income, having children in the home, health insurance type, and region of residence. For both groups, most report an income of $50,000 to $99,999 or more, few have children in the home, private health insurance is the most common type of health insurance, follow</w:t>
      </w:r>
      <w:r w:rsidR="007837F5">
        <w:rPr>
          <w:rFonts w:ascii="Arial" w:eastAsia="Times New Roman" w:hAnsi="Arial" w:cs="Arial"/>
          <w:sz w:val="24"/>
          <w:szCs w:val="24"/>
        </w:rPr>
        <w:t>ed by Medicare and Mass Health.</w:t>
      </w:r>
    </w:p>
    <w:p w:rsidR="000941B7" w:rsidRDefault="000941B7" w:rsidP="006057BE">
      <w:pPr>
        <w:tabs>
          <w:tab w:val="left" w:pos="-2070"/>
        </w:tabs>
        <w:spacing w:after="0" w:line="240" w:lineRule="auto"/>
        <w:rPr>
          <w:rFonts w:ascii="Arial" w:hAnsi="Arial" w:cs="Arial"/>
          <w:b/>
          <w:sz w:val="24"/>
          <w:szCs w:val="24"/>
        </w:rPr>
      </w:pPr>
    </w:p>
    <w:p w:rsidR="00FF2F11" w:rsidRDefault="009D3C3A" w:rsidP="006057BE">
      <w:pPr>
        <w:tabs>
          <w:tab w:val="left" w:pos="-2070"/>
        </w:tabs>
        <w:spacing w:after="0" w:line="240" w:lineRule="auto"/>
        <w:rPr>
          <w:rFonts w:ascii="Arial" w:eastAsia="Times New Roman" w:hAnsi="Arial" w:cs="Arial"/>
          <w:b/>
          <w:sz w:val="24"/>
          <w:szCs w:val="24"/>
        </w:rPr>
      </w:pPr>
      <w:r w:rsidRPr="009D3C3A">
        <w:rPr>
          <w:rFonts w:ascii="Arial" w:hAnsi="Arial" w:cs="Arial"/>
          <w:b/>
          <w:sz w:val="24"/>
          <w:szCs w:val="24"/>
        </w:rPr>
        <w:t xml:space="preserve">Table 2. </w:t>
      </w:r>
      <w:r w:rsidRPr="009D3C3A">
        <w:rPr>
          <w:rFonts w:ascii="Arial" w:eastAsia="Times New Roman" w:hAnsi="Arial" w:cs="Arial"/>
          <w:b/>
          <w:sz w:val="24"/>
          <w:szCs w:val="24"/>
        </w:rPr>
        <w:t>Socio-Demographic Characteristics of Marijuana Users and Non-Users</w:t>
      </w:r>
    </w:p>
    <w:p w:rsidR="007837F5" w:rsidRPr="009D3C3A" w:rsidRDefault="007837F5" w:rsidP="006057BE">
      <w:pPr>
        <w:tabs>
          <w:tab w:val="left" w:pos="-2070"/>
        </w:tabs>
        <w:spacing w:after="0" w:line="240" w:lineRule="auto"/>
        <w:rPr>
          <w:rFonts w:ascii="Arial" w:eastAsia="Times New Roman" w:hAnsi="Arial" w:cs="Arial"/>
          <w:b/>
          <w:sz w:val="24"/>
          <w:szCs w:val="24"/>
        </w:rPr>
      </w:pPr>
    </w:p>
    <w:tbl>
      <w:tblPr>
        <w:tblW w:w="9468" w:type="dxa"/>
        <w:tblLook w:val="04A0" w:firstRow="1" w:lastRow="0" w:firstColumn="1" w:lastColumn="0" w:noHBand="0" w:noVBand="1"/>
        <w:tblCaption w:val="Socio-demographic Characteristics of Marijuana Users and non-Users"/>
        <w:tblDescription w:val="The table summarizes the differences between users and non-users in the last 30 days in terms of gender, age, race/ethnicity, education, income, home ownership, children in household, health insurance type, and region. "/>
      </w:tblPr>
      <w:tblGrid>
        <w:gridCol w:w="2628"/>
        <w:gridCol w:w="760"/>
        <w:gridCol w:w="760"/>
        <w:gridCol w:w="760"/>
        <w:gridCol w:w="760"/>
        <w:gridCol w:w="760"/>
        <w:gridCol w:w="760"/>
        <w:gridCol w:w="760"/>
        <w:gridCol w:w="760"/>
        <w:gridCol w:w="760"/>
      </w:tblGrid>
      <w:tr w:rsidR="009D3C3A" w:rsidRPr="009D3C3A" w:rsidTr="009D3C3A">
        <w:trPr>
          <w:trHeight w:val="405"/>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 </w:t>
            </w:r>
          </w:p>
        </w:tc>
        <w:tc>
          <w:tcPr>
            <w:tcW w:w="6840" w:type="dxa"/>
            <w:gridSpan w:val="9"/>
            <w:tcBorders>
              <w:top w:val="single" w:sz="4" w:space="0" w:color="auto"/>
              <w:left w:val="nil"/>
              <w:bottom w:val="single" w:sz="4" w:space="0" w:color="auto"/>
              <w:right w:val="single" w:sz="4" w:space="0" w:color="000000"/>
            </w:tcBorders>
            <w:shd w:val="clear" w:color="auto" w:fill="auto"/>
            <w:vAlign w:val="center"/>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In the past 30 days, did you use marijuana or hashish at least once?</w:t>
            </w:r>
          </w:p>
        </w:tc>
      </w:tr>
      <w:tr w:rsidR="009D3C3A" w:rsidRPr="009D3C3A" w:rsidTr="009D3C3A">
        <w:trPr>
          <w:trHeight w:val="540"/>
        </w:trPr>
        <w:tc>
          <w:tcPr>
            <w:tcW w:w="2628" w:type="dxa"/>
            <w:vMerge/>
            <w:tcBorders>
              <w:top w:val="single" w:sz="4" w:space="0" w:color="auto"/>
              <w:left w:val="single" w:sz="4" w:space="0" w:color="auto"/>
              <w:bottom w:val="single" w:sz="4" w:space="0" w:color="auto"/>
              <w:right w:val="single" w:sz="4" w:space="0" w:color="auto"/>
            </w:tcBorders>
            <w:vAlign w:val="center"/>
            <w:hideMark/>
          </w:tcPr>
          <w:p w:rsidR="009D3C3A" w:rsidRPr="009D3C3A" w:rsidRDefault="009D3C3A" w:rsidP="006057BE">
            <w:pPr>
              <w:spacing w:after="0" w:line="240" w:lineRule="auto"/>
              <w:rPr>
                <w:rFonts w:ascii="Arial" w:eastAsia="Times New Roman" w:hAnsi="Arial" w:cs="Arial"/>
                <w:b/>
                <w:bCs/>
                <w:sz w:val="24"/>
                <w:szCs w:val="24"/>
              </w:rPr>
            </w:pPr>
          </w:p>
        </w:tc>
        <w:tc>
          <w:tcPr>
            <w:tcW w:w="2280" w:type="dxa"/>
            <w:gridSpan w:val="3"/>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 xml:space="preserve">Yes: n=439, 21.1% </w:t>
            </w:r>
            <w:r w:rsidRPr="009D3C3A">
              <w:rPr>
                <w:rFonts w:ascii="Arial" w:eastAsia="Times New Roman" w:hAnsi="Arial" w:cs="Arial"/>
                <w:b/>
                <w:bCs/>
                <w:sz w:val="24"/>
                <w:szCs w:val="24"/>
              </w:rPr>
              <w:br/>
            </w:r>
            <w:r w:rsidRPr="009D3C3A">
              <w:rPr>
                <w:rFonts w:ascii="Arial" w:eastAsia="Times New Roman" w:hAnsi="Arial" w:cs="Arial"/>
                <w:sz w:val="24"/>
                <w:szCs w:val="24"/>
              </w:rPr>
              <w:t>(95% CI 18.6, 23.6)</w:t>
            </w:r>
          </w:p>
        </w:tc>
        <w:tc>
          <w:tcPr>
            <w:tcW w:w="2280" w:type="dxa"/>
            <w:gridSpan w:val="3"/>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No: n=2,583, 78.9%</w:t>
            </w:r>
            <w:r w:rsidRPr="009D3C3A">
              <w:rPr>
                <w:rFonts w:ascii="Arial" w:eastAsia="Times New Roman" w:hAnsi="Arial" w:cs="Arial"/>
                <w:b/>
                <w:bCs/>
                <w:sz w:val="24"/>
                <w:szCs w:val="24"/>
              </w:rPr>
              <w:br/>
            </w:r>
            <w:r w:rsidRPr="009D3C3A">
              <w:rPr>
                <w:rFonts w:ascii="Arial" w:eastAsia="Times New Roman" w:hAnsi="Arial" w:cs="Arial"/>
                <w:sz w:val="24"/>
                <w:szCs w:val="24"/>
              </w:rPr>
              <w:t xml:space="preserve"> (95% CI 76.4, 81.4)</w:t>
            </w:r>
          </w:p>
        </w:tc>
        <w:tc>
          <w:tcPr>
            <w:tcW w:w="2280" w:type="dxa"/>
            <w:gridSpan w:val="3"/>
            <w:tcBorders>
              <w:top w:val="single" w:sz="4" w:space="0" w:color="auto"/>
              <w:left w:val="nil"/>
              <w:bottom w:val="single" w:sz="4" w:space="0" w:color="auto"/>
              <w:right w:val="single" w:sz="4" w:space="0" w:color="auto"/>
            </w:tcBorders>
            <w:shd w:val="clear" w:color="auto" w:fill="auto"/>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Total: n=3,022</w:t>
            </w:r>
          </w:p>
        </w:tc>
      </w:tr>
      <w:tr w:rsidR="009D3C3A" w:rsidRPr="009D3C3A" w:rsidTr="009D3C3A">
        <w:trPr>
          <w:trHeight w:val="255"/>
        </w:trPr>
        <w:tc>
          <w:tcPr>
            <w:tcW w:w="2628" w:type="dxa"/>
            <w:vMerge/>
            <w:tcBorders>
              <w:top w:val="single" w:sz="4" w:space="0" w:color="auto"/>
              <w:left w:val="single" w:sz="4" w:space="0" w:color="auto"/>
              <w:bottom w:val="single" w:sz="4" w:space="0" w:color="auto"/>
              <w:right w:val="single" w:sz="4" w:space="0" w:color="auto"/>
            </w:tcBorders>
            <w:vAlign w:val="center"/>
            <w:hideMark/>
          </w:tcPr>
          <w:p w:rsidR="009D3C3A" w:rsidRPr="009D3C3A" w:rsidRDefault="009D3C3A" w:rsidP="006057BE">
            <w:pPr>
              <w:spacing w:after="0" w:line="240" w:lineRule="auto"/>
              <w:rPr>
                <w:rFonts w:ascii="Arial" w:eastAsia="Times New Roman" w:hAnsi="Arial" w:cs="Arial"/>
                <w:b/>
                <w:bCs/>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520"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520"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520"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r>
      <w:tr w:rsidR="009D3C3A" w:rsidRPr="009D3C3A" w:rsidTr="007837F5">
        <w:trPr>
          <w:trHeight w:val="323"/>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Gender***</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sz w:val="24"/>
                <w:szCs w:val="24"/>
              </w:rPr>
            </w:pPr>
            <w:r w:rsidRPr="009D3C3A">
              <w:rPr>
                <w:rFonts w:ascii="Arial" w:eastAsia="Times New Roman" w:hAnsi="Arial" w:cs="Arial"/>
                <w:sz w:val="24"/>
                <w:szCs w:val="24"/>
              </w:rPr>
              <w:t> </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sz w:val="24"/>
                <w:szCs w:val="24"/>
              </w:rPr>
            </w:pPr>
            <w:r w:rsidRPr="009D3C3A">
              <w:rPr>
                <w:rFonts w:ascii="Arial" w:eastAsia="Times New Roman" w:hAnsi="Arial" w:cs="Arial"/>
                <w:sz w:val="24"/>
                <w:szCs w:val="24"/>
              </w:rPr>
              <w:t> </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sz w:val="24"/>
                <w:szCs w:val="24"/>
              </w:rPr>
            </w:pPr>
            <w:r w:rsidRPr="009D3C3A">
              <w:rPr>
                <w:rFonts w:ascii="Arial" w:eastAsia="Times New Roman" w:hAnsi="Arial" w:cs="Arial"/>
                <w:sz w:val="24"/>
                <w:szCs w:val="24"/>
              </w:rPr>
              <w:t> </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sz w:val="24"/>
                <w:szCs w:val="24"/>
              </w:rPr>
            </w:pPr>
            <w:r w:rsidRPr="009D3C3A">
              <w:rPr>
                <w:rFonts w:ascii="Arial" w:eastAsia="Times New Roman" w:hAnsi="Arial" w:cs="Arial"/>
                <w:sz w:val="24"/>
                <w:szCs w:val="24"/>
              </w:rPr>
              <w:t> </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sz w:val="24"/>
                <w:szCs w:val="24"/>
              </w:rPr>
            </w:pPr>
            <w:r w:rsidRPr="009D3C3A">
              <w:rPr>
                <w:rFonts w:ascii="Arial" w:eastAsia="Times New Roman" w:hAnsi="Arial" w:cs="Arial"/>
                <w:sz w:val="24"/>
                <w:szCs w:val="24"/>
              </w:rPr>
              <w:t> </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right"/>
              <w:rPr>
                <w:rFonts w:ascii="Arial" w:eastAsia="Times New Roman" w:hAnsi="Arial" w:cs="Arial"/>
                <w:sz w:val="24"/>
                <w:szCs w:val="24"/>
              </w:rPr>
            </w:pPr>
            <w:r w:rsidRPr="009D3C3A">
              <w:rPr>
                <w:rFonts w:ascii="Arial" w:eastAsia="Times New Roman" w:hAnsi="Arial" w:cs="Arial"/>
                <w:sz w:val="24"/>
                <w:szCs w:val="24"/>
              </w:rPr>
              <w:t> </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 </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 </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 </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Female</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42.3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35.6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48.9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55.5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52.7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58.4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52.7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50.0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55.4</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Male</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57.7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51.1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64.4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44.5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41.6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47.3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47.3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44.6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50.0</w:t>
            </w:r>
          </w:p>
        </w:tc>
      </w:tr>
      <w:tr w:rsidR="009D3C3A" w:rsidRPr="009D3C3A" w:rsidTr="007837F5">
        <w:trPr>
          <w:trHeight w:val="323"/>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Age***</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18-20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9.6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5.4</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21-25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14.7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9.5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20.0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6.4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8.1</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26-29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14.3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9.1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19.6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9.2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8.9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7.0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10.7</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30-39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18.1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13.1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23.2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16.8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14.4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19.1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17.0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14.9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19.2</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40-49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10.0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20.9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17.6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19.9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17.1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15.0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19.3</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50-59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11.8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18.9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18.0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16.1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19.9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17.5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15.8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19.1</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60-69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10.1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13.1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16.7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18.4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15.3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13.8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16.8</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&gt;=70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17.2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18.9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14.0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12.6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15.4</w:t>
            </w:r>
          </w:p>
        </w:tc>
      </w:tr>
      <w:tr w:rsidR="009D3C3A" w:rsidRPr="009D3C3A" w:rsidTr="007837F5">
        <w:trPr>
          <w:trHeight w:val="305"/>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Race/Ethnicity*</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White, non-Hispanic</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70.8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64.0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77.7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75.4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72.6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78.3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74.5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71.8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77.1</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Hispanic</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12.0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16.9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8.7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10.9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9.4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7.3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11.4</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Asian, non-Hispanic</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9.0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6.4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7.8</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Black, non-Hispanic</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11.6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7.4</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Other, non-Hispanic</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10.7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5.0</w:t>
            </w:r>
          </w:p>
        </w:tc>
      </w:tr>
      <w:tr w:rsidR="009D3C3A" w:rsidRPr="009D3C3A" w:rsidTr="007837F5">
        <w:trPr>
          <w:trHeight w:val="278"/>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Education***</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&lt;=HS</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38.4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31.1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45.7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31.9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28.8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34.9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33.2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30.4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36.1</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College</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53.1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46.1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60.1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48.8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45.9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51.6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49.7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47.0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52.4</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Graduate degree</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8.5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10.9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19.4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17.6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21.1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17.1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15.5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18.6</w:t>
            </w:r>
          </w:p>
        </w:tc>
      </w:tr>
      <w:tr w:rsidR="009D3C3A" w:rsidRPr="009D3C3A" w:rsidTr="007837F5">
        <w:trPr>
          <w:trHeight w:val="377"/>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Income</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Less than $15,000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10.3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21.4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9.2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11.1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10.6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8.7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12.6</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$15,000  -  $29,999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11.2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9.6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11.3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9.9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8.2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11.6</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$30,000  -  $49,999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12.7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8.0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17.4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16.9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14.5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19.3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16.0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13.8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18.1</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$50,000  -  $99,999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27.3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21.1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33.6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29.2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26.6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31.7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28.8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26.4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31.2</w:t>
            </w:r>
          </w:p>
        </w:tc>
      </w:tr>
      <w:tr w:rsidR="009D3C3A" w:rsidRPr="009D3C3A" w:rsidTr="009D3C3A">
        <w:trPr>
          <w:trHeight w:val="274"/>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$100,000  -  $149,999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17.5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12.5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22.6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17.8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20.1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17.8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15.7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19.9</w:t>
            </w:r>
          </w:p>
        </w:tc>
      </w:tr>
      <w:tr w:rsidR="009D3C3A" w:rsidRPr="009D3C3A" w:rsidTr="007837F5">
        <w:trPr>
          <w:trHeight w:val="323"/>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$150,000 or more</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10.4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20.4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17.4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19.3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16.9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15.1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18.8</w:t>
            </w:r>
          </w:p>
        </w:tc>
      </w:tr>
    </w:tbl>
    <w:p w:rsidR="00784755" w:rsidRPr="000941B7" w:rsidRDefault="00BC38C6" w:rsidP="006057BE">
      <w:pPr>
        <w:spacing w:after="0" w:line="240" w:lineRule="auto"/>
        <w:rPr>
          <w:rFonts w:ascii="Arial" w:eastAsia="Times New Roman" w:hAnsi="Arial" w:cs="Arial"/>
          <w:b/>
          <w:sz w:val="24"/>
          <w:szCs w:val="24"/>
        </w:rPr>
      </w:pPr>
      <w:r>
        <w:rPr>
          <w:rFonts w:ascii="Arial" w:hAnsi="Arial" w:cs="Arial"/>
          <w:b/>
          <w:sz w:val="24"/>
          <w:szCs w:val="24"/>
        </w:rPr>
        <w:lastRenderedPageBreak/>
        <w:t xml:space="preserve">(Continued) </w:t>
      </w:r>
      <w:r w:rsidR="009D3C3A" w:rsidRPr="009D3C3A">
        <w:rPr>
          <w:rFonts w:ascii="Arial" w:hAnsi="Arial" w:cs="Arial"/>
          <w:b/>
          <w:sz w:val="24"/>
          <w:szCs w:val="24"/>
        </w:rPr>
        <w:t xml:space="preserve">Table 2. </w:t>
      </w:r>
      <w:r w:rsidR="009D3C3A" w:rsidRPr="009D3C3A">
        <w:rPr>
          <w:rFonts w:ascii="Arial" w:eastAsia="Times New Roman" w:hAnsi="Arial" w:cs="Arial"/>
          <w:b/>
          <w:sz w:val="24"/>
          <w:szCs w:val="24"/>
        </w:rPr>
        <w:t>Socio-Demographic Characteristics of Marijuana Users and Non-Users</w:t>
      </w:r>
    </w:p>
    <w:tbl>
      <w:tblPr>
        <w:tblW w:w="9468" w:type="dxa"/>
        <w:tblLook w:val="04A0" w:firstRow="1" w:lastRow="0" w:firstColumn="1" w:lastColumn="0" w:noHBand="0" w:noVBand="1"/>
        <w:tblCaption w:val="Continued: Socio-demographic Characteristics of Marijuana Users and non-users"/>
        <w:tblDescription w:val="This table is a continuation of the table from the previous page (the complete table did not fit on a single page). The table summarizes the differences between users and non-users in the last 30 days in terms of gender, age, race/ethnicity, education, income, home ownership, children in household, health insurance type, and region. "/>
      </w:tblPr>
      <w:tblGrid>
        <w:gridCol w:w="2628"/>
        <w:gridCol w:w="760"/>
        <w:gridCol w:w="760"/>
        <w:gridCol w:w="760"/>
        <w:gridCol w:w="760"/>
        <w:gridCol w:w="760"/>
        <w:gridCol w:w="760"/>
        <w:gridCol w:w="760"/>
        <w:gridCol w:w="760"/>
        <w:gridCol w:w="760"/>
      </w:tblGrid>
      <w:tr w:rsidR="009D3C3A" w:rsidRPr="009D3C3A" w:rsidTr="009D3C3A">
        <w:trPr>
          <w:trHeight w:val="405"/>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 </w:t>
            </w:r>
          </w:p>
        </w:tc>
        <w:tc>
          <w:tcPr>
            <w:tcW w:w="6840" w:type="dxa"/>
            <w:gridSpan w:val="9"/>
            <w:tcBorders>
              <w:top w:val="single" w:sz="4" w:space="0" w:color="auto"/>
              <w:left w:val="nil"/>
              <w:bottom w:val="single" w:sz="4" w:space="0" w:color="auto"/>
              <w:right w:val="single" w:sz="4" w:space="0" w:color="000000"/>
            </w:tcBorders>
            <w:shd w:val="clear" w:color="auto" w:fill="auto"/>
            <w:vAlign w:val="center"/>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In the past 30 days, did you use marijuana or hashish at least once?</w:t>
            </w:r>
          </w:p>
        </w:tc>
      </w:tr>
      <w:tr w:rsidR="009D3C3A" w:rsidRPr="009D3C3A" w:rsidTr="009D3C3A">
        <w:trPr>
          <w:trHeight w:val="540"/>
        </w:trPr>
        <w:tc>
          <w:tcPr>
            <w:tcW w:w="2628" w:type="dxa"/>
            <w:vMerge/>
            <w:tcBorders>
              <w:top w:val="single" w:sz="4" w:space="0" w:color="auto"/>
              <w:left w:val="single" w:sz="4" w:space="0" w:color="auto"/>
              <w:bottom w:val="single" w:sz="4" w:space="0" w:color="auto"/>
              <w:right w:val="single" w:sz="4" w:space="0" w:color="auto"/>
            </w:tcBorders>
            <w:vAlign w:val="center"/>
            <w:hideMark/>
          </w:tcPr>
          <w:p w:rsidR="009D3C3A" w:rsidRPr="009D3C3A" w:rsidRDefault="009D3C3A" w:rsidP="006057BE">
            <w:pPr>
              <w:spacing w:after="0" w:line="240" w:lineRule="auto"/>
              <w:rPr>
                <w:rFonts w:ascii="Arial" w:eastAsia="Times New Roman" w:hAnsi="Arial" w:cs="Arial"/>
                <w:b/>
                <w:bCs/>
                <w:sz w:val="24"/>
                <w:szCs w:val="24"/>
              </w:rPr>
            </w:pPr>
          </w:p>
        </w:tc>
        <w:tc>
          <w:tcPr>
            <w:tcW w:w="2280" w:type="dxa"/>
            <w:gridSpan w:val="3"/>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 xml:space="preserve">Yes: n=439, 21.1% </w:t>
            </w:r>
            <w:r w:rsidRPr="009D3C3A">
              <w:rPr>
                <w:rFonts w:ascii="Arial" w:eastAsia="Times New Roman" w:hAnsi="Arial" w:cs="Arial"/>
                <w:b/>
                <w:bCs/>
                <w:sz w:val="24"/>
                <w:szCs w:val="24"/>
              </w:rPr>
              <w:br/>
            </w:r>
            <w:r w:rsidRPr="009D3C3A">
              <w:rPr>
                <w:rFonts w:ascii="Arial" w:eastAsia="Times New Roman" w:hAnsi="Arial" w:cs="Arial"/>
                <w:sz w:val="24"/>
                <w:szCs w:val="24"/>
              </w:rPr>
              <w:t>(95% CI 18.6, 23.6)</w:t>
            </w:r>
          </w:p>
        </w:tc>
        <w:tc>
          <w:tcPr>
            <w:tcW w:w="2280" w:type="dxa"/>
            <w:gridSpan w:val="3"/>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No: n=2,583, 78.9%</w:t>
            </w:r>
            <w:r w:rsidRPr="009D3C3A">
              <w:rPr>
                <w:rFonts w:ascii="Arial" w:eastAsia="Times New Roman" w:hAnsi="Arial" w:cs="Arial"/>
                <w:b/>
                <w:bCs/>
                <w:sz w:val="24"/>
                <w:szCs w:val="24"/>
              </w:rPr>
              <w:br/>
            </w:r>
            <w:r w:rsidRPr="009D3C3A">
              <w:rPr>
                <w:rFonts w:ascii="Arial" w:eastAsia="Times New Roman" w:hAnsi="Arial" w:cs="Arial"/>
                <w:sz w:val="24"/>
                <w:szCs w:val="24"/>
              </w:rPr>
              <w:t xml:space="preserve"> (95% CI 76.4, 81.4)</w:t>
            </w:r>
          </w:p>
        </w:tc>
        <w:tc>
          <w:tcPr>
            <w:tcW w:w="2280" w:type="dxa"/>
            <w:gridSpan w:val="3"/>
            <w:tcBorders>
              <w:top w:val="single" w:sz="4" w:space="0" w:color="auto"/>
              <w:left w:val="nil"/>
              <w:bottom w:val="single" w:sz="4" w:space="0" w:color="auto"/>
              <w:right w:val="single" w:sz="4" w:space="0" w:color="auto"/>
            </w:tcBorders>
            <w:shd w:val="clear" w:color="auto" w:fill="auto"/>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Total: n=3,022</w:t>
            </w:r>
          </w:p>
        </w:tc>
      </w:tr>
      <w:tr w:rsidR="009D3C3A" w:rsidRPr="009D3C3A" w:rsidTr="009D3C3A">
        <w:trPr>
          <w:trHeight w:val="255"/>
        </w:trPr>
        <w:tc>
          <w:tcPr>
            <w:tcW w:w="2628" w:type="dxa"/>
            <w:vMerge/>
            <w:tcBorders>
              <w:top w:val="single" w:sz="4" w:space="0" w:color="auto"/>
              <w:left w:val="single" w:sz="4" w:space="0" w:color="auto"/>
              <w:bottom w:val="single" w:sz="4" w:space="0" w:color="auto"/>
              <w:right w:val="single" w:sz="4" w:space="0" w:color="auto"/>
            </w:tcBorders>
            <w:vAlign w:val="center"/>
            <w:hideMark/>
          </w:tcPr>
          <w:p w:rsidR="009D3C3A" w:rsidRPr="009D3C3A" w:rsidRDefault="009D3C3A" w:rsidP="006057BE">
            <w:pPr>
              <w:spacing w:after="0" w:line="240" w:lineRule="auto"/>
              <w:rPr>
                <w:rFonts w:ascii="Arial" w:eastAsia="Times New Roman" w:hAnsi="Arial" w:cs="Arial"/>
                <w:b/>
                <w:bCs/>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520"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520"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520"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Home ownership***</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rPr>
                <w:rFonts w:ascii="Arial" w:eastAsia="Times New Roman" w:hAnsi="Arial" w:cs="Arial"/>
                <w:sz w:val="24"/>
                <w:szCs w:val="24"/>
              </w:rPr>
            </w:pPr>
            <w:r w:rsidRPr="009D3C3A">
              <w:rPr>
                <w:rFonts w:ascii="Arial" w:eastAsia="Times New Roman" w:hAnsi="Arial" w:cs="Arial"/>
                <w:sz w:val="24"/>
                <w:szCs w:val="24"/>
              </w:rPr>
              <w:t>Own</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44.2</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37.6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50.9</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63.6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60.7</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66.6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59.5</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56.8</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62.3</w:t>
            </w: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rPr>
                <w:rFonts w:ascii="Arial" w:eastAsia="Times New Roman" w:hAnsi="Arial" w:cs="Arial"/>
                <w:sz w:val="24"/>
                <w:szCs w:val="24"/>
              </w:rPr>
            </w:pPr>
            <w:r w:rsidRPr="009D3C3A">
              <w:rPr>
                <w:rFonts w:ascii="Arial" w:eastAsia="Times New Roman" w:hAnsi="Arial" w:cs="Arial"/>
                <w:sz w:val="24"/>
                <w:szCs w:val="24"/>
              </w:rPr>
              <w:t>Rent</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46.6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39.7</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53.6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30.7</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27.9</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33.5</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34.1</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31.4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36.8</w:t>
            </w: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rPr>
                <w:rFonts w:ascii="Arial" w:eastAsia="Times New Roman" w:hAnsi="Arial" w:cs="Arial"/>
                <w:sz w:val="24"/>
                <w:szCs w:val="24"/>
              </w:rPr>
            </w:pPr>
            <w:r w:rsidRPr="009D3C3A">
              <w:rPr>
                <w:rFonts w:ascii="Arial" w:eastAsia="Times New Roman" w:hAnsi="Arial" w:cs="Arial"/>
                <w:sz w:val="24"/>
                <w:szCs w:val="24"/>
              </w:rPr>
              <w:t>Something else</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9.1</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13.8</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5.7</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3.9</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6.4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4.7</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8.1</w:t>
            </w: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Children in household</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rPr>
                <w:rFonts w:ascii="Arial" w:eastAsia="Times New Roman" w:hAnsi="Arial" w:cs="Arial"/>
                <w:sz w:val="24"/>
                <w:szCs w:val="24"/>
              </w:rPr>
            </w:pPr>
            <w:r w:rsidRPr="009D3C3A">
              <w:rPr>
                <w:rFonts w:ascii="Arial" w:eastAsia="Times New Roman" w:hAnsi="Arial" w:cs="Arial"/>
                <w:sz w:val="24"/>
                <w:szCs w:val="24"/>
              </w:rPr>
              <w:t>No</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71.4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64.8</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78.0</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68.4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65.5</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71.2</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69.0</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66.4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71.7</w:t>
            </w: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rPr>
                <w:rFonts w:ascii="Arial" w:eastAsia="Times New Roman" w:hAnsi="Arial" w:cs="Arial"/>
                <w:sz w:val="24"/>
                <w:szCs w:val="24"/>
              </w:rPr>
            </w:pPr>
            <w:r w:rsidRPr="009D3C3A">
              <w:rPr>
                <w:rFonts w:ascii="Arial" w:eastAsia="Times New Roman" w:hAnsi="Arial" w:cs="Arial"/>
                <w:sz w:val="24"/>
                <w:szCs w:val="24"/>
              </w:rPr>
              <w:t>Yes</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28.6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22.0</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35.2</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31.6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28.8</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34.5</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31.0</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28.3</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BC38C6">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33.6</w:t>
            </w: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Multiple</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10.2</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5.8</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14.6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15.5</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13.8</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17.3</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14.4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12.8</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16.1</w:t>
            </w: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Region</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Boston</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13.8</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9.0</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18.6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14.3</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12.1</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16.4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14.2</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12.2</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16.2</w:t>
            </w: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Central</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13.3</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9.1</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17.5</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14.6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12.7</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16.4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14.3</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12.6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16.0</w:t>
            </w: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Metrowest</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18.3</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12.6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24.0</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22.1</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19.8</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24.5</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21.3</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19.1</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23.6</w:t>
            </w: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Northeast</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17.4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12.3</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22.4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18.4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16.2</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20.7</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18.2</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16.1</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20.3</w:t>
            </w: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Southeast</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18.8</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12.9</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24.6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18.9</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16.7</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21.1</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18.9</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16.8</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21.0</w:t>
            </w:r>
          </w:p>
        </w:tc>
      </w:tr>
      <w:tr w:rsidR="00BC38C6"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tcPr>
          <w:p w:rsidR="00BC38C6" w:rsidRPr="009D3C3A" w:rsidRDefault="00BC38C6"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Western</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18.5</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13.7</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23.3</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11.6</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10.0</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13.3</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13.1</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11.4</w:t>
            </w:r>
          </w:p>
        </w:tc>
        <w:tc>
          <w:tcPr>
            <w:tcW w:w="760" w:type="dxa"/>
            <w:tcBorders>
              <w:top w:val="nil"/>
              <w:left w:val="nil"/>
              <w:bottom w:val="single" w:sz="4" w:space="0" w:color="auto"/>
              <w:right w:val="single" w:sz="4" w:space="0" w:color="auto"/>
            </w:tcBorders>
            <w:shd w:val="clear" w:color="auto" w:fill="auto"/>
            <w:noWrap/>
            <w:vAlign w:val="bottom"/>
          </w:tcPr>
          <w:p w:rsidR="00BC38C6" w:rsidRPr="009D3C3A" w:rsidRDefault="00BC38C6"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14.7</w:t>
            </w:r>
          </w:p>
        </w:tc>
      </w:tr>
    </w:tbl>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Note: *p&lt;0.05; **p&lt;0.01; ***p&lt;0.001</w:t>
      </w:r>
    </w:p>
    <w:p w:rsidR="009D3C3A" w:rsidRPr="009D3C3A" w:rsidRDefault="009D3C3A" w:rsidP="006057BE">
      <w:pPr>
        <w:spacing w:after="0" w:line="240" w:lineRule="auto"/>
        <w:rPr>
          <w:rFonts w:ascii="Arial" w:hAnsi="Arial" w:cs="Arial"/>
          <w:sz w:val="24"/>
          <w:szCs w:val="24"/>
        </w:rPr>
      </w:pPr>
    </w:p>
    <w:p w:rsidR="009D3C3A" w:rsidRDefault="009D3C3A" w:rsidP="00AC40A7">
      <w:pPr>
        <w:pStyle w:val="Heading3"/>
      </w:pPr>
      <w:bookmarkStart w:id="145" w:name="_Toc513810109"/>
      <w:bookmarkStart w:id="146" w:name="_Toc11765934"/>
      <w:bookmarkStart w:id="147" w:name="_Toc11766589"/>
      <w:r w:rsidRPr="009D3C3A">
        <w:t>Marijuana Attitudes and Perceptions</w:t>
      </w:r>
      <w:bookmarkEnd w:id="145"/>
      <w:bookmarkEnd w:id="146"/>
      <w:bookmarkEnd w:id="147"/>
    </w:p>
    <w:p w:rsidR="00784755" w:rsidRPr="009D3C3A" w:rsidRDefault="00784755" w:rsidP="00AC40A7">
      <w:pPr>
        <w:pStyle w:val="BodyText"/>
      </w:pPr>
    </w:p>
    <w:p w:rsidR="009D3C3A" w:rsidRPr="009D3C3A" w:rsidRDefault="009D3C3A" w:rsidP="006057BE">
      <w:pPr>
        <w:spacing w:after="0" w:line="240" w:lineRule="auto"/>
        <w:rPr>
          <w:rFonts w:ascii="Arial" w:eastAsia="Times New Roman" w:hAnsi="Arial" w:cs="Arial"/>
          <w:sz w:val="24"/>
          <w:szCs w:val="24"/>
        </w:rPr>
      </w:pPr>
      <w:r w:rsidRPr="009D3C3A">
        <w:rPr>
          <w:rFonts w:ascii="Arial" w:hAnsi="Arial" w:cs="Arial"/>
          <w:sz w:val="24"/>
          <w:szCs w:val="24"/>
        </w:rPr>
        <w:t xml:space="preserve">Table 3 presents </w:t>
      </w:r>
      <w:r w:rsidRPr="009D3C3A">
        <w:rPr>
          <w:rFonts w:ascii="Arial" w:eastAsia="Times New Roman" w:hAnsi="Arial" w:cs="Arial"/>
          <w:sz w:val="24"/>
          <w:szCs w:val="24"/>
        </w:rPr>
        <w:t>attitudes and perceptions about marijuana. More than half of Massachusetts adults, 58.5%, favor the legalization of marijuana. As for risk perceptions, 20.0% of Massachusetts adults perceive marijuana to have no risks, 32.5% perceive it to have slight risks, 26.4% perceive moderate risks, and 21.0% perceive great risks.</w:t>
      </w:r>
    </w:p>
    <w:p w:rsidR="009D3C3A" w:rsidRPr="009D3C3A" w:rsidRDefault="009D3C3A" w:rsidP="006057BE">
      <w:pPr>
        <w:spacing w:after="0" w:line="240" w:lineRule="auto"/>
        <w:rPr>
          <w:rFonts w:ascii="Arial" w:eastAsia="Times New Roman" w:hAnsi="Arial" w:cs="Arial"/>
          <w:sz w:val="24"/>
          <w:szCs w:val="24"/>
        </w:rPr>
      </w:pPr>
    </w:p>
    <w:p w:rsidR="000941B7" w:rsidRDefault="009D3C3A" w:rsidP="007837F5">
      <w:pPr>
        <w:tabs>
          <w:tab w:val="left" w:pos="-1620"/>
        </w:tabs>
        <w:spacing w:after="0" w:line="240" w:lineRule="auto"/>
        <w:rPr>
          <w:rFonts w:ascii="Arial" w:eastAsia="Times New Roman" w:hAnsi="Arial" w:cs="Arial"/>
          <w:sz w:val="24"/>
          <w:szCs w:val="24"/>
        </w:rPr>
      </w:pPr>
      <w:r w:rsidRPr="009D3C3A">
        <w:rPr>
          <w:rFonts w:ascii="Arial" w:eastAsia="Times New Roman" w:hAnsi="Arial" w:cs="Arial"/>
          <w:sz w:val="24"/>
          <w:szCs w:val="24"/>
        </w:rPr>
        <w:t>We stratified data to examine attitudes and perceptions among Massachusetts adults who had used marijuana in the past 30 days compared with adults who had not. A majority of marijuana users, 96.5%, favor the legalization of marijuana, whereas less than half of non-users, 48.2%, favor marijuana legalization (p&lt;0.001). A greater proportion of marijuana users than non-users perceive marijuana to have no health ri</w:t>
      </w:r>
      <w:r w:rsidR="007837F5">
        <w:rPr>
          <w:rFonts w:ascii="Arial" w:eastAsia="Times New Roman" w:hAnsi="Arial" w:cs="Arial"/>
          <w:sz w:val="24"/>
          <w:szCs w:val="24"/>
        </w:rPr>
        <w:t>sks, or slight risks (p&lt;0.001).</w:t>
      </w:r>
    </w:p>
    <w:p w:rsidR="00BC38C6" w:rsidRDefault="00BC38C6" w:rsidP="007837F5">
      <w:pPr>
        <w:tabs>
          <w:tab w:val="left" w:pos="-1620"/>
        </w:tabs>
        <w:spacing w:after="0" w:line="240" w:lineRule="auto"/>
        <w:rPr>
          <w:rFonts w:ascii="Arial" w:eastAsia="Times New Roman" w:hAnsi="Arial" w:cs="Arial"/>
          <w:sz w:val="24"/>
          <w:szCs w:val="24"/>
        </w:rPr>
      </w:pPr>
    </w:p>
    <w:p w:rsidR="00BC38C6" w:rsidRDefault="00BC38C6" w:rsidP="007837F5">
      <w:pPr>
        <w:tabs>
          <w:tab w:val="left" w:pos="-1620"/>
        </w:tabs>
        <w:spacing w:after="0" w:line="240" w:lineRule="auto"/>
        <w:rPr>
          <w:rFonts w:ascii="Arial" w:eastAsia="Times New Roman" w:hAnsi="Arial" w:cs="Arial"/>
          <w:sz w:val="24"/>
          <w:szCs w:val="24"/>
        </w:rPr>
      </w:pPr>
    </w:p>
    <w:p w:rsidR="00BC38C6" w:rsidRPr="007837F5" w:rsidRDefault="00BC38C6" w:rsidP="007837F5">
      <w:pPr>
        <w:tabs>
          <w:tab w:val="left" w:pos="-1620"/>
        </w:tabs>
        <w:spacing w:after="0" w:line="240" w:lineRule="auto"/>
        <w:rPr>
          <w:rFonts w:ascii="Arial" w:eastAsia="Times New Roman" w:hAnsi="Arial" w:cs="Arial"/>
          <w:sz w:val="24"/>
          <w:szCs w:val="24"/>
        </w:rPr>
      </w:pPr>
    </w:p>
    <w:p w:rsidR="000941B7" w:rsidRDefault="000941B7" w:rsidP="006057BE">
      <w:pPr>
        <w:spacing w:after="0" w:line="240" w:lineRule="auto"/>
        <w:rPr>
          <w:rFonts w:ascii="Arial" w:hAnsi="Arial" w:cs="Arial"/>
          <w:b/>
          <w:sz w:val="24"/>
          <w:szCs w:val="24"/>
        </w:rPr>
      </w:pPr>
    </w:p>
    <w:p w:rsidR="00784755" w:rsidRPr="009D3C3A" w:rsidRDefault="009D3C3A" w:rsidP="006057BE">
      <w:pPr>
        <w:spacing w:after="0" w:line="240" w:lineRule="auto"/>
        <w:rPr>
          <w:rFonts w:ascii="Arial" w:eastAsia="Times New Roman" w:hAnsi="Arial" w:cs="Arial"/>
          <w:b/>
          <w:sz w:val="24"/>
          <w:szCs w:val="24"/>
        </w:rPr>
      </w:pPr>
      <w:r w:rsidRPr="009D3C3A">
        <w:rPr>
          <w:rFonts w:ascii="Arial" w:hAnsi="Arial" w:cs="Arial"/>
          <w:b/>
          <w:sz w:val="24"/>
          <w:szCs w:val="24"/>
        </w:rPr>
        <w:lastRenderedPageBreak/>
        <w:t xml:space="preserve">Table 3. </w:t>
      </w:r>
      <w:r w:rsidRPr="009D3C3A">
        <w:rPr>
          <w:rFonts w:ascii="Arial" w:eastAsia="Times New Roman" w:hAnsi="Arial" w:cs="Arial"/>
          <w:b/>
          <w:sz w:val="24"/>
          <w:szCs w:val="24"/>
        </w:rPr>
        <w:t>Marijuana Attitudes and Perceptions of Marijuana Users and Non-Users</w:t>
      </w:r>
    </w:p>
    <w:tbl>
      <w:tblPr>
        <w:tblW w:w="9468" w:type="dxa"/>
        <w:tblLook w:val="04A0" w:firstRow="1" w:lastRow="0" w:firstColumn="1" w:lastColumn="0" w:noHBand="0" w:noVBand="1"/>
        <w:tblCaption w:val="Marijuana Attitudes of Users versus non-Users (past 30 days)"/>
        <w:tblDescription w:val="The table presents attitudes and perceptions among Massachusetts adults who had used marijuana in the past 30 days compared with adults who had not. A majority of marijuana users, 96.5%, favor legalization whereas less than half of non-users, 48.2%, favor legalization. A greater proportion of users than non-users perceive marijuana to have no health risks, or slight risks."/>
      </w:tblPr>
      <w:tblGrid>
        <w:gridCol w:w="2628"/>
        <w:gridCol w:w="760"/>
        <w:gridCol w:w="760"/>
        <w:gridCol w:w="760"/>
        <w:gridCol w:w="760"/>
        <w:gridCol w:w="760"/>
        <w:gridCol w:w="760"/>
        <w:gridCol w:w="760"/>
        <w:gridCol w:w="760"/>
        <w:gridCol w:w="760"/>
      </w:tblGrid>
      <w:tr w:rsidR="009D3C3A" w:rsidRPr="009D3C3A" w:rsidTr="009D3C3A">
        <w:trPr>
          <w:trHeight w:val="405"/>
        </w:trPr>
        <w:tc>
          <w:tcPr>
            <w:tcW w:w="2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 </w:t>
            </w:r>
          </w:p>
        </w:tc>
        <w:tc>
          <w:tcPr>
            <w:tcW w:w="6840" w:type="dxa"/>
            <w:gridSpan w:val="9"/>
            <w:tcBorders>
              <w:top w:val="single" w:sz="4" w:space="0" w:color="auto"/>
              <w:left w:val="nil"/>
              <w:bottom w:val="single" w:sz="4" w:space="0" w:color="auto"/>
              <w:right w:val="single" w:sz="4" w:space="0" w:color="000000"/>
            </w:tcBorders>
            <w:shd w:val="clear" w:color="auto" w:fill="auto"/>
            <w:vAlign w:val="center"/>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In the past 30 days, did you use marijuana or hashish at least once?</w:t>
            </w:r>
          </w:p>
        </w:tc>
      </w:tr>
      <w:tr w:rsidR="009D3C3A" w:rsidRPr="009D3C3A" w:rsidTr="009D3C3A">
        <w:trPr>
          <w:trHeight w:val="540"/>
        </w:trPr>
        <w:tc>
          <w:tcPr>
            <w:tcW w:w="2628" w:type="dxa"/>
            <w:vMerge/>
            <w:tcBorders>
              <w:top w:val="single" w:sz="4" w:space="0" w:color="auto"/>
              <w:left w:val="single" w:sz="4" w:space="0" w:color="auto"/>
              <w:bottom w:val="single" w:sz="4" w:space="0" w:color="auto"/>
              <w:right w:val="single" w:sz="4" w:space="0" w:color="auto"/>
            </w:tcBorders>
            <w:vAlign w:val="center"/>
            <w:hideMark/>
          </w:tcPr>
          <w:p w:rsidR="009D3C3A" w:rsidRPr="009D3C3A" w:rsidRDefault="009D3C3A" w:rsidP="006057BE">
            <w:pPr>
              <w:spacing w:after="0" w:line="240" w:lineRule="auto"/>
              <w:rPr>
                <w:rFonts w:ascii="Arial" w:eastAsia="Times New Roman" w:hAnsi="Arial" w:cs="Arial"/>
                <w:b/>
                <w:bCs/>
                <w:sz w:val="24"/>
                <w:szCs w:val="24"/>
              </w:rPr>
            </w:pPr>
          </w:p>
        </w:tc>
        <w:tc>
          <w:tcPr>
            <w:tcW w:w="2280" w:type="dxa"/>
            <w:gridSpan w:val="3"/>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 xml:space="preserve">Yes: n=439, 21.1% </w:t>
            </w:r>
            <w:r w:rsidRPr="009D3C3A">
              <w:rPr>
                <w:rFonts w:ascii="Arial" w:eastAsia="Times New Roman" w:hAnsi="Arial" w:cs="Arial"/>
                <w:b/>
                <w:bCs/>
                <w:sz w:val="24"/>
                <w:szCs w:val="24"/>
              </w:rPr>
              <w:br/>
            </w:r>
            <w:r w:rsidRPr="009D3C3A">
              <w:rPr>
                <w:rFonts w:ascii="Arial" w:eastAsia="Times New Roman" w:hAnsi="Arial" w:cs="Arial"/>
                <w:sz w:val="24"/>
                <w:szCs w:val="24"/>
              </w:rPr>
              <w:t>(95% CI 18.6, 23.6)</w:t>
            </w:r>
          </w:p>
        </w:tc>
        <w:tc>
          <w:tcPr>
            <w:tcW w:w="2280" w:type="dxa"/>
            <w:gridSpan w:val="3"/>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No: n=2,583, 78.9%</w:t>
            </w:r>
            <w:r w:rsidRPr="009D3C3A">
              <w:rPr>
                <w:rFonts w:ascii="Arial" w:eastAsia="Times New Roman" w:hAnsi="Arial" w:cs="Arial"/>
                <w:b/>
                <w:bCs/>
                <w:sz w:val="24"/>
                <w:szCs w:val="24"/>
              </w:rPr>
              <w:br/>
            </w:r>
            <w:r w:rsidRPr="009D3C3A">
              <w:rPr>
                <w:rFonts w:ascii="Arial" w:eastAsia="Times New Roman" w:hAnsi="Arial" w:cs="Arial"/>
                <w:sz w:val="24"/>
                <w:szCs w:val="24"/>
              </w:rPr>
              <w:t xml:space="preserve"> (95% CI 76.4, 81.4)</w:t>
            </w:r>
          </w:p>
        </w:tc>
        <w:tc>
          <w:tcPr>
            <w:tcW w:w="2280" w:type="dxa"/>
            <w:gridSpan w:val="3"/>
            <w:tcBorders>
              <w:top w:val="single" w:sz="4" w:space="0" w:color="auto"/>
              <w:left w:val="nil"/>
              <w:bottom w:val="single" w:sz="4" w:space="0" w:color="auto"/>
              <w:right w:val="single" w:sz="4" w:space="0" w:color="auto"/>
            </w:tcBorders>
            <w:shd w:val="clear" w:color="auto" w:fill="auto"/>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Total: n=3,022</w:t>
            </w:r>
          </w:p>
        </w:tc>
      </w:tr>
      <w:tr w:rsidR="009D3C3A" w:rsidRPr="009D3C3A" w:rsidTr="009D3C3A">
        <w:trPr>
          <w:trHeight w:val="255"/>
        </w:trPr>
        <w:tc>
          <w:tcPr>
            <w:tcW w:w="2628" w:type="dxa"/>
            <w:vMerge/>
            <w:tcBorders>
              <w:top w:val="single" w:sz="4" w:space="0" w:color="auto"/>
              <w:left w:val="single" w:sz="4" w:space="0" w:color="auto"/>
              <w:bottom w:val="single" w:sz="4" w:space="0" w:color="auto"/>
              <w:right w:val="single" w:sz="4" w:space="0" w:color="auto"/>
            </w:tcBorders>
            <w:vAlign w:val="center"/>
            <w:hideMark/>
          </w:tcPr>
          <w:p w:rsidR="009D3C3A" w:rsidRPr="009D3C3A" w:rsidRDefault="009D3C3A" w:rsidP="006057BE">
            <w:pPr>
              <w:spacing w:after="0" w:line="240" w:lineRule="auto"/>
              <w:rPr>
                <w:rFonts w:ascii="Arial" w:eastAsia="Times New Roman" w:hAnsi="Arial" w:cs="Arial"/>
                <w:b/>
                <w:bCs/>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520"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520"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520"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r>
      <w:tr w:rsidR="009D3C3A"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Favor marijuana legalization***</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r>
      <w:tr w:rsidR="009D3C3A"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No</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51.8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48.9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54.6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41.5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38.9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44.1</w:t>
            </w:r>
          </w:p>
        </w:tc>
      </w:tr>
      <w:tr w:rsidR="009D3C3A" w:rsidRPr="009D3C3A" w:rsidTr="009D3C3A">
        <w:trPr>
          <w:trHeight w:val="300"/>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Yes</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96.5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94.1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98.9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48.2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45.4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51.1</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58.5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55.9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61.1</w:t>
            </w:r>
          </w:p>
        </w:tc>
      </w:tr>
      <w:tr w:rsidR="009D3C3A"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Perceived marijuana risks***</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r>
      <w:tr w:rsidR="009D3C3A"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No risk</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47.3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40.4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54.3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12.7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10.4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14.9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20.0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17.6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22.5</w:t>
            </w:r>
          </w:p>
        </w:tc>
      </w:tr>
      <w:tr w:rsidR="009D3C3A"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Slight risk</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44.8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37.9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51.7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29.3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26.7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31.8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32.5</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30.0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35.1</w:t>
            </w:r>
          </w:p>
        </w:tc>
      </w:tr>
      <w:tr w:rsidR="009D3C3A" w:rsidRPr="009D3C3A" w:rsidTr="009D3C3A">
        <w:trPr>
          <w:trHeight w:val="282"/>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Moderate risk</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4.7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32.3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29.7</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34.8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26.4</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24.2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28.6</w:t>
            </w:r>
          </w:p>
        </w:tc>
      </w:tr>
      <w:tr w:rsidR="009D3C3A" w:rsidRPr="009D3C3A" w:rsidTr="009D3C3A">
        <w:trPr>
          <w:trHeight w:val="285"/>
        </w:trPr>
        <w:tc>
          <w:tcPr>
            <w:tcW w:w="262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Great risk</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5.6</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25.8</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23.3</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28.2</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21.0</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18.9</w:t>
            </w:r>
          </w:p>
        </w:tc>
        <w:tc>
          <w:tcPr>
            <w:tcW w:w="76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23.1</w:t>
            </w:r>
          </w:p>
        </w:tc>
      </w:tr>
    </w:tbl>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Note: *p&lt;0.05; **p&lt;0.01; ***p&lt;0.001</w:t>
      </w:r>
    </w:p>
    <w:p w:rsidR="009D3C3A" w:rsidRPr="009D3C3A" w:rsidRDefault="009D3C3A" w:rsidP="006057BE">
      <w:pPr>
        <w:spacing w:after="0" w:line="240" w:lineRule="auto"/>
        <w:rPr>
          <w:rFonts w:ascii="Arial" w:hAnsi="Arial" w:cs="Arial"/>
          <w:sz w:val="24"/>
          <w:szCs w:val="24"/>
        </w:rPr>
      </w:pPr>
    </w:p>
    <w:p w:rsidR="009D3C3A" w:rsidRDefault="009D3C3A" w:rsidP="00AC40A7">
      <w:pPr>
        <w:pStyle w:val="Heading3"/>
      </w:pPr>
      <w:bookmarkStart w:id="148" w:name="_Toc513810110"/>
      <w:bookmarkStart w:id="149" w:name="_Toc11765935"/>
      <w:bookmarkStart w:id="150" w:name="_Toc11766590"/>
      <w:r w:rsidRPr="009D3C3A">
        <w:t>Use of Alcohol and Other Substances</w:t>
      </w:r>
      <w:bookmarkEnd w:id="148"/>
      <w:bookmarkEnd w:id="149"/>
      <w:bookmarkEnd w:id="150"/>
    </w:p>
    <w:p w:rsidR="00784755" w:rsidRPr="009D3C3A" w:rsidRDefault="00784755" w:rsidP="00AC40A7">
      <w:pPr>
        <w:pStyle w:val="BodyText"/>
      </w:pPr>
    </w:p>
    <w:p w:rsidR="009D3C3A" w:rsidRPr="009D3C3A" w:rsidRDefault="009D3C3A" w:rsidP="006057BE">
      <w:pPr>
        <w:spacing w:after="0" w:line="240" w:lineRule="auto"/>
        <w:rPr>
          <w:rFonts w:ascii="Arial" w:eastAsia="Times New Roman" w:hAnsi="Arial" w:cs="Arial"/>
          <w:sz w:val="24"/>
          <w:szCs w:val="24"/>
        </w:rPr>
      </w:pPr>
      <w:r w:rsidRPr="009D3C3A">
        <w:rPr>
          <w:rFonts w:ascii="Arial" w:hAnsi="Arial" w:cs="Arial"/>
          <w:sz w:val="24"/>
          <w:szCs w:val="24"/>
        </w:rPr>
        <w:t xml:space="preserve">Table 4 presents </w:t>
      </w:r>
      <w:r w:rsidRPr="009D3C3A">
        <w:rPr>
          <w:rFonts w:ascii="Arial" w:eastAsia="Times New Roman" w:hAnsi="Arial" w:cs="Arial"/>
          <w:sz w:val="24"/>
          <w:szCs w:val="24"/>
        </w:rPr>
        <w:t>past 30-day alcohol and other substance use among Massachusetts adults. Among all adults, 69.4% had consumed alcohol in the prior 30 days, and 4.1% had consumed another substance. Other substance use was defined as past 30-day use of any of the following substance types: non-prescribed opioids, cocaine/crack, heroin, non-medical anti-anxiety drugs, and other illicit substances. Prevalence rates were relatively small for each of the other substance categories, i.e., 0.9% for cocaine/crack, 0.1% for heroin, 1.3% for non-medical use of anti-anxiety substances, 1.4% for non-medical use of opioids, and 0.4% for other illegal substances.</w:t>
      </w:r>
    </w:p>
    <w:p w:rsidR="000941B7" w:rsidRPr="007837F5"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We stratified data to examine alcohol and other substance use by adults who had used marijuana in the past 30 days compared with adults who had not. A greater proportion of marijuana users than non-users had used alcohol. Specifically, 82.1% of marijuana users had used alcohol, versus 66.0% of non-users (p&lt;0.001). Also, a greater proportion of marijuana users than non-users had used other substances. Specifically, 9.8% of marijuana users had used other substances, versus 2.6% of non-users (p&lt;0.01). Analysis of each substance type revealed that 3.8% of marijuana users had used non-prescribed opioids, versus 0.8% of non-users (p&lt;0.05), and that similar proportions of adults in each group had past 30-day use of cocaine/crack, heroin, non-medical anti-anxiety drugs, and other illicit substances. Given the low rates of past 30-day use of each of these substances, interpretation of these resul</w:t>
      </w:r>
      <w:r w:rsidR="007837F5">
        <w:rPr>
          <w:rFonts w:ascii="Arial" w:eastAsia="Times New Roman" w:hAnsi="Arial" w:cs="Arial"/>
          <w:sz w:val="24"/>
          <w:szCs w:val="24"/>
        </w:rPr>
        <w:t>ts should be made with caution.</w:t>
      </w:r>
    </w:p>
    <w:p w:rsidR="000941B7" w:rsidRDefault="000941B7" w:rsidP="006057BE">
      <w:pPr>
        <w:spacing w:after="0" w:line="240" w:lineRule="auto"/>
        <w:rPr>
          <w:rFonts w:ascii="Arial" w:hAnsi="Arial" w:cs="Arial"/>
          <w:b/>
          <w:sz w:val="24"/>
          <w:szCs w:val="24"/>
        </w:rPr>
      </w:pPr>
    </w:p>
    <w:p w:rsidR="00BC38C6" w:rsidRDefault="00BC38C6" w:rsidP="006057BE">
      <w:pPr>
        <w:spacing w:after="0" w:line="240" w:lineRule="auto"/>
        <w:rPr>
          <w:rFonts w:ascii="Arial" w:hAnsi="Arial" w:cs="Arial"/>
          <w:b/>
          <w:sz w:val="24"/>
          <w:szCs w:val="24"/>
        </w:rPr>
      </w:pPr>
    </w:p>
    <w:p w:rsidR="00BC38C6" w:rsidRDefault="00BC38C6" w:rsidP="006057BE">
      <w:pPr>
        <w:spacing w:after="0" w:line="240" w:lineRule="auto"/>
        <w:rPr>
          <w:rFonts w:ascii="Arial" w:hAnsi="Arial" w:cs="Arial"/>
          <w:b/>
          <w:sz w:val="24"/>
          <w:szCs w:val="24"/>
        </w:rPr>
      </w:pPr>
    </w:p>
    <w:p w:rsidR="00BC38C6" w:rsidRDefault="00BC38C6" w:rsidP="006057BE">
      <w:pPr>
        <w:spacing w:after="0" w:line="240" w:lineRule="auto"/>
        <w:rPr>
          <w:rFonts w:ascii="Arial" w:hAnsi="Arial" w:cs="Arial"/>
          <w:b/>
          <w:sz w:val="24"/>
          <w:szCs w:val="24"/>
        </w:rPr>
      </w:pPr>
    </w:p>
    <w:p w:rsidR="00784755" w:rsidRPr="009D3C3A" w:rsidRDefault="009D3C3A" w:rsidP="006057BE">
      <w:pPr>
        <w:spacing w:after="0" w:line="240" w:lineRule="auto"/>
        <w:rPr>
          <w:rFonts w:ascii="Arial" w:eastAsia="Times New Roman" w:hAnsi="Arial" w:cs="Arial"/>
          <w:b/>
          <w:sz w:val="24"/>
          <w:szCs w:val="24"/>
        </w:rPr>
      </w:pPr>
      <w:r w:rsidRPr="009D3C3A">
        <w:rPr>
          <w:rFonts w:ascii="Arial" w:hAnsi="Arial" w:cs="Arial"/>
          <w:b/>
          <w:sz w:val="24"/>
          <w:szCs w:val="24"/>
        </w:rPr>
        <w:lastRenderedPageBreak/>
        <w:t xml:space="preserve">Table 4. </w:t>
      </w:r>
      <w:r w:rsidRPr="009D3C3A">
        <w:rPr>
          <w:rFonts w:ascii="Arial" w:eastAsia="Times New Roman" w:hAnsi="Arial" w:cs="Arial"/>
          <w:b/>
          <w:sz w:val="24"/>
          <w:szCs w:val="24"/>
        </w:rPr>
        <w:t>Use of Alcohol and Other Substances of Marijuana Users and Non-Users</w:t>
      </w:r>
    </w:p>
    <w:tbl>
      <w:tblPr>
        <w:tblW w:w="9468" w:type="dxa"/>
        <w:tblLayout w:type="fixed"/>
        <w:tblLook w:val="04A0" w:firstRow="1" w:lastRow="0" w:firstColumn="1" w:lastColumn="0" w:noHBand="0" w:noVBand="1"/>
        <w:tblCaption w:val="Use of Alcohol and Other Substances by Marijuana Users and non-Users"/>
        <w:tblDescription w:val="The table summarizes past 30-day alcohol and other substance use (i.e., non-prescribed opioids, cocaine/crack, heroin, non-medical anti-anxiety drugs, and others). Among all adults, 69.4% had consumed alcohol in the prior 30 days, and 4.1% had consumed another substance. Prevalence rates were relatively small for each of the other substance categories.82.1% of marijuana users had used alcohol, versus 66.0% of non-users. 9.8% of marijuana users had used other substances, versus 2.6% of non-users. 3.8% of marijuana users had used non-prescribed opioids, versus 0.8% of non-users. Similar proportions of adults in each group had past 30-day use of cocaine/crack, heroin, non-medical anti-anxiety drugs, and other illicit substances."/>
      </w:tblPr>
      <w:tblGrid>
        <w:gridCol w:w="2988"/>
        <w:gridCol w:w="810"/>
        <w:gridCol w:w="720"/>
        <w:gridCol w:w="720"/>
        <w:gridCol w:w="630"/>
        <w:gridCol w:w="720"/>
        <w:gridCol w:w="720"/>
        <w:gridCol w:w="720"/>
        <w:gridCol w:w="720"/>
        <w:gridCol w:w="720"/>
      </w:tblGrid>
      <w:tr w:rsidR="009D3C3A" w:rsidRPr="009D3C3A" w:rsidTr="001E02BA">
        <w:trPr>
          <w:trHeight w:val="405"/>
        </w:trPr>
        <w:tc>
          <w:tcPr>
            <w:tcW w:w="2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 </w:t>
            </w:r>
          </w:p>
          <w:p w:rsidR="00CF53FF" w:rsidRPr="009D3C3A" w:rsidRDefault="00CF53FF" w:rsidP="006057BE">
            <w:pPr>
              <w:spacing w:after="0" w:line="240" w:lineRule="auto"/>
              <w:jc w:val="center"/>
              <w:rPr>
                <w:rFonts w:ascii="Arial" w:eastAsia="Times New Roman" w:hAnsi="Arial" w:cs="Arial"/>
                <w:b/>
                <w:bCs/>
                <w:sz w:val="24"/>
                <w:szCs w:val="24"/>
              </w:rPr>
            </w:pPr>
          </w:p>
        </w:tc>
        <w:tc>
          <w:tcPr>
            <w:tcW w:w="6480" w:type="dxa"/>
            <w:gridSpan w:val="9"/>
            <w:tcBorders>
              <w:top w:val="single" w:sz="4" w:space="0" w:color="auto"/>
              <w:left w:val="nil"/>
              <w:bottom w:val="single" w:sz="4" w:space="0" w:color="auto"/>
              <w:right w:val="single" w:sz="4" w:space="0" w:color="000000"/>
            </w:tcBorders>
            <w:shd w:val="clear" w:color="auto" w:fill="auto"/>
            <w:vAlign w:val="center"/>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In the past 30 days, did you use marijuana or hashish at least once?</w:t>
            </w:r>
          </w:p>
        </w:tc>
      </w:tr>
      <w:tr w:rsidR="009D3C3A" w:rsidRPr="009D3C3A" w:rsidTr="001E02BA">
        <w:trPr>
          <w:trHeight w:val="54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D3C3A" w:rsidRPr="009D3C3A" w:rsidRDefault="009D3C3A" w:rsidP="006057BE">
            <w:pPr>
              <w:spacing w:after="0" w:line="240" w:lineRule="auto"/>
              <w:rPr>
                <w:rFonts w:ascii="Arial" w:eastAsia="Times New Roman" w:hAnsi="Arial" w:cs="Arial"/>
                <w:b/>
                <w:bCs/>
                <w:sz w:val="24"/>
                <w:szCs w:val="24"/>
              </w:rPr>
            </w:pPr>
          </w:p>
        </w:tc>
        <w:tc>
          <w:tcPr>
            <w:tcW w:w="2250" w:type="dxa"/>
            <w:gridSpan w:val="3"/>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 xml:space="preserve">Yes: n=439, 21.1% </w:t>
            </w:r>
            <w:r w:rsidRPr="009D3C3A">
              <w:rPr>
                <w:rFonts w:ascii="Arial" w:eastAsia="Times New Roman" w:hAnsi="Arial" w:cs="Arial"/>
                <w:b/>
                <w:bCs/>
                <w:sz w:val="24"/>
                <w:szCs w:val="24"/>
              </w:rPr>
              <w:br/>
            </w:r>
            <w:r w:rsidRPr="009D3C3A">
              <w:rPr>
                <w:rFonts w:ascii="Arial" w:eastAsia="Times New Roman" w:hAnsi="Arial" w:cs="Arial"/>
                <w:sz w:val="24"/>
                <w:szCs w:val="24"/>
              </w:rPr>
              <w:t>(95% CI 18.6, 23.6)</w:t>
            </w:r>
          </w:p>
        </w:tc>
        <w:tc>
          <w:tcPr>
            <w:tcW w:w="2070" w:type="dxa"/>
            <w:gridSpan w:val="3"/>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No: n=2,583, 78.9%</w:t>
            </w:r>
            <w:r w:rsidRPr="009D3C3A">
              <w:rPr>
                <w:rFonts w:ascii="Arial" w:eastAsia="Times New Roman" w:hAnsi="Arial" w:cs="Arial"/>
                <w:b/>
                <w:bCs/>
                <w:sz w:val="24"/>
                <w:szCs w:val="24"/>
              </w:rPr>
              <w:br/>
            </w:r>
            <w:r w:rsidRPr="009D3C3A">
              <w:rPr>
                <w:rFonts w:ascii="Arial" w:eastAsia="Times New Roman" w:hAnsi="Arial" w:cs="Arial"/>
                <w:sz w:val="24"/>
                <w:szCs w:val="24"/>
              </w:rPr>
              <w:t xml:space="preserve"> (95% CI 76.4, 81.4)</w:t>
            </w:r>
          </w:p>
        </w:tc>
        <w:tc>
          <w:tcPr>
            <w:tcW w:w="2160" w:type="dxa"/>
            <w:gridSpan w:val="3"/>
            <w:tcBorders>
              <w:top w:val="single" w:sz="4" w:space="0" w:color="auto"/>
              <w:left w:val="nil"/>
              <w:bottom w:val="single" w:sz="4" w:space="0" w:color="auto"/>
              <w:right w:val="single" w:sz="4" w:space="0" w:color="auto"/>
            </w:tcBorders>
            <w:shd w:val="clear" w:color="auto" w:fill="auto"/>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Total: n=3,022</w:t>
            </w:r>
          </w:p>
        </w:tc>
      </w:tr>
      <w:tr w:rsidR="009D3C3A" w:rsidRPr="009D3C3A" w:rsidTr="001E02BA">
        <w:trPr>
          <w:trHeight w:val="255"/>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D3C3A" w:rsidRPr="009D3C3A" w:rsidRDefault="009D3C3A" w:rsidP="006057BE">
            <w:pPr>
              <w:spacing w:after="0" w:line="240" w:lineRule="auto"/>
              <w:rPr>
                <w:rFonts w:ascii="Arial" w:eastAsia="Times New Roman" w:hAnsi="Arial" w:cs="Arial"/>
                <w:b/>
                <w:bCs/>
                <w:sz w:val="24"/>
                <w:szCs w:val="24"/>
              </w:rPr>
            </w:pPr>
          </w:p>
        </w:tc>
        <w:tc>
          <w:tcPr>
            <w:tcW w:w="81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440"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c>
          <w:tcPr>
            <w:tcW w:w="63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440"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440"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r>
      <w:tr w:rsidR="009D3C3A" w:rsidRPr="009D3C3A" w:rsidTr="001E02BA">
        <w:trPr>
          <w:trHeight w:val="285"/>
        </w:trPr>
        <w:tc>
          <w:tcPr>
            <w:tcW w:w="298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Substance use in past 30 days</w:t>
            </w:r>
          </w:p>
        </w:tc>
        <w:tc>
          <w:tcPr>
            <w:tcW w:w="81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63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p>
        </w:tc>
      </w:tr>
      <w:tr w:rsidR="009D3C3A" w:rsidRPr="009D3C3A" w:rsidTr="001E02BA">
        <w:trPr>
          <w:trHeight w:val="288"/>
        </w:trPr>
        <w:tc>
          <w:tcPr>
            <w:tcW w:w="298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Alcohol***</w:t>
            </w:r>
          </w:p>
        </w:tc>
        <w:tc>
          <w:tcPr>
            <w:tcW w:w="810" w:type="dxa"/>
            <w:tcBorders>
              <w:top w:val="nil"/>
              <w:left w:val="nil"/>
              <w:bottom w:val="single" w:sz="4" w:space="0" w:color="auto"/>
              <w:right w:val="single" w:sz="4" w:space="0" w:color="auto"/>
            </w:tcBorders>
            <w:shd w:val="clear" w:color="auto" w:fill="auto"/>
            <w:vAlign w:val="center"/>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82.1</w:t>
            </w:r>
          </w:p>
        </w:tc>
        <w:tc>
          <w:tcPr>
            <w:tcW w:w="720" w:type="dxa"/>
            <w:tcBorders>
              <w:top w:val="nil"/>
              <w:left w:val="nil"/>
              <w:bottom w:val="single" w:sz="4" w:space="0" w:color="auto"/>
              <w:right w:val="single" w:sz="4" w:space="0" w:color="auto"/>
            </w:tcBorders>
            <w:shd w:val="clear" w:color="auto" w:fill="auto"/>
            <w:vAlign w:val="center"/>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76.8</w:t>
            </w:r>
          </w:p>
        </w:tc>
        <w:tc>
          <w:tcPr>
            <w:tcW w:w="720" w:type="dxa"/>
            <w:tcBorders>
              <w:top w:val="nil"/>
              <w:left w:val="nil"/>
              <w:bottom w:val="single" w:sz="4" w:space="0" w:color="auto"/>
              <w:right w:val="single" w:sz="4" w:space="0" w:color="auto"/>
            </w:tcBorders>
            <w:shd w:val="clear" w:color="auto" w:fill="auto"/>
            <w:vAlign w:val="center"/>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87.4</w:t>
            </w:r>
          </w:p>
        </w:tc>
        <w:tc>
          <w:tcPr>
            <w:tcW w:w="630" w:type="dxa"/>
            <w:tcBorders>
              <w:top w:val="nil"/>
              <w:left w:val="nil"/>
              <w:bottom w:val="single" w:sz="4" w:space="0" w:color="auto"/>
              <w:right w:val="single" w:sz="4" w:space="0" w:color="auto"/>
            </w:tcBorders>
            <w:shd w:val="clear" w:color="auto" w:fill="auto"/>
            <w:vAlign w:val="center"/>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66</w:t>
            </w:r>
          </w:p>
        </w:tc>
        <w:tc>
          <w:tcPr>
            <w:tcW w:w="720" w:type="dxa"/>
            <w:tcBorders>
              <w:top w:val="nil"/>
              <w:left w:val="nil"/>
              <w:bottom w:val="single" w:sz="4" w:space="0" w:color="auto"/>
              <w:right w:val="single" w:sz="4" w:space="0" w:color="auto"/>
            </w:tcBorders>
            <w:shd w:val="clear" w:color="auto" w:fill="auto"/>
            <w:vAlign w:val="center"/>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63.2</w:t>
            </w:r>
          </w:p>
        </w:tc>
        <w:tc>
          <w:tcPr>
            <w:tcW w:w="720" w:type="dxa"/>
            <w:tcBorders>
              <w:top w:val="nil"/>
              <w:left w:val="nil"/>
              <w:bottom w:val="single" w:sz="4" w:space="0" w:color="auto"/>
              <w:right w:val="single" w:sz="4" w:space="0" w:color="auto"/>
            </w:tcBorders>
            <w:shd w:val="clear" w:color="auto" w:fill="auto"/>
            <w:vAlign w:val="center"/>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68.8</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69.4</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66.9</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71.9</w:t>
            </w:r>
          </w:p>
        </w:tc>
      </w:tr>
      <w:tr w:rsidR="009D3C3A" w:rsidRPr="009D3C3A" w:rsidTr="001E02BA">
        <w:trPr>
          <w:trHeight w:val="288"/>
        </w:trPr>
        <w:tc>
          <w:tcPr>
            <w:tcW w:w="298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Cocaine/crack</w:t>
            </w:r>
          </w:p>
        </w:tc>
        <w:tc>
          <w:tcPr>
            <w:tcW w:w="81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2.8</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0.3</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5.2</w:t>
            </w:r>
          </w:p>
        </w:tc>
        <w:tc>
          <w:tcPr>
            <w:tcW w:w="63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0.4</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0.0</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0.9</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0.9</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0.3</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1.6</w:t>
            </w:r>
          </w:p>
        </w:tc>
      </w:tr>
      <w:tr w:rsidR="009D3C3A" w:rsidRPr="009D3C3A" w:rsidTr="001E02BA">
        <w:trPr>
          <w:trHeight w:val="288"/>
        </w:trPr>
        <w:tc>
          <w:tcPr>
            <w:tcW w:w="298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Heroin</w:t>
            </w:r>
          </w:p>
        </w:tc>
        <w:tc>
          <w:tcPr>
            <w:tcW w:w="81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w:t>
            </w:r>
          </w:p>
        </w:tc>
        <w:tc>
          <w:tcPr>
            <w:tcW w:w="63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0.1</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0.0</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0.2</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0.1</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0.0</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0.2</w:t>
            </w:r>
          </w:p>
        </w:tc>
      </w:tr>
      <w:tr w:rsidR="009D3C3A" w:rsidRPr="009D3C3A" w:rsidTr="001E02BA">
        <w:trPr>
          <w:trHeight w:val="288"/>
        </w:trPr>
        <w:tc>
          <w:tcPr>
            <w:tcW w:w="298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Anti-anxiety, non-medical</w:t>
            </w:r>
          </w:p>
        </w:tc>
        <w:tc>
          <w:tcPr>
            <w:tcW w:w="81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1.3</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0.0</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2.8</w:t>
            </w:r>
          </w:p>
        </w:tc>
        <w:tc>
          <w:tcPr>
            <w:tcW w:w="63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1.3</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0.4</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2.1</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1.3</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0.5</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2.0</w:t>
            </w:r>
          </w:p>
        </w:tc>
      </w:tr>
      <w:tr w:rsidR="009D3C3A" w:rsidRPr="009D3C3A" w:rsidTr="001E02BA">
        <w:trPr>
          <w:trHeight w:val="288"/>
        </w:trPr>
        <w:tc>
          <w:tcPr>
            <w:tcW w:w="298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Opioids, non-medical*</w:t>
            </w:r>
          </w:p>
        </w:tc>
        <w:tc>
          <w:tcPr>
            <w:tcW w:w="81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3.8</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1.0</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6.6</w:t>
            </w:r>
          </w:p>
        </w:tc>
        <w:tc>
          <w:tcPr>
            <w:tcW w:w="63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0.8</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0.3</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1.2</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1.4</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0.7</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2.1</w:t>
            </w:r>
          </w:p>
        </w:tc>
      </w:tr>
      <w:tr w:rsidR="009D3C3A" w:rsidRPr="009D3C3A" w:rsidTr="001E02BA">
        <w:trPr>
          <w:trHeight w:val="288"/>
        </w:trPr>
        <w:tc>
          <w:tcPr>
            <w:tcW w:w="298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Other illegal substances</w:t>
            </w:r>
          </w:p>
        </w:tc>
        <w:tc>
          <w:tcPr>
            <w:tcW w:w="81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1.5</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0.0</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3.2</w:t>
            </w:r>
          </w:p>
        </w:tc>
        <w:tc>
          <w:tcPr>
            <w:tcW w:w="63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0.1</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0.0</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0.4</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0.4</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0.0</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0.8</w:t>
            </w:r>
          </w:p>
        </w:tc>
      </w:tr>
      <w:tr w:rsidR="009D3C3A" w:rsidRPr="009D3C3A" w:rsidTr="001E02BA">
        <w:trPr>
          <w:trHeight w:val="288"/>
        </w:trPr>
        <w:tc>
          <w:tcPr>
            <w:tcW w:w="298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Other substances**</w:t>
            </w:r>
          </w:p>
        </w:tc>
        <w:tc>
          <w:tcPr>
            <w:tcW w:w="81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9.8</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5.3</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14.4</w:t>
            </w:r>
          </w:p>
        </w:tc>
        <w:tc>
          <w:tcPr>
            <w:tcW w:w="63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2.6</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1.5</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3.6</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4.1</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2.8</w:t>
            </w:r>
          </w:p>
        </w:tc>
        <w:tc>
          <w:tcPr>
            <w:tcW w:w="720"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5.4</w:t>
            </w:r>
          </w:p>
        </w:tc>
      </w:tr>
    </w:tbl>
    <w:p w:rsidR="009D3C3A" w:rsidRPr="009D3C3A" w:rsidRDefault="009D3C3A" w:rsidP="006057BE">
      <w:pPr>
        <w:spacing w:after="0" w:line="240" w:lineRule="auto"/>
        <w:rPr>
          <w:rFonts w:ascii="Arial" w:hAnsi="Arial" w:cs="Arial"/>
          <w:sz w:val="24"/>
          <w:szCs w:val="24"/>
        </w:rPr>
      </w:pPr>
    </w:p>
    <w:p w:rsidR="009D3C3A" w:rsidRPr="0090612A" w:rsidRDefault="009D3C3A" w:rsidP="006057BE">
      <w:pPr>
        <w:spacing w:after="0" w:line="240" w:lineRule="auto"/>
        <w:rPr>
          <w:rFonts w:ascii="Arial" w:hAnsi="Arial" w:cs="Arial"/>
          <w:szCs w:val="24"/>
        </w:rPr>
      </w:pPr>
      <w:r w:rsidRPr="0090612A">
        <w:rPr>
          <w:rFonts w:ascii="Arial" w:hAnsi="Arial" w:cs="Arial"/>
          <w:szCs w:val="24"/>
        </w:rPr>
        <w:t>Note: *p&lt;0.05; **p&lt;0.01; ***p&lt;0.001. Other substances” is defined as any past 30-day use of cocaine/crack, heroin, non-medical anti-anxiety substances, non-medical opioids, and other illegal substances.</w:t>
      </w:r>
    </w:p>
    <w:p w:rsidR="009D3C3A" w:rsidRPr="009D3C3A" w:rsidRDefault="009D3C3A" w:rsidP="006057BE">
      <w:pPr>
        <w:spacing w:after="0" w:line="240" w:lineRule="auto"/>
        <w:rPr>
          <w:rFonts w:ascii="Arial" w:hAnsi="Arial" w:cs="Arial"/>
          <w:sz w:val="24"/>
          <w:szCs w:val="24"/>
        </w:rPr>
      </w:pPr>
    </w:p>
    <w:p w:rsidR="009D3C3A" w:rsidRPr="009D3C3A" w:rsidRDefault="009D3C3A" w:rsidP="00AC40A7">
      <w:pPr>
        <w:pStyle w:val="Heading3"/>
      </w:pPr>
      <w:bookmarkStart w:id="151" w:name="_Toc513810111"/>
      <w:bookmarkStart w:id="152" w:name="_Toc11765936"/>
      <w:bookmarkStart w:id="153" w:name="_Toc11766591"/>
      <w:r w:rsidRPr="009D3C3A">
        <w:t>Marijuana Consumption Patterns, Methods, and Expenditures</w:t>
      </w:r>
      <w:bookmarkEnd w:id="151"/>
      <w:bookmarkEnd w:id="152"/>
      <w:bookmarkEnd w:id="153"/>
    </w:p>
    <w:p w:rsidR="009D3C3A" w:rsidRPr="009D3C3A" w:rsidRDefault="009D3C3A" w:rsidP="006057BE">
      <w:pPr>
        <w:spacing w:after="0" w:line="240" w:lineRule="auto"/>
        <w:rPr>
          <w:rFonts w:ascii="Arial" w:hAnsi="Arial"/>
        </w:rPr>
      </w:pPr>
    </w:p>
    <w:p w:rsid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Table 5 presents marijuana consumption patterns, methods, and expenditures reported by Massachusetts adults who had used marijuana in the past 30 days. About half (</w:t>
      </w:r>
      <w:r w:rsidRPr="009D3C3A">
        <w:rPr>
          <w:rFonts w:ascii="Arial" w:hAnsi="Arial" w:cs="Arial"/>
          <w:sz w:val="24"/>
          <w:szCs w:val="24"/>
        </w:rPr>
        <w:t xml:space="preserve">50.6%) of marijuana users consumed it only by smoking, while 42.9% used more than one method of consumption. </w:t>
      </w:r>
      <w:r w:rsidRPr="009D3C3A">
        <w:rPr>
          <w:rFonts w:ascii="Arial" w:eastAsia="Times New Roman" w:hAnsi="Arial" w:cs="Arial"/>
          <w:sz w:val="24"/>
          <w:szCs w:val="24"/>
        </w:rPr>
        <w:t>Fewer marijuana users vaporized or ate marijuana, 2.9% and 2.6%, respectively. Less than 1% only drank or dabbed marijuana, or only used it topically or sublingually.</w:t>
      </w:r>
    </w:p>
    <w:p w:rsidR="00784755" w:rsidRPr="009D3C3A" w:rsidRDefault="00784755" w:rsidP="006057BE">
      <w:pPr>
        <w:spacing w:after="0" w:line="240" w:lineRule="auto"/>
        <w:rPr>
          <w:rFonts w:ascii="Arial" w:eastAsia="Times New Roman" w:hAnsi="Arial" w:cs="Arial"/>
          <w:sz w:val="24"/>
          <w:szCs w:val="24"/>
        </w:rPr>
      </w:pPr>
    </w:p>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More than half of Massachusetts adult marijuana users, 56.0%, report using marijuana only for adult non-medical purposes. Adults also use marijuana for medical reasons; 4% only used prescribed marijuana, 11.5% only used non-prescribed marijuana. In other words, 15.5% used either prescribed or not prescribed marijuana for medical reasons. More than one-quarter, 28.5%, reported both adult and medical marijuana use.</w:t>
      </w:r>
    </w:p>
    <w:p w:rsidR="008976A8"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Of Massachusetts adult marijuana users, 35.5% spent no money on marijuana in the past month, 31.5% spent between $1 and $80, and 33.0% spent $81 or more.</w:t>
      </w:r>
    </w:p>
    <w:p w:rsidR="000941B7" w:rsidRDefault="000941B7" w:rsidP="006057BE">
      <w:pPr>
        <w:spacing w:after="0" w:line="240" w:lineRule="auto"/>
        <w:rPr>
          <w:rFonts w:ascii="Arial" w:eastAsia="Times New Roman" w:hAnsi="Arial" w:cs="Arial"/>
          <w:sz w:val="24"/>
          <w:szCs w:val="24"/>
        </w:rPr>
      </w:pPr>
    </w:p>
    <w:p w:rsidR="007837F5" w:rsidRDefault="007837F5" w:rsidP="006057BE">
      <w:pPr>
        <w:spacing w:after="0" w:line="240" w:lineRule="auto"/>
        <w:rPr>
          <w:rFonts w:ascii="Arial" w:eastAsia="Times New Roman" w:hAnsi="Arial" w:cs="Arial"/>
          <w:b/>
          <w:sz w:val="24"/>
          <w:szCs w:val="24"/>
        </w:rPr>
      </w:pPr>
    </w:p>
    <w:p w:rsidR="000941B7" w:rsidRDefault="000941B7" w:rsidP="006057BE">
      <w:pPr>
        <w:spacing w:after="0" w:line="240" w:lineRule="auto"/>
        <w:rPr>
          <w:rFonts w:ascii="Arial" w:eastAsia="Times New Roman" w:hAnsi="Arial" w:cs="Arial"/>
          <w:b/>
          <w:sz w:val="24"/>
          <w:szCs w:val="24"/>
        </w:rPr>
      </w:pPr>
    </w:p>
    <w:p w:rsidR="00BC38C6" w:rsidRDefault="00BC38C6" w:rsidP="006057BE">
      <w:pPr>
        <w:spacing w:after="0" w:line="240" w:lineRule="auto"/>
        <w:rPr>
          <w:rFonts w:ascii="Arial" w:eastAsia="Times New Roman" w:hAnsi="Arial" w:cs="Arial"/>
          <w:b/>
          <w:sz w:val="24"/>
          <w:szCs w:val="24"/>
        </w:rPr>
      </w:pPr>
    </w:p>
    <w:p w:rsidR="00BC38C6" w:rsidRDefault="00BC38C6" w:rsidP="006057BE">
      <w:pPr>
        <w:spacing w:after="0" w:line="240" w:lineRule="auto"/>
        <w:rPr>
          <w:rFonts w:ascii="Arial" w:eastAsia="Times New Roman" w:hAnsi="Arial" w:cs="Arial"/>
          <w:b/>
          <w:sz w:val="24"/>
          <w:szCs w:val="24"/>
        </w:rPr>
      </w:pPr>
    </w:p>
    <w:p w:rsidR="00BC38C6" w:rsidRDefault="00BC38C6" w:rsidP="006057BE">
      <w:pPr>
        <w:spacing w:after="0" w:line="240" w:lineRule="auto"/>
        <w:rPr>
          <w:rFonts w:ascii="Arial" w:eastAsia="Times New Roman" w:hAnsi="Arial" w:cs="Arial"/>
          <w:b/>
          <w:sz w:val="24"/>
          <w:szCs w:val="24"/>
        </w:rPr>
      </w:pPr>
    </w:p>
    <w:p w:rsidR="00BC38C6" w:rsidRDefault="00BC38C6" w:rsidP="006057BE">
      <w:pPr>
        <w:spacing w:after="0" w:line="240" w:lineRule="auto"/>
        <w:rPr>
          <w:rFonts w:ascii="Arial" w:eastAsia="Times New Roman" w:hAnsi="Arial" w:cs="Arial"/>
          <w:b/>
          <w:sz w:val="24"/>
          <w:szCs w:val="24"/>
        </w:rPr>
      </w:pPr>
    </w:p>
    <w:p w:rsidR="001E02BA" w:rsidRDefault="001E02BA" w:rsidP="006057BE">
      <w:pPr>
        <w:spacing w:after="0" w:line="240" w:lineRule="auto"/>
        <w:rPr>
          <w:rFonts w:ascii="Arial" w:eastAsia="Times New Roman" w:hAnsi="Arial" w:cs="Arial"/>
          <w:b/>
          <w:sz w:val="24"/>
          <w:szCs w:val="24"/>
        </w:rPr>
      </w:pPr>
    </w:p>
    <w:p w:rsidR="00784755" w:rsidRPr="000941B7" w:rsidRDefault="009D3C3A" w:rsidP="006057BE">
      <w:pPr>
        <w:spacing w:after="0" w:line="240" w:lineRule="auto"/>
        <w:rPr>
          <w:rFonts w:ascii="Arial" w:eastAsia="Times New Roman" w:hAnsi="Arial" w:cs="Arial"/>
          <w:b/>
          <w:sz w:val="24"/>
          <w:szCs w:val="24"/>
        </w:rPr>
      </w:pPr>
      <w:r w:rsidRPr="009D3C3A">
        <w:rPr>
          <w:rFonts w:ascii="Arial" w:eastAsia="Times New Roman" w:hAnsi="Arial" w:cs="Arial"/>
          <w:b/>
          <w:sz w:val="24"/>
          <w:szCs w:val="24"/>
        </w:rPr>
        <w:lastRenderedPageBreak/>
        <w:t>Table 5. Marijuana Consumption Patterns, Methods, and Expenditures</w:t>
      </w:r>
    </w:p>
    <w:tbl>
      <w:tblPr>
        <w:tblW w:w="7938" w:type="dxa"/>
        <w:tblLook w:val="04A0" w:firstRow="1" w:lastRow="0" w:firstColumn="1" w:lastColumn="0" w:noHBand="0" w:noVBand="1"/>
        <w:tblCaption w:val="Marijuana Consumption Patterns, Methods, and Expenditures"/>
        <w:tblDescription w:val="The table summarizes consumption patterns, methods, and expenditures reported by Massachusetts adults who had used marijuana in the past 30 days. About half (50.6%) of marijuana users consumed it only by smoking, while 42.9% used more than one method of consumption. More than half of users report using marijuana only for adult non-medical purposes. 15.5% used either prescribed or not prescribed marijuana for medical reasons. More than one-quarte reported both adult and medical marijuana use. Of Massachusetts adult marijuana users, 35.5% spent no money on marijuana in the past month, 31.5% spent between $1 and $80, and 33.0% spent $81 or more.&#10;"/>
      </w:tblPr>
      <w:tblGrid>
        <w:gridCol w:w="5508"/>
        <w:gridCol w:w="684"/>
        <w:gridCol w:w="912"/>
        <w:gridCol w:w="912"/>
      </w:tblGrid>
      <w:tr w:rsidR="009D3C3A" w:rsidRPr="009D3C3A" w:rsidTr="008976A8">
        <w:trPr>
          <w:trHeight w:val="872"/>
        </w:trPr>
        <w:tc>
          <w:tcPr>
            <w:tcW w:w="5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 </w:t>
            </w:r>
          </w:p>
        </w:tc>
        <w:tc>
          <w:tcPr>
            <w:tcW w:w="2430" w:type="dxa"/>
            <w:gridSpan w:val="3"/>
            <w:tcBorders>
              <w:top w:val="single" w:sz="4" w:space="0" w:color="auto"/>
              <w:left w:val="nil"/>
              <w:bottom w:val="single" w:sz="4" w:space="0" w:color="auto"/>
              <w:right w:val="single" w:sz="4" w:space="0" w:color="auto"/>
            </w:tcBorders>
            <w:shd w:val="clear" w:color="auto" w:fill="auto"/>
            <w:vAlign w:val="center"/>
            <w:hideMark/>
          </w:tcPr>
          <w:p w:rsidR="009D3C3A" w:rsidRPr="009D3C3A" w:rsidRDefault="009D3C3A" w:rsidP="006057BE">
            <w:pPr>
              <w:spacing w:after="0" w:line="240" w:lineRule="auto"/>
              <w:jc w:val="center"/>
              <w:rPr>
                <w:rFonts w:ascii="Arial" w:eastAsia="Times New Roman" w:hAnsi="Arial" w:cs="Arial"/>
                <w:b/>
                <w:bCs/>
                <w:sz w:val="24"/>
                <w:szCs w:val="24"/>
              </w:rPr>
            </w:pPr>
            <w:r w:rsidRPr="008976A8">
              <w:rPr>
                <w:rFonts w:ascii="Arial" w:eastAsia="Times New Roman" w:hAnsi="Arial" w:cs="Arial"/>
                <w:b/>
                <w:bCs/>
                <w:szCs w:val="24"/>
              </w:rPr>
              <w:t>Adults who used marijuana in past 30 days (n=439)</w:t>
            </w:r>
          </w:p>
        </w:tc>
      </w:tr>
      <w:tr w:rsidR="009D3C3A" w:rsidRPr="009D3C3A" w:rsidTr="009D3C3A">
        <w:trPr>
          <w:trHeight w:val="255"/>
        </w:trPr>
        <w:tc>
          <w:tcPr>
            <w:tcW w:w="5508" w:type="dxa"/>
            <w:tcBorders>
              <w:top w:val="nil"/>
              <w:left w:val="single" w:sz="4" w:space="0" w:color="auto"/>
              <w:bottom w:val="single" w:sz="4" w:space="0" w:color="auto"/>
              <w:right w:val="single" w:sz="4" w:space="0" w:color="auto"/>
            </w:tcBorders>
            <w:shd w:val="clear" w:color="auto" w:fill="auto"/>
            <w:noWrap/>
            <w:vAlign w:val="center"/>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 </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w:t>
            </w:r>
          </w:p>
        </w:tc>
        <w:tc>
          <w:tcPr>
            <w:tcW w:w="1824" w:type="dxa"/>
            <w:gridSpan w:val="2"/>
            <w:tcBorders>
              <w:top w:val="single" w:sz="4" w:space="0" w:color="auto"/>
              <w:left w:val="nil"/>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jc w:val="center"/>
              <w:rPr>
                <w:rFonts w:ascii="Arial" w:eastAsia="Times New Roman" w:hAnsi="Arial" w:cs="Arial"/>
                <w:b/>
                <w:bCs/>
                <w:sz w:val="24"/>
                <w:szCs w:val="24"/>
              </w:rPr>
            </w:pPr>
            <w:r w:rsidRPr="009D3C3A">
              <w:rPr>
                <w:rFonts w:ascii="Arial" w:eastAsia="Times New Roman" w:hAnsi="Arial" w:cs="Arial"/>
                <w:b/>
                <w:bCs/>
                <w:sz w:val="24"/>
                <w:szCs w:val="24"/>
              </w:rPr>
              <w:t>95% CI</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b/>
                <w:bCs/>
                <w:color w:val="000000"/>
                <w:sz w:val="24"/>
                <w:szCs w:val="24"/>
              </w:rPr>
            </w:pPr>
            <w:r w:rsidRPr="009D3C3A">
              <w:rPr>
                <w:rFonts w:ascii="Arial" w:eastAsia="Times New Roman" w:hAnsi="Arial" w:cs="Arial"/>
                <w:b/>
                <w:bCs/>
                <w:color w:val="000000"/>
                <w:sz w:val="24"/>
                <w:szCs w:val="24"/>
              </w:rPr>
              <w:t>How used marijuana, past 30 days</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Smoke</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50.6</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43.6</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57.5</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Vaporize</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2.9</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1.3</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4.4</w:t>
            </w:r>
          </w:p>
        </w:tc>
      </w:tr>
      <w:tr w:rsidR="009D3C3A" w:rsidRPr="009D3C3A" w:rsidTr="009D3C3A">
        <w:trPr>
          <w:trHeight w:val="245"/>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Eat</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2.6</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0.6</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4.6</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Drink</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0.3</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0.0</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0.7</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Topical</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0.3</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0.0</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0.6</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Sublingual</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0.3</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0.0</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0.7</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Dab</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0.2</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0.0</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0.7</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More than 1 route of administration</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42.9</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36.1</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49.7</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b/>
                <w:bCs/>
                <w:color w:val="000000"/>
                <w:sz w:val="24"/>
                <w:szCs w:val="24"/>
              </w:rPr>
            </w:pPr>
            <w:r w:rsidRPr="009D3C3A">
              <w:rPr>
                <w:rFonts w:ascii="Arial" w:eastAsia="Times New Roman" w:hAnsi="Arial" w:cs="Arial"/>
                <w:b/>
                <w:bCs/>
                <w:color w:val="000000"/>
                <w:sz w:val="24"/>
                <w:szCs w:val="24"/>
              </w:rPr>
              <w:t>Reasons used marijuana in past 30 days </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Adult (non-medical) only</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56.0</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49.1</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62.9</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Medical (prescribed) only</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4.0</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1.8</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6.2</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Medical (not prescribed) only</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11.5</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7.3</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15.6</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Any medical (prescribed and not prescribed)</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15.5</w:t>
            </w:r>
          </w:p>
        </w:tc>
        <w:tc>
          <w:tcPr>
            <w:tcW w:w="912" w:type="dxa"/>
            <w:tcBorders>
              <w:top w:val="nil"/>
              <w:left w:val="nil"/>
              <w:bottom w:val="single" w:sz="4" w:space="0" w:color="auto"/>
              <w:right w:val="single" w:sz="4" w:space="0" w:color="auto"/>
            </w:tcBorders>
            <w:shd w:val="clear" w:color="auto" w:fill="auto"/>
            <w:vAlign w:val="center"/>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w:t>
            </w:r>
          </w:p>
        </w:tc>
        <w:tc>
          <w:tcPr>
            <w:tcW w:w="912" w:type="dxa"/>
            <w:tcBorders>
              <w:top w:val="nil"/>
              <w:left w:val="nil"/>
              <w:bottom w:val="single" w:sz="4" w:space="0" w:color="auto"/>
              <w:right w:val="single" w:sz="4" w:space="0" w:color="auto"/>
            </w:tcBorders>
            <w:shd w:val="clear" w:color="auto" w:fill="auto"/>
            <w:vAlign w:val="center"/>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vAlign w:val="bottom"/>
            <w:hideMark/>
          </w:tcPr>
          <w:p w:rsidR="009D3C3A" w:rsidRPr="009D3C3A" w:rsidRDefault="009D3C3A" w:rsidP="006057BE">
            <w:pPr>
              <w:spacing w:after="0" w:line="240" w:lineRule="auto"/>
              <w:rPr>
                <w:rFonts w:ascii="Arial" w:eastAsia="Times New Roman" w:hAnsi="Arial" w:cs="Arial"/>
                <w:color w:val="000000"/>
                <w:sz w:val="24"/>
                <w:szCs w:val="24"/>
              </w:rPr>
            </w:pPr>
            <w:r w:rsidRPr="009D3C3A">
              <w:rPr>
                <w:rFonts w:ascii="Arial" w:eastAsia="Times New Roman" w:hAnsi="Arial" w:cs="Arial"/>
                <w:color w:val="000000"/>
                <w:sz w:val="24"/>
                <w:szCs w:val="24"/>
              </w:rPr>
              <w:t>Both adult and any medical</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28.5</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22.3</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34.8</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Amount of money spent on marijuana in past 30 days</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sz w:val="24"/>
                <w:szCs w:val="24"/>
              </w:rPr>
            </w:pP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$0</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35.5</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28.9</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42.1</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$1-80</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31.5</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24.8</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38.3</w:t>
            </w:r>
          </w:p>
        </w:tc>
      </w:tr>
      <w:tr w:rsidR="009D3C3A" w:rsidRPr="009D3C3A" w:rsidTr="009D3C3A">
        <w:trPr>
          <w:trHeight w:val="240"/>
        </w:trPr>
        <w:tc>
          <w:tcPr>
            <w:tcW w:w="5508" w:type="dxa"/>
            <w:tcBorders>
              <w:top w:val="nil"/>
              <w:left w:val="single" w:sz="4" w:space="0" w:color="auto"/>
              <w:bottom w:val="single" w:sz="4" w:space="0" w:color="auto"/>
              <w:right w:val="single" w:sz="4" w:space="0" w:color="auto"/>
            </w:tcBorders>
            <w:shd w:val="clear" w:color="auto" w:fill="auto"/>
            <w:noWrap/>
            <w:vAlign w:val="bottom"/>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$81-800</w:t>
            </w:r>
          </w:p>
        </w:tc>
        <w:tc>
          <w:tcPr>
            <w:tcW w:w="606"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33.0</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26.2</w:t>
            </w:r>
          </w:p>
        </w:tc>
        <w:tc>
          <w:tcPr>
            <w:tcW w:w="912" w:type="dxa"/>
            <w:tcBorders>
              <w:top w:val="nil"/>
              <w:left w:val="nil"/>
              <w:bottom w:val="single" w:sz="4" w:space="0" w:color="auto"/>
              <w:right w:val="single" w:sz="4" w:space="0" w:color="auto"/>
            </w:tcBorders>
            <w:shd w:val="clear" w:color="auto" w:fill="auto"/>
            <w:noWrap/>
            <w:vAlign w:val="bottom"/>
            <w:hideMark/>
          </w:tcPr>
          <w:p w:rsidR="009D3C3A" w:rsidRPr="009D3C3A" w:rsidRDefault="009D3C3A" w:rsidP="007837F5">
            <w:pPr>
              <w:spacing w:after="0" w:line="240" w:lineRule="auto"/>
              <w:jc w:val="center"/>
              <w:rPr>
                <w:rFonts w:ascii="Arial" w:eastAsia="Times New Roman" w:hAnsi="Arial" w:cs="Arial"/>
                <w:color w:val="000000"/>
                <w:sz w:val="24"/>
                <w:szCs w:val="24"/>
              </w:rPr>
            </w:pPr>
            <w:r w:rsidRPr="009D3C3A">
              <w:rPr>
                <w:rFonts w:ascii="Arial" w:eastAsia="Times New Roman" w:hAnsi="Arial" w:cs="Arial"/>
                <w:color w:val="000000"/>
                <w:sz w:val="24"/>
                <w:szCs w:val="24"/>
              </w:rPr>
              <w:t>39.7</w:t>
            </w:r>
          </w:p>
        </w:tc>
      </w:tr>
    </w:tbl>
    <w:p w:rsidR="009D3C3A" w:rsidRPr="009D3C3A" w:rsidRDefault="009D3C3A" w:rsidP="006057BE">
      <w:pPr>
        <w:spacing w:after="0" w:line="240" w:lineRule="auto"/>
        <w:rPr>
          <w:rFonts w:ascii="Arial" w:hAnsi="Arial" w:cs="Arial"/>
          <w:sz w:val="24"/>
          <w:szCs w:val="24"/>
        </w:rPr>
      </w:pPr>
    </w:p>
    <w:p w:rsidR="009D3C3A" w:rsidRPr="009D3C3A" w:rsidRDefault="009D3C3A" w:rsidP="00AC40A7">
      <w:pPr>
        <w:pStyle w:val="Heading3"/>
      </w:pPr>
      <w:bookmarkStart w:id="154" w:name="_Toc513810112"/>
      <w:bookmarkStart w:id="155" w:name="_Toc11765937"/>
      <w:bookmarkStart w:id="156" w:name="_Toc11766592"/>
      <w:r w:rsidRPr="009D3C3A">
        <w:t>Correlates of Marijuana Use</w:t>
      </w:r>
      <w:bookmarkEnd w:id="154"/>
      <w:bookmarkEnd w:id="155"/>
      <w:bookmarkEnd w:id="156"/>
    </w:p>
    <w:p w:rsidR="009D3C3A" w:rsidRPr="009D3C3A" w:rsidRDefault="009D3C3A" w:rsidP="006057BE">
      <w:pPr>
        <w:spacing w:after="0" w:line="240" w:lineRule="auto"/>
        <w:rPr>
          <w:rFonts w:ascii="Arial" w:hAnsi="Arial"/>
        </w:rPr>
      </w:pPr>
    </w:p>
    <w:p w:rsidR="008976A8"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Table 6 presents results from the Poisson regression examining socio-demographics and other factors associated with past 30-day marijuana use (defined as a dichotomous variable, yes versus no) by Massachusetts adults. It is important to remember that because the survey used a cross-sectional design, the results shown here reflect factors that are associated with marijuana use and cannot be interpreted as being causally related to marijuana use. We report relative risk (RR) and 95% confidence intervals (CI). Men were more likely than women to use marijuana (RR=1.3; 95% CI: 1.1-1.6).  Age is also associated with marijuana use. Compared to adults aged 18 to 20, adults aged 26 to 34 were less likely to use marijuana (RR=0.6; 95% CI: 0.4-0.9), as are those aged 35 to 64 (RR=0.3; 95% CI: 0.2-0.5), and adults aged 65 and older (RR=0.1; 95% CI: 0.1-0.2). Having a graduate degree, compared with having attained a High School education or less, was negatively associated with marijuana use (RR=0.5; 95% CI: 0.4-0.8). Renting a home, compared with owning a home, was positively associated with marijuana use (RR=1.5; 95% CI: 1.1-1.9).  Having children in the home was negatively associated with marijuana use (RR=0.8; 95% CI: 0.6-1.0). Compared with living in Boston, living in the Northeast (RR=1.8; 95% CI: 1.2-2.7), Southeast (RR=1.8;</w:t>
      </w:r>
    </w:p>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 xml:space="preserve">95% CI: 1.1-2.7), and Western (RR=2.0; 95% CI: 1.3, 3.0) regions of the state are each positively associated with marijuana use. Marijuana use is positively associated with </w:t>
      </w:r>
      <w:r w:rsidRPr="009D3C3A">
        <w:rPr>
          <w:rFonts w:ascii="Arial" w:eastAsia="Times New Roman" w:hAnsi="Arial" w:cs="Arial"/>
          <w:sz w:val="24"/>
          <w:szCs w:val="24"/>
        </w:rPr>
        <w:lastRenderedPageBreak/>
        <w:t>past 30-day use of alcohol (RR=1.9; 95% CI: 1.4-2.6) and other substances (RR=1.7; 95% CI: 1.3-2.4). See Table 6.</w:t>
      </w:r>
    </w:p>
    <w:p w:rsidR="009D3C3A" w:rsidRPr="009D3C3A" w:rsidRDefault="009D3C3A" w:rsidP="006057BE">
      <w:pPr>
        <w:spacing w:after="0" w:line="240" w:lineRule="auto"/>
        <w:rPr>
          <w:rFonts w:ascii="Arial" w:eastAsia="Times New Roman" w:hAnsi="Arial" w:cs="Arial"/>
          <w:sz w:val="24"/>
          <w:szCs w:val="24"/>
        </w:rPr>
      </w:pPr>
    </w:p>
    <w:p w:rsidR="008976A8" w:rsidRPr="008976A8" w:rsidRDefault="009D3C3A" w:rsidP="006057BE">
      <w:pPr>
        <w:spacing w:after="0" w:line="240" w:lineRule="auto"/>
        <w:rPr>
          <w:rFonts w:ascii="Arial" w:hAnsi="Arial" w:cs="Arial"/>
          <w:b/>
          <w:sz w:val="24"/>
          <w:szCs w:val="24"/>
        </w:rPr>
      </w:pPr>
      <w:r w:rsidRPr="009D3C3A">
        <w:rPr>
          <w:rFonts w:ascii="Arial" w:hAnsi="Arial" w:cs="Arial"/>
          <w:b/>
          <w:sz w:val="24"/>
          <w:szCs w:val="24"/>
        </w:rPr>
        <w:t>Table 6. Adjusted Relative Risk of Marijuana Use</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djusted Relative Risk of Marijuana Use"/>
        <w:tblDescription w:val="The table 6 presents socio-demographics and other factors associated with past 30-day marijuana use by Massachusetts adults.Men were more likely than women to use marijuana. Compared to adults aged 18 to 20, adults aged 26 to 34 were less likely to use marijuana, as are those aged 35 to 64, and adults aged 65 and older. Having a graduate degree, compared with having attained a high school education or less, was negatively associated with marijuana use. Renting a home, compared with owning a home, was positively associated with marijuana use.  Having children in the home was negatively associated with marijuana use. Compared with living in Boston, living in the Northeast, Southeast,  and Western regions of the state are each positively associated with marijuana use. Use is positively associated with past 30-day use of alcohol."/>
      </w:tblPr>
      <w:tblGrid>
        <w:gridCol w:w="4535"/>
        <w:gridCol w:w="1719"/>
        <w:gridCol w:w="1530"/>
        <w:gridCol w:w="1549"/>
      </w:tblGrid>
      <w:tr w:rsidR="009D3C3A" w:rsidRPr="009D3C3A" w:rsidTr="009D3C3A">
        <w:trPr>
          <w:trHeight w:val="576"/>
          <w:jc w:val="center"/>
        </w:trPr>
        <w:tc>
          <w:tcPr>
            <w:tcW w:w="4535" w:type="dxa"/>
            <w:shd w:val="clear" w:color="auto" w:fill="auto"/>
            <w:noWrap/>
            <w:hideMark/>
          </w:tcPr>
          <w:p w:rsidR="009D3C3A" w:rsidRPr="009D3C3A" w:rsidRDefault="009D3C3A" w:rsidP="006057BE">
            <w:pPr>
              <w:spacing w:after="0" w:line="240" w:lineRule="auto"/>
              <w:jc w:val="center"/>
              <w:rPr>
                <w:rFonts w:ascii="Arial" w:eastAsia="Times New Roman" w:hAnsi="Arial" w:cs="Arial"/>
                <w:sz w:val="24"/>
                <w:szCs w:val="24"/>
              </w:rPr>
            </w:pPr>
          </w:p>
        </w:tc>
        <w:tc>
          <w:tcPr>
            <w:tcW w:w="1719" w:type="dxa"/>
            <w:shd w:val="clear" w:color="auto" w:fill="auto"/>
            <w:noWrap/>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Adjusted</w:t>
            </w:r>
          </w:p>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Relative Risk</w:t>
            </w:r>
          </w:p>
        </w:tc>
        <w:tc>
          <w:tcPr>
            <w:tcW w:w="3079" w:type="dxa"/>
            <w:gridSpan w:val="2"/>
            <w:shd w:val="clear" w:color="auto" w:fill="auto"/>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95% Confidence Interval</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Male (ref: Female)*</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1.3</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1.1</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1.6</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Age (ref: 18-20)</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b/>
                <w:bCs/>
                <w:sz w:val="24"/>
                <w:szCs w:val="24"/>
              </w:rPr>
            </w:pP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21-25</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0.8</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0.5</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1.3</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26-34*</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0.6</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0.4</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0.9</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35-64***</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0.3</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0.2</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0.5</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65+***</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0.1</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0.1</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0.2</w:t>
            </w:r>
          </w:p>
        </w:tc>
      </w:tr>
      <w:tr w:rsidR="009D3C3A" w:rsidRPr="009D3C3A" w:rsidTr="009D3C3A">
        <w:trPr>
          <w:trHeight w:val="576"/>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Race/Ethnicity (ref: White, non-Hispanic)</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b/>
                <w:bCs/>
                <w:sz w:val="24"/>
                <w:szCs w:val="24"/>
              </w:rPr>
            </w:pP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p>
        </w:tc>
      </w:tr>
      <w:tr w:rsidR="009D3C3A" w:rsidRPr="009D3C3A" w:rsidTr="008976A8">
        <w:trPr>
          <w:trHeight w:val="305"/>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Hispanic</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1.0</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0.7</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Black, non-Hispanic</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1.1</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0.7</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1.7</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Asian, non-Hispanic</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0.6</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0.2</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1.2</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Other, non-Hispanic</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1.4</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0.9</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2.1</w:t>
            </w:r>
          </w:p>
        </w:tc>
      </w:tr>
      <w:tr w:rsidR="009D3C3A" w:rsidRPr="009D3C3A" w:rsidTr="009D3C3A">
        <w:trPr>
          <w:trHeight w:val="576"/>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Education (ref: Less than high school)</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b/>
                <w:bCs/>
                <w:sz w:val="24"/>
                <w:szCs w:val="24"/>
              </w:rPr>
            </w:pP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p>
        </w:tc>
      </w:tr>
      <w:tr w:rsidR="009D3C3A" w:rsidRPr="009D3C3A" w:rsidTr="008976A8">
        <w:trPr>
          <w:trHeight w:val="305"/>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College</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0.8</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0.6</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1.1</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Graduate degree**</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0.5</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0.4</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0.8</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Home ownership (ref: own)</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b/>
                <w:bCs/>
                <w:sz w:val="24"/>
                <w:szCs w:val="24"/>
              </w:rPr>
            </w:pP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Rent**</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1.1</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1.9</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Something else</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1.0</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0.7</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1.6</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Children in household (ref: No)*</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0.8</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0.6</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1.0</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Region (ref: Boston)</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b/>
                <w:bCs/>
                <w:sz w:val="24"/>
                <w:szCs w:val="24"/>
              </w:rPr>
            </w:pP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Metrowest</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1.4</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0.9</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2.1</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Northeast**</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1.8</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1.2</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2.7</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Southeast*</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1.8</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1.1</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2.7</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Central</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1.5</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0.9</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2.3</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sz w:val="24"/>
                <w:szCs w:val="24"/>
              </w:rPr>
            </w:pPr>
            <w:r w:rsidRPr="009D3C3A">
              <w:rPr>
                <w:rFonts w:ascii="Arial" w:eastAsia="Times New Roman" w:hAnsi="Arial" w:cs="Arial"/>
                <w:sz w:val="24"/>
                <w:szCs w:val="24"/>
              </w:rPr>
              <w:t>Western**</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2.0</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1.3</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3.0</w:t>
            </w:r>
          </w:p>
        </w:tc>
      </w:tr>
      <w:tr w:rsidR="009D3C3A" w:rsidRPr="009D3C3A" w:rsidTr="008976A8">
        <w:trPr>
          <w:trHeight w:val="350"/>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Alcohol use, past 30 days (ref: No)***</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1.9</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1.4</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2.6</w:t>
            </w:r>
          </w:p>
        </w:tc>
      </w:tr>
      <w:tr w:rsidR="009D3C3A" w:rsidRPr="009D3C3A" w:rsidTr="009D3C3A">
        <w:trPr>
          <w:trHeight w:val="576"/>
          <w:jc w:val="center"/>
        </w:trPr>
        <w:tc>
          <w:tcPr>
            <w:tcW w:w="4535" w:type="dxa"/>
            <w:shd w:val="clear" w:color="auto" w:fill="auto"/>
            <w:noWrap/>
            <w:hideMark/>
          </w:tcPr>
          <w:p w:rsidR="009D3C3A" w:rsidRPr="009D3C3A" w:rsidRDefault="009D3C3A" w:rsidP="006057BE">
            <w:pPr>
              <w:spacing w:after="0" w:line="240" w:lineRule="auto"/>
              <w:rPr>
                <w:rFonts w:ascii="Arial" w:eastAsia="Times New Roman" w:hAnsi="Arial" w:cs="Arial"/>
                <w:b/>
                <w:bCs/>
                <w:sz w:val="24"/>
                <w:szCs w:val="24"/>
              </w:rPr>
            </w:pPr>
            <w:r w:rsidRPr="009D3C3A">
              <w:rPr>
                <w:rFonts w:ascii="Arial" w:eastAsia="Times New Roman" w:hAnsi="Arial" w:cs="Arial"/>
                <w:b/>
                <w:bCs/>
                <w:sz w:val="24"/>
                <w:szCs w:val="24"/>
              </w:rPr>
              <w:t>Other substance use, past 30 days (ref: No)**</w:t>
            </w:r>
          </w:p>
        </w:tc>
        <w:tc>
          <w:tcPr>
            <w:tcW w:w="171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1.7</w:t>
            </w:r>
          </w:p>
        </w:tc>
        <w:tc>
          <w:tcPr>
            <w:tcW w:w="1530"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1.3</w:t>
            </w:r>
          </w:p>
        </w:tc>
        <w:tc>
          <w:tcPr>
            <w:tcW w:w="1549" w:type="dxa"/>
            <w:shd w:val="clear" w:color="auto" w:fill="auto"/>
            <w:noWrap/>
            <w:hideMark/>
          </w:tcPr>
          <w:p w:rsidR="009D3C3A" w:rsidRPr="009D3C3A" w:rsidRDefault="009D3C3A" w:rsidP="007837F5">
            <w:pPr>
              <w:spacing w:after="0" w:line="240" w:lineRule="auto"/>
              <w:jc w:val="center"/>
              <w:rPr>
                <w:rFonts w:ascii="Arial" w:eastAsia="Times New Roman" w:hAnsi="Arial" w:cs="Arial"/>
                <w:sz w:val="24"/>
                <w:szCs w:val="24"/>
              </w:rPr>
            </w:pPr>
            <w:r w:rsidRPr="009D3C3A">
              <w:rPr>
                <w:rFonts w:ascii="Arial" w:eastAsia="Times New Roman" w:hAnsi="Arial" w:cs="Arial"/>
                <w:sz w:val="24"/>
                <w:szCs w:val="24"/>
              </w:rPr>
              <w:t>2.4</w:t>
            </w:r>
          </w:p>
        </w:tc>
      </w:tr>
    </w:tbl>
    <w:p w:rsidR="00FF2F11" w:rsidRDefault="00FF2F11" w:rsidP="006057BE">
      <w:pPr>
        <w:spacing w:after="0" w:line="240" w:lineRule="auto"/>
        <w:rPr>
          <w:rFonts w:ascii="Arial" w:hAnsi="Arial" w:cs="Arial"/>
          <w:sz w:val="24"/>
          <w:szCs w:val="24"/>
        </w:rPr>
      </w:pPr>
    </w:p>
    <w:p w:rsidR="008976A8" w:rsidRPr="0090612A" w:rsidRDefault="009D3C3A" w:rsidP="006057BE">
      <w:pPr>
        <w:spacing w:after="0" w:line="240" w:lineRule="auto"/>
        <w:rPr>
          <w:rFonts w:ascii="Arial" w:hAnsi="Arial" w:cs="Arial"/>
          <w:szCs w:val="24"/>
        </w:rPr>
      </w:pPr>
      <w:r w:rsidRPr="0090612A">
        <w:rPr>
          <w:rFonts w:ascii="Arial" w:hAnsi="Arial" w:cs="Arial"/>
          <w:szCs w:val="24"/>
        </w:rPr>
        <w:t>Note: *p&lt;0.05; **p&lt;0.01; ***p&lt;0.001. Results are based on weighted, multivariable regression analysis.</w:t>
      </w:r>
      <w:bookmarkStart w:id="157" w:name="_Toc513810113"/>
    </w:p>
    <w:p w:rsidR="007837F5" w:rsidRDefault="007837F5" w:rsidP="006057BE">
      <w:pPr>
        <w:spacing w:after="0" w:line="240" w:lineRule="auto"/>
        <w:rPr>
          <w:rFonts w:ascii="Arial" w:hAnsi="Arial" w:cs="Arial"/>
          <w:sz w:val="24"/>
          <w:szCs w:val="24"/>
        </w:rPr>
      </w:pPr>
    </w:p>
    <w:p w:rsidR="009D3C3A" w:rsidRPr="008976A8" w:rsidRDefault="009D3C3A" w:rsidP="005F7A46">
      <w:pPr>
        <w:pStyle w:val="Heading2"/>
      </w:pPr>
      <w:bookmarkStart w:id="158" w:name="_Toc11765938"/>
      <w:bookmarkStart w:id="159" w:name="_Toc11766593"/>
      <w:bookmarkStart w:id="160" w:name="_Toc11917210"/>
      <w:bookmarkStart w:id="161" w:name="_Toc11921648"/>
      <w:bookmarkStart w:id="162" w:name="_Toc12520927"/>
      <w:bookmarkStart w:id="163" w:name="_Toc12521153"/>
      <w:bookmarkStart w:id="164" w:name="_Toc12529123"/>
      <w:r w:rsidRPr="009D3C3A">
        <w:lastRenderedPageBreak/>
        <w:t>Discussion</w:t>
      </w:r>
      <w:bookmarkEnd w:id="157"/>
      <w:bookmarkEnd w:id="158"/>
      <w:bookmarkEnd w:id="159"/>
      <w:bookmarkEnd w:id="160"/>
      <w:bookmarkEnd w:id="161"/>
      <w:bookmarkEnd w:id="162"/>
      <w:bookmarkEnd w:id="163"/>
      <w:bookmarkEnd w:id="164"/>
    </w:p>
    <w:p w:rsidR="009D3C3A" w:rsidRPr="009D3C3A" w:rsidRDefault="009D3C3A" w:rsidP="006057BE">
      <w:pPr>
        <w:spacing w:after="0" w:line="240" w:lineRule="auto"/>
        <w:rPr>
          <w:rFonts w:ascii="Arial" w:hAnsi="Arial"/>
        </w:rPr>
      </w:pPr>
    </w:p>
    <w:p w:rsidR="009D3C3A" w:rsidRPr="009D3C3A" w:rsidRDefault="009D3C3A" w:rsidP="006057BE">
      <w:pPr>
        <w:spacing w:after="0" w:line="240" w:lineRule="auto"/>
        <w:rPr>
          <w:rFonts w:ascii="Arial" w:hAnsi="Arial" w:cs="Arial"/>
          <w:sz w:val="24"/>
          <w:szCs w:val="24"/>
        </w:rPr>
      </w:pPr>
      <w:r w:rsidRPr="009D3C3A">
        <w:rPr>
          <w:rFonts w:ascii="Arial" w:eastAsia="Times New Roman" w:hAnsi="Arial" w:cs="Arial"/>
          <w:sz w:val="24"/>
          <w:szCs w:val="24"/>
        </w:rPr>
        <w:t xml:space="preserve">We found that 21.1% of adults in Massachusetts had used marijuana in the past 30 days. </w:t>
      </w:r>
      <w:r w:rsidRPr="009D3C3A">
        <w:rPr>
          <w:rFonts w:ascii="Arial" w:hAnsi="Arial" w:cs="Arial"/>
          <w:sz w:val="24"/>
          <w:szCs w:val="24"/>
        </w:rPr>
        <w:t xml:space="preserve">Estimates are substantially higher than those provided by other surveys. For example, as presented in Chapter 1, 5.2% of Massachusetts adults aged 26 or older reported recent use of marijuana in 2006, and 9.2% reported recent use in 2014. </w:t>
      </w:r>
      <w:r w:rsidRPr="009D3C3A">
        <w:rPr>
          <w:rFonts w:ascii="Arial" w:eastAsia="Times New Roman" w:hAnsi="Arial" w:cs="Arial"/>
          <w:sz w:val="24"/>
          <w:szCs w:val="24"/>
        </w:rPr>
        <w:t xml:space="preserve">In the present study, </w:t>
      </w:r>
      <w:r w:rsidRPr="009D3C3A">
        <w:rPr>
          <w:rFonts w:ascii="Arial" w:hAnsi="Arial" w:cs="Arial"/>
          <w:sz w:val="24"/>
          <w:szCs w:val="24"/>
        </w:rPr>
        <w:t xml:space="preserve">18.0% of adults aged 26 or older had used marijuana </w:t>
      </w:r>
      <w:r w:rsidRPr="009D3C3A">
        <w:rPr>
          <w:rFonts w:ascii="Arial" w:eastAsia="Times New Roman" w:hAnsi="Arial" w:cs="Arial"/>
          <w:sz w:val="24"/>
          <w:szCs w:val="24"/>
        </w:rPr>
        <w:t>in the past 30 days</w:t>
      </w:r>
      <w:r w:rsidRPr="009D3C3A">
        <w:rPr>
          <w:rFonts w:ascii="Arial" w:hAnsi="Arial" w:cs="Arial"/>
          <w:sz w:val="24"/>
          <w:szCs w:val="24"/>
        </w:rPr>
        <w:t xml:space="preserve">. Increases in marijuana prevalence among Massachusetts adults may be attributable to shifts in public opinion regarding marijuana, and in marijuana-related law and public policy. </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Men in Massachusetts are more likely than women to use marijuana, as are individuals aged 18 to 20. Marijuana prevalence rates are 25.9% for men and 17.0% for women, 54.4% for those aged 18 to 20 and 49.1% for those aged 21 to 25. Findings regarding the greater likelihood of marijuana use by men and younger adults remained significant in regression analysis which accounts for the effect of other factors on marijuana use. </w:t>
      </w: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Relationships are more complex between marijuana use and other factors, in particular, race/ethnicity and education.</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By race/ethnicity, prevalence of marijuana use is highest among Hispanics, at 27.1%, followed by 25.8% of Blacks, 20.1% of Whites, 10.4% of Asians, and 37.5% of other race/ethnic groups. Among marijuana users living in MA, most are White, 70.8%, and many fewer are Hispanic, 12.0%, Black, 7.1%, other, 6.9%, or Asian, 3.2%. In the regression analysis, which accounted for the effect of other factors, race/ethnicity was not associated with marijuana use, suggesting that the likelihood of using marijuana is similar for each group (compared to Whites), when other factors are accounted for. </w:t>
      </w:r>
    </w:p>
    <w:p w:rsidR="009D3C3A" w:rsidRPr="009D3C3A" w:rsidRDefault="009D3C3A" w:rsidP="006057BE">
      <w:pPr>
        <w:spacing w:after="0" w:line="240" w:lineRule="auto"/>
        <w:rPr>
          <w:rFonts w:ascii="Arial" w:eastAsia="Times New Roman" w:hAnsi="Arial" w:cs="Arial"/>
          <w:sz w:val="24"/>
          <w:szCs w:val="24"/>
        </w:rPr>
      </w:pPr>
      <w:r w:rsidRPr="009D3C3A">
        <w:rPr>
          <w:rFonts w:ascii="Arial" w:hAnsi="Arial" w:cs="Arial"/>
          <w:sz w:val="24"/>
          <w:szCs w:val="24"/>
        </w:rPr>
        <w:t xml:space="preserve">As for educational attainment, prevalence data and bivariate analysis indicate that a greater proportion of adults with a High School degree or college education use marijuana than adults with a graduate degree. In regression analysis, which accounts for the effect of other factors on marijuana use, adults with a college education are as likely to use marijuana as those with a high school education or less. In contrast, adults with a graduate degree are less likely to use marijuana that those with a High School education or less. Relationships between marijuana use, educational attainment, and other indicators of economic status are known to be complex and poorly understood. </w:t>
      </w:r>
      <w:r w:rsidRPr="009D3C3A">
        <w:rPr>
          <w:rFonts w:ascii="Arial" w:eastAsia="Times New Roman" w:hAnsi="Arial" w:cs="Arial"/>
          <w:sz w:val="24"/>
          <w:szCs w:val="24"/>
        </w:rPr>
        <w:t xml:space="preserve">For example, college students face added risks for marijuana use that have been attributed to a diverse set of factors that include: overestimation among college students regarding how often the average student uses drugs (McCabe, 2008); perceptions among college students that drug use during their college years is normative (Cook, Bauermeister, Gordon-Messer &amp; Zimmerman, 2013; Pischke et al., 2012); the expectation among college students that drugs will reduce social anxiety and facilitate the formation of new peer friendships (Buckner, 2013); and greater exposure to drug-using opportunities that exist on college campuses (Arria et al., 2008). </w:t>
      </w:r>
    </w:p>
    <w:p w:rsidR="009D3C3A" w:rsidRPr="009D3C3A" w:rsidRDefault="009D3C3A" w:rsidP="006057BE">
      <w:pPr>
        <w:spacing w:after="0" w:line="240" w:lineRule="auto"/>
        <w:rPr>
          <w:rFonts w:ascii="Arial" w:eastAsia="Times New Roman" w:hAnsi="Arial" w:cs="Arial"/>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Patterns of m</w:t>
      </w:r>
      <w:r w:rsidRPr="009D3C3A">
        <w:rPr>
          <w:rFonts w:ascii="Arial" w:eastAsia="Times New Roman" w:hAnsi="Arial" w:cs="Arial"/>
          <w:sz w:val="24"/>
          <w:szCs w:val="24"/>
        </w:rPr>
        <w:t>arijuana use among college graduates have been attributed to age-graded changes in social roles and associated normative behavior that generally accompany the life transitions that this event signifies (Kandel &amp; Chen, 2000).</w:t>
      </w:r>
      <w:r w:rsidRPr="009D3C3A">
        <w:rPr>
          <w:rFonts w:ascii="Arial" w:hAnsi="Arial" w:cs="Arial"/>
          <w:sz w:val="24"/>
          <w:szCs w:val="24"/>
        </w:rPr>
        <w:t xml:space="preserve"> The present study </w:t>
      </w:r>
      <w:r w:rsidRPr="009D3C3A">
        <w:rPr>
          <w:rFonts w:ascii="Arial" w:hAnsi="Arial" w:cs="Arial"/>
          <w:sz w:val="24"/>
          <w:szCs w:val="24"/>
        </w:rPr>
        <w:lastRenderedPageBreak/>
        <w:t>was not designed to explore these types of relationships, and therefore findings should be interpreted with caution.</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By region, residents in the Western area of the state report the highest prevalence rate of past 30-day marijuana use, at 29.8%, with rates in other areas of the Commonwealth ranging from 20.9% to 18.2%. </w:t>
      </w:r>
      <w:r w:rsidRPr="009D3C3A">
        <w:rPr>
          <w:rFonts w:ascii="Arial" w:eastAsia="Times New Roman" w:hAnsi="Arial" w:cs="Arial"/>
          <w:sz w:val="24"/>
          <w:szCs w:val="24"/>
        </w:rPr>
        <w:t xml:space="preserve">In Poisson regression analysis, compared with living in Boston, living in the Northeast, Southeast, and Western regions of the state are each positively associated with marijuana use. Findings suggest that the public health impacts of marijuana use may not be evenly distributed across the state. </w:t>
      </w:r>
      <w:r w:rsidRPr="009D3C3A">
        <w:rPr>
          <w:rFonts w:ascii="Arial" w:hAnsi="Arial" w:cs="Arial"/>
          <w:sz w:val="24"/>
          <w:szCs w:val="24"/>
        </w:rPr>
        <w:t>Other factors associated with a lower likelihood of marijuana use are home ownership and having children in home. Given the cross-sectional design of the study, we cannot determine the nature of these relationships and therefore these findings should not be interpreted as being causally related.</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eastAsia="Times New Roman" w:hAnsi="Arial" w:cs="Arial"/>
          <w:sz w:val="24"/>
          <w:szCs w:val="24"/>
        </w:rPr>
      </w:pPr>
      <w:r w:rsidRPr="009D3C3A">
        <w:rPr>
          <w:rFonts w:ascii="Arial" w:hAnsi="Arial" w:cs="Arial"/>
          <w:sz w:val="24"/>
          <w:szCs w:val="24"/>
        </w:rPr>
        <w:t>A</w:t>
      </w:r>
      <w:r w:rsidRPr="009D3C3A">
        <w:rPr>
          <w:rFonts w:ascii="Arial" w:eastAsia="Times New Roman" w:hAnsi="Arial" w:cs="Arial"/>
          <w:sz w:val="24"/>
          <w:szCs w:val="24"/>
        </w:rPr>
        <w:t xml:space="preserve">bout 7 out of 10 Massachusetts adults consume alcohol, and 4 out of 100 consume another substance (e.g., non-prescribed opioids, cocaine/crack, heroin, non-medical anti-anxiety drugs, and other illicit substances). Notably, </w:t>
      </w:r>
      <w:r w:rsidRPr="009D3C3A">
        <w:rPr>
          <w:rFonts w:ascii="Arial" w:hAnsi="Arial" w:cs="Arial"/>
          <w:sz w:val="24"/>
          <w:szCs w:val="24"/>
        </w:rPr>
        <w:t xml:space="preserve">a greater proportion of Massachusetts marijuana users than non-users consume alcohol and other substances, particularly </w:t>
      </w:r>
      <w:r w:rsidRPr="009D3C3A">
        <w:rPr>
          <w:rFonts w:ascii="Arial" w:eastAsia="Times New Roman" w:hAnsi="Arial" w:cs="Arial"/>
          <w:sz w:val="24"/>
          <w:szCs w:val="24"/>
        </w:rPr>
        <w:t>non-prescribed opioids, and use of alcohol and other substances is associated with a greater likelihood of using marijuana</w:t>
      </w:r>
      <w:r w:rsidRPr="009D3C3A">
        <w:rPr>
          <w:rFonts w:ascii="Arial" w:hAnsi="Arial" w:cs="Arial"/>
          <w:sz w:val="24"/>
          <w:szCs w:val="24"/>
        </w:rPr>
        <w:t xml:space="preserve">. </w:t>
      </w:r>
      <w:r w:rsidRPr="009D3C3A">
        <w:rPr>
          <w:rFonts w:ascii="Arial" w:eastAsia="Times New Roman" w:hAnsi="Arial" w:cs="Arial"/>
          <w:sz w:val="24"/>
          <w:szCs w:val="24"/>
        </w:rPr>
        <w:t xml:space="preserve">The co-occurring use of marijuana with alcohol and other substances, particularly during adolescence and young adulthood, is well-established (Swift et al., 2012; Tzilos, Reddy, Caviness, Anderson &amp; Stein, 2014). </w:t>
      </w:r>
    </w:p>
    <w:p w:rsidR="009D3C3A" w:rsidRPr="009D3C3A" w:rsidRDefault="009D3C3A" w:rsidP="006057BE">
      <w:pPr>
        <w:spacing w:after="0" w:line="240" w:lineRule="auto"/>
        <w:rPr>
          <w:rFonts w:ascii="Arial" w:eastAsia="Times New Roman" w:hAnsi="Arial" w:cs="Arial"/>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eastAsia="Times New Roman" w:hAnsi="Arial" w:cs="Arial"/>
          <w:sz w:val="24"/>
          <w:szCs w:val="24"/>
        </w:rPr>
        <w:t xml:space="preserve">Just over half of Massachusetts adults favored the legalization of marijuana, with double the proportion of marijuana users than non-users supporting legalization. </w:t>
      </w:r>
      <w:r w:rsidRPr="009D3C3A">
        <w:rPr>
          <w:rFonts w:ascii="Arial" w:hAnsi="Arial" w:cs="Arial"/>
          <w:sz w:val="24"/>
          <w:szCs w:val="24"/>
        </w:rPr>
        <w:t xml:space="preserve">As there have been dramatic shifts in public opinion regarding marijuana and in marijuana-related law and public policy (Pacula et al., 2005; Pacula, Kilmer, Wagenaar, Chaloupka, &amp; Caulkins, 2014; Pew Research Center, 2014), the incidence and prevalence of both marijuana use and also marijuana use disorders are expected to increase (Budney &amp; Moore, 2002; Hasin et al., 2017; Martins et al., 2016; Volkow, Baler, Compton, &amp; Weiss, 2014). </w:t>
      </w:r>
      <w:r w:rsidRPr="009D3C3A">
        <w:rPr>
          <w:rFonts w:ascii="Arial" w:eastAsia="Times New Roman" w:hAnsi="Arial" w:cs="Arial"/>
          <w:sz w:val="24"/>
          <w:szCs w:val="24"/>
        </w:rPr>
        <w:t>Of those who ever use marijuana, about 21% develop a marijuana use disorder (Caulkins, 2018). However, the proportion of marijuana users who meet disorder criteria is different by age. For example, national prevalence data indicate that in 2016, approximately 7.2 million young adults aged 18 to 25 were current users of marijuana, or 20.8% of young adults, and of these, 1.7 million had a marijuana use disorder in the past year, or 5.0% (SAMHSA, 2017). Expressed another way, these data indicate that about 24% of young adults aged 18 to 25 who use marijuana meet disorder criteria. Longitudinal studies have documented that while marijuana use can extend over many years of the life course, for most individual’s problematic marijuana use is generally limited to young adulthood (Chen &amp; Jacobsen, 2012; DeWit, Offord &amp; Wong, 1997; Schulenberg et al., 2005), and only about 9% of marijuana users remain dependent on the substance over the long-term (Hall &amp; Degenhardt, 2009). However,</w:t>
      </w:r>
      <w:r w:rsidRPr="009D3C3A">
        <w:rPr>
          <w:rFonts w:ascii="Arial" w:hAnsi="Arial" w:cs="Arial"/>
          <w:sz w:val="24"/>
          <w:szCs w:val="24"/>
        </w:rPr>
        <w:t xml:space="preserve"> once a marijuana use disorder does develop, it is associated with increased risk of several diseases and poor health outcomes, including impaired respiratory function, cardiovascular disease, adverse effects on adolescent psychosocial development and </w:t>
      </w:r>
      <w:r w:rsidRPr="009D3C3A">
        <w:rPr>
          <w:rFonts w:ascii="Arial" w:hAnsi="Arial" w:cs="Arial"/>
          <w:sz w:val="24"/>
          <w:szCs w:val="24"/>
        </w:rPr>
        <w:lastRenderedPageBreak/>
        <w:t>mental health, and residual cognitive impairment (Hall &amp; Degenhardt, 2013). In the present study, we only examined marijuana use, and we did not include measurement of marijuana use disorders.</w:t>
      </w:r>
    </w:p>
    <w:p w:rsidR="009D3C3A" w:rsidRPr="009D3C3A" w:rsidRDefault="009D3C3A" w:rsidP="006057BE">
      <w:pPr>
        <w:spacing w:after="0" w:line="240" w:lineRule="auto"/>
        <w:rPr>
          <w:rFonts w:ascii="Arial" w:hAnsi="Arial" w:cs="Arial"/>
          <w:sz w:val="24"/>
          <w:szCs w:val="24"/>
        </w:rPr>
      </w:pPr>
    </w:p>
    <w:p w:rsidR="009D3C3A" w:rsidRDefault="009D3C3A" w:rsidP="006057BE">
      <w:pPr>
        <w:spacing w:after="0" w:line="240" w:lineRule="auto"/>
        <w:rPr>
          <w:rFonts w:ascii="Arial" w:hAnsi="Arial" w:cs="Arial"/>
          <w:sz w:val="24"/>
          <w:szCs w:val="24"/>
        </w:rPr>
      </w:pPr>
      <w:r w:rsidRPr="009D3C3A">
        <w:rPr>
          <w:rFonts w:ascii="Arial" w:eastAsia="Times New Roman" w:hAnsi="Arial" w:cs="Arial"/>
          <w:sz w:val="24"/>
          <w:szCs w:val="24"/>
        </w:rPr>
        <w:t xml:space="preserve">More than half of adult marijuana users in Massachusetts report using marijuana only for adult non-medical purposes, but a significant proportion also report using it for medical reasons. At the same time, a greater proportion of marijuana users than non-users perceive marijuana to have no health risks, or only slight risks, and marijuana users are less likely to perceive that marijuana poses moderate or great risks. Marijuana is primarily used for adult use because it induces euphoria, drowsiness, and feelings of relaxation (Inaba &amp; Cohen, 2011). </w:t>
      </w:r>
      <w:r w:rsidRPr="009D3C3A">
        <w:rPr>
          <w:rFonts w:ascii="Arial" w:hAnsi="Arial" w:cs="Arial"/>
          <w:sz w:val="24"/>
          <w:szCs w:val="24"/>
        </w:rPr>
        <w:t xml:space="preserve">Individuals who use marijuana therapeutically report that it relieves conditions and symptoms such as glaucoma, nausea, </w:t>
      </w:r>
      <w:r w:rsidRPr="009D3C3A">
        <w:rPr>
          <w:rFonts w:ascii="Arial" w:hAnsi="Arial" w:cs="Arial"/>
          <w:bCs/>
          <w:sz w:val="24"/>
          <w:szCs w:val="24"/>
        </w:rPr>
        <w:t xml:space="preserve">AIDS-associated anorexia and wasting syndrome, chronic pain, inflammation, multiple sclerosis, and epilepsy (Volkow, Baler, Compton, &amp; Weiss, 2014). </w:t>
      </w:r>
      <w:r w:rsidRPr="009D3C3A">
        <w:rPr>
          <w:rFonts w:ascii="Arial" w:hAnsi="Arial" w:cs="Arial"/>
          <w:sz w:val="24"/>
          <w:szCs w:val="24"/>
        </w:rPr>
        <w:t>When taken in combination with prescribed medications, however, marijuana may increase the risk of bleeding, change the impact of medications to address blood sugar levels and low blood pressure, interfere with the body’s ability to process certain medications, and have other negative impacts. Studies are underway now to better understand the health risks and benefits of marijuana use.</w:t>
      </w: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 </w:t>
      </w: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Finally, Accountable Care Organizations and ongoing health care reforms are expected to bring more marijuana users into primary care and other health care settings (Tai et al., 2014; Gordon, Conley &amp; Gordon, 2013). The National Institute on Drug Abuse and other organizations have published evidence-based guidelines on the screening, brief intervention, and treatment of marijuana and other substance use. Also, the proliferation of electronic health records (EHRs) provides the opportunity to track marijuana use, assess its potential interaction with other therapies, and treat it when needed (Fihn et al., 2014; Halamka, 2014; Longhurst, Harrington &amp; Shah, 2014; Weil, 2014). However, given the special regulations that govern addiction healthcare records (e.g., 42 CFR) and reluctance among patients and physicians to report the illicit and stigmatized behaviors that marijuana use once entailed, clinicians may not document marijuana use or refrain from discussing its potential health impacts with patients. </w:t>
      </w:r>
    </w:p>
    <w:p w:rsidR="00FF2F11" w:rsidRDefault="00FF2F11" w:rsidP="006057BE">
      <w:pPr>
        <w:spacing w:after="0" w:line="240" w:lineRule="auto"/>
        <w:rPr>
          <w:rFonts w:ascii="Arial" w:hAnsi="Arial" w:cs="Arial"/>
          <w:b/>
          <w:i/>
          <w:sz w:val="24"/>
          <w:szCs w:val="24"/>
        </w:rPr>
      </w:pPr>
    </w:p>
    <w:p w:rsidR="009D3C3A" w:rsidRPr="009D3C3A" w:rsidRDefault="009D3C3A" w:rsidP="00AC40A7">
      <w:pPr>
        <w:pStyle w:val="Heading3"/>
      </w:pPr>
      <w:bookmarkStart w:id="165" w:name="_Toc11765939"/>
      <w:bookmarkStart w:id="166" w:name="_Toc11766594"/>
      <w:r w:rsidRPr="009D3C3A">
        <w:t>Limitations and Strengths</w:t>
      </w:r>
      <w:bookmarkEnd w:id="165"/>
      <w:bookmarkEnd w:id="166"/>
    </w:p>
    <w:p w:rsidR="009D3C3A" w:rsidRPr="009D3C3A" w:rsidRDefault="009D3C3A" w:rsidP="006057BE">
      <w:pPr>
        <w:spacing w:after="0" w:line="240" w:lineRule="auto"/>
        <w:rPr>
          <w:rFonts w:ascii="Arial" w:hAnsi="Arial" w:cs="Arial"/>
          <w:b/>
          <w:i/>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eastAsia="Times New Roman" w:hAnsi="Arial" w:cs="Arial"/>
          <w:sz w:val="24"/>
          <w:szCs w:val="24"/>
        </w:rPr>
        <w:t xml:space="preserve">Findings must be considered within the context of several limitations. </w:t>
      </w:r>
      <w:r w:rsidRPr="009D3C3A">
        <w:rPr>
          <w:rFonts w:ascii="Arial" w:hAnsi="Arial" w:cs="Arial"/>
          <w:sz w:val="24"/>
          <w:szCs w:val="24"/>
        </w:rPr>
        <w:t>The survey response rate was 21.7%. While typical of general population surveys like this one, if there was a response bias on a measure not accounted for by the weighting, generalizability may be limited. For example, findings may be impacted by response bias if adults who used marijuana were more likely to return the survey than adults who do not use marijuana. This could lead to overestimation of the prevalence of marijuana use. T</w:t>
      </w:r>
      <w:r w:rsidRPr="009D3C3A">
        <w:rPr>
          <w:rFonts w:ascii="Arial" w:eastAsia="Arial Unicode MS" w:hAnsi="Arial" w:cs="Arial"/>
          <w:sz w:val="24"/>
          <w:szCs w:val="24"/>
        </w:rPr>
        <w:t xml:space="preserve">he cross-sectional survey design precludes determining the </w:t>
      </w:r>
      <w:r w:rsidRPr="009D3C3A">
        <w:rPr>
          <w:rFonts w:ascii="Arial" w:hAnsi="Arial" w:cs="Arial"/>
          <w:sz w:val="24"/>
          <w:szCs w:val="24"/>
          <w:lang w:val="en-GB"/>
        </w:rPr>
        <w:t>temporal sequencing of experiences and prevents drawing of causal inferences.</w:t>
      </w:r>
      <w:r w:rsidRPr="009D3C3A">
        <w:rPr>
          <w:rFonts w:ascii="Arial" w:hAnsi="Arial" w:cs="Arial"/>
          <w:sz w:val="24"/>
          <w:szCs w:val="24"/>
          <w:vertAlign w:val="superscript"/>
        </w:rPr>
        <w:t xml:space="preserve"> </w:t>
      </w:r>
      <w:r w:rsidRPr="009D3C3A">
        <w:rPr>
          <w:rFonts w:ascii="Arial" w:hAnsi="Arial" w:cs="Arial"/>
          <w:sz w:val="24"/>
          <w:szCs w:val="24"/>
        </w:rPr>
        <w:t xml:space="preserve">For this reason, it is appropriate to interpret findings as highlighting those factors that are associated with, but not necessarily causally related to, the outcomes of interest. </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lastRenderedPageBreak/>
        <w:t>Marijuana and other substance use were both self-reported, and not corroborated by testing of biological samples. Social desirability bias can lead to underestimates in survey research, however a unique contribution of this study is that it is the first to be conducted in Massachusetts after legalization of marijuana for adult use. Data was collected in late 2017, nearly one year after marijuana became legal for adult use by, and several years after legalization of medical marijuana in Massachusetts. Reporting of illegal behaviors (e.g. use of illicit drugs; driving under the influence of alcohol or drugs) may be underreported.</w:t>
      </w:r>
    </w:p>
    <w:p w:rsidR="009D3C3A" w:rsidRPr="009D3C3A" w:rsidRDefault="009D3C3A" w:rsidP="006057BE">
      <w:pPr>
        <w:spacing w:after="0" w:line="240" w:lineRule="auto"/>
        <w:rPr>
          <w:rFonts w:ascii="Arial" w:hAnsi="Arial" w:cs="Arial"/>
          <w:sz w:val="24"/>
          <w:szCs w:val="24"/>
        </w:rPr>
      </w:pPr>
    </w:p>
    <w:p w:rsidR="009D3C3A" w:rsidRPr="009D3C3A" w:rsidRDefault="009D3C3A" w:rsidP="006057BE">
      <w:pPr>
        <w:spacing w:after="0" w:line="240" w:lineRule="auto"/>
        <w:rPr>
          <w:rFonts w:ascii="Arial" w:hAnsi="Arial" w:cs="Arial"/>
          <w:sz w:val="24"/>
          <w:szCs w:val="24"/>
        </w:rPr>
      </w:pPr>
      <w:r w:rsidRPr="009D3C3A">
        <w:rPr>
          <w:rFonts w:ascii="Arial" w:hAnsi="Arial" w:cs="Arial"/>
          <w:sz w:val="24"/>
          <w:szCs w:val="24"/>
        </w:rPr>
        <w:t xml:space="preserve">Small cell sizes for categories of some variables likely mean that models including them are underpowered. The survey omitted individuals aged 17 or younger and adults living in non-residential settings (e.g., incarcerated settings, group home residents, etc.). Therefore, findings may underrepresent certain groups that may be more likely to use marijuana. We did not explore associations comparing mental health conditions, adulthood trauma, or other known risk factors for marijuana use, whether associations are different among subgroups of adults (moderation), or the processes through which factors are associated with the outcomes of interest (mediation), constituting several areas for future research. </w:t>
      </w:r>
    </w:p>
    <w:p w:rsidR="009D3C3A" w:rsidRPr="009D3C3A" w:rsidRDefault="009D3C3A" w:rsidP="006057BE">
      <w:pPr>
        <w:spacing w:after="0" w:line="240" w:lineRule="auto"/>
        <w:ind w:left="720" w:hanging="720"/>
        <w:rPr>
          <w:rFonts w:ascii="Arial" w:eastAsiaTheme="majorEastAsia" w:hAnsi="Arial" w:cs="Arial"/>
          <w:b/>
          <w:sz w:val="24"/>
          <w:szCs w:val="24"/>
        </w:rPr>
      </w:pPr>
    </w:p>
    <w:p w:rsidR="009D3C3A" w:rsidRDefault="009D3C3A" w:rsidP="006057BE">
      <w:pPr>
        <w:spacing w:after="0" w:line="240" w:lineRule="auto"/>
        <w:ind w:left="720" w:hanging="720"/>
        <w:rPr>
          <w:rFonts w:ascii="Arial" w:eastAsia="Times New Roman" w:hAnsi="Arial" w:cs="Arial"/>
          <w:b/>
          <w:sz w:val="24"/>
          <w:szCs w:val="24"/>
        </w:rPr>
      </w:pPr>
    </w:p>
    <w:p w:rsidR="009D3C3A" w:rsidRDefault="009D3C3A" w:rsidP="006057BE">
      <w:pPr>
        <w:spacing w:after="0" w:line="240" w:lineRule="auto"/>
        <w:ind w:left="720" w:hanging="720"/>
        <w:rPr>
          <w:rFonts w:ascii="Arial" w:eastAsia="Times New Roman" w:hAnsi="Arial" w:cs="Arial"/>
          <w:b/>
          <w:sz w:val="24"/>
          <w:szCs w:val="24"/>
        </w:rPr>
      </w:pPr>
    </w:p>
    <w:p w:rsidR="009D3C3A" w:rsidRDefault="009D3C3A" w:rsidP="006057BE">
      <w:pPr>
        <w:spacing w:after="0" w:line="240" w:lineRule="auto"/>
        <w:ind w:left="720" w:hanging="720"/>
        <w:rPr>
          <w:rFonts w:ascii="Arial" w:eastAsia="Times New Roman" w:hAnsi="Arial" w:cs="Arial"/>
          <w:b/>
          <w:sz w:val="24"/>
          <w:szCs w:val="24"/>
        </w:rPr>
      </w:pPr>
    </w:p>
    <w:p w:rsidR="009D3C3A" w:rsidRDefault="009D3C3A" w:rsidP="006057BE">
      <w:pPr>
        <w:spacing w:after="0" w:line="240" w:lineRule="auto"/>
        <w:ind w:left="720" w:hanging="720"/>
        <w:rPr>
          <w:rFonts w:ascii="Arial" w:eastAsia="Times New Roman" w:hAnsi="Arial" w:cs="Arial"/>
          <w:b/>
          <w:sz w:val="24"/>
          <w:szCs w:val="24"/>
        </w:rPr>
      </w:pPr>
    </w:p>
    <w:p w:rsidR="009D3C3A" w:rsidRDefault="009D3C3A" w:rsidP="006057BE">
      <w:pPr>
        <w:spacing w:after="0" w:line="240" w:lineRule="auto"/>
        <w:ind w:left="720" w:hanging="720"/>
        <w:rPr>
          <w:rFonts w:ascii="Arial" w:eastAsia="Times New Roman" w:hAnsi="Arial" w:cs="Arial"/>
          <w:b/>
          <w:sz w:val="24"/>
          <w:szCs w:val="24"/>
        </w:rPr>
      </w:pPr>
    </w:p>
    <w:p w:rsidR="009D3C3A" w:rsidRDefault="009D3C3A" w:rsidP="006057BE">
      <w:pPr>
        <w:spacing w:after="0" w:line="240" w:lineRule="auto"/>
        <w:ind w:left="720" w:hanging="720"/>
        <w:rPr>
          <w:rFonts w:ascii="Arial" w:eastAsia="Times New Roman" w:hAnsi="Arial" w:cs="Arial"/>
          <w:b/>
          <w:sz w:val="24"/>
          <w:szCs w:val="24"/>
        </w:rPr>
      </w:pPr>
    </w:p>
    <w:p w:rsidR="009D3C3A" w:rsidRDefault="009D3C3A" w:rsidP="006057BE">
      <w:pPr>
        <w:spacing w:after="0" w:line="240" w:lineRule="auto"/>
        <w:ind w:left="720" w:hanging="720"/>
        <w:rPr>
          <w:rFonts w:ascii="Arial" w:eastAsia="Times New Roman" w:hAnsi="Arial" w:cs="Arial"/>
          <w:b/>
          <w:sz w:val="24"/>
          <w:szCs w:val="24"/>
        </w:rPr>
      </w:pPr>
    </w:p>
    <w:p w:rsidR="008976A8" w:rsidRDefault="008976A8" w:rsidP="006057BE">
      <w:pPr>
        <w:spacing w:after="0" w:line="240" w:lineRule="auto"/>
        <w:ind w:left="720" w:hanging="720"/>
        <w:rPr>
          <w:rFonts w:ascii="Arial" w:eastAsia="Times New Roman" w:hAnsi="Arial" w:cs="Arial"/>
          <w:b/>
          <w:sz w:val="24"/>
          <w:szCs w:val="24"/>
        </w:rPr>
      </w:pPr>
    </w:p>
    <w:p w:rsidR="008976A8" w:rsidRDefault="008976A8" w:rsidP="006057BE">
      <w:pPr>
        <w:spacing w:after="0" w:line="240" w:lineRule="auto"/>
        <w:ind w:left="720" w:hanging="720"/>
        <w:rPr>
          <w:rFonts w:ascii="Arial" w:eastAsia="Times New Roman" w:hAnsi="Arial" w:cs="Arial"/>
          <w:b/>
          <w:sz w:val="24"/>
          <w:szCs w:val="24"/>
        </w:rPr>
      </w:pPr>
    </w:p>
    <w:p w:rsidR="008976A8" w:rsidRDefault="008976A8" w:rsidP="006057BE">
      <w:pPr>
        <w:spacing w:after="0" w:line="240" w:lineRule="auto"/>
        <w:ind w:left="720" w:hanging="720"/>
        <w:rPr>
          <w:rFonts w:ascii="Arial" w:eastAsia="Times New Roman" w:hAnsi="Arial" w:cs="Arial"/>
          <w:b/>
          <w:sz w:val="24"/>
          <w:szCs w:val="24"/>
        </w:rPr>
      </w:pPr>
    </w:p>
    <w:p w:rsidR="008976A8" w:rsidRDefault="008976A8" w:rsidP="006057BE">
      <w:pPr>
        <w:spacing w:after="0" w:line="240" w:lineRule="auto"/>
        <w:ind w:left="720" w:hanging="720"/>
        <w:rPr>
          <w:rFonts w:ascii="Arial" w:eastAsia="Times New Roman" w:hAnsi="Arial" w:cs="Arial"/>
          <w:b/>
          <w:sz w:val="24"/>
          <w:szCs w:val="24"/>
        </w:rPr>
      </w:pPr>
    </w:p>
    <w:p w:rsidR="008976A8" w:rsidRDefault="008976A8" w:rsidP="006057BE">
      <w:pPr>
        <w:spacing w:after="0" w:line="240" w:lineRule="auto"/>
        <w:ind w:left="720" w:hanging="720"/>
        <w:rPr>
          <w:rFonts w:ascii="Arial" w:eastAsia="Times New Roman" w:hAnsi="Arial" w:cs="Arial"/>
          <w:b/>
          <w:sz w:val="24"/>
          <w:szCs w:val="24"/>
        </w:rPr>
      </w:pPr>
    </w:p>
    <w:p w:rsidR="008976A8" w:rsidRDefault="008976A8" w:rsidP="006057BE">
      <w:pPr>
        <w:spacing w:after="0" w:line="240" w:lineRule="auto"/>
        <w:ind w:left="720" w:hanging="720"/>
        <w:rPr>
          <w:rFonts w:ascii="Arial" w:eastAsia="Times New Roman" w:hAnsi="Arial" w:cs="Arial"/>
          <w:b/>
          <w:sz w:val="24"/>
          <w:szCs w:val="24"/>
        </w:rPr>
      </w:pPr>
    </w:p>
    <w:p w:rsidR="00FF2F11" w:rsidRDefault="00FF2F11" w:rsidP="006057BE">
      <w:pPr>
        <w:spacing w:after="0" w:line="240" w:lineRule="auto"/>
        <w:ind w:left="720" w:hanging="720"/>
        <w:rPr>
          <w:rFonts w:ascii="Arial" w:eastAsia="Times New Roman" w:hAnsi="Arial" w:cs="Arial"/>
          <w:b/>
          <w:sz w:val="24"/>
          <w:szCs w:val="24"/>
        </w:rPr>
      </w:pPr>
    </w:p>
    <w:p w:rsidR="000941B7" w:rsidRDefault="000941B7" w:rsidP="006057BE">
      <w:pPr>
        <w:spacing w:after="0" w:line="240" w:lineRule="auto"/>
        <w:ind w:left="720" w:hanging="720"/>
        <w:rPr>
          <w:rFonts w:ascii="Arial" w:eastAsia="Times New Roman" w:hAnsi="Arial" w:cs="Arial"/>
          <w:b/>
          <w:sz w:val="24"/>
          <w:szCs w:val="24"/>
        </w:rPr>
      </w:pPr>
    </w:p>
    <w:p w:rsidR="000941B7" w:rsidRDefault="000941B7" w:rsidP="006057BE">
      <w:pPr>
        <w:spacing w:after="0" w:line="240" w:lineRule="auto"/>
        <w:ind w:left="720" w:hanging="720"/>
        <w:rPr>
          <w:rFonts w:ascii="Arial" w:eastAsia="Times New Roman" w:hAnsi="Arial" w:cs="Arial"/>
          <w:b/>
          <w:sz w:val="24"/>
          <w:szCs w:val="24"/>
        </w:rPr>
      </w:pPr>
    </w:p>
    <w:p w:rsidR="000941B7" w:rsidRDefault="000941B7" w:rsidP="006057BE">
      <w:pPr>
        <w:spacing w:after="0" w:line="240" w:lineRule="auto"/>
        <w:ind w:left="720" w:hanging="720"/>
        <w:rPr>
          <w:rFonts w:ascii="Arial" w:eastAsia="Times New Roman" w:hAnsi="Arial" w:cs="Arial"/>
          <w:b/>
          <w:sz w:val="24"/>
          <w:szCs w:val="24"/>
        </w:rPr>
      </w:pPr>
    </w:p>
    <w:p w:rsidR="000941B7" w:rsidRDefault="000941B7" w:rsidP="006057BE">
      <w:pPr>
        <w:spacing w:after="0" w:line="240" w:lineRule="auto"/>
        <w:ind w:left="720" w:hanging="720"/>
        <w:rPr>
          <w:rFonts w:ascii="Arial" w:eastAsia="Times New Roman" w:hAnsi="Arial" w:cs="Arial"/>
          <w:b/>
          <w:sz w:val="24"/>
          <w:szCs w:val="24"/>
        </w:rPr>
      </w:pPr>
    </w:p>
    <w:p w:rsidR="000941B7" w:rsidRDefault="000941B7" w:rsidP="006057BE">
      <w:pPr>
        <w:spacing w:after="0" w:line="240" w:lineRule="auto"/>
        <w:ind w:left="720" w:hanging="720"/>
        <w:rPr>
          <w:rFonts w:ascii="Arial" w:eastAsia="Times New Roman" w:hAnsi="Arial" w:cs="Arial"/>
          <w:b/>
          <w:sz w:val="24"/>
          <w:szCs w:val="24"/>
        </w:rPr>
      </w:pPr>
    </w:p>
    <w:p w:rsidR="000941B7" w:rsidRDefault="000941B7" w:rsidP="006057BE">
      <w:pPr>
        <w:spacing w:after="0" w:line="240" w:lineRule="auto"/>
        <w:ind w:left="720" w:hanging="720"/>
        <w:rPr>
          <w:rFonts w:ascii="Arial" w:eastAsia="Times New Roman" w:hAnsi="Arial" w:cs="Arial"/>
          <w:b/>
          <w:sz w:val="24"/>
          <w:szCs w:val="24"/>
        </w:rPr>
      </w:pPr>
    </w:p>
    <w:p w:rsidR="000941B7" w:rsidRDefault="000941B7" w:rsidP="006057BE">
      <w:pPr>
        <w:spacing w:after="0" w:line="240" w:lineRule="auto"/>
        <w:ind w:left="720" w:hanging="720"/>
        <w:rPr>
          <w:rFonts w:ascii="Arial" w:eastAsia="Times New Roman" w:hAnsi="Arial" w:cs="Arial"/>
          <w:b/>
          <w:sz w:val="24"/>
          <w:szCs w:val="24"/>
        </w:rPr>
      </w:pPr>
    </w:p>
    <w:p w:rsidR="000941B7" w:rsidRDefault="000941B7" w:rsidP="006057BE">
      <w:pPr>
        <w:spacing w:after="0" w:line="240" w:lineRule="auto"/>
        <w:ind w:left="720" w:hanging="720"/>
        <w:rPr>
          <w:rFonts w:ascii="Arial" w:eastAsia="Times New Roman" w:hAnsi="Arial" w:cs="Arial"/>
          <w:b/>
          <w:sz w:val="24"/>
          <w:szCs w:val="24"/>
        </w:rPr>
      </w:pPr>
    </w:p>
    <w:p w:rsidR="000941B7" w:rsidRDefault="000941B7" w:rsidP="006057BE">
      <w:pPr>
        <w:spacing w:after="0" w:line="240" w:lineRule="auto"/>
        <w:ind w:left="720" w:hanging="720"/>
        <w:rPr>
          <w:rFonts w:ascii="Arial" w:eastAsia="Times New Roman" w:hAnsi="Arial" w:cs="Arial"/>
          <w:b/>
          <w:sz w:val="24"/>
          <w:szCs w:val="24"/>
        </w:rPr>
      </w:pPr>
    </w:p>
    <w:p w:rsidR="000941B7" w:rsidRDefault="000941B7" w:rsidP="006057BE">
      <w:pPr>
        <w:spacing w:after="0" w:line="240" w:lineRule="auto"/>
        <w:ind w:left="720" w:hanging="720"/>
        <w:rPr>
          <w:rFonts w:ascii="Arial" w:eastAsia="Times New Roman" w:hAnsi="Arial" w:cs="Arial"/>
          <w:b/>
          <w:sz w:val="24"/>
          <w:szCs w:val="24"/>
        </w:rPr>
      </w:pPr>
    </w:p>
    <w:p w:rsidR="00A07315" w:rsidRDefault="00A07315" w:rsidP="006057BE">
      <w:pPr>
        <w:spacing w:after="0" w:line="240" w:lineRule="auto"/>
        <w:ind w:left="720" w:hanging="720"/>
        <w:rPr>
          <w:rFonts w:ascii="Arial" w:eastAsia="Times New Roman" w:hAnsi="Arial" w:cs="Arial"/>
          <w:b/>
          <w:sz w:val="24"/>
          <w:szCs w:val="24"/>
        </w:rPr>
      </w:pPr>
    </w:p>
    <w:p w:rsidR="00A07315" w:rsidRDefault="00A07315" w:rsidP="006057BE">
      <w:pPr>
        <w:spacing w:after="0" w:line="240" w:lineRule="auto"/>
        <w:ind w:left="720" w:hanging="720"/>
        <w:rPr>
          <w:rFonts w:ascii="Arial" w:eastAsia="Times New Roman" w:hAnsi="Arial" w:cs="Arial"/>
          <w:b/>
          <w:sz w:val="24"/>
          <w:szCs w:val="24"/>
        </w:rPr>
      </w:pPr>
    </w:p>
    <w:p w:rsidR="00A07315" w:rsidRDefault="00A07315" w:rsidP="006057BE">
      <w:pPr>
        <w:spacing w:after="0" w:line="240" w:lineRule="auto"/>
        <w:ind w:left="720" w:hanging="720"/>
        <w:rPr>
          <w:rFonts w:ascii="Arial" w:eastAsia="Times New Roman" w:hAnsi="Arial" w:cs="Arial"/>
          <w:b/>
          <w:sz w:val="24"/>
          <w:szCs w:val="24"/>
        </w:rPr>
      </w:pPr>
    </w:p>
    <w:p w:rsidR="009D3C3A" w:rsidRPr="009D3C3A" w:rsidRDefault="009D3C3A" w:rsidP="005F7A46">
      <w:pPr>
        <w:pStyle w:val="Heading2"/>
        <w:rPr>
          <w:rFonts w:eastAsia="Times New Roman"/>
        </w:rPr>
      </w:pPr>
      <w:bookmarkStart w:id="167" w:name="_Toc11765940"/>
      <w:bookmarkStart w:id="168" w:name="_Toc11766595"/>
      <w:bookmarkStart w:id="169" w:name="_Toc11917211"/>
      <w:bookmarkStart w:id="170" w:name="_Toc11921649"/>
      <w:bookmarkStart w:id="171" w:name="_Toc12520928"/>
      <w:bookmarkStart w:id="172" w:name="_Toc12521154"/>
      <w:bookmarkStart w:id="173" w:name="_Toc12529124"/>
      <w:r w:rsidRPr="009D3C3A">
        <w:rPr>
          <w:rFonts w:eastAsia="Times New Roman"/>
        </w:rPr>
        <w:lastRenderedPageBreak/>
        <w:t>References</w:t>
      </w:r>
      <w:bookmarkEnd w:id="167"/>
      <w:bookmarkEnd w:id="168"/>
      <w:bookmarkEnd w:id="169"/>
      <w:bookmarkEnd w:id="170"/>
      <w:bookmarkEnd w:id="171"/>
      <w:bookmarkEnd w:id="172"/>
      <w:bookmarkEnd w:id="173"/>
    </w:p>
    <w:p w:rsidR="009D3C3A" w:rsidRPr="009D3C3A" w:rsidRDefault="009D3C3A" w:rsidP="006057BE">
      <w:pPr>
        <w:spacing w:after="0" w:line="240" w:lineRule="auto"/>
        <w:ind w:left="720" w:hanging="720"/>
        <w:rPr>
          <w:rFonts w:ascii="Arial" w:eastAsia="Times New Roman" w:hAnsi="Arial" w:cs="Arial"/>
          <w:sz w:val="24"/>
          <w:szCs w:val="24"/>
        </w:rPr>
      </w:pPr>
      <w:r w:rsidRPr="009D3C3A">
        <w:rPr>
          <w:rFonts w:ascii="Arial" w:eastAsia="Times New Roman" w:hAnsi="Arial" w:cs="Arial"/>
          <w:sz w:val="24"/>
          <w:szCs w:val="24"/>
        </w:rPr>
        <w:t xml:space="preserve"> </w:t>
      </w:r>
    </w:p>
    <w:p w:rsidR="009D3C3A" w:rsidRPr="009D3C3A" w:rsidRDefault="009D3C3A" w:rsidP="006057BE">
      <w:pPr>
        <w:spacing w:after="0" w:line="240" w:lineRule="auto"/>
        <w:ind w:left="720" w:hanging="720"/>
        <w:rPr>
          <w:rFonts w:ascii="Arial" w:hAnsi="Arial" w:cs="Arial"/>
          <w:sz w:val="24"/>
          <w:szCs w:val="24"/>
        </w:rPr>
      </w:pPr>
      <w:r w:rsidRPr="009D3C3A">
        <w:rPr>
          <w:rFonts w:ascii="Arial" w:eastAsia="Times New Roman" w:hAnsi="Arial" w:cs="Arial"/>
          <w:sz w:val="24"/>
          <w:szCs w:val="24"/>
        </w:rPr>
        <w:t xml:space="preserve">Allen, J., &amp; Holder, M. D. (2014). Marijuana use and well-being in university students. </w:t>
      </w:r>
      <w:r w:rsidRPr="009D3C3A">
        <w:rPr>
          <w:rFonts w:ascii="Arial" w:eastAsia="Times New Roman" w:hAnsi="Arial" w:cs="Arial"/>
          <w:i/>
          <w:iCs/>
          <w:sz w:val="24"/>
          <w:szCs w:val="24"/>
        </w:rPr>
        <w:t>Journal of Happiness Studies</w:t>
      </w:r>
      <w:r w:rsidRPr="009D3C3A">
        <w:rPr>
          <w:rFonts w:ascii="Arial" w:eastAsia="Times New Roman" w:hAnsi="Arial" w:cs="Arial"/>
          <w:sz w:val="24"/>
          <w:szCs w:val="24"/>
        </w:rPr>
        <w:t xml:space="preserve">, </w:t>
      </w:r>
      <w:r w:rsidRPr="009D3C3A">
        <w:rPr>
          <w:rFonts w:ascii="Arial" w:eastAsia="Times New Roman" w:hAnsi="Arial" w:cs="Arial"/>
          <w:i/>
          <w:iCs/>
          <w:sz w:val="24"/>
          <w:szCs w:val="24"/>
        </w:rPr>
        <w:t>15</w:t>
      </w:r>
      <w:r w:rsidRPr="009D3C3A">
        <w:rPr>
          <w:rFonts w:ascii="Arial" w:eastAsia="Times New Roman" w:hAnsi="Arial" w:cs="Arial"/>
          <w:sz w:val="24"/>
          <w:szCs w:val="24"/>
        </w:rPr>
        <w:t>(2), 301–321. https://doi.org/10.1007/s10902-013-9423-1.</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 xml:space="preserve">Arria, A. M., Caldeira, K. M., O'Grady, K. E., Vincent, K. B., Fitzelle, D. B., Johnson, E. P., &amp; Wish, E. D. (2008). Drug exposure opportunities and use patterns among college students: results of a longitudinal prospective cohort study. </w:t>
      </w:r>
      <w:r w:rsidRPr="009D3C3A">
        <w:rPr>
          <w:rFonts w:ascii="Arial" w:hAnsi="Arial" w:cs="Arial"/>
          <w:i/>
          <w:iCs/>
          <w:sz w:val="24"/>
          <w:szCs w:val="24"/>
        </w:rPr>
        <w:t>Subst Abus, 29</w:t>
      </w:r>
      <w:r w:rsidRPr="009D3C3A">
        <w:rPr>
          <w:rFonts w:ascii="Arial" w:hAnsi="Arial" w:cs="Arial"/>
          <w:sz w:val="24"/>
          <w:szCs w:val="24"/>
        </w:rPr>
        <w:t>(4), 19-38. doi: 10.1080/08897070802418451.</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eastAsia="Times New Roman" w:hAnsi="Arial" w:cs="Arial"/>
          <w:sz w:val="24"/>
          <w:szCs w:val="24"/>
        </w:rPr>
        <w:t>Bachhuber MA, Saloner B, Cunningham CO, Barry CL. (2014) Medical cannabis laws and</w:t>
      </w:r>
      <w:r w:rsidRPr="009D3C3A">
        <w:rPr>
          <w:rFonts w:ascii="Arial" w:hAnsi="Arial" w:cs="Arial"/>
          <w:sz w:val="24"/>
          <w:szCs w:val="24"/>
        </w:rPr>
        <w:t xml:space="preserve"> </w:t>
      </w:r>
      <w:r w:rsidRPr="009D3C3A">
        <w:rPr>
          <w:rFonts w:ascii="Arial" w:eastAsia="Times New Roman" w:hAnsi="Arial" w:cs="Arial"/>
          <w:sz w:val="24"/>
          <w:szCs w:val="24"/>
        </w:rPr>
        <w:t xml:space="preserve">opioid analgesic overdose mortality in the United States, 1999-2010. </w:t>
      </w:r>
      <w:r w:rsidRPr="009D3C3A">
        <w:rPr>
          <w:rFonts w:ascii="Arial" w:eastAsia="Times New Roman" w:hAnsi="Arial" w:cs="Arial"/>
          <w:i/>
          <w:sz w:val="24"/>
          <w:szCs w:val="24"/>
        </w:rPr>
        <w:t>JAMA Intern Med,</w:t>
      </w:r>
      <w:r w:rsidRPr="009D3C3A">
        <w:rPr>
          <w:rFonts w:ascii="Arial" w:eastAsia="Times New Roman" w:hAnsi="Arial" w:cs="Arial"/>
          <w:sz w:val="24"/>
          <w:szCs w:val="24"/>
        </w:rPr>
        <w:t xml:space="preserve"> Oct;174(10):1668-73.</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 xml:space="preserve">Buckner, J. D. (2013). College cannabis use: the unique roles of social norms, motives, and expectancies. </w:t>
      </w:r>
      <w:r w:rsidRPr="009D3C3A">
        <w:rPr>
          <w:rFonts w:ascii="Arial" w:hAnsi="Arial" w:cs="Arial"/>
          <w:i/>
          <w:iCs/>
          <w:sz w:val="24"/>
          <w:szCs w:val="24"/>
        </w:rPr>
        <w:t>J Stud Alcohol Drugs, 74</w:t>
      </w:r>
      <w:r w:rsidRPr="009D3C3A">
        <w:rPr>
          <w:rFonts w:ascii="Arial" w:hAnsi="Arial" w:cs="Arial"/>
          <w:sz w:val="24"/>
          <w:szCs w:val="24"/>
        </w:rPr>
        <w:t xml:space="preserve">(5), 720-726. </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Budney, A.J., Moore, B.A. (2002). Development and consequences of cannabis dependence. </w:t>
      </w:r>
      <w:r w:rsidRPr="009D3C3A">
        <w:rPr>
          <w:rFonts w:ascii="Arial" w:hAnsi="Arial" w:cs="Arial"/>
          <w:i/>
          <w:sz w:val="24"/>
          <w:szCs w:val="24"/>
        </w:rPr>
        <w:t>Journal of Clinical Pharmacology</w:t>
      </w:r>
      <w:r w:rsidRPr="009D3C3A">
        <w:rPr>
          <w:rFonts w:ascii="Arial" w:hAnsi="Arial" w:cs="Arial"/>
          <w:sz w:val="24"/>
          <w:szCs w:val="24"/>
        </w:rPr>
        <w:t>, 42(11 Supplement): 28S-33S.</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Cambron, C., Guttmannova, K., &amp; Fleming, C. B. (2017). State and national contexts in evaluating cannabis laws: A case study of Washington State. </w:t>
      </w:r>
      <w:r w:rsidRPr="009D3C3A">
        <w:rPr>
          <w:rFonts w:ascii="Arial" w:hAnsi="Arial" w:cs="Arial"/>
          <w:i/>
          <w:sz w:val="24"/>
          <w:szCs w:val="24"/>
        </w:rPr>
        <w:t>Journal of Drug Issues</w:t>
      </w:r>
      <w:r w:rsidRPr="009D3C3A">
        <w:rPr>
          <w:rFonts w:ascii="Arial" w:hAnsi="Arial" w:cs="Arial"/>
          <w:sz w:val="24"/>
          <w:szCs w:val="24"/>
        </w:rPr>
        <w:t>, 47(1), 74–90. https://doi.org/10.1177/0022042616678607.</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Caulkins, J.P. (2018). The real dangers of marijuana. </w:t>
      </w:r>
      <w:r w:rsidRPr="009D3C3A">
        <w:rPr>
          <w:rFonts w:ascii="Arial" w:hAnsi="Arial" w:cs="Arial"/>
          <w:i/>
          <w:sz w:val="24"/>
          <w:szCs w:val="24"/>
        </w:rPr>
        <w:t>National Affairs,</w:t>
      </w:r>
      <w:r w:rsidRPr="009D3C3A">
        <w:rPr>
          <w:rFonts w:ascii="Arial" w:hAnsi="Arial" w:cs="Arial"/>
          <w:sz w:val="24"/>
          <w:szCs w:val="24"/>
        </w:rPr>
        <w:t xml:space="preserve"> 35. Retrieved from </w:t>
      </w:r>
      <w:hyperlink r:id="rId27" w:history="1">
        <w:r w:rsidRPr="009D3C3A">
          <w:rPr>
            <w:rFonts w:ascii="Arial" w:hAnsi="Arial" w:cs="Arial"/>
            <w:sz w:val="24"/>
            <w:szCs w:val="24"/>
            <w:u w:val="single"/>
          </w:rPr>
          <w:t>https://www.nationalaffairs.com/publications/detail/the-real-dangers-of-marijuana</w:t>
        </w:r>
      </w:hyperlink>
      <w:r w:rsidRPr="009D3C3A">
        <w:rPr>
          <w:rFonts w:ascii="Arial" w:hAnsi="Arial" w:cs="Arial"/>
          <w:sz w:val="24"/>
          <w:szCs w:val="24"/>
        </w:rPr>
        <w:t>.</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 xml:space="preserve">Chen, P., &amp; Jacobson, K. C. (2012). Developmental trajectories of substance use from early adolescence to young adulthood: gender and racial/ethnic differences. </w:t>
      </w:r>
      <w:r w:rsidRPr="009D3C3A">
        <w:rPr>
          <w:rFonts w:ascii="Arial" w:hAnsi="Arial" w:cs="Arial"/>
          <w:i/>
          <w:iCs/>
          <w:sz w:val="24"/>
          <w:szCs w:val="24"/>
        </w:rPr>
        <w:t>J Adolesc Health, 50</w:t>
      </w:r>
      <w:r w:rsidRPr="009D3C3A">
        <w:rPr>
          <w:rFonts w:ascii="Arial" w:hAnsi="Arial" w:cs="Arial"/>
          <w:sz w:val="24"/>
          <w:szCs w:val="24"/>
        </w:rPr>
        <w:t>(2), 154-163. doi: 10.1016/j.jadohealth.2011.05.013.</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Cook, S. H., Bauermeister, J. A., Gordon-Messer, D., &amp; Zimmerman, M. A. (2013). Online network influences on emerging adults' alcohol and drug use. </w:t>
      </w:r>
      <w:r w:rsidRPr="009D3C3A">
        <w:rPr>
          <w:rFonts w:ascii="Arial" w:hAnsi="Arial" w:cs="Arial"/>
          <w:i/>
          <w:iCs/>
          <w:sz w:val="24"/>
          <w:szCs w:val="24"/>
        </w:rPr>
        <w:t>J Youth Adolesc, 42</w:t>
      </w:r>
      <w:r w:rsidRPr="009D3C3A">
        <w:rPr>
          <w:rFonts w:ascii="Arial" w:hAnsi="Arial" w:cs="Arial"/>
          <w:sz w:val="24"/>
          <w:szCs w:val="24"/>
        </w:rPr>
        <w:t>(11), 1674-1686. doi: 10.1007/s10964-012-9869-1.</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 xml:space="preserve">DeWit, D. J., Offord, D. R., &amp; Wong, M. (1997). Patterns of onset and cessation of drug use over the early part of the life course. </w:t>
      </w:r>
      <w:r w:rsidRPr="009D3C3A">
        <w:rPr>
          <w:rFonts w:ascii="Arial" w:hAnsi="Arial" w:cs="Arial"/>
          <w:i/>
          <w:iCs/>
          <w:sz w:val="24"/>
          <w:szCs w:val="24"/>
        </w:rPr>
        <w:t>Health Educ Behav, 24</w:t>
      </w:r>
      <w:r w:rsidRPr="009D3C3A">
        <w:rPr>
          <w:rFonts w:ascii="Arial" w:hAnsi="Arial" w:cs="Arial"/>
          <w:sz w:val="24"/>
          <w:szCs w:val="24"/>
        </w:rPr>
        <w:t xml:space="preserve">(6), 746-758. </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Fihn, S.D., Francis, J., Clancy, C., Nielson, C., Nelson, K., Rumsfeld, J., Cullen, T., Bates, J., Graham, G.L. (2014). Insights from advanced analytics at the Veterans Health Administration. </w:t>
      </w:r>
      <w:r w:rsidRPr="009D3C3A">
        <w:rPr>
          <w:rFonts w:ascii="Arial" w:hAnsi="Arial" w:cs="Arial"/>
          <w:i/>
          <w:sz w:val="24"/>
          <w:szCs w:val="24"/>
        </w:rPr>
        <w:t>Health Affairs (Millwood)</w:t>
      </w:r>
      <w:r w:rsidRPr="009D3C3A">
        <w:rPr>
          <w:rFonts w:ascii="Arial" w:hAnsi="Arial" w:cs="Arial"/>
          <w:sz w:val="24"/>
          <w:szCs w:val="24"/>
        </w:rPr>
        <w:t>, 33(7): 1203-1211.</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Gordon, A.J., Conley, J.W., Gordon, J.M. (2013). Medical consequences of marijuana use: a review of current literature. </w:t>
      </w:r>
      <w:r w:rsidRPr="009D3C3A">
        <w:rPr>
          <w:rFonts w:ascii="Arial" w:hAnsi="Arial" w:cs="Arial"/>
          <w:i/>
          <w:sz w:val="24"/>
          <w:szCs w:val="24"/>
        </w:rPr>
        <w:t>Current Psychology Reports</w:t>
      </w:r>
      <w:r w:rsidRPr="009D3C3A">
        <w:rPr>
          <w:rFonts w:ascii="Arial" w:hAnsi="Arial" w:cs="Arial"/>
          <w:sz w:val="24"/>
          <w:szCs w:val="24"/>
        </w:rPr>
        <w:t>, 15(12): 419.</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Halamka, J. (2007, November 12). Data, information, knowledge, and wisdom. [Web log post]. Retrieved from </w:t>
      </w:r>
      <w:hyperlink r:id="rId28" w:history="1">
        <w:r w:rsidRPr="009D3C3A">
          <w:rPr>
            <w:rFonts w:ascii="Arial" w:hAnsi="Arial" w:cs="Arial"/>
            <w:sz w:val="24"/>
            <w:szCs w:val="24"/>
            <w:u w:val="single"/>
          </w:rPr>
          <w:t>http://geekdoctor.blogspot.com/2007/11/data-information-knowledge-and-wisdom.html</w:t>
        </w:r>
      </w:hyperlink>
      <w:r w:rsidRPr="009D3C3A">
        <w:rPr>
          <w:rFonts w:ascii="Arial" w:hAnsi="Arial" w:cs="Arial"/>
          <w:sz w:val="24"/>
          <w:szCs w:val="24"/>
          <w:u w:val="single"/>
        </w:rPr>
        <w:t>.</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Hall, W., Degenhardt, L. (2014). The adverse health effects of chronic cannabis use. </w:t>
      </w:r>
      <w:r w:rsidRPr="009D3C3A">
        <w:rPr>
          <w:rFonts w:ascii="Arial" w:hAnsi="Arial" w:cs="Arial"/>
          <w:i/>
          <w:sz w:val="24"/>
          <w:szCs w:val="24"/>
        </w:rPr>
        <w:t>Drug Testing and Analysis</w:t>
      </w:r>
      <w:r w:rsidRPr="009D3C3A">
        <w:rPr>
          <w:rFonts w:ascii="Arial" w:hAnsi="Arial" w:cs="Arial"/>
          <w:sz w:val="24"/>
          <w:szCs w:val="24"/>
        </w:rPr>
        <w:t>, 6(1-2): 39-45.</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 xml:space="preserve">Hall, W. &amp; Degenhardt, L. (2009). Adverse health effects of non-medical cannabis use. </w:t>
      </w:r>
      <w:r w:rsidRPr="009D3C3A">
        <w:rPr>
          <w:rFonts w:ascii="Arial" w:hAnsi="Arial" w:cs="Arial"/>
          <w:i/>
          <w:iCs/>
          <w:sz w:val="24"/>
          <w:szCs w:val="24"/>
        </w:rPr>
        <w:t>Lancet</w:t>
      </w:r>
      <w:r w:rsidRPr="009D3C3A">
        <w:rPr>
          <w:rFonts w:ascii="Arial" w:hAnsi="Arial" w:cs="Arial"/>
          <w:iCs/>
          <w:sz w:val="24"/>
          <w:szCs w:val="24"/>
        </w:rPr>
        <w:t xml:space="preserve">, </w:t>
      </w:r>
      <w:r w:rsidRPr="009D3C3A">
        <w:rPr>
          <w:rFonts w:ascii="Arial" w:hAnsi="Arial" w:cs="Arial"/>
          <w:sz w:val="24"/>
          <w:szCs w:val="24"/>
        </w:rPr>
        <w:t>374, 1383–1391.</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 xml:space="preserve">Hall, W. &amp; Kozlowski, L.T. (2015). The diverging trajectories of cannabis and tobacco policies in the United States: reasons and possible implications. </w:t>
      </w:r>
      <w:r w:rsidRPr="009D3C3A">
        <w:rPr>
          <w:rFonts w:ascii="Arial" w:hAnsi="Arial" w:cs="Arial"/>
          <w:i/>
          <w:sz w:val="24"/>
          <w:szCs w:val="24"/>
        </w:rPr>
        <w:t>Addiction</w:t>
      </w:r>
      <w:r w:rsidRPr="009D3C3A">
        <w:rPr>
          <w:rFonts w:ascii="Arial" w:hAnsi="Arial" w:cs="Arial"/>
          <w:sz w:val="24"/>
          <w:szCs w:val="24"/>
        </w:rPr>
        <w:t>, 313(3), 241–242.  https://doi.org/10.1038/nbt.3121.ChIP-nexus.</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 xml:space="preserve">Hasin DS, Sarvet AL, Cerdá M, Keyes KM, Stohl M, Galea S, Wall MM. (2017) US Adult </w:t>
      </w:r>
      <w:r w:rsidRPr="009D3C3A">
        <w:rPr>
          <w:rFonts w:ascii="Arial" w:hAnsi="Arial" w:cs="Arial"/>
          <w:sz w:val="24"/>
          <w:szCs w:val="24"/>
        </w:rPr>
        <w:lastRenderedPageBreak/>
        <w:t xml:space="preserve">Illicit Cannabis Use, Cannabis Use Disorder, and Medical Marijuana Laws: 1991-1992 to 2012-2013. </w:t>
      </w:r>
      <w:r w:rsidRPr="009D3C3A">
        <w:rPr>
          <w:rFonts w:ascii="Arial" w:hAnsi="Arial" w:cs="Arial"/>
          <w:i/>
          <w:sz w:val="24"/>
          <w:szCs w:val="24"/>
        </w:rPr>
        <w:t>JAMA Psychiatry,</w:t>
      </w:r>
      <w:r w:rsidRPr="009D3C3A">
        <w:rPr>
          <w:rFonts w:ascii="Arial" w:hAnsi="Arial" w:cs="Arial"/>
          <w:sz w:val="24"/>
          <w:szCs w:val="24"/>
        </w:rPr>
        <w:t xml:space="preserve"> Jun 1;74(6):579-588.</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Inaba DS &amp; Cohen WE. Uppers, downers, all arounders. Seventh Edition. CNS Productions, Inc. Medford OR.</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 xml:space="preserve">Kandel, D. B., &amp; Chen, K. (2000). Types of marijuana users by longitudinal course. </w:t>
      </w:r>
      <w:r w:rsidRPr="009D3C3A">
        <w:rPr>
          <w:rFonts w:ascii="Arial" w:hAnsi="Arial" w:cs="Arial"/>
          <w:i/>
          <w:iCs/>
          <w:sz w:val="24"/>
          <w:szCs w:val="24"/>
        </w:rPr>
        <w:t>J Stud Alcohol, 61</w:t>
      </w:r>
      <w:r w:rsidRPr="009D3C3A">
        <w:rPr>
          <w:rFonts w:ascii="Arial" w:hAnsi="Arial" w:cs="Arial"/>
          <w:sz w:val="24"/>
          <w:szCs w:val="24"/>
        </w:rPr>
        <w:t xml:space="preserve">(3), 367-378. </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eastAsia="Times New Roman" w:hAnsi="Arial" w:cs="Arial"/>
          <w:sz w:val="24"/>
          <w:szCs w:val="24"/>
        </w:rPr>
        <w:t xml:space="preserve">Keyes, K. M., Wall, M., Cerdá, M., Schulenberg, J., O’Malley, P. M., Galea, S., Hasin, D.S. (2016). How does state marijuana policy affect US youth? Medical marijuana laws, marijuana use and perceived harmfulness: 1991–2014. </w:t>
      </w:r>
      <w:r w:rsidRPr="009D3C3A">
        <w:rPr>
          <w:rFonts w:ascii="Arial" w:eastAsia="Times New Roman" w:hAnsi="Arial" w:cs="Arial"/>
          <w:i/>
          <w:iCs/>
          <w:sz w:val="24"/>
          <w:szCs w:val="24"/>
        </w:rPr>
        <w:t>Addiction</w:t>
      </w:r>
      <w:r w:rsidRPr="009D3C3A">
        <w:rPr>
          <w:rFonts w:ascii="Arial" w:eastAsia="Times New Roman" w:hAnsi="Arial" w:cs="Arial"/>
          <w:sz w:val="24"/>
          <w:szCs w:val="24"/>
        </w:rPr>
        <w:t xml:space="preserve">, </w:t>
      </w:r>
      <w:r w:rsidRPr="009D3C3A">
        <w:rPr>
          <w:rFonts w:ascii="Arial" w:eastAsia="Times New Roman" w:hAnsi="Arial" w:cs="Arial"/>
          <w:i/>
          <w:iCs/>
          <w:sz w:val="24"/>
          <w:szCs w:val="24"/>
        </w:rPr>
        <w:t>111</w:t>
      </w:r>
      <w:r w:rsidRPr="009D3C3A">
        <w:rPr>
          <w:rFonts w:ascii="Arial" w:eastAsia="Times New Roman" w:hAnsi="Arial" w:cs="Arial"/>
          <w:sz w:val="24"/>
          <w:szCs w:val="24"/>
        </w:rPr>
        <w:t>(12), 2187–2195. https://doi.org/10.1111/add.13523.</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Longhurst, C.A., Harrington, R.A., Shah, N.H. (2014). A 'green button' for using aggregate patient data at the point of care. </w:t>
      </w:r>
      <w:r w:rsidRPr="009D3C3A">
        <w:rPr>
          <w:rFonts w:ascii="Arial" w:hAnsi="Arial" w:cs="Arial"/>
          <w:i/>
          <w:sz w:val="24"/>
          <w:szCs w:val="24"/>
        </w:rPr>
        <w:t>Health Affairs (Millwood)</w:t>
      </w:r>
      <w:r w:rsidRPr="009D3C3A">
        <w:rPr>
          <w:rFonts w:ascii="Arial" w:hAnsi="Arial" w:cs="Arial"/>
          <w:sz w:val="24"/>
          <w:szCs w:val="24"/>
        </w:rPr>
        <w:t>, 33(7): 1229-1235.</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Martins SS, Mauro CM, Santaella-Tenorio J, Kim JH, Cerda M, Keyes KM, Hasin DS, Galea S, Wall M. (2016). State-level medical marijuana laws, marijuana use and perceived availability of marijuana among the general U.S. population. </w:t>
      </w:r>
      <w:r w:rsidRPr="009D3C3A">
        <w:rPr>
          <w:rFonts w:ascii="Arial" w:hAnsi="Arial" w:cs="Arial"/>
          <w:i/>
          <w:sz w:val="24"/>
          <w:szCs w:val="24"/>
        </w:rPr>
        <w:t>Drug Alcohol Depend</w:t>
      </w:r>
      <w:r w:rsidRPr="009D3C3A">
        <w:rPr>
          <w:rFonts w:ascii="Arial" w:hAnsi="Arial" w:cs="Arial"/>
          <w:sz w:val="24"/>
          <w:szCs w:val="24"/>
        </w:rPr>
        <w:t>. Dec 1; 169:26-32.</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McCabe, S. E. (2008). Misperceptions of non-medical prescription drug use: a web survey of college students. </w:t>
      </w:r>
      <w:r w:rsidRPr="009D3C3A">
        <w:rPr>
          <w:rFonts w:ascii="Arial" w:hAnsi="Arial" w:cs="Arial"/>
          <w:i/>
          <w:iCs/>
          <w:sz w:val="24"/>
          <w:szCs w:val="24"/>
        </w:rPr>
        <w:t>Addict Behav, 33</w:t>
      </w:r>
      <w:r w:rsidRPr="009D3C3A">
        <w:rPr>
          <w:rFonts w:ascii="Arial" w:hAnsi="Arial" w:cs="Arial"/>
          <w:sz w:val="24"/>
          <w:szCs w:val="24"/>
        </w:rPr>
        <w:t>(5), 713-724. doi: 10.1016/j.addbeh.2007.12.008.</w:t>
      </w:r>
    </w:p>
    <w:p w:rsidR="009D3C3A" w:rsidRPr="009D3C3A" w:rsidRDefault="009D3C3A" w:rsidP="006057BE">
      <w:pPr>
        <w:spacing w:after="0" w:line="240" w:lineRule="auto"/>
        <w:ind w:left="720" w:hanging="720"/>
        <w:rPr>
          <w:rFonts w:ascii="Arial" w:eastAsia="Times New Roman" w:hAnsi="Arial" w:cs="Arial"/>
          <w:sz w:val="24"/>
          <w:szCs w:val="24"/>
        </w:rPr>
      </w:pPr>
      <w:r w:rsidRPr="009D3C3A">
        <w:rPr>
          <w:rFonts w:ascii="Arial" w:eastAsia="Times New Roman" w:hAnsi="Arial" w:cs="Arial"/>
          <w:sz w:val="24"/>
          <w:szCs w:val="24"/>
        </w:rPr>
        <w:t xml:space="preserve">Monte, A. A., Zane, R. D., &amp; Heard, K. J. (2015). The implications of marijuana legalization in Colorado. </w:t>
      </w:r>
      <w:r w:rsidRPr="009D3C3A">
        <w:rPr>
          <w:rFonts w:ascii="Arial" w:eastAsia="Times New Roman" w:hAnsi="Arial" w:cs="Arial"/>
          <w:i/>
          <w:iCs/>
          <w:sz w:val="24"/>
          <w:szCs w:val="24"/>
        </w:rPr>
        <w:t>JAMA</w:t>
      </w:r>
      <w:r w:rsidRPr="009D3C3A">
        <w:rPr>
          <w:rFonts w:ascii="Arial" w:eastAsia="Times New Roman" w:hAnsi="Arial" w:cs="Arial"/>
          <w:sz w:val="24"/>
          <w:szCs w:val="24"/>
        </w:rPr>
        <w:t xml:space="preserve">, </w:t>
      </w:r>
      <w:r w:rsidRPr="009D3C3A">
        <w:rPr>
          <w:rFonts w:ascii="Arial" w:eastAsia="Times New Roman" w:hAnsi="Arial" w:cs="Arial"/>
          <w:i/>
          <w:iCs/>
          <w:sz w:val="24"/>
          <w:szCs w:val="24"/>
        </w:rPr>
        <w:t>313</w:t>
      </w:r>
      <w:r w:rsidRPr="009D3C3A">
        <w:rPr>
          <w:rFonts w:ascii="Arial" w:eastAsia="Times New Roman" w:hAnsi="Arial" w:cs="Arial"/>
          <w:sz w:val="24"/>
          <w:szCs w:val="24"/>
        </w:rPr>
        <w:t xml:space="preserve">(3), 241–242. </w:t>
      </w:r>
      <w:hyperlink r:id="rId29" w:history="1">
        <w:r w:rsidRPr="009D3C3A">
          <w:rPr>
            <w:rFonts w:ascii="Arial" w:eastAsia="Times New Roman" w:hAnsi="Arial" w:cs="Arial"/>
            <w:sz w:val="24"/>
            <w:szCs w:val="24"/>
            <w:u w:val="single"/>
          </w:rPr>
          <w:t>https://doi.org/10.1038/nbt.3121.ChIP-nexus</w:t>
        </w:r>
      </w:hyperlink>
      <w:r w:rsidRPr="009D3C3A">
        <w:rPr>
          <w:rFonts w:ascii="Arial" w:eastAsia="Times New Roman" w:hAnsi="Arial" w:cs="Arial"/>
          <w:sz w:val="24"/>
          <w:szCs w:val="24"/>
        </w:rPr>
        <w:t>.</w:t>
      </w:r>
    </w:p>
    <w:p w:rsidR="009D3C3A" w:rsidRPr="009D3C3A" w:rsidRDefault="009D3C3A" w:rsidP="006057BE">
      <w:pPr>
        <w:spacing w:after="0" w:line="240" w:lineRule="auto"/>
        <w:ind w:left="720" w:hanging="720"/>
        <w:rPr>
          <w:rFonts w:ascii="Arial" w:hAnsi="Arial" w:cs="Arial"/>
          <w:sz w:val="24"/>
          <w:szCs w:val="24"/>
        </w:rPr>
      </w:pPr>
      <w:r w:rsidRPr="009D3C3A">
        <w:rPr>
          <w:rFonts w:ascii="Arial" w:eastAsia="Times New Roman" w:hAnsi="Arial" w:cs="Arial"/>
          <w:sz w:val="24"/>
          <w:szCs w:val="24"/>
        </w:rPr>
        <w:t xml:space="preserve">Olfson M, Wall MM, Liu SM, Blanco C. (2018). Cannabis Use and Risk of Prescription Opioid Use Disorder in the United States. </w:t>
      </w:r>
      <w:r w:rsidRPr="009D3C3A">
        <w:rPr>
          <w:rFonts w:ascii="Arial" w:eastAsia="Times New Roman" w:hAnsi="Arial" w:cs="Arial"/>
          <w:i/>
          <w:sz w:val="24"/>
          <w:szCs w:val="24"/>
        </w:rPr>
        <w:t>Am J Psychiatry</w:t>
      </w:r>
      <w:r w:rsidRPr="009D3C3A">
        <w:rPr>
          <w:rFonts w:ascii="Arial" w:eastAsia="Times New Roman" w:hAnsi="Arial" w:cs="Arial"/>
          <w:sz w:val="24"/>
          <w:szCs w:val="24"/>
        </w:rPr>
        <w:t>. Jan 1;175(1):47-53.</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Pacula, R.L., Kilmer, B., Wagenaar, A.C., Chaloupka, F.J., Caulkins, J.P. (2014). Developing public health regulations for marijuana: lessons from alcohol and tobacco. </w:t>
      </w:r>
      <w:r w:rsidRPr="009D3C3A">
        <w:rPr>
          <w:rFonts w:ascii="Arial" w:hAnsi="Arial" w:cs="Arial"/>
          <w:i/>
          <w:sz w:val="24"/>
          <w:szCs w:val="24"/>
        </w:rPr>
        <w:t>American Journal of Public Health</w:t>
      </w:r>
      <w:r w:rsidRPr="009D3C3A">
        <w:rPr>
          <w:rFonts w:ascii="Arial" w:hAnsi="Arial" w:cs="Arial"/>
          <w:sz w:val="24"/>
          <w:szCs w:val="24"/>
        </w:rPr>
        <w:t>, 104(6): 1021-1028.</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Pacula, R.L., MacCoun, R., Reuter, P., Chriqui, J., Kilmer, B., Harris, K., Paoli, L., Schäfer, C. (2005). What does it mean to decriminalize marijuana? A cross-national empirical examination. </w:t>
      </w:r>
      <w:r w:rsidRPr="009D3C3A">
        <w:rPr>
          <w:rFonts w:ascii="Arial" w:hAnsi="Arial" w:cs="Arial"/>
          <w:i/>
          <w:sz w:val="24"/>
          <w:szCs w:val="24"/>
        </w:rPr>
        <w:t>Advances in Health Economics and Health Services Research</w:t>
      </w:r>
      <w:r w:rsidRPr="009D3C3A">
        <w:rPr>
          <w:rFonts w:ascii="Arial" w:hAnsi="Arial" w:cs="Arial"/>
          <w:sz w:val="24"/>
          <w:szCs w:val="24"/>
        </w:rPr>
        <w:t>, 16: 347-369.</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Pew Research Center. (2014). America’s new drug policy landscape: Two-thirds favor treatment, not jail, for use of heroin, cocaine. </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 xml:space="preserve">Pischke, C. R., Zeeb, H., van Hal, G., Vriesacker, B., McAlaney, J., Bewick, B. M., . . . Mikolajczyk, R. T. (2012). A feasibility trial to examine the social norms approach for the prevention and reduction of licit and illicit drug use in European University and college students. </w:t>
      </w:r>
      <w:r w:rsidRPr="009D3C3A">
        <w:rPr>
          <w:rFonts w:ascii="Arial" w:hAnsi="Arial" w:cs="Arial"/>
          <w:i/>
          <w:iCs/>
          <w:sz w:val="24"/>
          <w:szCs w:val="24"/>
        </w:rPr>
        <w:t>BMC Public Health, 12</w:t>
      </w:r>
      <w:r w:rsidRPr="009D3C3A">
        <w:rPr>
          <w:rFonts w:ascii="Arial" w:hAnsi="Arial" w:cs="Arial"/>
          <w:sz w:val="24"/>
          <w:szCs w:val="24"/>
        </w:rPr>
        <w:t>, 882. doi: 10.1186/1471-2458-12-882.</w:t>
      </w:r>
    </w:p>
    <w:p w:rsidR="009D3C3A" w:rsidRPr="009D3C3A" w:rsidRDefault="009D3C3A" w:rsidP="006057BE">
      <w:pPr>
        <w:widowControl w:val="0"/>
        <w:autoSpaceDE w:val="0"/>
        <w:autoSpaceDN w:val="0"/>
        <w:adjustRightInd w:val="0"/>
        <w:spacing w:after="0" w:line="240" w:lineRule="auto"/>
        <w:ind w:left="720" w:hanging="720"/>
        <w:rPr>
          <w:rFonts w:ascii="Arial" w:eastAsia="Times New Roman" w:hAnsi="Arial" w:cs="Arial"/>
          <w:sz w:val="24"/>
          <w:szCs w:val="24"/>
        </w:rPr>
      </w:pPr>
      <w:r w:rsidRPr="009D3C3A">
        <w:rPr>
          <w:rFonts w:ascii="Arial" w:eastAsia="Times New Roman" w:hAnsi="Arial" w:cs="Arial"/>
          <w:sz w:val="24"/>
          <w:szCs w:val="24"/>
        </w:rPr>
        <w:t>Powell D, Pacula RL, Jacobson M. (2018). Do medical marijuana laws reduce addictions</w:t>
      </w:r>
      <w:r w:rsidRPr="009D3C3A">
        <w:rPr>
          <w:rFonts w:ascii="Arial" w:hAnsi="Arial" w:cs="Arial"/>
          <w:sz w:val="24"/>
          <w:szCs w:val="24"/>
        </w:rPr>
        <w:t xml:space="preserve"> </w:t>
      </w:r>
      <w:r w:rsidRPr="009D3C3A">
        <w:rPr>
          <w:rFonts w:ascii="Arial" w:eastAsia="Times New Roman" w:hAnsi="Arial" w:cs="Arial"/>
          <w:sz w:val="24"/>
          <w:szCs w:val="24"/>
        </w:rPr>
        <w:t xml:space="preserve">and deaths related to pain killers? </w:t>
      </w:r>
      <w:r w:rsidRPr="009D3C3A">
        <w:rPr>
          <w:rFonts w:ascii="Arial" w:eastAsia="Times New Roman" w:hAnsi="Arial" w:cs="Arial"/>
          <w:i/>
          <w:sz w:val="24"/>
          <w:szCs w:val="24"/>
        </w:rPr>
        <w:t>J Health Econ,</w:t>
      </w:r>
      <w:r w:rsidRPr="009D3C3A">
        <w:rPr>
          <w:rFonts w:ascii="Arial" w:eastAsia="Times New Roman" w:hAnsi="Arial" w:cs="Arial"/>
          <w:sz w:val="24"/>
          <w:szCs w:val="24"/>
        </w:rPr>
        <w:t xml:space="preserve"> Jan 30;58:29-42.</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 xml:space="preserve">Schulenberg JE, Merline AC, Johnston LD, O'Malley PM, Bachman JG, Laetz VB. (2005). Trajectories of Marijuana Use During the Transition to Adulthood: The Big Picture Based on National Panel Data. </w:t>
      </w:r>
      <w:r w:rsidRPr="009D3C3A">
        <w:rPr>
          <w:rFonts w:ascii="Arial" w:hAnsi="Arial" w:cs="Arial"/>
          <w:i/>
          <w:sz w:val="24"/>
          <w:szCs w:val="24"/>
        </w:rPr>
        <w:t>J Drug Issues,</w:t>
      </w:r>
      <w:r w:rsidRPr="009D3C3A">
        <w:rPr>
          <w:rFonts w:ascii="Arial" w:hAnsi="Arial" w:cs="Arial"/>
          <w:sz w:val="24"/>
          <w:szCs w:val="24"/>
        </w:rPr>
        <w:t xml:space="preserve"> 35(2):255-279.</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 xml:space="preserve">Substance Abuse and Mental Health Services Administration. (2017). Key substance use and mental health indicators in the United States: Results from the 2016 </w:t>
      </w:r>
      <w:r w:rsidRPr="009D3C3A">
        <w:rPr>
          <w:rFonts w:ascii="Arial" w:hAnsi="Arial" w:cs="Arial"/>
          <w:sz w:val="24"/>
          <w:szCs w:val="24"/>
        </w:rPr>
        <w:lastRenderedPageBreak/>
        <w:t xml:space="preserve">National Survey on Drug Use and Health (HHS Publication No. SMA 17-5044, NSDUH Series H-52). Rockville, MD: Center for Behavioral Health Statistics and Quality, Substance Abuse and Mental Health Services Administration. Retrieved from </w:t>
      </w:r>
      <w:hyperlink r:id="rId30" w:history="1">
        <w:r w:rsidRPr="009D3C3A">
          <w:rPr>
            <w:rFonts w:ascii="Arial" w:hAnsi="Arial" w:cs="Arial"/>
            <w:sz w:val="24"/>
            <w:szCs w:val="24"/>
            <w:u w:val="single"/>
          </w:rPr>
          <w:t>https://www.samhsa.gov/data/</w:t>
        </w:r>
      </w:hyperlink>
      <w:r w:rsidRPr="009D3C3A">
        <w:rPr>
          <w:rFonts w:ascii="Arial" w:hAnsi="Arial" w:cs="Arial"/>
          <w:sz w:val="24"/>
          <w:szCs w:val="24"/>
        </w:rPr>
        <w:t xml:space="preserve">.  </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Swift, A. (2013). For first time Americans favor legalizing marijuana. Retrieved from www.gallup.com.</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 xml:space="preserve">Swift, W., Coffey, C., Degenhardt, L., Carlin, J. B., Romaniuk, H., &amp; Patton, G. C. (2012). Cannabis and progression to other substance use in young adults: findings from a 13-year prospective population-based study. </w:t>
      </w:r>
      <w:r w:rsidRPr="009D3C3A">
        <w:rPr>
          <w:rFonts w:ascii="Arial" w:hAnsi="Arial" w:cs="Arial"/>
          <w:i/>
          <w:iCs/>
          <w:sz w:val="24"/>
          <w:szCs w:val="24"/>
        </w:rPr>
        <w:t>J Epidemiol Community Health, 66</w:t>
      </w:r>
      <w:r w:rsidRPr="009D3C3A">
        <w:rPr>
          <w:rFonts w:ascii="Arial" w:hAnsi="Arial" w:cs="Arial"/>
          <w:sz w:val="24"/>
          <w:szCs w:val="24"/>
        </w:rPr>
        <w:t>(7), e26. doi: 10.1136/jech.2010.129056.</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Tai, B., Hu, L., Ghitza, U.E., Sparenborg, S., Van Veldhuisen, P., Lindblad, R. (2014). Patient registries for substance use disorders. </w:t>
      </w:r>
      <w:r w:rsidRPr="009D3C3A">
        <w:rPr>
          <w:rFonts w:ascii="Arial" w:hAnsi="Arial" w:cs="Arial"/>
          <w:i/>
          <w:sz w:val="24"/>
          <w:szCs w:val="24"/>
        </w:rPr>
        <w:t>Substance Abuse and Rehabilitation</w:t>
      </w:r>
      <w:r w:rsidRPr="009D3C3A">
        <w:rPr>
          <w:rFonts w:ascii="Arial" w:hAnsi="Arial" w:cs="Arial"/>
          <w:sz w:val="24"/>
          <w:szCs w:val="24"/>
        </w:rPr>
        <w:t>, 5: 81-86.</w:t>
      </w:r>
    </w:p>
    <w:p w:rsidR="009D3C3A" w:rsidRPr="009D3C3A" w:rsidRDefault="009D3C3A" w:rsidP="006057BE">
      <w:pPr>
        <w:widowControl w:val="0"/>
        <w:autoSpaceDE w:val="0"/>
        <w:autoSpaceDN w:val="0"/>
        <w:adjustRightInd w:val="0"/>
        <w:spacing w:after="0" w:line="240" w:lineRule="auto"/>
        <w:ind w:left="720" w:hanging="720"/>
        <w:rPr>
          <w:rFonts w:ascii="Arial" w:hAnsi="Arial" w:cs="Arial"/>
          <w:sz w:val="24"/>
          <w:szCs w:val="24"/>
        </w:rPr>
      </w:pPr>
      <w:r w:rsidRPr="009D3C3A">
        <w:rPr>
          <w:rFonts w:ascii="Arial" w:hAnsi="Arial" w:cs="Arial"/>
          <w:sz w:val="24"/>
          <w:szCs w:val="24"/>
        </w:rPr>
        <w:t xml:space="preserve">Tzilos, G. K., Reddy, M. K., Caviness, C. M., Anderson, B. J., &amp; Stein, M. D. (2014). Getting higher: co-occurring drug use among marijuana-using emerging adults. </w:t>
      </w:r>
      <w:r w:rsidRPr="009D3C3A">
        <w:rPr>
          <w:rFonts w:ascii="Arial" w:hAnsi="Arial" w:cs="Arial"/>
          <w:i/>
          <w:iCs/>
          <w:sz w:val="24"/>
          <w:szCs w:val="24"/>
        </w:rPr>
        <w:t>J Addict Dis, 33</w:t>
      </w:r>
      <w:r w:rsidRPr="009D3C3A">
        <w:rPr>
          <w:rFonts w:ascii="Arial" w:hAnsi="Arial" w:cs="Arial"/>
          <w:sz w:val="24"/>
          <w:szCs w:val="24"/>
        </w:rPr>
        <w:t>(3), 202-209. doi: 10.1080/10550887.2014.950024.</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Volkow, N.D., Baler, R.D., Compton, W.M., Weiss, S.R.B. (2014). Adverse Health Effects of Marijuana Use. </w:t>
      </w:r>
      <w:r w:rsidRPr="009D3C3A">
        <w:rPr>
          <w:rFonts w:ascii="Arial" w:hAnsi="Arial" w:cs="Arial"/>
          <w:i/>
          <w:sz w:val="24"/>
          <w:szCs w:val="24"/>
        </w:rPr>
        <w:t>The New England Journal of Medicine</w:t>
      </w:r>
      <w:r w:rsidRPr="009D3C3A">
        <w:rPr>
          <w:rFonts w:ascii="Arial" w:hAnsi="Arial" w:cs="Arial"/>
          <w:sz w:val="24"/>
          <w:szCs w:val="24"/>
        </w:rPr>
        <w:t xml:space="preserve">, 370: 2219-2227. </w:t>
      </w:r>
    </w:p>
    <w:p w:rsidR="009D3C3A" w:rsidRPr="009D3C3A" w:rsidRDefault="009D3C3A" w:rsidP="006057BE">
      <w:pPr>
        <w:spacing w:after="0" w:line="240" w:lineRule="auto"/>
        <w:ind w:left="720" w:hanging="720"/>
        <w:rPr>
          <w:rFonts w:ascii="Arial" w:hAnsi="Arial" w:cs="Arial"/>
          <w:sz w:val="24"/>
          <w:szCs w:val="24"/>
        </w:rPr>
      </w:pPr>
      <w:r w:rsidRPr="009D3C3A">
        <w:rPr>
          <w:rFonts w:ascii="Arial" w:eastAsia="Times New Roman" w:hAnsi="Arial" w:cs="Arial"/>
          <w:sz w:val="24"/>
          <w:szCs w:val="24"/>
        </w:rPr>
        <w:t xml:space="preserve">Vyas MB, LeBaron VT, Gilson AM. (2018). The use of cannabis in response to the opioid crisis: A review of the literature. </w:t>
      </w:r>
      <w:r w:rsidRPr="009D3C3A">
        <w:rPr>
          <w:rFonts w:ascii="Arial" w:eastAsia="Times New Roman" w:hAnsi="Arial" w:cs="Arial"/>
          <w:i/>
          <w:sz w:val="24"/>
          <w:szCs w:val="24"/>
        </w:rPr>
        <w:t>Nurs Outlook,</w:t>
      </w:r>
      <w:r w:rsidRPr="009D3C3A">
        <w:rPr>
          <w:rFonts w:ascii="Arial" w:eastAsia="Times New Roman" w:hAnsi="Arial" w:cs="Arial"/>
          <w:sz w:val="24"/>
          <w:szCs w:val="24"/>
        </w:rPr>
        <w:t xml:space="preserve"> Jan - Feb;66(1):56-65.</w:t>
      </w:r>
    </w:p>
    <w:p w:rsidR="009D3C3A" w:rsidRPr="009D3C3A" w:rsidRDefault="009D3C3A" w:rsidP="006057BE">
      <w:pPr>
        <w:spacing w:after="0" w:line="240" w:lineRule="auto"/>
        <w:ind w:left="720" w:hanging="720"/>
        <w:rPr>
          <w:rFonts w:ascii="Arial" w:hAnsi="Arial" w:cs="Arial"/>
          <w:sz w:val="24"/>
          <w:szCs w:val="24"/>
        </w:rPr>
      </w:pPr>
      <w:r w:rsidRPr="009D3C3A">
        <w:rPr>
          <w:rFonts w:ascii="Arial" w:hAnsi="Arial" w:cs="Arial"/>
          <w:sz w:val="24"/>
          <w:szCs w:val="24"/>
        </w:rPr>
        <w:t xml:space="preserve">Weil, A.R. (2014). Big data in health: a new era for research and patient care. </w:t>
      </w:r>
      <w:r w:rsidRPr="009D3C3A">
        <w:rPr>
          <w:rFonts w:ascii="Arial" w:hAnsi="Arial" w:cs="Arial"/>
          <w:i/>
          <w:sz w:val="24"/>
          <w:szCs w:val="24"/>
        </w:rPr>
        <w:t>Health Affairs (Millwood)</w:t>
      </w:r>
      <w:r w:rsidRPr="009D3C3A">
        <w:rPr>
          <w:rFonts w:ascii="Arial" w:hAnsi="Arial" w:cs="Arial"/>
          <w:sz w:val="24"/>
          <w:szCs w:val="24"/>
        </w:rPr>
        <w:t>, 33(7): 1110.</w:t>
      </w:r>
    </w:p>
    <w:p w:rsidR="009D3C3A" w:rsidRDefault="009D3C3A" w:rsidP="006057BE">
      <w:pPr>
        <w:spacing w:after="0" w:line="240" w:lineRule="auto"/>
        <w:jc w:val="both"/>
        <w:rPr>
          <w:rFonts w:ascii="Arial" w:hAnsi="Arial" w:cs="Arial"/>
          <w:sz w:val="24"/>
          <w:szCs w:val="24"/>
        </w:rPr>
      </w:pPr>
      <w:r w:rsidRPr="009D3C3A">
        <w:rPr>
          <w:rFonts w:ascii="Arial" w:hAnsi="Arial" w:cs="Arial"/>
          <w:sz w:val="24"/>
          <w:szCs w:val="24"/>
        </w:rPr>
        <w:fldChar w:fldCharType="begin"/>
      </w:r>
      <w:r w:rsidRPr="009D3C3A">
        <w:rPr>
          <w:rFonts w:ascii="Arial" w:hAnsi="Arial" w:cs="Arial"/>
          <w:sz w:val="24"/>
          <w:szCs w:val="24"/>
        </w:rPr>
        <w:instrText xml:space="preserve"> ADDIN EN.REFLIST </w:instrText>
      </w:r>
      <w:r w:rsidRPr="009D3C3A">
        <w:rPr>
          <w:rFonts w:ascii="Arial" w:hAnsi="Arial" w:cs="Arial"/>
          <w:sz w:val="24"/>
          <w:szCs w:val="24"/>
        </w:rPr>
        <w:fldChar w:fldCharType="separate"/>
      </w:r>
      <w:r w:rsidRPr="009D3C3A">
        <w:rPr>
          <w:rFonts w:ascii="Arial" w:hAnsi="Arial" w:cs="Arial"/>
          <w:sz w:val="24"/>
          <w:szCs w:val="24"/>
        </w:rPr>
        <w:t xml:space="preserve">Zou, G. (2004). A modified poisson regression approach to prospective studies with binary data. </w:t>
      </w:r>
      <w:r w:rsidRPr="009D3C3A">
        <w:rPr>
          <w:rFonts w:ascii="Arial" w:hAnsi="Arial" w:cs="Arial"/>
          <w:i/>
          <w:sz w:val="24"/>
          <w:szCs w:val="24"/>
        </w:rPr>
        <w:t>Am J Epidemiol, 159</w:t>
      </w:r>
      <w:r w:rsidRPr="009D3C3A">
        <w:rPr>
          <w:rFonts w:ascii="Arial" w:hAnsi="Arial" w:cs="Arial"/>
          <w:sz w:val="24"/>
          <w:szCs w:val="24"/>
        </w:rPr>
        <w:t>(7), 702-706.</w:t>
      </w:r>
      <w:r w:rsidRPr="009D3C3A">
        <w:rPr>
          <w:rFonts w:ascii="Arial" w:hAnsi="Arial" w:cs="Arial"/>
          <w:sz w:val="24"/>
          <w:szCs w:val="24"/>
        </w:rPr>
        <w:fldChar w:fldCharType="end"/>
      </w: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8976A8" w:rsidRDefault="008976A8"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Default="00FF2F11" w:rsidP="006057BE">
      <w:pPr>
        <w:spacing w:after="0" w:line="240" w:lineRule="auto"/>
        <w:jc w:val="center"/>
        <w:rPr>
          <w:rFonts w:ascii="Arial" w:hAnsi="Arial" w:cs="Arial"/>
          <w:sz w:val="28"/>
          <w:szCs w:val="28"/>
        </w:rPr>
      </w:pPr>
    </w:p>
    <w:p w:rsidR="00FF2F11" w:rsidRPr="00FF2F11" w:rsidRDefault="00FF2F11" w:rsidP="006057BE">
      <w:pPr>
        <w:spacing w:after="0" w:line="240" w:lineRule="auto"/>
        <w:jc w:val="center"/>
        <w:rPr>
          <w:rFonts w:ascii="Arial" w:hAnsi="Arial" w:cs="Arial"/>
          <w:b/>
          <w:sz w:val="28"/>
          <w:szCs w:val="28"/>
        </w:rPr>
      </w:pPr>
    </w:p>
    <w:p w:rsidR="0047529A" w:rsidRPr="00FF2F11" w:rsidRDefault="00BF2E51" w:rsidP="00DB63D3">
      <w:pPr>
        <w:pStyle w:val="Heading1"/>
      </w:pPr>
      <w:bookmarkStart w:id="174" w:name="_Toc12529125"/>
      <w:r>
        <w:t>Chapter 3:</w:t>
      </w:r>
      <w:r w:rsidR="0047529A" w:rsidRPr="00FF2F11">
        <w:t xml:space="preserve">  Use and Perceptions of Marijuana among Adult Medical Use of Marijuana Patients in Massachusetts</w:t>
      </w:r>
      <w:bookmarkEnd w:id="174"/>
    </w:p>
    <w:p w:rsidR="009D3C3A" w:rsidRPr="00FF2F11" w:rsidRDefault="009D3C3A" w:rsidP="006057BE">
      <w:pPr>
        <w:spacing w:after="0" w:line="240" w:lineRule="auto"/>
        <w:jc w:val="center"/>
        <w:rPr>
          <w:rFonts w:ascii="Arial" w:hAnsi="Arial" w:cs="Arial"/>
          <w:b/>
          <w:sz w:val="28"/>
          <w:szCs w:val="28"/>
        </w:rPr>
      </w:pPr>
    </w:p>
    <w:p w:rsidR="009D3C3A" w:rsidRPr="008976A8" w:rsidRDefault="009D3C3A" w:rsidP="006057BE">
      <w:pPr>
        <w:spacing w:after="0" w:line="240" w:lineRule="auto"/>
        <w:jc w:val="center"/>
        <w:rPr>
          <w:rFonts w:ascii="Arial" w:hAnsi="Arial" w:cs="Arial"/>
          <w:sz w:val="28"/>
          <w:szCs w:val="28"/>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9D3C3A" w:rsidRDefault="009D3C3A" w:rsidP="006057BE">
      <w:pPr>
        <w:spacing w:after="0" w:line="240" w:lineRule="auto"/>
        <w:jc w:val="both"/>
        <w:rPr>
          <w:rFonts w:ascii="Arial" w:hAnsi="Arial" w:cs="Arial"/>
          <w:sz w:val="24"/>
          <w:szCs w:val="24"/>
        </w:rPr>
      </w:pPr>
    </w:p>
    <w:p w:rsidR="00FF2F11" w:rsidRDefault="00FF2F11" w:rsidP="00AC40A7">
      <w:pPr>
        <w:pStyle w:val="BodyText"/>
      </w:pPr>
      <w:bookmarkStart w:id="175" w:name="_Toc350757241"/>
      <w:bookmarkStart w:id="176" w:name="_Toc383611159"/>
      <w:bookmarkStart w:id="177" w:name="_Toc506973595"/>
      <w:bookmarkStart w:id="178" w:name="_Toc513454847"/>
    </w:p>
    <w:p w:rsidR="00FF2F11" w:rsidRDefault="00FF2F11" w:rsidP="00AC40A7">
      <w:pPr>
        <w:pStyle w:val="BodyText"/>
      </w:pPr>
    </w:p>
    <w:p w:rsidR="00FF2F11" w:rsidRDefault="00FF2F11" w:rsidP="00AC40A7">
      <w:pPr>
        <w:pStyle w:val="BodyText"/>
      </w:pPr>
    </w:p>
    <w:p w:rsidR="00FF2F11" w:rsidRDefault="00FF2F11" w:rsidP="00AC40A7">
      <w:pPr>
        <w:pStyle w:val="BodyText"/>
      </w:pPr>
    </w:p>
    <w:p w:rsidR="00FF2F11" w:rsidRDefault="00FF2F11" w:rsidP="00AC40A7">
      <w:pPr>
        <w:pStyle w:val="BodyText"/>
      </w:pPr>
    </w:p>
    <w:p w:rsidR="00FF2F11" w:rsidRDefault="00FF2F11" w:rsidP="00AC40A7">
      <w:pPr>
        <w:pStyle w:val="BodyText"/>
      </w:pPr>
    </w:p>
    <w:bookmarkEnd w:id="175"/>
    <w:bookmarkEnd w:id="176"/>
    <w:bookmarkEnd w:id="177"/>
    <w:bookmarkEnd w:id="178"/>
    <w:p w:rsidR="00FF2F11" w:rsidRDefault="00FF2F11" w:rsidP="006057BE">
      <w:pPr>
        <w:spacing w:after="0" w:line="240" w:lineRule="auto"/>
        <w:rPr>
          <w:rFonts w:ascii="Arial" w:eastAsia="Times New Roman" w:hAnsi="Arial" w:cs="Arial"/>
          <w:sz w:val="24"/>
          <w:szCs w:val="24"/>
          <w:lang w:eastAsia="x-none"/>
        </w:rPr>
      </w:pPr>
    </w:p>
    <w:p w:rsidR="00FF2F11" w:rsidRPr="00FF2F11" w:rsidRDefault="00FF2F11" w:rsidP="005F7A46">
      <w:pPr>
        <w:pStyle w:val="Heading2"/>
        <w:rPr>
          <w:rFonts w:eastAsia="Times New Roman"/>
        </w:rPr>
      </w:pPr>
      <w:bookmarkStart w:id="179" w:name="_Toc11765942"/>
      <w:bookmarkStart w:id="180" w:name="_Toc11766597"/>
      <w:bookmarkStart w:id="181" w:name="_Toc11917213"/>
      <w:bookmarkStart w:id="182" w:name="_Toc11921651"/>
      <w:bookmarkStart w:id="183" w:name="_Toc12520930"/>
      <w:bookmarkStart w:id="184" w:name="_Toc12521156"/>
      <w:bookmarkStart w:id="185" w:name="_Toc12529126"/>
      <w:r w:rsidRPr="00FF2F11">
        <w:rPr>
          <w:rFonts w:eastAsia="Times New Roman"/>
        </w:rPr>
        <w:lastRenderedPageBreak/>
        <w:t>Introduction</w:t>
      </w:r>
      <w:bookmarkEnd w:id="179"/>
      <w:bookmarkEnd w:id="180"/>
      <w:bookmarkEnd w:id="181"/>
      <w:bookmarkEnd w:id="182"/>
      <w:bookmarkEnd w:id="183"/>
      <w:bookmarkEnd w:id="184"/>
      <w:bookmarkEnd w:id="185"/>
      <w:r w:rsidRPr="00FF2F11">
        <w:rPr>
          <w:rFonts w:eastAsia="Times New Roman"/>
        </w:rPr>
        <w:t xml:space="preserve"> </w:t>
      </w:r>
    </w:p>
    <w:p w:rsidR="00FF2F11" w:rsidRDefault="00FF2F11" w:rsidP="006057BE">
      <w:pPr>
        <w:spacing w:after="0" w:line="240" w:lineRule="auto"/>
        <w:rPr>
          <w:rFonts w:ascii="Arial" w:eastAsia="Times New Roman" w:hAnsi="Arial" w:cs="Arial"/>
          <w:sz w:val="24"/>
          <w:szCs w:val="24"/>
          <w:lang w:eastAsia="x-none"/>
        </w:rPr>
      </w:pPr>
    </w:p>
    <w:p w:rsidR="000E5D59" w:rsidRPr="000E5D59" w:rsidRDefault="000E5D59" w:rsidP="006057BE">
      <w:pPr>
        <w:spacing w:after="0" w:line="240" w:lineRule="auto"/>
        <w:rPr>
          <w:rFonts w:ascii="Arial" w:eastAsia="Times New Roman" w:hAnsi="Arial" w:cs="Arial"/>
          <w:sz w:val="24"/>
          <w:szCs w:val="24"/>
          <w:lang w:eastAsia="x-none"/>
        </w:rPr>
      </w:pPr>
      <w:r w:rsidRPr="000E5D59">
        <w:rPr>
          <w:rFonts w:ascii="Arial" w:eastAsia="Times New Roman" w:hAnsi="Arial" w:cs="Arial"/>
          <w:sz w:val="24"/>
          <w:szCs w:val="24"/>
          <w:lang w:val="x-none" w:eastAsia="x-none"/>
        </w:rPr>
        <w:t>This report provides data and analysis on the 2018 Medical Use of Marijuana Patient Survey, a</w:t>
      </w:r>
      <w:r w:rsidRPr="000E5D59">
        <w:rPr>
          <w:rFonts w:ascii="Arial" w:eastAsia="Times New Roman" w:hAnsi="Arial" w:cs="Arial"/>
          <w:sz w:val="24"/>
          <w:szCs w:val="24"/>
          <w:lang w:eastAsia="x-none"/>
        </w:rPr>
        <w:t xml:space="preserve"> </w:t>
      </w:r>
      <w:r w:rsidRPr="000E5D59">
        <w:rPr>
          <w:rFonts w:ascii="Arial" w:eastAsia="Times New Roman" w:hAnsi="Arial" w:cs="Arial"/>
          <w:sz w:val="24"/>
          <w:szCs w:val="24"/>
          <w:lang w:val="x-none" w:eastAsia="x-none"/>
        </w:rPr>
        <w:t>component of the Massachusetts Department of Public Health 2018 Marijuana Baseline Study. The aim of this survey is to better understand the patterns of marijuana use, perceptions, and behaviors among medical use of marijuana patients in Massachusetts. Massachusetts Department of Public Health contracted with JSI Research &amp; Training Institute in April 2018 to administer a survey among participants of the Massachusetts Medical Use of Marijuana Program. 42,796 participants of the Massachusetts Medical Use of Marijuana Program were invited through email to take the survey using a computer, smartphone, or tablet.</w:t>
      </w:r>
    </w:p>
    <w:p w:rsidR="000E5D59" w:rsidRPr="000E5D59" w:rsidRDefault="000E5D59" w:rsidP="006057BE">
      <w:pPr>
        <w:spacing w:after="0" w:line="240" w:lineRule="auto"/>
        <w:rPr>
          <w:rFonts w:ascii="Arial" w:eastAsia="Times New Roman" w:hAnsi="Arial" w:cs="Arial"/>
          <w:sz w:val="24"/>
          <w:szCs w:val="24"/>
          <w:lang w:eastAsia="x-none"/>
        </w:rPr>
      </w:pPr>
    </w:p>
    <w:p w:rsidR="000E5D59" w:rsidRPr="000E5D59" w:rsidRDefault="000E5D59" w:rsidP="005F7A46">
      <w:pPr>
        <w:pStyle w:val="Heading2"/>
        <w:rPr>
          <w:rFonts w:eastAsia="Times New Roman"/>
        </w:rPr>
      </w:pPr>
      <w:bookmarkStart w:id="186" w:name="_Toc11765943"/>
      <w:bookmarkStart w:id="187" w:name="_Toc11766598"/>
      <w:bookmarkStart w:id="188" w:name="_Toc11917214"/>
      <w:bookmarkStart w:id="189" w:name="_Toc11921652"/>
      <w:bookmarkStart w:id="190" w:name="_Toc12520931"/>
      <w:bookmarkStart w:id="191" w:name="_Toc12521157"/>
      <w:bookmarkStart w:id="192" w:name="_Toc12529127"/>
      <w:r w:rsidRPr="000E5D59">
        <w:rPr>
          <w:rFonts w:eastAsia="Times New Roman"/>
        </w:rPr>
        <w:t>Methods</w:t>
      </w:r>
      <w:bookmarkEnd w:id="186"/>
      <w:bookmarkEnd w:id="187"/>
      <w:bookmarkEnd w:id="188"/>
      <w:bookmarkEnd w:id="189"/>
      <w:bookmarkEnd w:id="190"/>
      <w:bookmarkEnd w:id="191"/>
      <w:bookmarkEnd w:id="192"/>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Times New Roman" w:hAnsi="Arial" w:cs="Arial"/>
          <w:sz w:val="24"/>
          <w:szCs w:val="24"/>
          <w:lang w:val="x-none" w:eastAsia="x-none"/>
        </w:rPr>
      </w:pPr>
      <w:r w:rsidRPr="000E5D59">
        <w:rPr>
          <w:rFonts w:ascii="Arial" w:eastAsia="Times New Roman" w:hAnsi="Arial" w:cs="Arial"/>
          <w:sz w:val="24"/>
          <w:szCs w:val="24"/>
          <w:lang w:val="x-none" w:eastAsia="x-none"/>
        </w:rPr>
        <w:t>Data collection efforts were conducted in April 2018 by JSI Research &amp; Training Institute in conjunction with Massachusetts Department of Public Health. All registered participants of the Massachusetts Medical Use of Marijuana Program were invited to complete the survey via an emailed link to Survey Gizmo. The survey incorporated 81 items covering topics such as demographics, marijuana and marijuana product use, methods of marijuana administration, perceptions of medical use of marijuana, driving and other issues related to marijuana use, alcohol consumption, non-medical use of prescription drugs and other substances, and combination substance use. Respondents were sent 2 reminder emails and given the option at the end of the survey to enter a lottery drawing of $500, $250, or $100.</w:t>
      </w:r>
    </w:p>
    <w:p w:rsidR="000E5D59" w:rsidRPr="000E5D59" w:rsidRDefault="000E5D59" w:rsidP="006057BE">
      <w:pPr>
        <w:spacing w:after="0" w:line="240" w:lineRule="auto"/>
        <w:rPr>
          <w:rFonts w:ascii="Arial" w:eastAsia="Times New Roman" w:hAnsi="Arial" w:cs="Arial"/>
          <w:sz w:val="24"/>
          <w:szCs w:val="24"/>
          <w:lang w:eastAsia="x-none"/>
        </w:rPr>
      </w:pPr>
    </w:p>
    <w:p w:rsidR="000E5D59" w:rsidRPr="000E5D59" w:rsidRDefault="000E5D59" w:rsidP="006057BE">
      <w:pPr>
        <w:spacing w:after="0" w:line="240" w:lineRule="auto"/>
        <w:rPr>
          <w:rFonts w:ascii="Arial" w:eastAsia="Times New Roman" w:hAnsi="Arial" w:cs="Arial"/>
          <w:sz w:val="24"/>
          <w:szCs w:val="24"/>
          <w:lang w:val="x-none" w:eastAsia="x-none"/>
        </w:rPr>
      </w:pPr>
      <w:r w:rsidRPr="000E5D59">
        <w:rPr>
          <w:rFonts w:ascii="Arial" w:eastAsia="Times New Roman" w:hAnsi="Arial" w:cs="Arial"/>
          <w:sz w:val="24"/>
          <w:szCs w:val="24"/>
          <w:lang w:val="x-none" w:eastAsia="x-none"/>
        </w:rPr>
        <w:t xml:space="preserve">The analyses look both at individual item response summaries as well as investigating differences between gender (male vs. female), age (≤50 years old vs. &gt;50 years old), and education level (&lt;Bachelor’s (4-year college) degree vs. ≥Bachelor’s degree) through cross-tabulation comparisons. Chi-square tests for equality of proportions were run to detect significant differences in item response distribution across groups. Exact significance tests were used to test equality of proportions in cases where response categories were too small for reliable chi-square testing. In cases where mean statistics are presented, independent t-tests were run to detect significant differences between comparison groups. Highly statistically significant results are highlighted in the summary text throughout this report, and all tables present item response frequency, percentages, and results of statistical testing. </w:t>
      </w:r>
    </w:p>
    <w:p w:rsidR="000E5D59" w:rsidRPr="000E5D59" w:rsidRDefault="0010613B" w:rsidP="006057BE">
      <w:pPr>
        <w:spacing w:after="0" w:line="240" w:lineRule="auto"/>
        <w:rPr>
          <w:rFonts w:ascii="Arial" w:eastAsia="Times New Roman" w:hAnsi="Arial" w:cs="Arial"/>
          <w:sz w:val="24"/>
          <w:szCs w:val="24"/>
          <w:lang w:eastAsia="x-none"/>
        </w:rPr>
      </w:pPr>
      <w:r>
        <w:rPr>
          <w:rFonts w:ascii="Arial" w:eastAsia="Times New Roman" w:hAnsi="Arial" w:cs="Arial"/>
          <w:sz w:val="24"/>
          <w:szCs w:val="24"/>
          <w:lang w:eastAsia="x-none"/>
        </w:rPr>
        <w:t>Appendix B</w:t>
      </w:r>
      <w:r w:rsidR="000E5D59" w:rsidRPr="000E5D59">
        <w:rPr>
          <w:rFonts w:ascii="Arial" w:eastAsia="Times New Roman" w:hAnsi="Arial" w:cs="Arial"/>
          <w:sz w:val="24"/>
          <w:szCs w:val="24"/>
          <w:lang w:val="x-none" w:eastAsia="x-none"/>
        </w:rPr>
        <w:t xml:space="preserve"> contains all survey questions administered as well as guiding logic used to prompt or restrict respondents to relevant next questions based on their answers to previous items.</w:t>
      </w:r>
    </w:p>
    <w:p w:rsidR="000E5D59" w:rsidRPr="000E5D59" w:rsidRDefault="000E5D59" w:rsidP="006057BE">
      <w:pPr>
        <w:spacing w:after="0" w:line="240" w:lineRule="auto"/>
        <w:rPr>
          <w:rFonts w:ascii="Arial" w:eastAsia="Times New Roman" w:hAnsi="Arial" w:cs="Arial"/>
          <w:sz w:val="24"/>
          <w:szCs w:val="24"/>
          <w:lang w:eastAsia="x-none"/>
        </w:rPr>
      </w:pPr>
    </w:p>
    <w:p w:rsidR="00104C7B" w:rsidRDefault="00104C7B" w:rsidP="00104C7B">
      <w:pPr>
        <w:pStyle w:val="BodyText"/>
      </w:pPr>
      <w:bookmarkStart w:id="193" w:name="_Toc11765944"/>
      <w:bookmarkStart w:id="194" w:name="_Toc11766599"/>
      <w:bookmarkStart w:id="195" w:name="_Toc11917215"/>
      <w:bookmarkStart w:id="196" w:name="_Toc11921653"/>
    </w:p>
    <w:p w:rsidR="00104C7B" w:rsidRDefault="00104C7B" w:rsidP="00104C7B">
      <w:pPr>
        <w:pStyle w:val="BodyText"/>
      </w:pPr>
    </w:p>
    <w:p w:rsidR="00104C7B" w:rsidRDefault="00104C7B" w:rsidP="00104C7B">
      <w:pPr>
        <w:pStyle w:val="BodyText"/>
      </w:pPr>
    </w:p>
    <w:p w:rsidR="0010613B" w:rsidRDefault="0010613B" w:rsidP="00104C7B">
      <w:pPr>
        <w:pStyle w:val="BodyText"/>
      </w:pPr>
    </w:p>
    <w:p w:rsidR="00104C7B" w:rsidRDefault="00104C7B" w:rsidP="00104C7B">
      <w:pPr>
        <w:pStyle w:val="BodyText"/>
      </w:pPr>
    </w:p>
    <w:p w:rsidR="00104C7B" w:rsidRDefault="00104C7B" w:rsidP="00104C7B">
      <w:pPr>
        <w:pStyle w:val="BodyText"/>
      </w:pPr>
    </w:p>
    <w:p w:rsidR="000E5D59" w:rsidRPr="000E5D59" w:rsidRDefault="000E5D59" w:rsidP="005F7A46">
      <w:pPr>
        <w:pStyle w:val="Heading2"/>
        <w:rPr>
          <w:rFonts w:eastAsia="Times New Roman"/>
        </w:rPr>
      </w:pPr>
      <w:bookmarkStart w:id="197" w:name="_Toc12520932"/>
      <w:bookmarkStart w:id="198" w:name="_Toc12521158"/>
      <w:bookmarkStart w:id="199" w:name="_Toc12529128"/>
      <w:r w:rsidRPr="000E5D59">
        <w:rPr>
          <w:rFonts w:eastAsia="Times New Roman"/>
        </w:rPr>
        <w:lastRenderedPageBreak/>
        <w:t>Results</w:t>
      </w:r>
      <w:bookmarkEnd w:id="193"/>
      <w:bookmarkEnd w:id="194"/>
      <w:bookmarkEnd w:id="195"/>
      <w:bookmarkEnd w:id="196"/>
      <w:bookmarkEnd w:id="197"/>
      <w:bookmarkEnd w:id="198"/>
      <w:bookmarkEnd w:id="199"/>
    </w:p>
    <w:p w:rsidR="000E5D59" w:rsidRPr="000E5D59" w:rsidRDefault="000E5D59" w:rsidP="00AC40A7">
      <w:pPr>
        <w:pStyle w:val="BodyText"/>
      </w:pPr>
    </w:p>
    <w:p w:rsidR="000E5D59" w:rsidRPr="0090612A" w:rsidRDefault="000E5D59" w:rsidP="005F7A46">
      <w:pPr>
        <w:pStyle w:val="Heading2"/>
        <w:rPr>
          <w:rFonts w:eastAsia="Times New Roman"/>
          <w:sz w:val="24"/>
        </w:rPr>
      </w:pPr>
      <w:bookmarkStart w:id="200" w:name="_Toc11765945"/>
      <w:bookmarkStart w:id="201" w:name="_Toc11766600"/>
      <w:bookmarkStart w:id="202" w:name="_Toc11917216"/>
      <w:bookmarkStart w:id="203" w:name="_Toc11921654"/>
      <w:bookmarkStart w:id="204" w:name="_Toc12520933"/>
      <w:bookmarkStart w:id="205" w:name="_Toc12521159"/>
      <w:bookmarkStart w:id="206" w:name="_Toc12529129"/>
      <w:r w:rsidRPr="0090612A">
        <w:rPr>
          <w:rFonts w:eastAsia="Times New Roman"/>
          <w:sz w:val="24"/>
        </w:rPr>
        <w:t>Response Rate</w:t>
      </w:r>
      <w:bookmarkEnd w:id="200"/>
      <w:bookmarkEnd w:id="201"/>
      <w:bookmarkEnd w:id="202"/>
      <w:bookmarkEnd w:id="203"/>
      <w:bookmarkEnd w:id="204"/>
      <w:bookmarkEnd w:id="205"/>
      <w:bookmarkEnd w:id="206"/>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 1</w:t>
      </w:r>
      <w:r w:rsidRPr="000E5D59">
        <w:rPr>
          <w:rFonts w:ascii="Arial" w:eastAsia="Calibri" w:hAnsi="Arial" w:cs="Arial"/>
          <w:sz w:val="24"/>
          <w:szCs w:val="24"/>
        </w:rPr>
        <w:t xml:space="preserve"> shows demographic characteristics of the overall survey sample compared to all eligible survey participants. All adult registered medical use of marijuana patients in the Massachusetts Medical Use of Marijuana Program were eligible for participation in the 2018 Medical Use of Marijuana Patient Survey (N=42,796). 6934 of these patients responded to the 2018 Medical Use of Marijuana Patient Survey, for a response rate of nearly 16%. There were no noticeable differences between 2018 survey respondent distributions and the full eligible population across gender, age, and county, suggesting that respondent population demographics are comparable to the overall eligible population of medical use of marijuana patients in Massachusetts. </w:t>
      </w:r>
    </w:p>
    <w:p w:rsidR="000E5D59" w:rsidRPr="000E5D59" w:rsidRDefault="000E5D59" w:rsidP="006057BE">
      <w:pPr>
        <w:spacing w:after="0" w:line="240" w:lineRule="auto"/>
        <w:rPr>
          <w:rFonts w:ascii="Arial" w:eastAsia="Calibri" w:hAnsi="Arial" w:cs="Arial"/>
          <w:sz w:val="24"/>
          <w:szCs w:val="24"/>
        </w:rPr>
      </w:pPr>
    </w:p>
    <w:p w:rsidR="008976A8"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Table 1. DPH Patient Survey Response Rate and Comparison of Sample Population </w:t>
      </w:r>
    </w:p>
    <w:tbl>
      <w:tblPr>
        <w:tblW w:w="8565" w:type="dxa"/>
        <w:jc w:val="center"/>
        <w:tblLook w:val="04A0" w:firstRow="1" w:lastRow="0" w:firstColumn="1" w:lastColumn="0" w:noHBand="0" w:noVBand="1"/>
        <w:tblCaption w:val="Department of Public Health Survey Response Rate and Comparison of Sample Population"/>
        <w:tblDescription w:val="The table shows demographic characteristics of the overall survey sample compared to all eligible survey participants. All adult registered medical use of marijuana patients in the Massachusetts Medical Use of Marijuana Program were eligible for participation in the 2018 Medical Use of Marijuana Patient Survey, of which 16% responded.  There were no noticeable differences between 2018 survey respondent distributions and the full eligible population across gender, age, and county, suggesting that respondent population demographics are comparable to the overall eligible population of medical use of marijuana patients in Massachusetts. &#10;"/>
      </w:tblPr>
      <w:tblGrid>
        <w:gridCol w:w="3975"/>
        <w:gridCol w:w="2250"/>
        <w:gridCol w:w="2340"/>
      </w:tblGrid>
      <w:tr w:rsidR="000E5D59" w:rsidRPr="000E5D59" w:rsidTr="00784755">
        <w:trPr>
          <w:trHeight w:val="276"/>
          <w:jc w:val="center"/>
        </w:trPr>
        <w:tc>
          <w:tcPr>
            <w:tcW w:w="3975" w:type="dxa"/>
            <w:vMerge w:val="restart"/>
            <w:tcBorders>
              <w:top w:val="single" w:sz="4" w:space="0" w:color="auto"/>
              <w:left w:val="single" w:sz="4"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2250" w:type="dxa"/>
            <w:vMerge w:val="restart"/>
            <w:tcBorders>
              <w:top w:val="single" w:sz="4" w:space="0" w:color="auto"/>
              <w:left w:val="thickThinSmallGap" w:sz="24"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Full Eligible Population</w:t>
            </w:r>
          </w:p>
          <w:p w:rsidR="000E5D59" w:rsidRPr="000E5D59" w:rsidRDefault="000E5D59" w:rsidP="006057BE">
            <w:pPr>
              <w:spacing w:after="0" w:line="240" w:lineRule="auto"/>
              <w:jc w:val="center"/>
              <w:rPr>
                <w:rFonts w:ascii="Arial" w:eastAsia="Times New Roman" w:hAnsi="Arial" w:cs="Arial"/>
                <w:bCs/>
                <w:color w:val="000000"/>
                <w:sz w:val="20"/>
                <w:szCs w:val="20"/>
              </w:rPr>
            </w:pPr>
            <w:r w:rsidRPr="000E5D59">
              <w:rPr>
                <w:rFonts w:ascii="Arial" w:eastAsia="Times New Roman" w:hAnsi="Arial" w:cs="Arial"/>
                <w:bCs/>
                <w:color w:val="000000"/>
                <w:sz w:val="20"/>
                <w:szCs w:val="20"/>
              </w:rPr>
              <w:t>(N=42,796)</w:t>
            </w:r>
          </w:p>
        </w:tc>
        <w:tc>
          <w:tcPr>
            <w:tcW w:w="2340" w:type="dxa"/>
            <w:vMerge w:val="restart"/>
            <w:tcBorders>
              <w:top w:val="single" w:sz="4" w:space="0" w:color="auto"/>
              <w:left w:val="thickThinSmallGap" w:sz="24" w:space="0" w:color="auto"/>
              <w:bottom w:val="double" w:sz="6" w:space="0" w:color="000000"/>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2018 Survey Respondents</w:t>
            </w:r>
          </w:p>
          <w:p w:rsidR="000E5D59" w:rsidRPr="000E5D59" w:rsidRDefault="000E5D59" w:rsidP="006057BE">
            <w:pPr>
              <w:spacing w:after="0" w:line="240" w:lineRule="auto"/>
              <w:jc w:val="center"/>
              <w:rPr>
                <w:rFonts w:ascii="Arial" w:eastAsia="Times New Roman" w:hAnsi="Arial" w:cs="Arial"/>
                <w:bCs/>
                <w:color w:val="000000"/>
                <w:sz w:val="20"/>
                <w:szCs w:val="20"/>
              </w:rPr>
            </w:pPr>
            <w:r w:rsidRPr="000E5D59">
              <w:rPr>
                <w:rFonts w:ascii="Arial" w:eastAsia="Times New Roman" w:hAnsi="Arial" w:cs="Arial"/>
                <w:bCs/>
                <w:color w:val="000000"/>
                <w:sz w:val="20"/>
                <w:szCs w:val="20"/>
              </w:rPr>
              <w:t>(N=6934)</w:t>
            </w:r>
          </w:p>
        </w:tc>
      </w:tr>
      <w:tr w:rsidR="000E5D59" w:rsidRPr="000E5D59" w:rsidTr="00784755">
        <w:trPr>
          <w:trHeight w:val="276"/>
          <w:jc w:val="center"/>
        </w:trPr>
        <w:tc>
          <w:tcPr>
            <w:tcW w:w="3975" w:type="dxa"/>
            <w:vMerge/>
            <w:tcBorders>
              <w:top w:val="nil"/>
              <w:left w:val="single" w:sz="4"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2250" w:type="dxa"/>
            <w:vMerge/>
            <w:tcBorders>
              <w:top w:val="nil"/>
              <w:left w:val="thickThinSmallGap" w:sz="24"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2340" w:type="dxa"/>
            <w:vMerge/>
            <w:tcBorders>
              <w:top w:val="nil"/>
              <w:left w:val="thickThinSmallGap" w:sz="24" w:space="0" w:color="auto"/>
              <w:bottom w:val="double" w:sz="6" w:space="0" w:color="000000"/>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r>
      <w:tr w:rsidR="000E5D59" w:rsidRPr="000E5D59" w:rsidTr="00784755">
        <w:trPr>
          <w:trHeight w:val="288"/>
          <w:jc w:val="center"/>
        </w:trPr>
        <w:tc>
          <w:tcPr>
            <w:tcW w:w="3975" w:type="dxa"/>
            <w:tcBorders>
              <w:top w:val="nil"/>
              <w:left w:val="single" w:sz="4"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Response Rate</w:t>
            </w:r>
          </w:p>
        </w:tc>
        <w:tc>
          <w:tcPr>
            <w:tcW w:w="4590" w:type="dxa"/>
            <w:gridSpan w:val="2"/>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15.93%</w:t>
            </w:r>
          </w:p>
        </w:tc>
      </w:tr>
      <w:tr w:rsidR="000E5D59" w:rsidRPr="000E5D59" w:rsidTr="00784755">
        <w:trPr>
          <w:trHeight w:val="288"/>
          <w:jc w:val="center"/>
        </w:trPr>
        <w:tc>
          <w:tcPr>
            <w:tcW w:w="3975" w:type="dxa"/>
            <w:tcBorders>
              <w:top w:val="nil"/>
              <w:left w:val="single" w:sz="4"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Gender</w:t>
            </w:r>
          </w:p>
        </w:tc>
        <w:tc>
          <w:tcPr>
            <w:tcW w:w="2250" w:type="dxa"/>
            <w:tcBorders>
              <w:top w:val="nil"/>
              <w:left w:val="thickThinSmallGap" w:sz="24"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color w:val="000000"/>
                <w:sz w:val="20"/>
                <w:szCs w:val="20"/>
              </w:rPr>
            </w:pPr>
            <w:r w:rsidRPr="000E5D59">
              <w:rPr>
                <w:rFonts w:ascii="Arial" w:eastAsia="Times New Roman" w:hAnsi="Arial" w:cs="Arial"/>
                <w:b/>
                <w:color w:val="000000"/>
                <w:sz w:val="20"/>
                <w:szCs w:val="20"/>
              </w:rPr>
              <w:t xml:space="preserve">N=42796              %                  </w:t>
            </w:r>
          </w:p>
        </w:tc>
        <w:tc>
          <w:tcPr>
            <w:tcW w:w="234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color w:val="000000"/>
                <w:sz w:val="20"/>
                <w:szCs w:val="20"/>
              </w:rPr>
            </w:pPr>
            <w:r w:rsidRPr="000E5D59">
              <w:rPr>
                <w:rFonts w:ascii="Arial" w:eastAsia="Times New Roman" w:hAnsi="Arial" w:cs="Arial"/>
                <w:b/>
                <w:color w:val="000000"/>
                <w:sz w:val="20"/>
                <w:szCs w:val="20"/>
              </w:rPr>
              <w:t xml:space="preserve">N=6818              % </w:t>
            </w:r>
          </w:p>
        </w:tc>
      </w:tr>
      <w:tr w:rsidR="000E5D59" w:rsidRPr="000E5D59" w:rsidTr="00784755">
        <w:trPr>
          <w:trHeight w:val="288"/>
          <w:jc w:val="center"/>
        </w:trPr>
        <w:tc>
          <w:tcPr>
            <w:tcW w:w="3975" w:type="dxa"/>
            <w:tcBorders>
              <w:top w:val="nil"/>
              <w:left w:val="single" w:sz="4"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Male</w:t>
            </w:r>
          </w:p>
        </w:tc>
        <w:tc>
          <w:tcPr>
            <w:tcW w:w="2250" w:type="dxa"/>
            <w:tcBorders>
              <w:top w:val="nil"/>
              <w:left w:val="thickThinSmallGap" w:sz="24" w:space="0" w:color="auto"/>
              <w:bottom w:val="single" w:sz="4" w:space="0" w:color="C1C1C1"/>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24349        (56.90)</w:t>
            </w:r>
          </w:p>
        </w:tc>
        <w:tc>
          <w:tcPr>
            <w:tcW w:w="2340" w:type="dxa"/>
            <w:tcBorders>
              <w:top w:val="nil"/>
              <w:left w:val="thickThinSmallGap" w:sz="24" w:space="0" w:color="auto"/>
              <w:bottom w:val="single" w:sz="4" w:space="0" w:color="C1C1C1"/>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3723        (54.61)</w:t>
            </w:r>
          </w:p>
        </w:tc>
      </w:tr>
      <w:tr w:rsidR="000E5D59" w:rsidRPr="000E5D59" w:rsidTr="00784755">
        <w:trPr>
          <w:trHeight w:val="288"/>
          <w:jc w:val="center"/>
        </w:trPr>
        <w:tc>
          <w:tcPr>
            <w:tcW w:w="3975" w:type="dxa"/>
            <w:tcBorders>
              <w:top w:val="nil"/>
              <w:left w:val="single" w:sz="4"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Female</w:t>
            </w:r>
          </w:p>
        </w:tc>
        <w:tc>
          <w:tcPr>
            <w:tcW w:w="2250" w:type="dxa"/>
            <w:tcBorders>
              <w:top w:val="nil"/>
              <w:left w:val="thickThinSmallGap" w:sz="24" w:space="0" w:color="auto"/>
              <w:bottom w:val="single" w:sz="4" w:space="0" w:color="C1C1C1"/>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18387        (42.96)</w:t>
            </w:r>
          </w:p>
        </w:tc>
        <w:tc>
          <w:tcPr>
            <w:tcW w:w="2340" w:type="dxa"/>
            <w:tcBorders>
              <w:top w:val="nil"/>
              <w:left w:val="thickThinSmallGap" w:sz="24" w:space="0" w:color="auto"/>
              <w:bottom w:val="single" w:sz="4" w:space="0" w:color="C1C1C1"/>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3056        (44.82)</w:t>
            </w:r>
          </w:p>
        </w:tc>
      </w:tr>
      <w:tr w:rsidR="000E5D59" w:rsidRPr="000E5D59" w:rsidTr="00784755">
        <w:trPr>
          <w:trHeight w:val="288"/>
          <w:jc w:val="center"/>
        </w:trPr>
        <w:tc>
          <w:tcPr>
            <w:tcW w:w="3975" w:type="dxa"/>
            <w:tcBorders>
              <w:top w:val="nil"/>
              <w:left w:val="single" w:sz="4"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Other / choose not to answer</w:t>
            </w:r>
          </w:p>
        </w:tc>
        <w:tc>
          <w:tcPr>
            <w:tcW w:w="2250" w:type="dxa"/>
            <w:tcBorders>
              <w:top w:val="nil"/>
              <w:left w:val="thickThinSmallGap" w:sz="24"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60        (  0.14)</w:t>
            </w:r>
          </w:p>
        </w:tc>
        <w:tc>
          <w:tcPr>
            <w:tcW w:w="234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39        (  0.57)</w:t>
            </w:r>
          </w:p>
        </w:tc>
      </w:tr>
      <w:tr w:rsidR="000E5D59" w:rsidRPr="000E5D59" w:rsidTr="00784755">
        <w:trPr>
          <w:trHeight w:val="288"/>
          <w:jc w:val="center"/>
        </w:trPr>
        <w:tc>
          <w:tcPr>
            <w:tcW w:w="3975" w:type="dxa"/>
            <w:tcBorders>
              <w:top w:val="nil"/>
              <w:left w:val="single" w:sz="4"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Age (in years)</w:t>
            </w:r>
          </w:p>
        </w:tc>
        <w:tc>
          <w:tcPr>
            <w:tcW w:w="2250" w:type="dxa"/>
            <w:tcBorders>
              <w:top w:val="nil"/>
              <w:left w:val="thickThinSmallGap" w:sz="24"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color w:val="000000"/>
                <w:sz w:val="20"/>
                <w:szCs w:val="20"/>
              </w:rPr>
            </w:pPr>
            <w:r w:rsidRPr="000E5D59">
              <w:rPr>
                <w:rFonts w:ascii="Arial" w:eastAsia="Times New Roman" w:hAnsi="Arial" w:cs="Arial"/>
                <w:b/>
                <w:color w:val="000000"/>
                <w:sz w:val="20"/>
                <w:szCs w:val="20"/>
              </w:rPr>
              <w:t>N=42796              %</w:t>
            </w:r>
          </w:p>
        </w:tc>
        <w:tc>
          <w:tcPr>
            <w:tcW w:w="234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color w:val="000000"/>
                <w:sz w:val="20"/>
                <w:szCs w:val="20"/>
              </w:rPr>
            </w:pPr>
            <w:r w:rsidRPr="000E5D59">
              <w:rPr>
                <w:rFonts w:ascii="Arial" w:eastAsia="Times New Roman" w:hAnsi="Arial" w:cs="Arial"/>
                <w:b/>
                <w:color w:val="000000"/>
                <w:sz w:val="20"/>
                <w:szCs w:val="20"/>
              </w:rPr>
              <w:t xml:space="preserve">N=6772              %  </w:t>
            </w:r>
          </w:p>
        </w:tc>
      </w:tr>
      <w:tr w:rsidR="000E5D59" w:rsidRPr="000E5D59" w:rsidTr="00784755">
        <w:trPr>
          <w:trHeight w:val="288"/>
          <w:jc w:val="center"/>
        </w:trPr>
        <w:tc>
          <w:tcPr>
            <w:tcW w:w="3975" w:type="dxa"/>
            <w:tcBorders>
              <w:top w:val="nil"/>
              <w:left w:val="single" w:sz="4"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 to 25</w:t>
            </w:r>
          </w:p>
        </w:tc>
        <w:tc>
          <w:tcPr>
            <w:tcW w:w="2250" w:type="dxa"/>
            <w:tcBorders>
              <w:top w:val="nil"/>
              <w:left w:val="thickThinSmallGap" w:sz="24" w:space="0" w:color="auto"/>
              <w:bottom w:val="single" w:sz="4" w:space="0" w:color="C1C1C1"/>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3471        (  8.11)</w:t>
            </w:r>
          </w:p>
        </w:tc>
        <w:tc>
          <w:tcPr>
            <w:tcW w:w="2340" w:type="dxa"/>
            <w:tcBorders>
              <w:top w:val="nil"/>
              <w:left w:val="thickThinSmallGap" w:sz="24" w:space="0" w:color="auto"/>
              <w:bottom w:val="single" w:sz="4" w:space="0" w:color="C1C1C1"/>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477        (  7.04)</w:t>
            </w:r>
          </w:p>
        </w:tc>
      </w:tr>
      <w:tr w:rsidR="000E5D59" w:rsidRPr="000E5D59" w:rsidTr="00784755">
        <w:trPr>
          <w:trHeight w:val="288"/>
          <w:jc w:val="center"/>
        </w:trPr>
        <w:tc>
          <w:tcPr>
            <w:tcW w:w="3975" w:type="dxa"/>
            <w:tcBorders>
              <w:top w:val="nil"/>
              <w:left w:val="single" w:sz="4"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 to 35</w:t>
            </w:r>
          </w:p>
        </w:tc>
        <w:tc>
          <w:tcPr>
            <w:tcW w:w="2250" w:type="dxa"/>
            <w:tcBorders>
              <w:top w:val="nil"/>
              <w:left w:val="thickThinSmallGap" w:sz="24" w:space="0" w:color="auto"/>
              <w:bottom w:val="single" w:sz="4" w:space="0" w:color="C1C1C1"/>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8695        (20.32)</w:t>
            </w:r>
          </w:p>
        </w:tc>
        <w:tc>
          <w:tcPr>
            <w:tcW w:w="2340" w:type="dxa"/>
            <w:tcBorders>
              <w:top w:val="nil"/>
              <w:left w:val="thickThinSmallGap" w:sz="24" w:space="0" w:color="auto"/>
              <w:bottom w:val="single" w:sz="4" w:space="0" w:color="C1C1C1"/>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1256        (18.55)</w:t>
            </w:r>
          </w:p>
        </w:tc>
      </w:tr>
      <w:tr w:rsidR="000E5D59" w:rsidRPr="000E5D59" w:rsidTr="00784755">
        <w:trPr>
          <w:trHeight w:val="288"/>
          <w:jc w:val="center"/>
        </w:trPr>
        <w:tc>
          <w:tcPr>
            <w:tcW w:w="3975" w:type="dxa"/>
            <w:tcBorders>
              <w:top w:val="nil"/>
              <w:left w:val="single" w:sz="4"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36 to 50</w:t>
            </w:r>
          </w:p>
        </w:tc>
        <w:tc>
          <w:tcPr>
            <w:tcW w:w="2250" w:type="dxa"/>
            <w:tcBorders>
              <w:top w:val="nil"/>
              <w:left w:val="thickThinSmallGap" w:sz="24" w:space="0" w:color="auto"/>
              <w:bottom w:val="single" w:sz="4" w:space="0" w:color="C1C1C1"/>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11857        (27.71)</w:t>
            </w:r>
          </w:p>
        </w:tc>
        <w:tc>
          <w:tcPr>
            <w:tcW w:w="2340" w:type="dxa"/>
            <w:tcBorders>
              <w:top w:val="nil"/>
              <w:left w:val="thickThinSmallGap" w:sz="24" w:space="0" w:color="auto"/>
              <w:bottom w:val="single" w:sz="4" w:space="0" w:color="C1C1C1"/>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1851        (27.33)</w:t>
            </w:r>
          </w:p>
        </w:tc>
      </w:tr>
      <w:tr w:rsidR="000E5D59" w:rsidRPr="000E5D59" w:rsidTr="00784755">
        <w:trPr>
          <w:trHeight w:val="288"/>
          <w:jc w:val="center"/>
        </w:trPr>
        <w:tc>
          <w:tcPr>
            <w:tcW w:w="3975" w:type="dxa"/>
            <w:tcBorders>
              <w:top w:val="nil"/>
              <w:left w:val="single" w:sz="4"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51 to 64</w:t>
            </w:r>
          </w:p>
        </w:tc>
        <w:tc>
          <w:tcPr>
            <w:tcW w:w="2250" w:type="dxa"/>
            <w:tcBorders>
              <w:top w:val="nil"/>
              <w:left w:val="thickThinSmallGap" w:sz="24" w:space="0" w:color="auto"/>
              <w:bottom w:val="single" w:sz="4" w:space="0" w:color="C1C1C1"/>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12141        (28.37)</w:t>
            </w:r>
          </w:p>
        </w:tc>
        <w:tc>
          <w:tcPr>
            <w:tcW w:w="2340" w:type="dxa"/>
            <w:tcBorders>
              <w:top w:val="nil"/>
              <w:left w:val="thickThinSmallGap" w:sz="24" w:space="0" w:color="auto"/>
              <w:bottom w:val="single" w:sz="4" w:space="0" w:color="C1C1C1"/>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2100        (31.01)</w:t>
            </w:r>
          </w:p>
        </w:tc>
      </w:tr>
      <w:tr w:rsidR="000E5D59" w:rsidRPr="000E5D59" w:rsidTr="00784755">
        <w:trPr>
          <w:trHeight w:val="288"/>
          <w:jc w:val="center"/>
        </w:trPr>
        <w:tc>
          <w:tcPr>
            <w:tcW w:w="3975" w:type="dxa"/>
            <w:tcBorders>
              <w:top w:val="nil"/>
              <w:left w:val="single" w:sz="4" w:space="0" w:color="auto"/>
              <w:bottom w:val="doub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65 or older</w:t>
            </w:r>
          </w:p>
        </w:tc>
        <w:tc>
          <w:tcPr>
            <w:tcW w:w="2250" w:type="dxa"/>
            <w:tcBorders>
              <w:top w:val="nil"/>
              <w:left w:val="thickThinSmallGap" w:sz="24" w:space="0" w:color="auto"/>
              <w:bottom w:val="doub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6632        (15.50)</w:t>
            </w:r>
          </w:p>
        </w:tc>
        <w:tc>
          <w:tcPr>
            <w:tcW w:w="2340" w:type="dxa"/>
            <w:tcBorders>
              <w:top w:val="nil"/>
              <w:left w:val="thickThinSmallGap" w:sz="24" w:space="0" w:color="auto"/>
              <w:bottom w:val="doub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1088        (16.07)</w:t>
            </w:r>
          </w:p>
        </w:tc>
      </w:tr>
      <w:tr w:rsidR="000E5D59" w:rsidRPr="000E5D59" w:rsidTr="00784755">
        <w:trPr>
          <w:trHeight w:val="288"/>
          <w:jc w:val="center"/>
        </w:trPr>
        <w:tc>
          <w:tcPr>
            <w:tcW w:w="3975" w:type="dxa"/>
            <w:tcBorders>
              <w:top w:val="double" w:sz="4" w:space="0" w:color="auto"/>
              <w:left w:val="single" w:sz="4"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b/>
                <w:color w:val="000000"/>
                <w:sz w:val="20"/>
                <w:szCs w:val="20"/>
              </w:rPr>
              <w:t>County</w:t>
            </w:r>
          </w:p>
        </w:tc>
        <w:tc>
          <w:tcPr>
            <w:tcW w:w="2250" w:type="dxa"/>
            <w:tcBorders>
              <w:top w:val="double" w:sz="4" w:space="0" w:color="auto"/>
              <w:left w:val="thickThinSmallGap" w:sz="24"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color w:val="000000"/>
                <w:sz w:val="20"/>
                <w:szCs w:val="20"/>
              </w:rPr>
            </w:pPr>
            <w:r w:rsidRPr="000E5D59">
              <w:rPr>
                <w:rFonts w:ascii="Arial" w:eastAsia="Times New Roman" w:hAnsi="Arial" w:cs="Arial"/>
                <w:b/>
                <w:color w:val="000000"/>
                <w:sz w:val="20"/>
                <w:szCs w:val="20"/>
              </w:rPr>
              <w:t>N=42796              %</w:t>
            </w:r>
          </w:p>
        </w:tc>
        <w:tc>
          <w:tcPr>
            <w:tcW w:w="2340" w:type="dxa"/>
            <w:tcBorders>
              <w:top w:val="double" w:sz="4" w:space="0" w:color="auto"/>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color w:val="000000"/>
                <w:sz w:val="20"/>
                <w:szCs w:val="20"/>
              </w:rPr>
            </w:pPr>
            <w:r w:rsidRPr="000E5D59">
              <w:rPr>
                <w:rFonts w:ascii="Arial" w:eastAsia="Times New Roman" w:hAnsi="Arial" w:cs="Arial"/>
                <w:b/>
                <w:color w:val="000000"/>
                <w:sz w:val="20"/>
                <w:szCs w:val="20"/>
              </w:rPr>
              <w:t>N=6864              %</w:t>
            </w:r>
          </w:p>
        </w:tc>
      </w:tr>
      <w:tr w:rsidR="000E5D59" w:rsidRPr="000E5D59" w:rsidTr="00784755">
        <w:trPr>
          <w:trHeight w:val="288"/>
          <w:jc w:val="center"/>
        </w:trPr>
        <w:tc>
          <w:tcPr>
            <w:tcW w:w="3975" w:type="dxa"/>
            <w:tcBorders>
              <w:top w:val="single" w:sz="4" w:space="0" w:color="auto"/>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Barnstable</w:t>
            </w:r>
          </w:p>
        </w:tc>
        <w:tc>
          <w:tcPr>
            <w:tcW w:w="2250" w:type="dxa"/>
            <w:tcBorders>
              <w:top w:val="single" w:sz="4" w:space="0" w:color="auto"/>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1567        (  3.66)</w:t>
            </w:r>
          </w:p>
        </w:tc>
        <w:tc>
          <w:tcPr>
            <w:tcW w:w="2340" w:type="dxa"/>
            <w:tcBorders>
              <w:top w:val="single" w:sz="4" w:space="0" w:color="auto"/>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245        (  3.57)</w:t>
            </w:r>
          </w:p>
        </w:tc>
      </w:tr>
      <w:tr w:rsidR="000E5D59" w:rsidRPr="000E5D59" w:rsidTr="00784755">
        <w:trPr>
          <w:trHeight w:val="288"/>
          <w:jc w:val="center"/>
        </w:trPr>
        <w:tc>
          <w:tcPr>
            <w:tcW w:w="3975" w:type="dxa"/>
            <w:tcBorders>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Berkshire</w:t>
            </w:r>
          </w:p>
        </w:tc>
        <w:tc>
          <w:tcPr>
            <w:tcW w:w="2250" w:type="dxa"/>
            <w:tcBorders>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1052        (  2.46)</w:t>
            </w:r>
          </w:p>
        </w:tc>
        <w:tc>
          <w:tcPr>
            <w:tcW w:w="234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210        (  3.06)</w:t>
            </w:r>
          </w:p>
        </w:tc>
      </w:tr>
      <w:tr w:rsidR="000E5D59" w:rsidRPr="000E5D59" w:rsidTr="00784755">
        <w:trPr>
          <w:trHeight w:val="288"/>
          <w:jc w:val="center"/>
        </w:trPr>
        <w:tc>
          <w:tcPr>
            <w:tcW w:w="3975" w:type="dxa"/>
            <w:tcBorders>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Bristol</w:t>
            </w:r>
          </w:p>
        </w:tc>
        <w:tc>
          <w:tcPr>
            <w:tcW w:w="2250" w:type="dxa"/>
            <w:tcBorders>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3155        (  7.37)</w:t>
            </w:r>
          </w:p>
        </w:tc>
        <w:tc>
          <w:tcPr>
            <w:tcW w:w="234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460        (  6.70)</w:t>
            </w:r>
          </w:p>
        </w:tc>
      </w:tr>
      <w:tr w:rsidR="000E5D59" w:rsidRPr="000E5D59" w:rsidTr="00784755">
        <w:trPr>
          <w:trHeight w:val="288"/>
          <w:jc w:val="center"/>
        </w:trPr>
        <w:tc>
          <w:tcPr>
            <w:tcW w:w="3975" w:type="dxa"/>
            <w:tcBorders>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Dukes</w:t>
            </w:r>
          </w:p>
        </w:tc>
        <w:tc>
          <w:tcPr>
            <w:tcW w:w="2250" w:type="dxa"/>
            <w:tcBorders>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95        (  0.22)</w:t>
            </w:r>
          </w:p>
        </w:tc>
        <w:tc>
          <w:tcPr>
            <w:tcW w:w="234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        (  0.34)</w:t>
            </w:r>
          </w:p>
        </w:tc>
      </w:tr>
      <w:tr w:rsidR="000E5D59" w:rsidRPr="000E5D59" w:rsidTr="00784755">
        <w:trPr>
          <w:trHeight w:val="288"/>
          <w:jc w:val="center"/>
        </w:trPr>
        <w:tc>
          <w:tcPr>
            <w:tcW w:w="3975" w:type="dxa"/>
            <w:tcBorders>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Essex</w:t>
            </w:r>
          </w:p>
        </w:tc>
        <w:tc>
          <w:tcPr>
            <w:tcW w:w="2250" w:type="dxa"/>
            <w:tcBorders>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4950        (11.57)</w:t>
            </w:r>
          </w:p>
        </w:tc>
        <w:tc>
          <w:tcPr>
            <w:tcW w:w="234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743        (10.82)</w:t>
            </w:r>
          </w:p>
        </w:tc>
      </w:tr>
      <w:tr w:rsidR="000E5D59" w:rsidRPr="000E5D59" w:rsidTr="00784755">
        <w:trPr>
          <w:trHeight w:val="288"/>
          <w:jc w:val="center"/>
        </w:trPr>
        <w:tc>
          <w:tcPr>
            <w:tcW w:w="3975" w:type="dxa"/>
            <w:tcBorders>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Franklin</w:t>
            </w:r>
          </w:p>
        </w:tc>
        <w:tc>
          <w:tcPr>
            <w:tcW w:w="2250" w:type="dxa"/>
            <w:tcBorders>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670        (  1.57)</w:t>
            </w:r>
          </w:p>
        </w:tc>
        <w:tc>
          <w:tcPr>
            <w:tcW w:w="234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156        (  2.27)</w:t>
            </w:r>
          </w:p>
        </w:tc>
      </w:tr>
      <w:tr w:rsidR="000E5D59" w:rsidRPr="000E5D59" w:rsidTr="00784755">
        <w:trPr>
          <w:trHeight w:val="288"/>
          <w:jc w:val="center"/>
        </w:trPr>
        <w:tc>
          <w:tcPr>
            <w:tcW w:w="3975" w:type="dxa"/>
            <w:tcBorders>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Hampden</w:t>
            </w:r>
          </w:p>
        </w:tc>
        <w:tc>
          <w:tcPr>
            <w:tcW w:w="2250" w:type="dxa"/>
            <w:tcBorders>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2974        (  6.95)</w:t>
            </w:r>
          </w:p>
        </w:tc>
        <w:tc>
          <w:tcPr>
            <w:tcW w:w="234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501        (  7.30)</w:t>
            </w:r>
          </w:p>
        </w:tc>
      </w:tr>
      <w:tr w:rsidR="000E5D59" w:rsidRPr="000E5D59" w:rsidTr="00784755">
        <w:trPr>
          <w:trHeight w:val="288"/>
          <w:jc w:val="center"/>
        </w:trPr>
        <w:tc>
          <w:tcPr>
            <w:tcW w:w="3975" w:type="dxa"/>
            <w:tcBorders>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Hampshire</w:t>
            </w:r>
          </w:p>
        </w:tc>
        <w:tc>
          <w:tcPr>
            <w:tcW w:w="2250" w:type="dxa"/>
            <w:tcBorders>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1962        (  4.58)</w:t>
            </w:r>
          </w:p>
        </w:tc>
        <w:tc>
          <w:tcPr>
            <w:tcW w:w="234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392        (  5.71)</w:t>
            </w:r>
          </w:p>
        </w:tc>
      </w:tr>
      <w:tr w:rsidR="000E5D59" w:rsidRPr="000E5D59" w:rsidTr="00784755">
        <w:trPr>
          <w:trHeight w:val="288"/>
          <w:jc w:val="center"/>
        </w:trPr>
        <w:tc>
          <w:tcPr>
            <w:tcW w:w="3975" w:type="dxa"/>
            <w:tcBorders>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Middlesex</w:t>
            </w:r>
          </w:p>
        </w:tc>
        <w:tc>
          <w:tcPr>
            <w:tcW w:w="2250" w:type="dxa"/>
            <w:tcBorders>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9969        (23.29)</w:t>
            </w:r>
          </w:p>
        </w:tc>
        <w:tc>
          <w:tcPr>
            <w:tcW w:w="234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1536        (22.38)</w:t>
            </w:r>
          </w:p>
        </w:tc>
      </w:tr>
      <w:tr w:rsidR="000E5D59" w:rsidRPr="000E5D59" w:rsidTr="00784755">
        <w:trPr>
          <w:trHeight w:val="288"/>
          <w:jc w:val="center"/>
        </w:trPr>
        <w:tc>
          <w:tcPr>
            <w:tcW w:w="3975" w:type="dxa"/>
            <w:tcBorders>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Nantucket</w:t>
            </w:r>
          </w:p>
        </w:tc>
        <w:tc>
          <w:tcPr>
            <w:tcW w:w="2250" w:type="dxa"/>
            <w:tcBorders>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40        (  0.09)</w:t>
            </w:r>
          </w:p>
        </w:tc>
        <w:tc>
          <w:tcPr>
            <w:tcW w:w="234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        (  0.09)</w:t>
            </w:r>
          </w:p>
        </w:tc>
      </w:tr>
      <w:tr w:rsidR="000E5D59" w:rsidRPr="000E5D59" w:rsidTr="00784755">
        <w:trPr>
          <w:trHeight w:val="288"/>
          <w:jc w:val="center"/>
        </w:trPr>
        <w:tc>
          <w:tcPr>
            <w:tcW w:w="3975" w:type="dxa"/>
            <w:tcBorders>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Norfolk</w:t>
            </w:r>
          </w:p>
        </w:tc>
        <w:tc>
          <w:tcPr>
            <w:tcW w:w="2250" w:type="dxa"/>
            <w:tcBorders>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4808        (11.23)</w:t>
            </w:r>
          </w:p>
        </w:tc>
        <w:tc>
          <w:tcPr>
            <w:tcW w:w="234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639        (  9.31)</w:t>
            </w:r>
          </w:p>
        </w:tc>
      </w:tr>
      <w:tr w:rsidR="000E5D59" w:rsidRPr="000E5D59" w:rsidTr="00784755">
        <w:trPr>
          <w:trHeight w:val="288"/>
          <w:jc w:val="center"/>
        </w:trPr>
        <w:tc>
          <w:tcPr>
            <w:tcW w:w="3975" w:type="dxa"/>
            <w:tcBorders>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Plymouth</w:t>
            </w:r>
          </w:p>
        </w:tc>
        <w:tc>
          <w:tcPr>
            <w:tcW w:w="2250" w:type="dxa"/>
            <w:tcBorders>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3686        (  8.61)</w:t>
            </w:r>
          </w:p>
        </w:tc>
        <w:tc>
          <w:tcPr>
            <w:tcW w:w="234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533        (  7.77)</w:t>
            </w:r>
          </w:p>
        </w:tc>
      </w:tr>
      <w:tr w:rsidR="000E5D59" w:rsidRPr="000E5D59" w:rsidTr="00784755">
        <w:trPr>
          <w:trHeight w:val="288"/>
          <w:jc w:val="center"/>
        </w:trPr>
        <w:tc>
          <w:tcPr>
            <w:tcW w:w="3975" w:type="dxa"/>
            <w:tcBorders>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Suffolk</w:t>
            </w:r>
          </w:p>
        </w:tc>
        <w:tc>
          <w:tcPr>
            <w:tcW w:w="2250" w:type="dxa"/>
            <w:tcBorders>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3936        (  9.20)</w:t>
            </w:r>
          </w:p>
        </w:tc>
        <w:tc>
          <w:tcPr>
            <w:tcW w:w="234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658        (  9.59)</w:t>
            </w:r>
          </w:p>
        </w:tc>
      </w:tr>
      <w:tr w:rsidR="000E5D59" w:rsidRPr="000E5D59" w:rsidTr="00784755">
        <w:trPr>
          <w:trHeight w:val="288"/>
          <w:jc w:val="center"/>
        </w:trPr>
        <w:tc>
          <w:tcPr>
            <w:tcW w:w="3975" w:type="dxa"/>
            <w:tcBorders>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Worcester</w:t>
            </w:r>
          </w:p>
        </w:tc>
        <w:tc>
          <w:tcPr>
            <w:tcW w:w="2250" w:type="dxa"/>
            <w:tcBorders>
              <w:left w:val="thickThinSmallGap" w:sz="2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3876        (  9.06)</w:t>
            </w:r>
          </w:p>
        </w:tc>
        <w:tc>
          <w:tcPr>
            <w:tcW w:w="234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606        (  8.87)</w:t>
            </w:r>
          </w:p>
        </w:tc>
      </w:tr>
      <w:tr w:rsidR="000E5D59" w:rsidRPr="000E5D59" w:rsidTr="00784755">
        <w:trPr>
          <w:trHeight w:val="288"/>
          <w:jc w:val="center"/>
        </w:trPr>
        <w:tc>
          <w:tcPr>
            <w:tcW w:w="3975" w:type="dxa"/>
            <w:tcBorders>
              <w:left w:val="single" w:sz="4"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Not provided</w:t>
            </w:r>
          </w:p>
        </w:tc>
        <w:tc>
          <w:tcPr>
            <w:tcW w:w="2250" w:type="dxa"/>
            <w:tcBorders>
              <w:left w:val="thickThinSmallGap" w:sz="24"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56        (  0.13)</w:t>
            </w:r>
          </w:p>
        </w:tc>
        <w:tc>
          <w:tcPr>
            <w:tcW w:w="2340" w:type="dxa"/>
            <w:tcBorders>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223        (  0.02)</w:t>
            </w:r>
          </w:p>
        </w:tc>
      </w:tr>
    </w:tbl>
    <w:p w:rsidR="000E5D59" w:rsidRPr="000E5D59" w:rsidRDefault="000E5D59" w:rsidP="006057BE">
      <w:pPr>
        <w:spacing w:after="0" w:line="240" w:lineRule="auto"/>
        <w:rPr>
          <w:rFonts w:ascii="Garamond" w:eastAsia="Calibri" w:hAnsi="Garamond" w:cs="Times New Roman"/>
          <w:b/>
          <w:i/>
          <w:sz w:val="24"/>
          <w:szCs w:val="24"/>
        </w:rPr>
        <w:sectPr w:rsidR="000E5D59" w:rsidRPr="000E5D59" w:rsidSect="00465399">
          <w:headerReference w:type="default" r:id="rId31"/>
          <w:pgSz w:w="12240" w:h="15840"/>
          <w:pgMar w:top="1440" w:right="1440" w:bottom="1440" w:left="1440" w:header="0" w:footer="0" w:gutter="0"/>
          <w:cols w:space="720"/>
          <w:docGrid w:linePitch="360"/>
        </w:sectPr>
      </w:pPr>
    </w:p>
    <w:p w:rsidR="000E5D59" w:rsidRPr="000E5D59" w:rsidRDefault="000E5D59" w:rsidP="00DB63D3">
      <w:pPr>
        <w:pStyle w:val="Heading3"/>
      </w:pPr>
      <w:bookmarkStart w:id="207" w:name="_Toc11765946"/>
      <w:bookmarkStart w:id="208" w:name="_Toc11766601"/>
      <w:r w:rsidRPr="000E5D59">
        <w:lastRenderedPageBreak/>
        <w:t>Respondent Demographics</w:t>
      </w:r>
      <w:bookmarkEnd w:id="207"/>
      <w:bookmarkEnd w:id="208"/>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Approximately equal proportions of all respondents were male compared to female (55% vs. 45%) or under 51 years old (53% vs. 47%). A majority of respondents were Non-Hispanic White (87%), followed by Hispanic (5%), and Non-Hispanic Black or African American (3%). Less than 3% of respondents identified as more than one race, or other (Asian, Native Hawaiian, Pacific Islander, American Indian, Alaska Native, or other). 98% of all respondents reported their highest level of education as at least high school graduation or GED, while over 50% reported receiving a Bachelor’s degree or higher.  Less than 10% reported an annual household income below $15,000, with the majority reporting over $40,000. Less than 1% of women were currently pregnant or breastfeeding. </w:t>
      </w:r>
    </w:p>
    <w:p w:rsidR="000E5D59" w:rsidRPr="000E5D59" w:rsidRDefault="000E5D59" w:rsidP="006057BE">
      <w:pPr>
        <w:spacing w:after="0" w:line="240" w:lineRule="auto"/>
        <w:rPr>
          <w:rFonts w:ascii="Arial" w:eastAsia="Calibri" w:hAnsi="Arial" w:cs="Arial"/>
          <w:i/>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 2A</w:t>
      </w:r>
      <w:r w:rsidRPr="000E5D59">
        <w:rPr>
          <w:rFonts w:ascii="Arial" w:eastAsia="Calibri" w:hAnsi="Arial" w:cs="Arial"/>
          <w:sz w:val="24"/>
          <w:szCs w:val="24"/>
        </w:rPr>
        <w:t xml:space="preserve"> shows results of significance tests comparing demographic characteristics by gender. A significantly larger proportion of female than male respondents reported their highest education as a professional degree beyond a Bachelor’s degree (27% vs. 22%). Female respondents reported annual household incomes between $15,000 and $75,000 compared to males (46% vs. 38%), while a larger proportion of male respondents than female reported annual household incomes above $75,000 (53% vs. 44%). </w:t>
      </w:r>
    </w:p>
    <w:p w:rsidR="000E5D59" w:rsidRPr="000E5D59" w:rsidRDefault="000E5D59" w:rsidP="006057BE">
      <w:pPr>
        <w:spacing w:after="0" w:line="240" w:lineRule="auto"/>
        <w:rPr>
          <w:rFonts w:ascii="Arial" w:eastAsia="Calibri" w:hAnsi="Arial" w:cs="Arial"/>
          <w:i/>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 2B</w:t>
      </w:r>
      <w:r w:rsidRPr="000E5D59">
        <w:rPr>
          <w:rFonts w:ascii="Arial" w:eastAsia="Calibri" w:hAnsi="Arial" w:cs="Arial"/>
          <w:sz w:val="24"/>
          <w:szCs w:val="24"/>
        </w:rPr>
        <w:t xml:space="preserve"> shows results of significance tests comparing demographic characteristics by age group. The racial distribution of respondents under the age of 51 was significantly more diverse than respondents over the age of 50, as exhibited by the proportion of non-Hispanic White respondents (83% vs. 93%). Most notably, a larger proportion of Hispanic respondents were under age 51 than over 50. A larger proportion of respondents over the age of 50 than under had professional degrees beyond a Bachelor’s degree (29% vs. 20%). Older respondents reported annual household income earnings above $100,000 at a higher rate than younger respondents (38% vs. 34%). </w:t>
      </w:r>
    </w:p>
    <w:p w:rsidR="000E5D59" w:rsidRPr="000E5D59" w:rsidRDefault="000E5D59" w:rsidP="006057BE">
      <w:pPr>
        <w:spacing w:after="0" w:line="240" w:lineRule="auto"/>
        <w:rPr>
          <w:rFonts w:ascii="Arial" w:eastAsia="Calibri" w:hAnsi="Arial" w:cs="Arial"/>
          <w:i/>
          <w:sz w:val="24"/>
          <w:szCs w:val="24"/>
        </w:rPr>
      </w:pPr>
    </w:p>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r w:rsidRPr="000E5D59">
        <w:rPr>
          <w:rFonts w:ascii="Arial" w:eastAsia="Calibri" w:hAnsi="Arial" w:cs="Arial"/>
          <w:i/>
          <w:sz w:val="24"/>
          <w:szCs w:val="24"/>
        </w:rPr>
        <w:t>Table 2C</w:t>
      </w:r>
      <w:r w:rsidRPr="000E5D59">
        <w:rPr>
          <w:rFonts w:ascii="Arial" w:eastAsia="Calibri" w:hAnsi="Arial" w:cs="Arial"/>
          <w:sz w:val="24"/>
          <w:szCs w:val="24"/>
        </w:rPr>
        <w:t xml:space="preserve"> shows results of significance tests comparing demographic characteristics by educational attainment. A larger proportion of respondents with at least a Bachelor’s degree than respondents without a degree were aged 65 years or older (20% vs. 12%) or between 26 to 35 years old (20% vs. 17%), while a larger proportion of respondents without a Bachelor’s degree were aged between 18 and 25 (10% vs. 4%) and 51 to 64 (33% vs. 29%). A larger proportion of respondents with at least a Bachelor’s degree identified as non-Hispanic White compared to respondents with an educational attainment below a Bachelor’s degree (90% vs. 84%). Respondents with at least a Bachelor’s degree also reported annual household incomes above $75,000 at higher rates than participants without a Bachelor’s degree (63% vs. 33%).</w:t>
      </w: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Table 2A: DPH Patient Survey Characteri</w:t>
      </w:r>
      <w:r w:rsidR="000941B7">
        <w:rPr>
          <w:rFonts w:ascii="Arial" w:eastAsia="Calibri" w:hAnsi="Arial" w:cs="Arial"/>
          <w:b/>
          <w:sz w:val="24"/>
          <w:szCs w:val="24"/>
        </w:rPr>
        <w:t xml:space="preserve">stics of Respondents by Gender </w:t>
      </w:r>
    </w:p>
    <w:tbl>
      <w:tblPr>
        <w:tblW w:w="9465" w:type="dxa"/>
        <w:tblInd w:w="93" w:type="dxa"/>
        <w:tblLook w:val="04A0" w:firstRow="1" w:lastRow="0" w:firstColumn="1" w:lastColumn="0" w:noHBand="0" w:noVBand="1"/>
        <w:tblCaption w:val="Department of Public Health Patient Survey Characteristics of Respondents by Gender "/>
        <w:tblDescription w:val="The table presents comparisons of demographic characteristics by gender. More females than males reported their highest education as a professional degree beyond a Bachelor’s. Females reported annual household incomes between $15,000 and $75,000 compared to males, while a larger proportion of male respondents than female reported annual household incomes above $75,000. "/>
      </w:tblPr>
      <w:tblGrid>
        <w:gridCol w:w="3997"/>
        <w:gridCol w:w="1148"/>
        <w:gridCol w:w="1620"/>
        <w:gridCol w:w="1530"/>
        <w:gridCol w:w="1170"/>
      </w:tblGrid>
      <w:tr w:rsidR="000E5D59" w:rsidRPr="000E5D59" w:rsidTr="00784755">
        <w:trPr>
          <w:trHeight w:val="20"/>
        </w:trPr>
        <w:tc>
          <w:tcPr>
            <w:tcW w:w="3997"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48" w:type="dxa"/>
            <w:vMerge w:val="restart"/>
            <w:tcBorders>
              <w:top w:val="single" w:sz="4" w:space="0" w:color="auto"/>
              <w:left w:val="nil"/>
              <w:right w:val="thinThick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p>
        </w:tc>
        <w:tc>
          <w:tcPr>
            <w:tcW w:w="4320" w:type="dxa"/>
            <w:gridSpan w:val="3"/>
            <w:tcBorders>
              <w:top w:val="single" w:sz="4" w:space="0" w:color="auto"/>
              <w:left w:val="thinThick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Gender</w:t>
            </w:r>
          </w:p>
        </w:tc>
      </w:tr>
      <w:tr w:rsidR="000E5D59" w:rsidRPr="000E5D59" w:rsidTr="00784755">
        <w:trPr>
          <w:trHeight w:val="20"/>
        </w:trPr>
        <w:tc>
          <w:tcPr>
            <w:tcW w:w="3997"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148" w:type="dxa"/>
            <w:vMerge/>
            <w:tcBorders>
              <w:left w:val="nil"/>
              <w:bottom w:val="double" w:sz="6" w:space="0" w:color="auto"/>
              <w:right w:val="thinThick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p>
        </w:tc>
        <w:tc>
          <w:tcPr>
            <w:tcW w:w="1620" w:type="dxa"/>
            <w:tcBorders>
              <w:top w:val="nil"/>
              <w:left w:val="thinThick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Male</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(N=3732)</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Female</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(N=3056)</w:t>
            </w:r>
          </w:p>
        </w:tc>
        <w:tc>
          <w:tcPr>
            <w:tcW w:w="117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3997" w:type="dxa"/>
            <w:tcBorders>
              <w:top w:val="nil"/>
              <w:left w:val="single" w:sz="4"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Gender</w:t>
            </w:r>
          </w:p>
        </w:tc>
        <w:tc>
          <w:tcPr>
            <w:tcW w:w="1148"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6818</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 test</w:t>
            </w:r>
          </w:p>
        </w:tc>
      </w:tr>
      <w:tr w:rsidR="000E5D59" w:rsidRPr="000E5D59" w:rsidTr="00784755">
        <w:trPr>
          <w:trHeight w:val="20"/>
        </w:trPr>
        <w:tc>
          <w:tcPr>
            <w:tcW w:w="3997"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Male</w:t>
            </w:r>
          </w:p>
        </w:tc>
        <w:tc>
          <w:tcPr>
            <w:tcW w:w="1148"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3723</w:t>
            </w:r>
            <w:r w:rsidRPr="000E5D59">
              <w:rPr>
                <w:rFonts w:ascii="Arial" w:eastAsia="Times New Roman" w:hAnsi="Arial" w:cs="Arial"/>
                <w:color w:val="000000"/>
                <w:sz w:val="20"/>
                <w:szCs w:val="20"/>
              </w:rPr>
              <w:br/>
              <w:t>54.61</w:t>
            </w:r>
          </w:p>
        </w:tc>
        <w:tc>
          <w:tcPr>
            <w:tcW w:w="1620" w:type="dxa"/>
            <w:tcBorders>
              <w:top w:val="nil"/>
              <w:left w:val="thinThickSmallGap" w:sz="2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Female</w:t>
            </w:r>
          </w:p>
        </w:tc>
        <w:tc>
          <w:tcPr>
            <w:tcW w:w="1148"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3056</w:t>
            </w:r>
            <w:r w:rsidRPr="000E5D59">
              <w:rPr>
                <w:rFonts w:ascii="Arial" w:eastAsia="Times New Roman" w:hAnsi="Arial" w:cs="Arial"/>
                <w:color w:val="000000"/>
                <w:sz w:val="20"/>
                <w:szCs w:val="20"/>
              </w:rPr>
              <w:br/>
              <w:t>44.82</w:t>
            </w:r>
          </w:p>
        </w:tc>
        <w:tc>
          <w:tcPr>
            <w:tcW w:w="1620" w:type="dxa"/>
            <w:tcBorders>
              <w:top w:val="nil"/>
              <w:left w:val="thinThickSmallGap" w:sz="2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Other / choose not to answer</w:t>
            </w:r>
          </w:p>
        </w:tc>
        <w:tc>
          <w:tcPr>
            <w:tcW w:w="1148"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39</w:t>
            </w:r>
            <w:r w:rsidRPr="000E5D59">
              <w:rPr>
                <w:rFonts w:ascii="Arial" w:eastAsia="Times New Roman" w:hAnsi="Arial" w:cs="Arial"/>
                <w:color w:val="000000"/>
                <w:sz w:val="20"/>
                <w:szCs w:val="20"/>
              </w:rPr>
              <w:br/>
              <w:t>0.57</w:t>
            </w:r>
          </w:p>
        </w:tc>
        <w:tc>
          <w:tcPr>
            <w:tcW w:w="1620" w:type="dxa"/>
            <w:tcBorders>
              <w:top w:val="nil"/>
              <w:left w:val="thinThickSmallGap" w:sz="2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top w:val="nil"/>
              <w:left w:val="single" w:sz="4"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Age (in years)</w:t>
            </w:r>
          </w:p>
        </w:tc>
        <w:tc>
          <w:tcPr>
            <w:tcW w:w="1148"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6772</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97"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 to 25</w:t>
            </w:r>
          </w:p>
        </w:tc>
        <w:tc>
          <w:tcPr>
            <w:tcW w:w="1148"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477</w:t>
            </w:r>
            <w:r w:rsidRPr="000E5D59">
              <w:rPr>
                <w:rFonts w:ascii="Arial" w:eastAsia="Times New Roman" w:hAnsi="Arial" w:cs="Arial"/>
                <w:color w:val="000000"/>
                <w:sz w:val="20"/>
                <w:szCs w:val="20"/>
              </w:rPr>
              <w:br/>
              <w:t>7.04</w:t>
            </w:r>
          </w:p>
        </w:tc>
        <w:tc>
          <w:tcPr>
            <w:tcW w:w="1620" w:type="dxa"/>
            <w:tcBorders>
              <w:top w:val="single" w:sz="4" w:space="0" w:color="auto"/>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244</w:t>
            </w:r>
            <w:r w:rsidRPr="000E5D59">
              <w:rPr>
                <w:rFonts w:ascii="Arial" w:eastAsia="Times New Roman" w:hAnsi="Arial" w:cs="Arial"/>
                <w:color w:val="000000"/>
                <w:sz w:val="20"/>
                <w:szCs w:val="20"/>
              </w:rPr>
              <w:br/>
              <w:t>6.66</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214</w:t>
            </w:r>
            <w:r w:rsidRPr="000E5D59">
              <w:rPr>
                <w:rFonts w:ascii="Arial" w:eastAsia="Times New Roman" w:hAnsi="Arial" w:cs="Arial"/>
                <w:color w:val="000000"/>
                <w:sz w:val="20"/>
                <w:szCs w:val="20"/>
              </w:rPr>
              <w:br/>
              <w:t>7.13</w:t>
            </w:r>
          </w:p>
        </w:tc>
        <w:tc>
          <w:tcPr>
            <w:tcW w:w="1170" w:type="dxa"/>
            <w:tcBorders>
              <w:top w:val="single" w:sz="4" w:space="0" w:color="auto"/>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 to 35</w:t>
            </w:r>
          </w:p>
        </w:tc>
        <w:tc>
          <w:tcPr>
            <w:tcW w:w="1148"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1256</w:t>
            </w:r>
            <w:r w:rsidRPr="000E5D59">
              <w:rPr>
                <w:rFonts w:ascii="Arial" w:eastAsia="Times New Roman" w:hAnsi="Arial" w:cs="Arial"/>
                <w:color w:val="000000"/>
                <w:sz w:val="20"/>
                <w:szCs w:val="20"/>
              </w:rPr>
              <w:br/>
              <w:t>18.55</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668</w:t>
            </w:r>
            <w:r w:rsidRPr="000E5D59">
              <w:rPr>
                <w:rFonts w:ascii="Arial" w:eastAsia="Times New Roman" w:hAnsi="Arial" w:cs="Arial"/>
                <w:color w:val="000000"/>
                <w:sz w:val="20"/>
                <w:szCs w:val="20"/>
              </w:rPr>
              <w:br/>
              <w:t>18.23</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543</w:t>
            </w:r>
            <w:r w:rsidRPr="000E5D59">
              <w:rPr>
                <w:rFonts w:ascii="Arial" w:eastAsia="Times New Roman" w:hAnsi="Arial" w:cs="Arial"/>
                <w:color w:val="000000"/>
                <w:sz w:val="20"/>
                <w:szCs w:val="20"/>
              </w:rPr>
              <w:br/>
              <w:t>18.10</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36 to 50</w:t>
            </w:r>
          </w:p>
        </w:tc>
        <w:tc>
          <w:tcPr>
            <w:tcW w:w="1148"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1851</w:t>
            </w:r>
            <w:r w:rsidRPr="000E5D59">
              <w:rPr>
                <w:rFonts w:ascii="Arial" w:eastAsia="Times New Roman" w:hAnsi="Arial" w:cs="Arial"/>
                <w:color w:val="000000"/>
                <w:sz w:val="20"/>
                <w:szCs w:val="20"/>
              </w:rPr>
              <w:br/>
              <w:t>27.33</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1012</w:t>
            </w:r>
            <w:r w:rsidRPr="000E5D59">
              <w:rPr>
                <w:rFonts w:ascii="Arial" w:eastAsia="Times New Roman" w:hAnsi="Arial" w:cs="Arial"/>
                <w:color w:val="000000"/>
                <w:sz w:val="20"/>
                <w:szCs w:val="20"/>
              </w:rPr>
              <w:br/>
              <w:t>27.62</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819</w:t>
            </w:r>
            <w:r w:rsidRPr="000E5D59">
              <w:rPr>
                <w:rFonts w:ascii="Arial" w:eastAsia="Times New Roman" w:hAnsi="Arial" w:cs="Arial"/>
                <w:color w:val="000000"/>
                <w:sz w:val="20"/>
                <w:szCs w:val="20"/>
              </w:rPr>
              <w:br/>
              <w:t>27.30</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51 to 64</w:t>
            </w:r>
          </w:p>
        </w:tc>
        <w:tc>
          <w:tcPr>
            <w:tcW w:w="1148"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2100</w:t>
            </w:r>
            <w:r w:rsidRPr="000E5D59">
              <w:rPr>
                <w:rFonts w:ascii="Arial" w:eastAsia="Times New Roman" w:hAnsi="Arial" w:cs="Arial"/>
                <w:color w:val="000000"/>
                <w:sz w:val="20"/>
                <w:szCs w:val="20"/>
              </w:rPr>
              <w:br/>
              <w:t>31.01</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1091</w:t>
            </w:r>
            <w:r w:rsidRPr="000E5D59">
              <w:rPr>
                <w:rFonts w:ascii="Arial" w:eastAsia="Times New Roman" w:hAnsi="Arial" w:cs="Arial"/>
                <w:color w:val="000000"/>
                <w:sz w:val="20"/>
                <w:szCs w:val="20"/>
              </w:rPr>
              <w:br/>
              <w:t>29.78</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991</w:t>
            </w:r>
            <w:r w:rsidRPr="000E5D59">
              <w:rPr>
                <w:rFonts w:ascii="Arial" w:eastAsia="Times New Roman" w:hAnsi="Arial" w:cs="Arial"/>
                <w:color w:val="000000"/>
                <w:sz w:val="20"/>
                <w:szCs w:val="20"/>
              </w:rPr>
              <w:br/>
              <w:t>33.03</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65 or older</w:t>
            </w:r>
          </w:p>
        </w:tc>
        <w:tc>
          <w:tcPr>
            <w:tcW w:w="1148"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1088</w:t>
            </w:r>
            <w:r w:rsidRPr="000E5D59">
              <w:rPr>
                <w:rFonts w:ascii="Arial" w:eastAsia="Times New Roman" w:hAnsi="Arial" w:cs="Arial"/>
                <w:color w:val="000000"/>
                <w:sz w:val="20"/>
                <w:szCs w:val="20"/>
              </w:rPr>
              <w:br/>
              <w:t>16.07</w:t>
            </w:r>
          </w:p>
        </w:tc>
        <w:tc>
          <w:tcPr>
            <w:tcW w:w="1620" w:type="dxa"/>
            <w:tcBorders>
              <w:left w:val="thinThick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649</w:t>
            </w:r>
            <w:r w:rsidRPr="000E5D59">
              <w:rPr>
                <w:rFonts w:ascii="Arial" w:eastAsia="Times New Roman" w:hAnsi="Arial" w:cs="Arial"/>
                <w:color w:val="000000"/>
                <w:sz w:val="20"/>
                <w:szCs w:val="20"/>
              </w:rPr>
              <w:br/>
              <w:t>17.71</w:t>
            </w:r>
          </w:p>
        </w:tc>
        <w:tc>
          <w:tcPr>
            <w:tcW w:w="153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433</w:t>
            </w:r>
            <w:r w:rsidRPr="000E5D59">
              <w:rPr>
                <w:rFonts w:ascii="Arial" w:eastAsia="Times New Roman" w:hAnsi="Arial" w:cs="Arial"/>
                <w:color w:val="000000"/>
                <w:sz w:val="20"/>
                <w:szCs w:val="20"/>
              </w:rPr>
              <w:br/>
              <w:t>14.43</w:t>
            </w:r>
          </w:p>
        </w:tc>
        <w:tc>
          <w:tcPr>
            <w:tcW w:w="1170" w:type="dxa"/>
            <w:tcBorders>
              <w:left w:val="single" w:sz="4" w:space="0" w:color="C1C1C1"/>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top w:val="nil"/>
              <w:left w:val="single" w:sz="4"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Race/Ethnicity</w:t>
            </w:r>
          </w:p>
        </w:tc>
        <w:tc>
          <w:tcPr>
            <w:tcW w:w="1148"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6672</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3997" w:type="dxa"/>
            <w:tcBorders>
              <w:top w:val="nil"/>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White or Caucasian, non-Hispanic</w:t>
            </w:r>
          </w:p>
        </w:tc>
        <w:tc>
          <w:tcPr>
            <w:tcW w:w="1148"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5834</w:t>
            </w:r>
            <w:r w:rsidRPr="000E5D59">
              <w:rPr>
                <w:rFonts w:ascii="Arial" w:eastAsia="Times New Roman" w:hAnsi="Arial" w:cs="Arial"/>
                <w:color w:val="000000"/>
                <w:sz w:val="20"/>
                <w:szCs w:val="20"/>
              </w:rPr>
              <w:br/>
              <w:t>87.44</w:t>
            </w:r>
          </w:p>
        </w:tc>
        <w:tc>
          <w:tcPr>
            <w:tcW w:w="1620" w:type="dxa"/>
            <w:tcBorders>
              <w:top w:val="single" w:sz="4" w:space="0" w:color="auto"/>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3138</w:t>
            </w:r>
            <w:r w:rsidRPr="000E5D59">
              <w:rPr>
                <w:rFonts w:ascii="Arial" w:eastAsia="Times New Roman" w:hAnsi="Arial" w:cs="Arial"/>
                <w:color w:val="000000"/>
                <w:sz w:val="20"/>
                <w:szCs w:val="20"/>
              </w:rPr>
              <w:br/>
              <w:t>87.39</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2623</w:t>
            </w:r>
            <w:r w:rsidRPr="000E5D59">
              <w:rPr>
                <w:rFonts w:ascii="Arial" w:eastAsia="Times New Roman" w:hAnsi="Arial" w:cs="Arial"/>
                <w:color w:val="000000"/>
                <w:sz w:val="20"/>
                <w:szCs w:val="20"/>
              </w:rPr>
              <w:br/>
              <w:t>87.70</w:t>
            </w:r>
          </w:p>
        </w:tc>
        <w:tc>
          <w:tcPr>
            <w:tcW w:w="1170" w:type="dxa"/>
            <w:tcBorders>
              <w:top w:val="single" w:sz="4" w:space="0" w:color="auto"/>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top w:val="nil"/>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Black or African-American, non-Hispanic</w:t>
            </w:r>
          </w:p>
        </w:tc>
        <w:tc>
          <w:tcPr>
            <w:tcW w:w="1148"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188</w:t>
            </w:r>
            <w:r w:rsidRPr="000E5D59">
              <w:rPr>
                <w:rFonts w:ascii="Arial" w:eastAsia="Times New Roman" w:hAnsi="Arial" w:cs="Arial"/>
                <w:color w:val="000000"/>
                <w:sz w:val="20"/>
                <w:szCs w:val="20"/>
              </w:rPr>
              <w:br/>
              <w:t>2.82</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102</w:t>
            </w:r>
            <w:r w:rsidRPr="000E5D59">
              <w:rPr>
                <w:rFonts w:ascii="Arial" w:eastAsia="Times New Roman" w:hAnsi="Arial" w:cs="Arial"/>
                <w:color w:val="000000"/>
                <w:sz w:val="20"/>
                <w:szCs w:val="20"/>
              </w:rPr>
              <w:br/>
              <w:t>2.84</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83</w:t>
            </w:r>
            <w:r w:rsidRPr="000E5D59">
              <w:rPr>
                <w:rFonts w:ascii="Arial" w:eastAsia="Times New Roman" w:hAnsi="Arial" w:cs="Arial"/>
                <w:color w:val="000000"/>
                <w:sz w:val="20"/>
                <w:szCs w:val="20"/>
              </w:rPr>
              <w:br/>
              <w:t>2.77</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Asian, non-Hispanic</w:t>
            </w:r>
          </w:p>
        </w:tc>
        <w:tc>
          <w:tcPr>
            <w:tcW w:w="1148"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52</w:t>
            </w:r>
            <w:r w:rsidRPr="000E5D59">
              <w:rPr>
                <w:rFonts w:ascii="Arial" w:eastAsia="Times New Roman" w:hAnsi="Arial" w:cs="Arial"/>
                <w:color w:val="000000"/>
                <w:sz w:val="20"/>
                <w:szCs w:val="20"/>
              </w:rPr>
              <w:br/>
              <w:t>0.78</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29</w:t>
            </w:r>
            <w:r w:rsidRPr="000E5D59">
              <w:rPr>
                <w:rFonts w:ascii="Arial" w:eastAsia="Times New Roman" w:hAnsi="Arial" w:cs="Arial"/>
                <w:color w:val="000000"/>
                <w:sz w:val="20"/>
                <w:szCs w:val="20"/>
              </w:rPr>
              <w:br/>
              <w:t>0.81</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w:t>
            </w:r>
            <w:r w:rsidRPr="000E5D59">
              <w:rPr>
                <w:rFonts w:ascii="Arial" w:eastAsia="Times New Roman" w:hAnsi="Arial" w:cs="Arial"/>
                <w:color w:val="000000"/>
                <w:sz w:val="20"/>
                <w:szCs w:val="20"/>
              </w:rPr>
              <w:br/>
              <w:t>0.74</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Native Hawaiian, Pacific Islander, American Indian or Alaska Native, non-Hispanic</w:t>
            </w:r>
          </w:p>
        </w:tc>
        <w:tc>
          <w:tcPr>
            <w:tcW w:w="1148"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w:t>
            </w:r>
            <w:r w:rsidRPr="000E5D59">
              <w:rPr>
                <w:rFonts w:ascii="Arial" w:eastAsia="Times New Roman" w:hAnsi="Arial" w:cs="Arial"/>
                <w:color w:val="000000"/>
                <w:sz w:val="20"/>
                <w:szCs w:val="20"/>
              </w:rPr>
              <w:br/>
              <w:t>0.21</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w:t>
            </w:r>
            <w:r w:rsidRPr="000E5D59">
              <w:rPr>
                <w:rFonts w:ascii="Arial" w:eastAsia="Times New Roman" w:hAnsi="Arial" w:cs="Arial"/>
                <w:color w:val="000000"/>
                <w:sz w:val="20"/>
                <w:szCs w:val="20"/>
              </w:rPr>
              <w:br/>
              <w:t>0.22</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w:t>
            </w:r>
            <w:r w:rsidRPr="000E5D59">
              <w:rPr>
                <w:rFonts w:ascii="Arial" w:eastAsia="Times New Roman" w:hAnsi="Arial" w:cs="Arial"/>
                <w:color w:val="000000"/>
                <w:sz w:val="20"/>
                <w:szCs w:val="20"/>
              </w:rPr>
              <w:br/>
              <w:t>0.20</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More than one race, non-Hispanic</w:t>
            </w:r>
          </w:p>
        </w:tc>
        <w:tc>
          <w:tcPr>
            <w:tcW w:w="1148"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171</w:t>
            </w:r>
            <w:r w:rsidRPr="000E5D59">
              <w:rPr>
                <w:rFonts w:ascii="Arial" w:eastAsia="Times New Roman" w:hAnsi="Arial" w:cs="Arial"/>
                <w:color w:val="000000"/>
                <w:sz w:val="20"/>
                <w:szCs w:val="20"/>
              </w:rPr>
              <w:br/>
              <w:t>2.56</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79</w:t>
            </w:r>
            <w:r w:rsidRPr="000E5D59">
              <w:rPr>
                <w:rFonts w:ascii="Arial" w:eastAsia="Times New Roman" w:hAnsi="Arial" w:cs="Arial"/>
                <w:color w:val="000000"/>
                <w:sz w:val="20"/>
                <w:szCs w:val="20"/>
              </w:rPr>
              <w:br/>
              <w:t>2.20</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89</w:t>
            </w:r>
            <w:r w:rsidRPr="000E5D59">
              <w:rPr>
                <w:rFonts w:ascii="Arial" w:eastAsia="Times New Roman" w:hAnsi="Arial" w:cs="Arial"/>
                <w:color w:val="000000"/>
                <w:sz w:val="20"/>
                <w:szCs w:val="20"/>
              </w:rPr>
              <w:br/>
              <w:t>2.98</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Hispanic</w:t>
            </w:r>
          </w:p>
        </w:tc>
        <w:tc>
          <w:tcPr>
            <w:tcW w:w="1148"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323</w:t>
            </w:r>
            <w:r w:rsidRPr="000E5D59">
              <w:rPr>
                <w:rFonts w:ascii="Arial" w:eastAsia="Times New Roman" w:hAnsi="Arial" w:cs="Arial"/>
                <w:color w:val="000000"/>
                <w:sz w:val="20"/>
                <w:szCs w:val="20"/>
              </w:rPr>
              <w:br/>
              <w:t>4.84</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183</w:t>
            </w:r>
            <w:r w:rsidRPr="000E5D59">
              <w:rPr>
                <w:rFonts w:ascii="Arial" w:eastAsia="Times New Roman" w:hAnsi="Arial" w:cs="Arial"/>
                <w:color w:val="000000"/>
                <w:sz w:val="20"/>
                <w:szCs w:val="20"/>
              </w:rPr>
              <w:br/>
              <w:t>5.10</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133</w:t>
            </w:r>
            <w:r w:rsidRPr="000E5D59">
              <w:rPr>
                <w:rFonts w:ascii="Arial" w:eastAsia="Times New Roman" w:hAnsi="Arial" w:cs="Arial"/>
                <w:color w:val="000000"/>
                <w:sz w:val="20"/>
                <w:szCs w:val="20"/>
              </w:rPr>
              <w:br/>
              <w:t>4.45</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97" w:type="dxa"/>
            <w:tcBorders>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Other</w:t>
            </w:r>
          </w:p>
        </w:tc>
        <w:tc>
          <w:tcPr>
            <w:tcW w:w="1148" w:type="dxa"/>
            <w:tcBorders>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90</w:t>
            </w:r>
            <w:r w:rsidRPr="000E5D59">
              <w:rPr>
                <w:rFonts w:ascii="Arial" w:eastAsia="Times New Roman" w:hAnsi="Arial" w:cs="Arial"/>
                <w:color w:val="000000"/>
                <w:sz w:val="20"/>
                <w:szCs w:val="20"/>
              </w:rPr>
              <w:br/>
              <w:t>1.35</w:t>
            </w:r>
          </w:p>
        </w:tc>
        <w:tc>
          <w:tcPr>
            <w:tcW w:w="1620" w:type="dxa"/>
            <w:tcBorders>
              <w:left w:val="thinThick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52</w:t>
            </w:r>
            <w:r w:rsidRPr="000E5D59">
              <w:rPr>
                <w:rFonts w:ascii="Arial" w:eastAsia="Times New Roman" w:hAnsi="Arial" w:cs="Arial"/>
                <w:color w:val="000000"/>
                <w:sz w:val="20"/>
                <w:szCs w:val="20"/>
              </w:rPr>
              <w:br/>
              <w:t>1.45</w:t>
            </w:r>
          </w:p>
        </w:tc>
        <w:tc>
          <w:tcPr>
            <w:tcW w:w="1530" w:type="dxa"/>
            <w:tcBorders>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35</w:t>
            </w:r>
            <w:r w:rsidRPr="000E5D59">
              <w:rPr>
                <w:rFonts w:ascii="Arial" w:eastAsia="Times New Roman" w:hAnsi="Arial" w:cs="Arial"/>
                <w:color w:val="000000"/>
                <w:sz w:val="20"/>
                <w:szCs w:val="20"/>
              </w:rPr>
              <w:br/>
              <w:t>1.17</w:t>
            </w:r>
          </w:p>
        </w:tc>
        <w:tc>
          <w:tcPr>
            <w:tcW w:w="1170" w:type="dxa"/>
            <w:tcBorders>
              <w:left w:val="single" w:sz="4" w:space="0" w:color="C1C1C1"/>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tabs>
                <w:tab w:val="left" w:pos="435"/>
              </w:tabs>
              <w:spacing w:after="0" w:line="240" w:lineRule="auto"/>
              <w:rPr>
                <w:rFonts w:ascii="Arial" w:eastAsia="Times New Roman" w:hAnsi="Arial" w:cs="Arial"/>
                <w:color w:val="000000"/>
                <w:sz w:val="20"/>
                <w:szCs w:val="20"/>
              </w:rPr>
            </w:pPr>
            <w:r w:rsidRPr="000E5D59">
              <w:rPr>
                <w:rFonts w:ascii="Arial" w:eastAsia="Times New Roman" w:hAnsi="Arial" w:cs="Arial"/>
                <w:i/>
                <w:iCs/>
                <w:color w:val="000000"/>
                <w:sz w:val="20"/>
                <w:szCs w:val="20"/>
              </w:rPr>
              <w:t>*p&lt;0.05; **p&lt;0.01; ***p&lt;0.001; ****p&lt;0.0001; ns=not significant</w:t>
            </w:r>
          </w:p>
        </w:tc>
      </w:tr>
    </w:tbl>
    <w:p w:rsidR="000E5D59" w:rsidRPr="000E5D59" w:rsidRDefault="000E5D59" w:rsidP="006057BE">
      <w:pPr>
        <w:spacing w:after="0" w:line="240" w:lineRule="auto"/>
        <w:rPr>
          <w:rFonts w:ascii="Garamond" w:eastAsia="Calibri" w:hAnsi="Garamond" w:cs="Times New Roman"/>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(Continued) Table 2A. DPH Patient Survey Character</w:t>
      </w:r>
      <w:r w:rsidR="000941B7">
        <w:rPr>
          <w:rFonts w:ascii="Arial" w:eastAsia="Calibri" w:hAnsi="Arial" w:cs="Arial"/>
          <w:b/>
          <w:sz w:val="24"/>
          <w:szCs w:val="24"/>
        </w:rPr>
        <w:t>istics of Respondents by Gender</w:t>
      </w:r>
    </w:p>
    <w:tbl>
      <w:tblPr>
        <w:tblW w:w="9465" w:type="dxa"/>
        <w:tblInd w:w="93" w:type="dxa"/>
        <w:tblLook w:val="04A0" w:firstRow="1" w:lastRow="0" w:firstColumn="1" w:lastColumn="0" w:noHBand="0" w:noVBand="1"/>
        <w:tblCaption w:val="Continued: Department of Public Health Patient Survey Characteristics of Respondents by Gender "/>
        <w:tblDescription w:val="This table is a continuation of the table from the previous page (the complete table did not fit on a single page). The table presents comparisons of demographic characteristics by gender. More females than males reported their highest education as a professional degree beyond a Bachelor’s. Females reported annual household incomes between $15,000 and $75,000 compared to males, while a larger proportion of male respondents than female reported annual household incomes above $75,000. "/>
      </w:tblPr>
      <w:tblGrid>
        <w:gridCol w:w="3975"/>
        <w:gridCol w:w="1170"/>
        <w:gridCol w:w="1620"/>
        <w:gridCol w:w="1530"/>
        <w:gridCol w:w="1170"/>
      </w:tblGrid>
      <w:tr w:rsidR="000E5D59" w:rsidRPr="000E5D59" w:rsidTr="00784755">
        <w:trPr>
          <w:trHeight w:val="20"/>
        </w:trPr>
        <w:tc>
          <w:tcPr>
            <w:tcW w:w="3975" w:type="dxa"/>
            <w:vMerge w:val="restart"/>
            <w:tcBorders>
              <w:top w:val="single" w:sz="4" w:space="0" w:color="auto"/>
              <w:left w:val="single" w:sz="8" w:space="0" w:color="auto"/>
              <w:right w:val="nil"/>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single" w:sz="8" w:space="0" w:color="auto"/>
              <w:right w:val="thinThick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p>
        </w:tc>
        <w:tc>
          <w:tcPr>
            <w:tcW w:w="4320" w:type="dxa"/>
            <w:gridSpan w:val="3"/>
            <w:tcBorders>
              <w:top w:val="single" w:sz="4" w:space="0" w:color="auto"/>
              <w:left w:val="thinThick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Gender</w:t>
            </w:r>
          </w:p>
        </w:tc>
      </w:tr>
      <w:tr w:rsidR="000E5D59" w:rsidRPr="000E5D59" w:rsidTr="00784755">
        <w:trPr>
          <w:trHeight w:val="20"/>
        </w:trPr>
        <w:tc>
          <w:tcPr>
            <w:tcW w:w="3975" w:type="dxa"/>
            <w:vMerge/>
            <w:tcBorders>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170" w:type="dxa"/>
            <w:vMerge/>
            <w:tcBorders>
              <w:left w:val="single" w:sz="8" w:space="0" w:color="auto"/>
              <w:bottom w:val="single" w:sz="4" w:space="0" w:color="auto"/>
              <w:right w:val="thinThick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color w:val="000000"/>
                <w:sz w:val="20"/>
                <w:szCs w:val="20"/>
              </w:rPr>
            </w:pPr>
          </w:p>
        </w:tc>
        <w:tc>
          <w:tcPr>
            <w:tcW w:w="1620"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Male</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(N=3732)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Female</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(N=3056)</w:t>
            </w:r>
          </w:p>
        </w:tc>
        <w:tc>
          <w:tcPr>
            <w:tcW w:w="1170" w:type="dxa"/>
            <w:tcBorders>
              <w:top w:val="single" w:sz="4" w:space="0" w:color="auto"/>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3975" w:type="dxa"/>
            <w:tcBorders>
              <w:top w:val="single" w:sz="4" w:space="0" w:color="auto"/>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Highest level of education completed</w:t>
            </w:r>
          </w:p>
        </w:tc>
        <w:tc>
          <w:tcPr>
            <w:tcW w:w="1170" w:type="dxa"/>
            <w:tcBorders>
              <w:top w:val="single" w:sz="4" w:space="0" w:color="auto"/>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6877</w:t>
            </w:r>
          </w:p>
        </w:tc>
        <w:tc>
          <w:tcPr>
            <w:tcW w:w="1620" w:type="dxa"/>
            <w:tcBorders>
              <w:top w:val="single" w:sz="4" w:space="0" w:color="auto"/>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single" w:sz="4" w:space="0" w:color="auto"/>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single" w:sz="4" w:space="0" w:color="auto"/>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Less than high school</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131</w:t>
            </w:r>
            <w:r w:rsidRPr="000E5D59">
              <w:rPr>
                <w:rFonts w:ascii="Arial" w:eastAsia="Times New Roman" w:hAnsi="Arial" w:cs="Arial"/>
                <w:color w:val="000000"/>
                <w:sz w:val="20"/>
                <w:szCs w:val="20"/>
              </w:rPr>
              <w:br/>
              <w:t>1.90</w:t>
            </w:r>
          </w:p>
        </w:tc>
        <w:tc>
          <w:tcPr>
            <w:tcW w:w="1620" w:type="dxa"/>
            <w:tcBorders>
              <w:top w:val="single" w:sz="4" w:space="0" w:color="auto"/>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91</w:t>
            </w:r>
            <w:r w:rsidRPr="000E5D59">
              <w:rPr>
                <w:rFonts w:ascii="Arial" w:eastAsia="Times New Roman" w:hAnsi="Arial" w:cs="Arial"/>
                <w:color w:val="000000"/>
                <w:sz w:val="20"/>
                <w:szCs w:val="20"/>
              </w:rPr>
              <w:br/>
              <w:t>2.45</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37</w:t>
            </w:r>
            <w:r w:rsidRPr="000E5D59">
              <w:rPr>
                <w:rFonts w:ascii="Arial" w:eastAsia="Times New Roman" w:hAnsi="Arial" w:cs="Arial"/>
                <w:color w:val="000000"/>
                <w:sz w:val="20"/>
                <w:szCs w:val="20"/>
              </w:rPr>
              <w:br/>
              <w:t>1.21</w:t>
            </w:r>
          </w:p>
        </w:tc>
        <w:tc>
          <w:tcPr>
            <w:tcW w:w="1170" w:type="dxa"/>
            <w:tcBorders>
              <w:top w:val="single" w:sz="4" w:space="0" w:color="auto"/>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High school or GED</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816</w:t>
            </w:r>
            <w:r w:rsidRPr="000E5D59">
              <w:rPr>
                <w:rFonts w:ascii="Arial" w:eastAsia="Times New Roman" w:hAnsi="Arial" w:cs="Arial"/>
                <w:color w:val="000000"/>
                <w:sz w:val="20"/>
                <w:szCs w:val="20"/>
              </w:rPr>
              <w:br/>
              <w:t>11.87</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483</w:t>
            </w:r>
            <w:r w:rsidRPr="000E5D59">
              <w:rPr>
                <w:rFonts w:ascii="Arial" w:eastAsia="Times New Roman" w:hAnsi="Arial" w:cs="Arial"/>
                <w:color w:val="000000"/>
                <w:sz w:val="20"/>
                <w:szCs w:val="20"/>
              </w:rPr>
              <w:br/>
              <w:t>12.98</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320</w:t>
            </w:r>
            <w:r w:rsidRPr="000E5D59">
              <w:rPr>
                <w:rFonts w:ascii="Arial" w:eastAsia="Times New Roman" w:hAnsi="Arial" w:cs="Arial"/>
                <w:color w:val="000000"/>
                <w:sz w:val="20"/>
                <w:szCs w:val="20"/>
              </w:rPr>
              <w:br/>
              <w:t>10.50</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Some college credit, less than Bachelor's degree</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2335</w:t>
            </w:r>
            <w:r w:rsidRPr="000E5D59">
              <w:rPr>
                <w:rFonts w:ascii="Arial" w:eastAsia="Times New Roman" w:hAnsi="Arial" w:cs="Arial"/>
                <w:color w:val="000000"/>
                <w:sz w:val="20"/>
                <w:szCs w:val="20"/>
              </w:rPr>
              <w:br/>
              <w:t>33.95</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1233</w:t>
            </w:r>
            <w:r w:rsidRPr="000E5D59">
              <w:rPr>
                <w:rFonts w:ascii="Arial" w:eastAsia="Times New Roman" w:hAnsi="Arial" w:cs="Arial"/>
                <w:color w:val="000000"/>
                <w:sz w:val="20"/>
                <w:szCs w:val="20"/>
              </w:rPr>
              <w:br/>
              <w:t>33.14</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1066</w:t>
            </w:r>
            <w:r w:rsidRPr="000E5D59">
              <w:rPr>
                <w:rFonts w:ascii="Arial" w:eastAsia="Times New Roman" w:hAnsi="Arial" w:cs="Arial"/>
                <w:color w:val="000000"/>
                <w:sz w:val="20"/>
                <w:szCs w:val="20"/>
              </w:rPr>
              <w:br/>
              <w:t>34.96</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2D6014" w:rsidP="006057B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c</w:t>
            </w:r>
            <w:r w:rsidR="000E5D59" w:rsidRPr="000E5D59">
              <w:rPr>
                <w:rFonts w:ascii="Arial" w:eastAsia="Times New Roman" w:hAnsi="Arial" w:cs="Arial"/>
                <w:color w:val="000000"/>
                <w:sz w:val="20"/>
                <w:szCs w:val="20"/>
              </w:rPr>
              <w:t>Bachelor's degree</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1930</w:t>
            </w:r>
            <w:r w:rsidRPr="000E5D59">
              <w:rPr>
                <w:rFonts w:ascii="Arial" w:eastAsia="Times New Roman" w:hAnsi="Arial" w:cs="Arial"/>
                <w:color w:val="000000"/>
                <w:sz w:val="20"/>
                <w:szCs w:val="20"/>
              </w:rPr>
              <w:br/>
              <w:t>28.06</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1097</w:t>
            </w:r>
            <w:r w:rsidRPr="000E5D59">
              <w:rPr>
                <w:rFonts w:ascii="Arial" w:eastAsia="Times New Roman" w:hAnsi="Arial" w:cs="Arial"/>
                <w:color w:val="000000"/>
                <w:sz w:val="20"/>
                <w:szCs w:val="20"/>
              </w:rPr>
              <w:br/>
              <w:t>29.48</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804</w:t>
            </w:r>
            <w:r w:rsidRPr="000E5D59">
              <w:rPr>
                <w:rFonts w:ascii="Arial" w:eastAsia="Times New Roman" w:hAnsi="Arial" w:cs="Arial"/>
                <w:color w:val="000000"/>
                <w:sz w:val="20"/>
                <w:szCs w:val="20"/>
              </w:rPr>
              <w:br/>
              <w:t>26.37</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Professional degree beyond a Bachelor's degree</w:t>
            </w:r>
          </w:p>
        </w:tc>
        <w:tc>
          <w:tcPr>
            <w:tcW w:w="1170"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1665</w:t>
            </w:r>
            <w:r w:rsidRPr="000E5D59">
              <w:rPr>
                <w:rFonts w:ascii="Arial" w:eastAsia="Times New Roman" w:hAnsi="Arial" w:cs="Arial"/>
                <w:color w:val="000000"/>
                <w:sz w:val="20"/>
                <w:szCs w:val="20"/>
              </w:rPr>
              <w:br/>
              <w:t>24.21</w:t>
            </w:r>
          </w:p>
        </w:tc>
        <w:tc>
          <w:tcPr>
            <w:tcW w:w="1620" w:type="dxa"/>
            <w:tcBorders>
              <w:left w:val="thinThick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817</w:t>
            </w:r>
            <w:r w:rsidRPr="000E5D59">
              <w:rPr>
                <w:rFonts w:ascii="Arial" w:eastAsia="Times New Roman" w:hAnsi="Arial" w:cs="Arial"/>
                <w:color w:val="000000"/>
                <w:sz w:val="20"/>
                <w:szCs w:val="20"/>
              </w:rPr>
              <w:br/>
              <w:t>21.96</w:t>
            </w:r>
          </w:p>
        </w:tc>
        <w:tc>
          <w:tcPr>
            <w:tcW w:w="153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822</w:t>
            </w:r>
            <w:r w:rsidRPr="000E5D59">
              <w:rPr>
                <w:rFonts w:ascii="Arial" w:eastAsia="Times New Roman" w:hAnsi="Arial" w:cs="Arial"/>
                <w:color w:val="000000"/>
                <w:sz w:val="20"/>
                <w:szCs w:val="20"/>
              </w:rPr>
              <w:br/>
              <w:t>26.96</w:t>
            </w:r>
          </w:p>
        </w:tc>
        <w:tc>
          <w:tcPr>
            <w:tcW w:w="1170" w:type="dxa"/>
            <w:tcBorders>
              <w:left w:val="single" w:sz="4" w:space="0" w:color="C1C1C1"/>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Annual household income (all sources)</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6279</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Less than $15,000</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578</w:t>
            </w:r>
            <w:r w:rsidRPr="000E5D59">
              <w:rPr>
                <w:rFonts w:ascii="Arial" w:eastAsia="Times New Roman" w:hAnsi="Arial" w:cs="Arial"/>
                <w:color w:val="000000"/>
                <w:sz w:val="20"/>
                <w:szCs w:val="20"/>
              </w:rPr>
              <w:br/>
              <w:t>9.21</w:t>
            </w:r>
          </w:p>
        </w:tc>
        <w:tc>
          <w:tcPr>
            <w:tcW w:w="1620" w:type="dxa"/>
            <w:tcBorders>
              <w:top w:val="single" w:sz="4" w:space="0" w:color="auto"/>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285</w:t>
            </w:r>
            <w:r w:rsidRPr="000E5D59">
              <w:rPr>
                <w:rFonts w:ascii="Arial" w:eastAsia="Times New Roman" w:hAnsi="Arial" w:cs="Arial"/>
                <w:color w:val="000000"/>
                <w:sz w:val="20"/>
                <w:szCs w:val="20"/>
              </w:rPr>
              <w:br/>
              <w:t>8.39</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275</w:t>
            </w:r>
            <w:r w:rsidRPr="000E5D59">
              <w:rPr>
                <w:rFonts w:ascii="Arial" w:eastAsia="Times New Roman" w:hAnsi="Arial" w:cs="Arial"/>
                <w:color w:val="000000"/>
                <w:sz w:val="20"/>
                <w:szCs w:val="20"/>
              </w:rPr>
              <w:br/>
              <w:t>9.85</w:t>
            </w:r>
          </w:p>
        </w:tc>
        <w:tc>
          <w:tcPr>
            <w:tcW w:w="1170" w:type="dxa"/>
            <w:tcBorders>
              <w:top w:val="single" w:sz="4" w:space="0" w:color="auto"/>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$15,000 to $39,999</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1147</w:t>
            </w:r>
            <w:r w:rsidRPr="000E5D59">
              <w:rPr>
                <w:rFonts w:ascii="Arial" w:eastAsia="Times New Roman" w:hAnsi="Arial" w:cs="Arial"/>
                <w:color w:val="000000"/>
                <w:sz w:val="20"/>
                <w:szCs w:val="20"/>
              </w:rPr>
              <w:br/>
              <w:t>18.27</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559</w:t>
            </w:r>
            <w:r w:rsidRPr="000E5D59">
              <w:rPr>
                <w:rFonts w:ascii="Arial" w:eastAsia="Times New Roman" w:hAnsi="Arial" w:cs="Arial"/>
                <w:color w:val="000000"/>
                <w:sz w:val="20"/>
                <w:szCs w:val="20"/>
              </w:rPr>
              <w:br/>
              <w:t>16.46</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564</w:t>
            </w:r>
            <w:r w:rsidRPr="000E5D59">
              <w:rPr>
                <w:rFonts w:ascii="Arial" w:eastAsia="Times New Roman" w:hAnsi="Arial" w:cs="Arial"/>
                <w:color w:val="000000"/>
                <w:sz w:val="20"/>
                <w:szCs w:val="20"/>
              </w:rPr>
              <w:br/>
              <w:t>20.19</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$40,000 to $74,999</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1475</w:t>
            </w:r>
            <w:r w:rsidRPr="000E5D59">
              <w:rPr>
                <w:rFonts w:ascii="Arial" w:eastAsia="Times New Roman" w:hAnsi="Arial" w:cs="Arial"/>
                <w:color w:val="000000"/>
                <w:sz w:val="20"/>
                <w:szCs w:val="20"/>
              </w:rPr>
              <w:br/>
              <w:t>23.49</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743</w:t>
            </w:r>
            <w:r w:rsidRPr="000E5D59">
              <w:rPr>
                <w:rFonts w:ascii="Arial" w:eastAsia="Times New Roman" w:hAnsi="Arial" w:cs="Arial"/>
                <w:color w:val="000000"/>
                <w:sz w:val="20"/>
                <w:szCs w:val="20"/>
              </w:rPr>
              <w:br/>
              <w:t>21.88</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713</w:t>
            </w:r>
            <w:r w:rsidRPr="000E5D59">
              <w:rPr>
                <w:rFonts w:ascii="Arial" w:eastAsia="Times New Roman" w:hAnsi="Arial" w:cs="Arial"/>
                <w:color w:val="000000"/>
                <w:sz w:val="20"/>
                <w:szCs w:val="20"/>
              </w:rPr>
              <w:br/>
              <w:t>25.53</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$75,000 to $99,999</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847</w:t>
            </w:r>
            <w:r w:rsidRPr="000E5D59">
              <w:rPr>
                <w:rFonts w:ascii="Arial" w:eastAsia="Times New Roman" w:hAnsi="Arial" w:cs="Arial"/>
                <w:color w:val="000000"/>
                <w:sz w:val="20"/>
                <w:szCs w:val="20"/>
              </w:rPr>
              <w:br/>
              <w:t>13.49</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467</w:t>
            </w:r>
            <w:r w:rsidRPr="000E5D59">
              <w:rPr>
                <w:rFonts w:ascii="Arial" w:eastAsia="Times New Roman" w:hAnsi="Arial" w:cs="Arial"/>
                <w:color w:val="000000"/>
                <w:sz w:val="20"/>
                <w:szCs w:val="20"/>
              </w:rPr>
              <w:br/>
              <w:t>13.75</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369</w:t>
            </w:r>
            <w:r w:rsidRPr="000E5D59">
              <w:rPr>
                <w:rFonts w:ascii="Arial" w:eastAsia="Times New Roman" w:hAnsi="Arial" w:cs="Arial"/>
                <w:color w:val="000000"/>
                <w:sz w:val="20"/>
                <w:szCs w:val="20"/>
              </w:rPr>
              <w:br/>
              <w:t>13.21</w:t>
            </w:r>
          </w:p>
        </w:tc>
        <w:tc>
          <w:tcPr>
            <w:tcW w:w="1170" w:type="dxa"/>
            <w:tcBorders>
              <w:left w:val="single" w:sz="4" w:space="0" w:color="C1C1C1"/>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$100,000 or more</w:t>
            </w:r>
          </w:p>
        </w:tc>
        <w:tc>
          <w:tcPr>
            <w:tcW w:w="1170"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2232</w:t>
            </w:r>
            <w:r w:rsidRPr="000E5D59">
              <w:rPr>
                <w:rFonts w:ascii="Arial" w:eastAsia="Times New Roman" w:hAnsi="Arial" w:cs="Arial"/>
                <w:color w:val="000000"/>
                <w:sz w:val="20"/>
                <w:szCs w:val="20"/>
              </w:rPr>
              <w:br/>
              <w:t>35.55</w:t>
            </w:r>
          </w:p>
        </w:tc>
        <w:tc>
          <w:tcPr>
            <w:tcW w:w="1620" w:type="dxa"/>
            <w:tcBorders>
              <w:left w:val="thinThick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1342</w:t>
            </w:r>
            <w:r w:rsidRPr="000E5D59">
              <w:rPr>
                <w:rFonts w:ascii="Arial" w:eastAsia="Times New Roman" w:hAnsi="Arial" w:cs="Arial"/>
                <w:color w:val="000000"/>
                <w:sz w:val="20"/>
                <w:szCs w:val="20"/>
              </w:rPr>
              <w:br/>
              <w:t>39.52</w:t>
            </w:r>
          </w:p>
        </w:tc>
        <w:tc>
          <w:tcPr>
            <w:tcW w:w="153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872</w:t>
            </w:r>
            <w:r w:rsidRPr="000E5D59">
              <w:rPr>
                <w:rFonts w:ascii="Arial" w:eastAsia="Times New Roman" w:hAnsi="Arial" w:cs="Arial"/>
                <w:color w:val="000000"/>
                <w:sz w:val="20"/>
                <w:szCs w:val="20"/>
              </w:rPr>
              <w:br/>
              <w:t>31.22</w:t>
            </w:r>
          </w:p>
        </w:tc>
        <w:tc>
          <w:tcPr>
            <w:tcW w:w="1170" w:type="dxa"/>
            <w:tcBorders>
              <w:left w:val="single" w:sz="4" w:space="0" w:color="C1C1C1"/>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Currently Pregnant</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3070</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double" w:sz="6" w:space="0" w:color="auto"/>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 test</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3054</w:t>
            </w:r>
            <w:r w:rsidRPr="000E5D59">
              <w:rPr>
                <w:rFonts w:ascii="Arial" w:eastAsia="Times New Roman" w:hAnsi="Arial" w:cs="Arial"/>
                <w:color w:val="000000"/>
                <w:sz w:val="20"/>
                <w:szCs w:val="20"/>
              </w:rPr>
              <w:br/>
              <w:t>99.48</w:t>
            </w:r>
          </w:p>
        </w:tc>
        <w:tc>
          <w:tcPr>
            <w:tcW w:w="1620" w:type="dxa"/>
            <w:tcBorders>
              <w:top w:val="nil"/>
              <w:left w:val="thinThickSmallGap" w:sz="2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Yes</w:t>
            </w:r>
          </w:p>
        </w:tc>
        <w:tc>
          <w:tcPr>
            <w:tcW w:w="1170"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w:t>
            </w:r>
            <w:r w:rsidRPr="000E5D59">
              <w:rPr>
                <w:rFonts w:ascii="Arial" w:eastAsia="Times New Roman" w:hAnsi="Arial" w:cs="Arial"/>
                <w:color w:val="000000"/>
                <w:sz w:val="20"/>
                <w:szCs w:val="20"/>
              </w:rPr>
              <w:br/>
              <w:t>0.52</w:t>
            </w:r>
          </w:p>
        </w:tc>
        <w:tc>
          <w:tcPr>
            <w:tcW w:w="1620" w:type="dxa"/>
            <w:tcBorders>
              <w:top w:val="nil"/>
              <w:left w:val="thinThickSmallGap" w:sz="2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Currently Breastfeeding</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3061</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 test</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3058</w:t>
            </w:r>
            <w:r w:rsidRPr="000E5D59">
              <w:rPr>
                <w:rFonts w:ascii="Arial" w:eastAsia="Times New Roman" w:hAnsi="Arial" w:cs="Arial"/>
                <w:color w:val="000000"/>
                <w:sz w:val="20"/>
                <w:szCs w:val="20"/>
              </w:rPr>
              <w:br/>
              <w:t>99.90</w:t>
            </w:r>
          </w:p>
        </w:tc>
        <w:tc>
          <w:tcPr>
            <w:tcW w:w="1620" w:type="dxa"/>
            <w:tcBorders>
              <w:top w:val="nil"/>
              <w:left w:val="thinThickSmallGap" w:sz="2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Yes</w:t>
            </w:r>
          </w:p>
        </w:tc>
        <w:tc>
          <w:tcPr>
            <w:tcW w:w="1170" w:type="dxa"/>
            <w:tcBorders>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w:t>
            </w:r>
            <w:r w:rsidRPr="000E5D59">
              <w:rPr>
                <w:rFonts w:ascii="Arial" w:eastAsia="Times New Roman" w:hAnsi="Arial" w:cs="Arial"/>
                <w:color w:val="000000"/>
                <w:sz w:val="20"/>
                <w:szCs w:val="20"/>
              </w:rPr>
              <w:br/>
              <w:t>0.10</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9465"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i/>
                <w:iCs/>
                <w:color w:val="000000"/>
                <w:sz w:val="20"/>
                <w:szCs w:val="20"/>
              </w:rPr>
              <w:t>*p&lt;0.05; **p&lt;0.01; ***p&lt;0.001; ****p&lt;0.0001; ns=not significant</w:t>
            </w:r>
          </w:p>
        </w:tc>
      </w:tr>
    </w:tbl>
    <w:p w:rsidR="000E5D59" w:rsidRPr="000E5D59" w:rsidRDefault="000E5D59" w:rsidP="006057BE">
      <w:pPr>
        <w:spacing w:after="0" w:line="240" w:lineRule="auto"/>
        <w:rPr>
          <w:rFonts w:ascii="Garamond" w:eastAsia="Calibri" w:hAnsi="Garamond" w:cs="Times New Roman"/>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Table 2B: DPH Patient Survey Characterist</w:t>
      </w:r>
      <w:r w:rsidR="000941B7">
        <w:rPr>
          <w:rFonts w:ascii="Arial" w:eastAsia="Calibri" w:hAnsi="Arial" w:cs="Arial"/>
          <w:b/>
          <w:sz w:val="24"/>
          <w:szCs w:val="24"/>
        </w:rPr>
        <w:t>ics of Respondents by Age Group</w:t>
      </w:r>
    </w:p>
    <w:tbl>
      <w:tblPr>
        <w:tblW w:w="9465" w:type="dxa"/>
        <w:tblInd w:w="93" w:type="dxa"/>
        <w:tblLook w:val="04A0" w:firstRow="1" w:lastRow="0" w:firstColumn="1" w:lastColumn="0" w:noHBand="0" w:noVBand="1"/>
        <w:tblCaption w:val="DPH Patient Survey Characteristics of Respondents by Age Group"/>
        <w:tblDescription w:val="The table compares demographic characteristics by age group. The racial distribution of respondents under the age of 51 was significantly more diverse than respondents over the age of 50, as exhibited by the proportion of non-Hispanic White respondents. A larger proportion of Hispanic respondents were under age 51 than over 50. A larger proportion of respondents over the age of 50 than under had professional degrees beyond a Bachelor’s degree. Older respondents reported annual household income earnings above $100,000 at a higher rate than younger respondents. "/>
      </w:tblPr>
      <w:tblGrid>
        <w:gridCol w:w="3975"/>
        <w:gridCol w:w="1170"/>
        <w:gridCol w:w="1620"/>
        <w:gridCol w:w="1530"/>
        <w:gridCol w:w="1170"/>
      </w:tblGrid>
      <w:tr w:rsidR="000E5D59" w:rsidRPr="000E5D59" w:rsidTr="00784755">
        <w:trPr>
          <w:trHeight w:val="20"/>
        </w:trPr>
        <w:tc>
          <w:tcPr>
            <w:tcW w:w="397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nil"/>
              <w:right w:val="thinThick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r w:rsidRPr="000E5D59">
              <w:rPr>
                <w:rFonts w:ascii="Arial" w:eastAsia="Times New Roman" w:hAnsi="Arial" w:cs="Arial"/>
                <w:color w:val="000000"/>
                <w:sz w:val="20"/>
                <w:szCs w:val="20"/>
              </w:rPr>
              <w:t> </w:t>
            </w:r>
          </w:p>
        </w:tc>
        <w:tc>
          <w:tcPr>
            <w:tcW w:w="4320" w:type="dxa"/>
            <w:gridSpan w:val="3"/>
            <w:tcBorders>
              <w:top w:val="single" w:sz="4" w:space="0" w:color="auto"/>
              <w:left w:val="thinThick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Age Group</w:t>
            </w:r>
          </w:p>
        </w:tc>
      </w:tr>
      <w:tr w:rsidR="000E5D59" w:rsidRPr="000E5D59" w:rsidTr="00784755">
        <w:trPr>
          <w:trHeight w:val="20"/>
        </w:trPr>
        <w:tc>
          <w:tcPr>
            <w:tcW w:w="397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170" w:type="dxa"/>
            <w:vMerge/>
            <w:tcBorders>
              <w:left w:val="nil"/>
              <w:bottom w:val="double" w:sz="6" w:space="0" w:color="auto"/>
              <w:right w:val="thinThick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p>
        </w:tc>
        <w:tc>
          <w:tcPr>
            <w:tcW w:w="1620" w:type="dxa"/>
            <w:tcBorders>
              <w:top w:val="nil"/>
              <w:left w:val="thinThick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50 years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(N=3584)</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51 years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(N=3188)</w:t>
            </w:r>
          </w:p>
        </w:tc>
        <w:tc>
          <w:tcPr>
            <w:tcW w:w="117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Gender</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6818</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Male</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3723</w:t>
            </w:r>
            <w:r w:rsidRPr="000E5D59">
              <w:rPr>
                <w:rFonts w:ascii="Arial" w:eastAsia="Times New Roman" w:hAnsi="Arial" w:cs="Arial"/>
                <w:color w:val="000000"/>
                <w:sz w:val="20"/>
                <w:szCs w:val="20"/>
              </w:rPr>
              <w:br/>
              <w:t>54.61</w:t>
            </w:r>
          </w:p>
        </w:tc>
        <w:tc>
          <w:tcPr>
            <w:tcW w:w="1620" w:type="dxa"/>
            <w:tcBorders>
              <w:top w:val="single" w:sz="4" w:space="0" w:color="auto"/>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1924</w:t>
            </w:r>
            <w:r w:rsidRPr="000E5D59">
              <w:rPr>
                <w:rFonts w:ascii="Arial" w:eastAsia="Times New Roman" w:hAnsi="Arial" w:cs="Arial"/>
                <w:color w:val="000000"/>
                <w:sz w:val="20"/>
                <w:szCs w:val="20"/>
              </w:rPr>
              <w:br/>
              <w:t>54.01</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1740</w:t>
            </w:r>
            <w:r w:rsidRPr="000E5D59">
              <w:rPr>
                <w:rFonts w:ascii="Arial" w:eastAsia="Times New Roman" w:hAnsi="Arial" w:cs="Arial"/>
                <w:color w:val="000000"/>
                <w:sz w:val="20"/>
                <w:szCs w:val="20"/>
              </w:rPr>
              <w:br/>
              <w:t>54.79</w:t>
            </w:r>
          </w:p>
        </w:tc>
        <w:tc>
          <w:tcPr>
            <w:tcW w:w="117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Female</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3056</w:t>
            </w:r>
            <w:r w:rsidRPr="000E5D59">
              <w:rPr>
                <w:rFonts w:ascii="Arial" w:eastAsia="Times New Roman" w:hAnsi="Arial" w:cs="Arial"/>
                <w:color w:val="000000"/>
                <w:sz w:val="20"/>
                <w:szCs w:val="20"/>
              </w:rPr>
              <w:br/>
              <w:t>44.82</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1576</w:t>
            </w:r>
            <w:r w:rsidRPr="000E5D59">
              <w:rPr>
                <w:rFonts w:ascii="Arial" w:eastAsia="Times New Roman" w:hAnsi="Arial" w:cs="Arial"/>
                <w:color w:val="000000"/>
                <w:sz w:val="20"/>
                <w:szCs w:val="20"/>
              </w:rPr>
              <w:br/>
              <w:t>44.24</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1424</w:t>
            </w:r>
            <w:r w:rsidRPr="000E5D59">
              <w:rPr>
                <w:rFonts w:ascii="Arial" w:eastAsia="Times New Roman" w:hAnsi="Arial" w:cs="Arial"/>
                <w:color w:val="000000"/>
                <w:sz w:val="20"/>
                <w:szCs w:val="20"/>
              </w:rPr>
              <w:br/>
              <w:t>44.84</w:t>
            </w:r>
          </w:p>
        </w:tc>
        <w:tc>
          <w:tcPr>
            <w:tcW w:w="117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Other / choose not to answer</w:t>
            </w:r>
          </w:p>
        </w:tc>
        <w:tc>
          <w:tcPr>
            <w:tcW w:w="1170"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39</w:t>
            </w:r>
            <w:r w:rsidRPr="000E5D59">
              <w:rPr>
                <w:rFonts w:ascii="Arial" w:eastAsia="Times New Roman" w:hAnsi="Arial" w:cs="Arial"/>
                <w:color w:val="000000"/>
                <w:sz w:val="20"/>
                <w:szCs w:val="20"/>
              </w:rPr>
              <w:br/>
              <w:t>0.57</w:t>
            </w:r>
          </w:p>
        </w:tc>
        <w:tc>
          <w:tcPr>
            <w:tcW w:w="1620" w:type="dxa"/>
            <w:tcBorders>
              <w:left w:val="thinThick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37</w:t>
            </w:r>
            <w:r w:rsidRPr="000E5D59">
              <w:rPr>
                <w:rFonts w:ascii="Arial" w:eastAsia="Times New Roman" w:hAnsi="Arial" w:cs="Arial"/>
                <w:color w:val="000000"/>
                <w:sz w:val="20"/>
                <w:szCs w:val="20"/>
              </w:rPr>
              <w:br/>
              <w:t>1.04</w:t>
            </w:r>
          </w:p>
        </w:tc>
        <w:tc>
          <w:tcPr>
            <w:tcW w:w="153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w:t>
            </w:r>
            <w:r w:rsidRPr="000E5D59">
              <w:rPr>
                <w:rFonts w:ascii="Arial" w:eastAsia="Times New Roman" w:hAnsi="Arial" w:cs="Arial"/>
                <w:color w:val="000000"/>
                <w:sz w:val="20"/>
                <w:szCs w:val="20"/>
              </w:rPr>
              <w:br/>
              <w:t>0.06</w:t>
            </w:r>
          </w:p>
        </w:tc>
        <w:tc>
          <w:tcPr>
            <w:tcW w:w="117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Age (in years)</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6772</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 test</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 to 25</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477</w:t>
            </w:r>
            <w:r w:rsidRPr="000E5D59">
              <w:rPr>
                <w:rFonts w:ascii="Arial" w:eastAsia="Times New Roman" w:hAnsi="Arial" w:cs="Arial"/>
                <w:color w:val="000000"/>
                <w:sz w:val="20"/>
                <w:szCs w:val="20"/>
              </w:rPr>
              <w:br/>
              <w:t>7.04</w:t>
            </w:r>
          </w:p>
        </w:tc>
        <w:tc>
          <w:tcPr>
            <w:tcW w:w="1620" w:type="dxa"/>
            <w:tcBorders>
              <w:top w:val="nil"/>
              <w:left w:val="thinThickSmallGap" w:sz="2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 to 35</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1256</w:t>
            </w:r>
            <w:r w:rsidRPr="000E5D59">
              <w:rPr>
                <w:rFonts w:ascii="Arial" w:eastAsia="Times New Roman" w:hAnsi="Arial" w:cs="Arial"/>
                <w:color w:val="000000"/>
                <w:sz w:val="20"/>
                <w:szCs w:val="20"/>
              </w:rPr>
              <w:br/>
              <w:t>18.55</w:t>
            </w:r>
          </w:p>
        </w:tc>
        <w:tc>
          <w:tcPr>
            <w:tcW w:w="1620" w:type="dxa"/>
            <w:tcBorders>
              <w:top w:val="nil"/>
              <w:left w:val="thinThickSmallGap" w:sz="2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36 to 50</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1851</w:t>
            </w:r>
            <w:r w:rsidRPr="000E5D59">
              <w:rPr>
                <w:rFonts w:ascii="Arial" w:eastAsia="Times New Roman" w:hAnsi="Arial" w:cs="Arial"/>
                <w:color w:val="000000"/>
                <w:sz w:val="20"/>
                <w:szCs w:val="20"/>
              </w:rPr>
              <w:br/>
              <w:t>27.33</w:t>
            </w:r>
          </w:p>
        </w:tc>
        <w:tc>
          <w:tcPr>
            <w:tcW w:w="1620" w:type="dxa"/>
            <w:tcBorders>
              <w:top w:val="nil"/>
              <w:left w:val="thinThickSmallGap" w:sz="2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51 to 64</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2100</w:t>
            </w:r>
            <w:r w:rsidRPr="000E5D59">
              <w:rPr>
                <w:rFonts w:ascii="Arial" w:eastAsia="Times New Roman" w:hAnsi="Arial" w:cs="Arial"/>
                <w:color w:val="000000"/>
                <w:sz w:val="20"/>
                <w:szCs w:val="20"/>
              </w:rPr>
              <w:br/>
              <w:t>31.01</w:t>
            </w:r>
          </w:p>
        </w:tc>
        <w:tc>
          <w:tcPr>
            <w:tcW w:w="1620" w:type="dxa"/>
            <w:tcBorders>
              <w:top w:val="nil"/>
              <w:left w:val="thinThickSmallGap" w:sz="2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65 or older</w:t>
            </w:r>
          </w:p>
        </w:tc>
        <w:tc>
          <w:tcPr>
            <w:tcW w:w="1170"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1088</w:t>
            </w:r>
            <w:r w:rsidRPr="000E5D59">
              <w:rPr>
                <w:rFonts w:ascii="Arial" w:eastAsia="Times New Roman" w:hAnsi="Arial" w:cs="Arial"/>
                <w:color w:val="000000"/>
                <w:sz w:val="20"/>
                <w:szCs w:val="20"/>
              </w:rPr>
              <w:br/>
              <w:t>16.07</w:t>
            </w:r>
          </w:p>
        </w:tc>
        <w:tc>
          <w:tcPr>
            <w:tcW w:w="1620" w:type="dxa"/>
            <w:tcBorders>
              <w:top w:val="nil"/>
              <w:left w:val="thinThickSmallGap" w:sz="2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Race/Ethnicity</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6672</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White or Caucasian, non-Hispanic</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5834</w:t>
            </w:r>
            <w:r w:rsidRPr="000E5D59">
              <w:rPr>
                <w:rFonts w:ascii="Arial" w:eastAsia="Times New Roman" w:hAnsi="Arial" w:cs="Arial"/>
                <w:color w:val="000000"/>
                <w:sz w:val="20"/>
                <w:szCs w:val="20"/>
              </w:rPr>
              <w:br/>
              <w:t>87.44</w:t>
            </w:r>
          </w:p>
        </w:tc>
        <w:tc>
          <w:tcPr>
            <w:tcW w:w="1620" w:type="dxa"/>
            <w:tcBorders>
              <w:top w:val="single" w:sz="4" w:space="0" w:color="auto"/>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2860</w:t>
            </w:r>
            <w:r w:rsidRPr="000E5D59">
              <w:rPr>
                <w:rFonts w:ascii="Arial" w:eastAsia="Times New Roman" w:hAnsi="Arial" w:cs="Arial"/>
                <w:color w:val="000000"/>
                <w:sz w:val="20"/>
                <w:szCs w:val="20"/>
              </w:rPr>
              <w:br/>
              <w:t>82.66</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2868</w:t>
            </w:r>
            <w:r w:rsidRPr="000E5D59">
              <w:rPr>
                <w:rFonts w:ascii="Arial" w:eastAsia="Times New Roman" w:hAnsi="Arial" w:cs="Arial"/>
                <w:color w:val="000000"/>
                <w:sz w:val="20"/>
                <w:szCs w:val="20"/>
              </w:rPr>
              <w:br/>
              <w:t>92.52</w:t>
            </w:r>
          </w:p>
        </w:tc>
        <w:tc>
          <w:tcPr>
            <w:tcW w:w="117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Black or African-American, non-Hispanic</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188</w:t>
            </w:r>
            <w:r w:rsidRPr="000E5D59">
              <w:rPr>
                <w:rFonts w:ascii="Arial" w:eastAsia="Times New Roman" w:hAnsi="Arial" w:cs="Arial"/>
                <w:color w:val="000000"/>
                <w:sz w:val="20"/>
                <w:szCs w:val="20"/>
              </w:rPr>
              <w:br/>
              <w:t>2.82</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124</w:t>
            </w:r>
            <w:r w:rsidRPr="000E5D59">
              <w:rPr>
                <w:rFonts w:ascii="Arial" w:eastAsia="Times New Roman" w:hAnsi="Arial" w:cs="Arial"/>
                <w:color w:val="000000"/>
                <w:sz w:val="20"/>
                <w:szCs w:val="20"/>
              </w:rPr>
              <w:br/>
              <w:t>3.58</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64</w:t>
            </w:r>
            <w:r w:rsidRPr="000E5D59">
              <w:rPr>
                <w:rFonts w:ascii="Arial" w:eastAsia="Times New Roman" w:hAnsi="Arial" w:cs="Arial"/>
                <w:color w:val="000000"/>
                <w:sz w:val="20"/>
                <w:szCs w:val="20"/>
              </w:rPr>
              <w:br/>
              <w:t>2.06</w:t>
            </w:r>
          </w:p>
        </w:tc>
        <w:tc>
          <w:tcPr>
            <w:tcW w:w="117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Asian, non-Hispanic</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52</w:t>
            </w:r>
            <w:r w:rsidRPr="000E5D59">
              <w:rPr>
                <w:rFonts w:ascii="Arial" w:eastAsia="Times New Roman" w:hAnsi="Arial" w:cs="Arial"/>
                <w:color w:val="000000"/>
                <w:sz w:val="20"/>
                <w:szCs w:val="20"/>
              </w:rPr>
              <w:br/>
              <w:t>0.78</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44</w:t>
            </w:r>
            <w:r w:rsidRPr="000E5D59">
              <w:rPr>
                <w:rFonts w:ascii="Arial" w:eastAsia="Times New Roman" w:hAnsi="Arial" w:cs="Arial"/>
                <w:color w:val="000000"/>
                <w:sz w:val="20"/>
                <w:szCs w:val="20"/>
              </w:rPr>
              <w:br/>
              <w:t>1.27</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w:t>
            </w:r>
            <w:r w:rsidRPr="000E5D59">
              <w:rPr>
                <w:rFonts w:ascii="Arial" w:eastAsia="Times New Roman" w:hAnsi="Arial" w:cs="Arial"/>
                <w:color w:val="000000"/>
                <w:sz w:val="20"/>
                <w:szCs w:val="20"/>
              </w:rPr>
              <w:br/>
              <w:t>0.26</w:t>
            </w:r>
          </w:p>
        </w:tc>
        <w:tc>
          <w:tcPr>
            <w:tcW w:w="117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Native Hawaiian, Pacific Islander, American Indian or Alaska Native, non-Hispanic</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w:t>
            </w:r>
            <w:r w:rsidRPr="000E5D59">
              <w:rPr>
                <w:rFonts w:ascii="Arial" w:eastAsia="Times New Roman" w:hAnsi="Arial" w:cs="Arial"/>
                <w:color w:val="000000"/>
                <w:sz w:val="20"/>
                <w:szCs w:val="20"/>
              </w:rPr>
              <w:br/>
              <w:t>0.21</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w:t>
            </w:r>
            <w:r w:rsidRPr="000E5D59">
              <w:rPr>
                <w:rFonts w:ascii="Arial" w:eastAsia="Times New Roman" w:hAnsi="Arial" w:cs="Arial"/>
                <w:color w:val="000000"/>
                <w:sz w:val="20"/>
                <w:szCs w:val="20"/>
              </w:rPr>
              <w:br/>
              <w:t>0.14</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w:t>
            </w:r>
            <w:r w:rsidRPr="000E5D59">
              <w:rPr>
                <w:rFonts w:ascii="Arial" w:eastAsia="Times New Roman" w:hAnsi="Arial" w:cs="Arial"/>
                <w:color w:val="000000"/>
                <w:sz w:val="20"/>
                <w:szCs w:val="20"/>
              </w:rPr>
              <w:br/>
              <w:t>0.29</w:t>
            </w:r>
          </w:p>
        </w:tc>
        <w:tc>
          <w:tcPr>
            <w:tcW w:w="117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More than one race, non-Hispanic</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171</w:t>
            </w:r>
            <w:r w:rsidRPr="000E5D59">
              <w:rPr>
                <w:rFonts w:ascii="Arial" w:eastAsia="Times New Roman" w:hAnsi="Arial" w:cs="Arial"/>
                <w:color w:val="000000"/>
                <w:sz w:val="20"/>
                <w:szCs w:val="20"/>
              </w:rPr>
              <w:br/>
              <w:t>2.56</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112</w:t>
            </w:r>
            <w:r w:rsidRPr="000E5D59">
              <w:rPr>
                <w:rFonts w:ascii="Arial" w:eastAsia="Times New Roman" w:hAnsi="Arial" w:cs="Arial"/>
                <w:color w:val="000000"/>
                <w:sz w:val="20"/>
                <w:szCs w:val="20"/>
              </w:rPr>
              <w:br/>
              <w:t>3.24</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57</w:t>
            </w:r>
            <w:r w:rsidRPr="000E5D59">
              <w:rPr>
                <w:rFonts w:ascii="Arial" w:eastAsia="Times New Roman" w:hAnsi="Arial" w:cs="Arial"/>
                <w:color w:val="000000"/>
                <w:sz w:val="20"/>
                <w:szCs w:val="20"/>
              </w:rPr>
              <w:br/>
              <w:t>1.84</w:t>
            </w:r>
          </w:p>
        </w:tc>
        <w:tc>
          <w:tcPr>
            <w:tcW w:w="117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Hispanic</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323</w:t>
            </w:r>
            <w:r w:rsidRPr="000E5D59">
              <w:rPr>
                <w:rFonts w:ascii="Arial" w:eastAsia="Times New Roman" w:hAnsi="Arial" w:cs="Arial"/>
                <w:color w:val="000000"/>
                <w:sz w:val="20"/>
                <w:szCs w:val="20"/>
              </w:rPr>
              <w:br/>
              <w:t>4.84</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265</w:t>
            </w:r>
            <w:r w:rsidRPr="000E5D59">
              <w:rPr>
                <w:rFonts w:ascii="Arial" w:eastAsia="Times New Roman" w:hAnsi="Arial" w:cs="Arial"/>
                <w:color w:val="000000"/>
                <w:sz w:val="20"/>
                <w:szCs w:val="20"/>
              </w:rPr>
              <w:br/>
              <w:t>7.66</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55</w:t>
            </w:r>
            <w:r w:rsidRPr="000E5D59">
              <w:rPr>
                <w:rFonts w:ascii="Arial" w:eastAsia="Times New Roman" w:hAnsi="Arial" w:cs="Arial"/>
                <w:color w:val="000000"/>
                <w:sz w:val="20"/>
                <w:szCs w:val="20"/>
              </w:rPr>
              <w:br/>
              <w:t>1.77</w:t>
            </w:r>
          </w:p>
        </w:tc>
        <w:tc>
          <w:tcPr>
            <w:tcW w:w="117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Other</w:t>
            </w:r>
          </w:p>
        </w:tc>
        <w:tc>
          <w:tcPr>
            <w:tcW w:w="1170" w:type="dxa"/>
            <w:tcBorders>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90</w:t>
            </w:r>
            <w:r w:rsidRPr="000E5D59">
              <w:rPr>
                <w:rFonts w:ascii="Arial" w:eastAsia="Times New Roman" w:hAnsi="Arial" w:cs="Arial"/>
                <w:color w:val="000000"/>
                <w:sz w:val="20"/>
                <w:szCs w:val="20"/>
              </w:rPr>
              <w:br/>
              <w:t>1.35</w:t>
            </w:r>
          </w:p>
        </w:tc>
        <w:tc>
          <w:tcPr>
            <w:tcW w:w="1620" w:type="dxa"/>
            <w:tcBorders>
              <w:left w:val="thinThick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50</w:t>
            </w:r>
            <w:r w:rsidRPr="000E5D59">
              <w:rPr>
                <w:rFonts w:ascii="Arial" w:eastAsia="Times New Roman" w:hAnsi="Arial" w:cs="Arial"/>
                <w:color w:val="000000"/>
                <w:sz w:val="20"/>
                <w:szCs w:val="20"/>
              </w:rPr>
              <w:br/>
              <w:t>1.45</w:t>
            </w:r>
          </w:p>
        </w:tc>
        <w:tc>
          <w:tcPr>
            <w:tcW w:w="1530" w:type="dxa"/>
            <w:tcBorders>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39</w:t>
            </w:r>
            <w:r w:rsidRPr="000E5D59">
              <w:rPr>
                <w:rFonts w:ascii="Arial" w:eastAsia="Times New Roman" w:hAnsi="Arial" w:cs="Arial"/>
                <w:color w:val="000000"/>
                <w:sz w:val="20"/>
                <w:szCs w:val="20"/>
              </w:rPr>
              <w:br/>
              <w:t>1.26</w:t>
            </w:r>
          </w:p>
        </w:tc>
        <w:tc>
          <w:tcPr>
            <w:tcW w:w="1170" w:type="dxa"/>
            <w:tcBorders>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i/>
                <w:iCs/>
                <w:color w:val="000000"/>
                <w:sz w:val="20"/>
                <w:szCs w:val="20"/>
              </w:rPr>
              <w:t>*p&lt;0.05; **p&lt;0.01; ***p&lt;0.001; ****p&lt;0.0001; ns=not significant</w:t>
            </w:r>
          </w:p>
        </w:tc>
      </w:tr>
    </w:tbl>
    <w:p w:rsidR="000E5D59" w:rsidRPr="000E5D59" w:rsidRDefault="000E5D59" w:rsidP="006057BE">
      <w:pPr>
        <w:spacing w:after="0" w:line="240" w:lineRule="auto"/>
        <w:rPr>
          <w:rFonts w:ascii="Garamond" w:eastAsia="Calibri" w:hAnsi="Garamond" w:cs="Times New Roman"/>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(Continued) Table 2B: DPH Patient Survey Characterist</w:t>
      </w:r>
      <w:r w:rsidR="000941B7">
        <w:rPr>
          <w:rFonts w:ascii="Arial" w:eastAsia="Calibri" w:hAnsi="Arial" w:cs="Arial"/>
          <w:b/>
          <w:sz w:val="24"/>
          <w:szCs w:val="24"/>
        </w:rPr>
        <w:t>ics of Respondents by Age Group</w:t>
      </w:r>
    </w:p>
    <w:tbl>
      <w:tblPr>
        <w:tblW w:w="9465" w:type="dxa"/>
        <w:tblInd w:w="93" w:type="dxa"/>
        <w:tblLook w:val="04A0" w:firstRow="1" w:lastRow="0" w:firstColumn="1" w:lastColumn="0" w:noHBand="0" w:noVBand="1"/>
        <w:tblCaption w:val="Continued: DPH Patient Survey Characteristics of Respondents by Age Group"/>
        <w:tblDescription w:val="This table is a continuation of the table from the previous page (the complete table did not fit on a single page). The table compares demographic characteristics by age group. The racial distribution of respondents under the age of 51 was significantly more diverse than respondents over the age of 50, as exhibited by the proportion of non-Hispanic White respondents. A larger proportion of Hispanic respondents were under age 51 than over 50. A larger proportion of respondents over the age of 50 than under had professional degrees beyond a Bachelor’s degree. Older respondents reported annual household income earnings above $100,000 at a higher rate than younger respondents. "/>
      </w:tblPr>
      <w:tblGrid>
        <w:gridCol w:w="3975"/>
        <w:gridCol w:w="1170"/>
        <w:gridCol w:w="1620"/>
        <w:gridCol w:w="1530"/>
        <w:gridCol w:w="1170"/>
      </w:tblGrid>
      <w:tr w:rsidR="000E5D59" w:rsidRPr="000E5D59" w:rsidTr="00784755">
        <w:trPr>
          <w:trHeight w:val="20"/>
        </w:trPr>
        <w:tc>
          <w:tcPr>
            <w:tcW w:w="3975" w:type="dxa"/>
            <w:vMerge w:val="restart"/>
            <w:tcBorders>
              <w:top w:val="single" w:sz="4" w:space="0" w:color="auto"/>
              <w:left w:val="single" w:sz="8" w:space="0" w:color="auto"/>
              <w:right w:val="nil"/>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single" w:sz="8" w:space="0" w:color="auto"/>
              <w:right w:val="thinThick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r w:rsidRPr="000E5D59">
              <w:rPr>
                <w:rFonts w:ascii="Arial" w:eastAsia="Times New Roman" w:hAnsi="Arial" w:cs="Arial"/>
                <w:color w:val="000000"/>
                <w:sz w:val="20"/>
                <w:szCs w:val="20"/>
              </w:rPr>
              <w:t> </w:t>
            </w:r>
          </w:p>
        </w:tc>
        <w:tc>
          <w:tcPr>
            <w:tcW w:w="4320" w:type="dxa"/>
            <w:gridSpan w:val="3"/>
            <w:tcBorders>
              <w:top w:val="single" w:sz="4" w:space="0" w:color="auto"/>
              <w:left w:val="thinThick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Age Group</w:t>
            </w:r>
          </w:p>
        </w:tc>
      </w:tr>
      <w:tr w:rsidR="000E5D59" w:rsidRPr="000E5D59" w:rsidTr="00784755">
        <w:trPr>
          <w:trHeight w:val="20"/>
        </w:trPr>
        <w:tc>
          <w:tcPr>
            <w:tcW w:w="3975" w:type="dxa"/>
            <w:vMerge/>
            <w:tcBorders>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170" w:type="dxa"/>
            <w:vMerge/>
            <w:tcBorders>
              <w:left w:val="single" w:sz="8" w:space="0" w:color="auto"/>
              <w:bottom w:val="single" w:sz="4" w:space="0" w:color="auto"/>
              <w:right w:val="thinThick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color w:val="000000"/>
                <w:sz w:val="20"/>
                <w:szCs w:val="20"/>
              </w:rPr>
            </w:pPr>
          </w:p>
        </w:tc>
        <w:tc>
          <w:tcPr>
            <w:tcW w:w="1620"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50 years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(N=3584)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51 years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(N=3188)</w:t>
            </w:r>
          </w:p>
        </w:tc>
        <w:tc>
          <w:tcPr>
            <w:tcW w:w="1170" w:type="dxa"/>
            <w:tcBorders>
              <w:top w:val="single" w:sz="4" w:space="0" w:color="auto"/>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3975" w:type="dxa"/>
            <w:tcBorders>
              <w:top w:val="single" w:sz="4" w:space="0" w:color="auto"/>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Highest Level of Education Completed</w:t>
            </w:r>
          </w:p>
        </w:tc>
        <w:tc>
          <w:tcPr>
            <w:tcW w:w="1170" w:type="dxa"/>
            <w:tcBorders>
              <w:top w:val="single" w:sz="4" w:space="0" w:color="auto"/>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6877</w:t>
            </w:r>
          </w:p>
        </w:tc>
        <w:tc>
          <w:tcPr>
            <w:tcW w:w="1620" w:type="dxa"/>
            <w:tcBorders>
              <w:top w:val="single" w:sz="4" w:space="0" w:color="auto"/>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single" w:sz="4" w:space="0" w:color="auto"/>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single" w:sz="4" w:space="0" w:color="auto"/>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Less than high school</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131</w:t>
            </w:r>
            <w:r w:rsidRPr="000E5D59">
              <w:rPr>
                <w:rFonts w:ascii="Arial" w:eastAsia="Times New Roman" w:hAnsi="Arial" w:cs="Arial"/>
                <w:color w:val="000000"/>
                <w:sz w:val="20"/>
                <w:szCs w:val="20"/>
              </w:rPr>
              <w:br/>
              <w:t>1.90</w:t>
            </w:r>
          </w:p>
        </w:tc>
        <w:tc>
          <w:tcPr>
            <w:tcW w:w="1620" w:type="dxa"/>
            <w:tcBorders>
              <w:top w:val="single" w:sz="4" w:space="0" w:color="auto"/>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81</w:t>
            </w:r>
            <w:r w:rsidRPr="000E5D59">
              <w:rPr>
                <w:rFonts w:ascii="Arial" w:eastAsia="Times New Roman" w:hAnsi="Arial" w:cs="Arial"/>
                <w:color w:val="000000"/>
                <w:sz w:val="20"/>
                <w:szCs w:val="20"/>
              </w:rPr>
              <w:br/>
              <w:t>2.26</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45</w:t>
            </w:r>
            <w:r w:rsidRPr="000E5D59">
              <w:rPr>
                <w:rFonts w:ascii="Arial" w:eastAsia="Times New Roman" w:hAnsi="Arial" w:cs="Arial"/>
                <w:color w:val="000000"/>
                <w:sz w:val="20"/>
                <w:szCs w:val="20"/>
              </w:rPr>
              <w:br/>
              <w:t>1.41</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High school or GED</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816</w:t>
            </w:r>
            <w:r w:rsidRPr="000E5D59">
              <w:rPr>
                <w:rFonts w:ascii="Arial" w:eastAsia="Times New Roman" w:hAnsi="Arial" w:cs="Arial"/>
                <w:color w:val="000000"/>
                <w:sz w:val="20"/>
                <w:szCs w:val="20"/>
              </w:rPr>
              <w:br/>
              <w:t>11.87</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434</w:t>
            </w:r>
            <w:r w:rsidRPr="000E5D59">
              <w:rPr>
                <w:rFonts w:ascii="Arial" w:eastAsia="Times New Roman" w:hAnsi="Arial" w:cs="Arial"/>
                <w:color w:val="000000"/>
                <w:sz w:val="20"/>
                <w:szCs w:val="20"/>
              </w:rPr>
              <w:br/>
              <w:t>12.13</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367</w:t>
            </w:r>
            <w:r w:rsidRPr="000E5D59">
              <w:rPr>
                <w:rFonts w:ascii="Arial" w:eastAsia="Times New Roman" w:hAnsi="Arial" w:cs="Arial"/>
                <w:color w:val="000000"/>
                <w:sz w:val="20"/>
                <w:szCs w:val="20"/>
              </w:rPr>
              <w:br/>
              <w:t>11.53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Some college credit, less than Bachelor's degree</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2335</w:t>
            </w:r>
            <w:r w:rsidRPr="000E5D59">
              <w:rPr>
                <w:rFonts w:ascii="Arial" w:eastAsia="Times New Roman" w:hAnsi="Arial" w:cs="Arial"/>
                <w:color w:val="000000"/>
                <w:sz w:val="20"/>
                <w:szCs w:val="20"/>
              </w:rPr>
              <w:br/>
              <w:t>33.95</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1235</w:t>
            </w:r>
            <w:r w:rsidRPr="000E5D59">
              <w:rPr>
                <w:rFonts w:ascii="Arial" w:eastAsia="Times New Roman" w:hAnsi="Arial" w:cs="Arial"/>
                <w:color w:val="000000"/>
                <w:sz w:val="20"/>
                <w:szCs w:val="20"/>
              </w:rPr>
              <w:br/>
              <w:t>34.53</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1052</w:t>
            </w:r>
            <w:r w:rsidRPr="000E5D59">
              <w:rPr>
                <w:rFonts w:ascii="Arial" w:eastAsia="Times New Roman" w:hAnsi="Arial" w:cs="Arial"/>
                <w:color w:val="000000"/>
                <w:sz w:val="20"/>
                <w:szCs w:val="20"/>
              </w:rPr>
              <w:br/>
              <w:t>33.05</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Bachelor's degree</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1930</w:t>
            </w:r>
            <w:r w:rsidRPr="000E5D59">
              <w:rPr>
                <w:rFonts w:ascii="Arial" w:eastAsia="Times New Roman" w:hAnsi="Arial" w:cs="Arial"/>
                <w:color w:val="000000"/>
                <w:sz w:val="20"/>
                <w:szCs w:val="20"/>
              </w:rPr>
              <w:br/>
              <w:t>28.06</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1108</w:t>
            </w:r>
            <w:r w:rsidRPr="000E5D59">
              <w:rPr>
                <w:rFonts w:ascii="Arial" w:eastAsia="Times New Roman" w:hAnsi="Arial" w:cs="Arial"/>
                <w:color w:val="000000"/>
                <w:sz w:val="20"/>
                <w:szCs w:val="20"/>
              </w:rPr>
              <w:br/>
              <w:t>30.98</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797</w:t>
            </w:r>
            <w:r w:rsidRPr="000E5D59">
              <w:rPr>
                <w:rFonts w:ascii="Arial" w:eastAsia="Times New Roman" w:hAnsi="Arial" w:cs="Arial"/>
                <w:color w:val="000000"/>
                <w:sz w:val="20"/>
                <w:szCs w:val="20"/>
              </w:rPr>
              <w:br/>
              <w:t>25.04</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Professional degree beyond a Bachelor's degree</w:t>
            </w:r>
          </w:p>
        </w:tc>
        <w:tc>
          <w:tcPr>
            <w:tcW w:w="1170"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1665</w:t>
            </w:r>
            <w:r w:rsidRPr="000E5D59">
              <w:rPr>
                <w:rFonts w:ascii="Arial" w:eastAsia="Times New Roman" w:hAnsi="Arial" w:cs="Arial"/>
                <w:color w:val="000000"/>
                <w:sz w:val="20"/>
                <w:szCs w:val="20"/>
              </w:rPr>
              <w:br/>
              <w:t>24.21</w:t>
            </w:r>
          </w:p>
        </w:tc>
        <w:tc>
          <w:tcPr>
            <w:tcW w:w="1620" w:type="dxa"/>
            <w:tcBorders>
              <w:left w:val="thinThick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719</w:t>
            </w:r>
            <w:r w:rsidRPr="000E5D59">
              <w:rPr>
                <w:rFonts w:ascii="Arial" w:eastAsia="Times New Roman" w:hAnsi="Arial" w:cs="Arial"/>
                <w:color w:val="000000"/>
                <w:sz w:val="20"/>
                <w:szCs w:val="20"/>
              </w:rPr>
              <w:br/>
              <w:t>20.10</w:t>
            </w:r>
          </w:p>
        </w:tc>
        <w:tc>
          <w:tcPr>
            <w:tcW w:w="153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922</w:t>
            </w:r>
            <w:r w:rsidRPr="000E5D59">
              <w:rPr>
                <w:rFonts w:ascii="Arial" w:eastAsia="Times New Roman" w:hAnsi="Arial" w:cs="Arial"/>
                <w:color w:val="000000"/>
                <w:sz w:val="20"/>
                <w:szCs w:val="20"/>
              </w:rPr>
              <w:br/>
              <w:t>28.97</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Annual Household Income (all sources)</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6279</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Less than $15,000</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578</w:t>
            </w:r>
            <w:r w:rsidRPr="000E5D59">
              <w:rPr>
                <w:rFonts w:ascii="Arial" w:eastAsia="Times New Roman" w:hAnsi="Arial" w:cs="Arial"/>
                <w:color w:val="000000"/>
                <w:sz w:val="20"/>
                <w:szCs w:val="20"/>
              </w:rPr>
              <w:br/>
              <w:t>9.21</w:t>
            </w:r>
          </w:p>
        </w:tc>
        <w:tc>
          <w:tcPr>
            <w:tcW w:w="1620" w:type="dxa"/>
            <w:tcBorders>
              <w:top w:val="single" w:sz="4" w:space="0" w:color="auto"/>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371</w:t>
            </w:r>
            <w:r w:rsidRPr="000E5D59">
              <w:rPr>
                <w:rFonts w:ascii="Arial" w:eastAsia="Times New Roman" w:hAnsi="Arial" w:cs="Arial"/>
                <w:color w:val="000000"/>
                <w:sz w:val="20"/>
                <w:szCs w:val="20"/>
              </w:rPr>
              <w:br/>
              <w:t>11.23</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200</w:t>
            </w:r>
            <w:r w:rsidRPr="000E5D59">
              <w:rPr>
                <w:rFonts w:ascii="Arial" w:eastAsia="Times New Roman" w:hAnsi="Arial" w:cs="Arial"/>
                <w:color w:val="000000"/>
                <w:sz w:val="20"/>
                <w:szCs w:val="20"/>
              </w:rPr>
              <w:br/>
              <w:t>6.98</w:t>
            </w:r>
          </w:p>
        </w:tc>
        <w:tc>
          <w:tcPr>
            <w:tcW w:w="117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$15,000 to $39,999</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1147</w:t>
            </w:r>
            <w:r w:rsidRPr="000E5D59">
              <w:rPr>
                <w:rFonts w:ascii="Arial" w:eastAsia="Times New Roman" w:hAnsi="Arial" w:cs="Arial"/>
                <w:color w:val="000000"/>
                <w:sz w:val="20"/>
                <w:szCs w:val="20"/>
              </w:rPr>
              <w:br/>
              <w:t>18.27</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619</w:t>
            </w:r>
            <w:r w:rsidRPr="000E5D59">
              <w:rPr>
                <w:rFonts w:ascii="Arial" w:eastAsia="Times New Roman" w:hAnsi="Arial" w:cs="Arial"/>
                <w:color w:val="000000"/>
                <w:sz w:val="20"/>
                <w:szCs w:val="20"/>
              </w:rPr>
              <w:br/>
              <w:t>18.73</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504</w:t>
            </w:r>
            <w:r w:rsidRPr="000E5D59">
              <w:rPr>
                <w:rFonts w:ascii="Arial" w:eastAsia="Times New Roman" w:hAnsi="Arial" w:cs="Arial"/>
                <w:color w:val="000000"/>
                <w:sz w:val="20"/>
                <w:szCs w:val="20"/>
              </w:rPr>
              <w:br/>
              <w:t>17.58</w:t>
            </w:r>
          </w:p>
        </w:tc>
        <w:tc>
          <w:tcPr>
            <w:tcW w:w="117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$40,000 to $74,999</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1475</w:t>
            </w:r>
            <w:r w:rsidRPr="000E5D59">
              <w:rPr>
                <w:rFonts w:ascii="Arial" w:eastAsia="Times New Roman" w:hAnsi="Arial" w:cs="Arial"/>
                <w:color w:val="000000"/>
                <w:sz w:val="20"/>
                <w:szCs w:val="20"/>
              </w:rPr>
              <w:br/>
              <w:t>23.49</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766</w:t>
            </w:r>
            <w:r w:rsidRPr="000E5D59">
              <w:rPr>
                <w:rFonts w:ascii="Arial" w:eastAsia="Times New Roman" w:hAnsi="Arial" w:cs="Arial"/>
                <w:color w:val="000000"/>
                <w:sz w:val="20"/>
                <w:szCs w:val="20"/>
              </w:rPr>
              <w:br/>
              <w:t>23.18</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677</w:t>
            </w:r>
            <w:r w:rsidRPr="000E5D59">
              <w:rPr>
                <w:rFonts w:ascii="Arial" w:eastAsia="Times New Roman" w:hAnsi="Arial" w:cs="Arial"/>
                <w:color w:val="000000"/>
                <w:sz w:val="20"/>
                <w:szCs w:val="20"/>
              </w:rPr>
              <w:br/>
              <w:t>23.61</w:t>
            </w:r>
          </w:p>
        </w:tc>
        <w:tc>
          <w:tcPr>
            <w:tcW w:w="117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$75,000 to $99,999</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847</w:t>
            </w:r>
            <w:r w:rsidRPr="000E5D59">
              <w:rPr>
                <w:rFonts w:ascii="Arial" w:eastAsia="Times New Roman" w:hAnsi="Arial" w:cs="Arial"/>
                <w:color w:val="000000"/>
                <w:sz w:val="20"/>
                <w:szCs w:val="20"/>
              </w:rPr>
              <w:br/>
              <w:t>13.49</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437</w:t>
            </w:r>
            <w:r w:rsidRPr="000E5D59">
              <w:rPr>
                <w:rFonts w:ascii="Arial" w:eastAsia="Times New Roman" w:hAnsi="Arial" w:cs="Arial"/>
                <w:color w:val="000000"/>
                <w:sz w:val="20"/>
                <w:szCs w:val="20"/>
              </w:rPr>
              <w:br/>
              <w:t>13.22</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399</w:t>
            </w:r>
            <w:r w:rsidRPr="000E5D59">
              <w:rPr>
                <w:rFonts w:ascii="Arial" w:eastAsia="Times New Roman" w:hAnsi="Arial" w:cs="Arial"/>
                <w:color w:val="000000"/>
                <w:sz w:val="20"/>
                <w:szCs w:val="20"/>
              </w:rPr>
              <w:br/>
              <w:t>13.92</w:t>
            </w:r>
          </w:p>
        </w:tc>
        <w:tc>
          <w:tcPr>
            <w:tcW w:w="117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$100,000 or more</w:t>
            </w:r>
          </w:p>
        </w:tc>
        <w:tc>
          <w:tcPr>
            <w:tcW w:w="1170"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2232</w:t>
            </w:r>
            <w:r w:rsidRPr="000E5D59">
              <w:rPr>
                <w:rFonts w:ascii="Arial" w:eastAsia="Times New Roman" w:hAnsi="Arial" w:cs="Arial"/>
                <w:color w:val="000000"/>
                <w:sz w:val="20"/>
                <w:szCs w:val="20"/>
              </w:rPr>
              <w:br/>
              <w:t>35.55</w:t>
            </w:r>
          </w:p>
        </w:tc>
        <w:tc>
          <w:tcPr>
            <w:tcW w:w="1620" w:type="dxa"/>
            <w:tcBorders>
              <w:left w:val="thinThick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1112</w:t>
            </w:r>
            <w:r w:rsidRPr="000E5D59">
              <w:rPr>
                <w:rFonts w:ascii="Arial" w:eastAsia="Times New Roman" w:hAnsi="Arial" w:cs="Arial"/>
                <w:color w:val="000000"/>
                <w:sz w:val="20"/>
                <w:szCs w:val="20"/>
              </w:rPr>
              <w:br/>
              <w:t>33.65</w:t>
            </w:r>
          </w:p>
        </w:tc>
        <w:tc>
          <w:tcPr>
            <w:tcW w:w="153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1087</w:t>
            </w:r>
            <w:r w:rsidRPr="000E5D59">
              <w:rPr>
                <w:rFonts w:ascii="Arial" w:eastAsia="Times New Roman" w:hAnsi="Arial" w:cs="Arial"/>
                <w:color w:val="000000"/>
                <w:sz w:val="20"/>
                <w:szCs w:val="20"/>
              </w:rPr>
              <w:br/>
              <w:t>37.91</w:t>
            </w:r>
          </w:p>
        </w:tc>
        <w:tc>
          <w:tcPr>
            <w:tcW w:w="117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Currently Pregnant</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3070</w:t>
            </w:r>
          </w:p>
        </w:tc>
        <w:tc>
          <w:tcPr>
            <w:tcW w:w="1620" w:type="dxa"/>
            <w:tcBorders>
              <w:top w:val="nil"/>
              <w:left w:val="thickThin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3054</w:t>
            </w:r>
            <w:r w:rsidRPr="000E5D59">
              <w:rPr>
                <w:rFonts w:ascii="Arial" w:eastAsia="Times New Roman" w:hAnsi="Arial" w:cs="Arial"/>
                <w:color w:val="000000"/>
                <w:sz w:val="20"/>
                <w:szCs w:val="20"/>
              </w:rPr>
              <w:br/>
              <w:t>99.48</w:t>
            </w:r>
          </w:p>
        </w:tc>
        <w:tc>
          <w:tcPr>
            <w:tcW w:w="1620" w:type="dxa"/>
            <w:tcBorders>
              <w:top w:val="single" w:sz="4" w:space="0" w:color="auto"/>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1581</w:t>
            </w:r>
            <w:r w:rsidRPr="000E5D59">
              <w:rPr>
                <w:rFonts w:ascii="Arial" w:eastAsia="Times New Roman" w:hAnsi="Arial" w:cs="Arial"/>
                <w:color w:val="000000"/>
                <w:sz w:val="20"/>
                <w:szCs w:val="20"/>
              </w:rPr>
              <w:br/>
              <w:t>99.06</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1417</w:t>
            </w:r>
            <w:r w:rsidRPr="000E5D59">
              <w:rPr>
                <w:rFonts w:ascii="Arial" w:eastAsia="Times New Roman" w:hAnsi="Arial" w:cs="Arial"/>
                <w:color w:val="000000"/>
                <w:sz w:val="20"/>
                <w:szCs w:val="20"/>
              </w:rPr>
              <w:br/>
              <w:t>99.93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Yes</w:t>
            </w:r>
          </w:p>
        </w:tc>
        <w:tc>
          <w:tcPr>
            <w:tcW w:w="1170"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w:t>
            </w:r>
            <w:r w:rsidRPr="000E5D59">
              <w:rPr>
                <w:rFonts w:ascii="Arial" w:eastAsia="Times New Roman" w:hAnsi="Arial" w:cs="Arial"/>
                <w:color w:val="000000"/>
                <w:sz w:val="20"/>
                <w:szCs w:val="20"/>
              </w:rPr>
              <w:br/>
              <w:t>0.52</w:t>
            </w:r>
          </w:p>
        </w:tc>
        <w:tc>
          <w:tcPr>
            <w:tcW w:w="1620" w:type="dxa"/>
            <w:tcBorders>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w:t>
            </w:r>
            <w:r w:rsidRPr="000E5D59">
              <w:rPr>
                <w:rFonts w:ascii="Arial" w:eastAsia="Times New Roman" w:hAnsi="Arial" w:cs="Arial"/>
                <w:color w:val="000000"/>
                <w:sz w:val="20"/>
                <w:szCs w:val="20"/>
              </w:rPr>
              <w:br/>
              <w:t>0.94</w:t>
            </w:r>
          </w:p>
        </w:tc>
        <w:tc>
          <w:tcPr>
            <w:tcW w:w="153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w:t>
            </w:r>
            <w:r w:rsidRPr="000E5D59">
              <w:rPr>
                <w:rFonts w:ascii="Arial" w:eastAsia="Times New Roman" w:hAnsi="Arial" w:cs="Arial"/>
                <w:color w:val="000000"/>
                <w:sz w:val="20"/>
                <w:szCs w:val="20"/>
              </w:rPr>
              <w:br/>
              <w:t>0.07</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Currently Breastfeeding</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3061</w:t>
            </w:r>
          </w:p>
        </w:tc>
        <w:tc>
          <w:tcPr>
            <w:tcW w:w="1620" w:type="dxa"/>
            <w:tcBorders>
              <w:top w:val="nil"/>
              <w:left w:val="thickThin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3058</w:t>
            </w:r>
            <w:r w:rsidRPr="000E5D59">
              <w:rPr>
                <w:rFonts w:ascii="Arial" w:eastAsia="Times New Roman" w:hAnsi="Arial" w:cs="Arial"/>
                <w:color w:val="000000"/>
                <w:sz w:val="20"/>
                <w:szCs w:val="20"/>
              </w:rPr>
              <w:br/>
              <w:t>99.90</w:t>
            </w:r>
          </w:p>
        </w:tc>
        <w:tc>
          <w:tcPr>
            <w:tcW w:w="1620" w:type="dxa"/>
            <w:tcBorders>
              <w:top w:val="single" w:sz="4" w:space="0" w:color="auto"/>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1589</w:t>
            </w:r>
            <w:r w:rsidRPr="000E5D59">
              <w:rPr>
                <w:rFonts w:ascii="Arial" w:eastAsia="Times New Roman" w:hAnsi="Arial" w:cs="Arial"/>
                <w:color w:val="000000"/>
                <w:sz w:val="20"/>
                <w:szCs w:val="20"/>
              </w:rPr>
              <w:br/>
              <w:t>99.81</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1413</w:t>
            </w:r>
            <w:r w:rsidRPr="000E5D59">
              <w:rPr>
                <w:rFonts w:ascii="Arial" w:eastAsia="Times New Roman" w:hAnsi="Arial" w:cs="Arial"/>
                <w:color w:val="000000"/>
                <w:sz w:val="20"/>
                <w:szCs w:val="20"/>
              </w:rPr>
              <w:br/>
              <w:t>100.00</w:t>
            </w:r>
          </w:p>
        </w:tc>
        <w:tc>
          <w:tcPr>
            <w:tcW w:w="117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Yes</w:t>
            </w:r>
          </w:p>
        </w:tc>
        <w:tc>
          <w:tcPr>
            <w:tcW w:w="1170" w:type="dxa"/>
            <w:tcBorders>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w:t>
            </w:r>
            <w:r w:rsidRPr="000E5D59">
              <w:rPr>
                <w:rFonts w:ascii="Arial" w:eastAsia="Times New Roman" w:hAnsi="Arial" w:cs="Arial"/>
                <w:color w:val="000000"/>
                <w:sz w:val="20"/>
                <w:szCs w:val="20"/>
              </w:rPr>
              <w:br/>
              <w:t>0.10</w:t>
            </w:r>
          </w:p>
        </w:tc>
        <w:tc>
          <w:tcPr>
            <w:tcW w:w="1620" w:type="dxa"/>
            <w:tcBorders>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w:t>
            </w:r>
            <w:r w:rsidRPr="000E5D59">
              <w:rPr>
                <w:rFonts w:ascii="Arial" w:eastAsia="Times New Roman" w:hAnsi="Arial" w:cs="Arial"/>
                <w:color w:val="000000"/>
                <w:sz w:val="20"/>
                <w:szCs w:val="20"/>
              </w:rPr>
              <w:br/>
              <w:t>0.19</w:t>
            </w:r>
          </w:p>
        </w:tc>
        <w:tc>
          <w:tcPr>
            <w:tcW w:w="1530" w:type="dxa"/>
            <w:tcBorders>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0</w:t>
            </w:r>
            <w:r w:rsidRPr="000E5D59">
              <w:rPr>
                <w:rFonts w:ascii="Arial" w:eastAsia="Times New Roman" w:hAnsi="Arial" w:cs="Arial"/>
                <w:color w:val="000000"/>
                <w:sz w:val="20"/>
                <w:szCs w:val="20"/>
              </w:rPr>
              <w:br/>
              <w:t>0.00</w:t>
            </w:r>
          </w:p>
        </w:tc>
        <w:tc>
          <w:tcPr>
            <w:tcW w:w="1170" w:type="dxa"/>
            <w:tcBorders>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9465"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i/>
                <w:iCs/>
                <w:color w:val="000000"/>
                <w:sz w:val="20"/>
                <w:szCs w:val="20"/>
              </w:rPr>
              <w:t>*p&lt;0.05; **p&lt;0.01; ***p&lt;0.001; ****p&lt;0.0001; ns=not significant</w:t>
            </w:r>
          </w:p>
        </w:tc>
      </w:tr>
    </w:tbl>
    <w:p w:rsidR="000E5D59" w:rsidRPr="000E5D59" w:rsidRDefault="000E5D59" w:rsidP="006057BE">
      <w:pPr>
        <w:spacing w:after="0" w:line="240" w:lineRule="auto"/>
        <w:rPr>
          <w:rFonts w:ascii="Garamond" w:eastAsia="Calibri" w:hAnsi="Garamond" w:cs="Times New Roman"/>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Table 2C: DPH Patient Survey Characteristi</w:t>
      </w:r>
      <w:r w:rsidR="000941B7">
        <w:rPr>
          <w:rFonts w:ascii="Arial" w:eastAsia="Calibri" w:hAnsi="Arial" w:cs="Arial"/>
          <w:b/>
          <w:sz w:val="24"/>
          <w:szCs w:val="24"/>
        </w:rPr>
        <w:t xml:space="preserve">cs of Respondents by Education </w:t>
      </w:r>
    </w:p>
    <w:tbl>
      <w:tblPr>
        <w:tblW w:w="9465" w:type="dxa"/>
        <w:tblInd w:w="93" w:type="dxa"/>
        <w:tblLook w:val="04A0" w:firstRow="1" w:lastRow="0" w:firstColumn="1" w:lastColumn="0" w:noHBand="0" w:noVBand="1"/>
        <w:tblCaption w:val="Department of Public Health  Patient Survey Characteristics of Respondents by Education "/>
        <w:tblDescription w:val="The table compares demographic characteristics by educational attainment. A larger proportion of respondents with at least a Bachelor’s degree than respondents without a degree were aged 65 years or older  or between 26 to 35 years old, while a larger proportion of respondents without a Bachelor’s degree were aged between 18 and 25 and 51 to 64. A larger proportion with at least a Bachelor’s degree were non-Hispanic White compared to those with less than a Bachelor’s degree. Respondents with at least a Bachelor’s reported annual household incomes above $75,000 at higher rates than participants without a Bachelor’s degree. "/>
      </w:tblPr>
      <w:tblGrid>
        <w:gridCol w:w="3975"/>
        <w:gridCol w:w="1170"/>
        <w:gridCol w:w="1620"/>
        <w:gridCol w:w="1530"/>
        <w:gridCol w:w="1170"/>
      </w:tblGrid>
      <w:tr w:rsidR="000E5D59" w:rsidRPr="000E5D59" w:rsidTr="00784755">
        <w:trPr>
          <w:trHeight w:val="20"/>
        </w:trPr>
        <w:tc>
          <w:tcPr>
            <w:tcW w:w="397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nil"/>
              <w:right w:val="thinThick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r w:rsidRPr="000E5D59">
              <w:rPr>
                <w:rFonts w:ascii="Arial" w:eastAsia="Times New Roman" w:hAnsi="Arial" w:cs="Arial"/>
                <w:color w:val="000000"/>
                <w:sz w:val="20"/>
                <w:szCs w:val="20"/>
              </w:rPr>
              <w:t> </w:t>
            </w:r>
          </w:p>
        </w:tc>
        <w:tc>
          <w:tcPr>
            <w:tcW w:w="4320" w:type="dxa"/>
            <w:gridSpan w:val="3"/>
            <w:tcBorders>
              <w:top w:val="single" w:sz="4" w:space="0" w:color="auto"/>
              <w:left w:val="thinThick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Education</w:t>
            </w:r>
          </w:p>
        </w:tc>
      </w:tr>
      <w:tr w:rsidR="000E5D59" w:rsidRPr="000E5D59" w:rsidTr="00784755">
        <w:trPr>
          <w:trHeight w:val="20"/>
        </w:trPr>
        <w:tc>
          <w:tcPr>
            <w:tcW w:w="397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170" w:type="dxa"/>
            <w:vMerge/>
            <w:tcBorders>
              <w:left w:val="nil"/>
              <w:bottom w:val="double" w:sz="6" w:space="0" w:color="auto"/>
              <w:right w:val="thinThick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p>
        </w:tc>
        <w:tc>
          <w:tcPr>
            <w:tcW w:w="1620" w:type="dxa"/>
            <w:tcBorders>
              <w:top w:val="nil"/>
              <w:left w:val="thinThick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&lt; Bachelor's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(N=3282)</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Bachelor's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(N=3595)</w:t>
            </w:r>
          </w:p>
        </w:tc>
        <w:tc>
          <w:tcPr>
            <w:tcW w:w="117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Gender</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6818</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Male</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3723</w:t>
            </w:r>
            <w:r w:rsidRPr="000E5D59">
              <w:rPr>
                <w:rFonts w:ascii="Arial" w:eastAsia="Times New Roman" w:hAnsi="Arial" w:cs="Arial"/>
                <w:color w:val="000000"/>
                <w:sz w:val="20"/>
                <w:szCs w:val="20"/>
              </w:rPr>
              <w:br/>
              <w:t>54.61</w:t>
            </w:r>
          </w:p>
        </w:tc>
        <w:tc>
          <w:tcPr>
            <w:tcW w:w="1620" w:type="dxa"/>
            <w:tcBorders>
              <w:top w:val="single" w:sz="4" w:space="0" w:color="auto"/>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1807</w:t>
            </w:r>
            <w:r w:rsidRPr="000E5D59">
              <w:rPr>
                <w:rFonts w:ascii="Arial" w:eastAsia="Times New Roman" w:hAnsi="Arial" w:cs="Arial"/>
                <w:color w:val="000000"/>
                <w:sz w:val="20"/>
                <w:szCs w:val="20"/>
              </w:rPr>
              <w:br/>
              <w:t>55.70</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1914</w:t>
            </w:r>
            <w:r w:rsidRPr="000E5D59">
              <w:rPr>
                <w:rFonts w:ascii="Arial" w:eastAsia="Times New Roman" w:hAnsi="Arial" w:cs="Arial"/>
                <w:color w:val="000000"/>
                <w:sz w:val="20"/>
                <w:szCs w:val="20"/>
              </w:rPr>
              <w:br/>
              <w:t>53.70</w:t>
            </w:r>
          </w:p>
        </w:tc>
        <w:tc>
          <w:tcPr>
            <w:tcW w:w="1170" w:type="dxa"/>
            <w:tcBorders>
              <w:top w:val="nil"/>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Female</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3056</w:t>
            </w:r>
            <w:r w:rsidRPr="000E5D59">
              <w:rPr>
                <w:rFonts w:ascii="Arial" w:eastAsia="Times New Roman" w:hAnsi="Arial" w:cs="Arial"/>
                <w:color w:val="000000"/>
                <w:sz w:val="20"/>
                <w:szCs w:val="20"/>
              </w:rPr>
              <w:br/>
              <w:t>44.82</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1423</w:t>
            </w:r>
            <w:r w:rsidRPr="000E5D59">
              <w:rPr>
                <w:rFonts w:ascii="Arial" w:eastAsia="Times New Roman" w:hAnsi="Arial" w:cs="Arial"/>
                <w:color w:val="000000"/>
                <w:sz w:val="20"/>
                <w:szCs w:val="20"/>
              </w:rPr>
              <w:br/>
              <w:t>43.87</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1626</w:t>
            </w:r>
            <w:r w:rsidRPr="000E5D59">
              <w:rPr>
                <w:rFonts w:ascii="Arial" w:eastAsia="Times New Roman" w:hAnsi="Arial" w:cs="Arial"/>
                <w:color w:val="000000"/>
                <w:sz w:val="20"/>
                <w:szCs w:val="20"/>
              </w:rPr>
              <w:br/>
              <w:t>45.62</w:t>
            </w:r>
          </w:p>
        </w:tc>
        <w:tc>
          <w:tcPr>
            <w:tcW w:w="1170" w:type="dxa"/>
            <w:tcBorders>
              <w:top w:val="nil"/>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Other / choose not to answer</w:t>
            </w:r>
          </w:p>
        </w:tc>
        <w:tc>
          <w:tcPr>
            <w:tcW w:w="1170"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39</w:t>
            </w:r>
            <w:r w:rsidRPr="000E5D59">
              <w:rPr>
                <w:rFonts w:ascii="Arial" w:eastAsia="Times New Roman" w:hAnsi="Arial" w:cs="Arial"/>
                <w:color w:val="000000"/>
                <w:sz w:val="20"/>
                <w:szCs w:val="20"/>
              </w:rPr>
              <w:br/>
              <w:t>0.57</w:t>
            </w:r>
          </w:p>
        </w:tc>
        <w:tc>
          <w:tcPr>
            <w:tcW w:w="1620" w:type="dxa"/>
            <w:tcBorders>
              <w:left w:val="thinThick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w:t>
            </w:r>
            <w:r w:rsidRPr="000E5D59">
              <w:rPr>
                <w:rFonts w:ascii="Arial" w:eastAsia="Times New Roman" w:hAnsi="Arial" w:cs="Arial"/>
                <w:color w:val="000000"/>
                <w:sz w:val="20"/>
                <w:szCs w:val="20"/>
              </w:rPr>
              <w:br/>
              <w:t>0.43</w:t>
            </w:r>
          </w:p>
        </w:tc>
        <w:tc>
          <w:tcPr>
            <w:tcW w:w="153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w:t>
            </w:r>
            <w:r w:rsidRPr="000E5D59">
              <w:rPr>
                <w:rFonts w:ascii="Arial" w:eastAsia="Times New Roman" w:hAnsi="Arial" w:cs="Arial"/>
                <w:color w:val="000000"/>
                <w:sz w:val="20"/>
                <w:szCs w:val="20"/>
              </w:rPr>
              <w:br/>
              <w:t>0.67</w:t>
            </w:r>
          </w:p>
        </w:tc>
        <w:tc>
          <w:tcPr>
            <w:tcW w:w="117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Age (in years)</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6772</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 to 25</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477</w:t>
            </w:r>
            <w:r w:rsidRPr="000E5D59">
              <w:rPr>
                <w:rFonts w:ascii="Arial" w:eastAsia="Times New Roman" w:hAnsi="Arial" w:cs="Arial"/>
                <w:color w:val="000000"/>
                <w:sz w:val="20"/>
                <w:szCs w:val="20"/>
              </w:rPr>
              <w:br/>
              <w:t>7.04</w:t>
            </w:r>
          </w:p>
        </w:tc>
        <w:tc>
          <w:tcPr>
            <w:tcW w:w="1620" w:type="dxa"/>
            <w:tcBorders>
              <w:top w:val="single" w:sz="4" w:space="0" w:color="auto"/>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320</w:t>
            </w:r>
            <w:r w:rsidRPr="000E5D59">
              <w:rPr>
                <w:rFonts w:ascii="Arial" w:eastAsia="Times New Roman" w:hAnsi="Arial" w:cs="Arial"/>
                <w:color w:val="000000"/>
                <w:sz w:val="20"/>
                <w:szCs w:val="20"/>
              </w:rPr>
              <w:br/>
              <w:t>9.96</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157</w:t>
            </w:r>
            <w:r w:rsidRPr="000E5D59">
              <w:rPr>
                <w:rFonts w:ascii="Arial" w:eastAsia="Times New Roman" w:hAnsi="Arial" w:cs="Arial"/>
                <w:color w:val="000000"/>
                <w:sz w:val="20"/>
                <w:szCs w:val="20"/>
              </w:rPr>
              <w:br/>
              <w:t>4.43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 to 35</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1256</w:t>
            </w:r>
            <w:r w:rsidRPr="000E5D59">
              <w:rPr>
                <w:rFonts w:ascii="Arial" w:eastAsia="Times New Roman" w:hAnsi="Arial" w:cs="Arial"/>
                <w:color w:val="000000"/>
                <w:sz w:val="20"/>
                <w:szCs w:val="20"/>
              </w:rPr>
              <w:br/>
              <w:t>18.55</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533</w:t>
            </w:r>
            <w:r w:rsidRPr="000E5D59">
              <w:rPr>
                <w:rFonts w:ascii="Arial" w:eastAsia="Times New Roman" w:hAnsi="Arial" w:cs="Arial"/>
                <w:color w:val="000000"/>
                <w:sz w:val="20"/>
                <w:szCs w:val="20"/>
              </w:rPr>
              <w:br/>
              <w:t>16.58</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721</w:t>
            </w:r>
            <w:r w:rsidRPr="000E5D59">
              <w:rPr>
                <w:rFonts w:ascii="Arial" w:eastAsia="Times New Roman" w:hAnsi="Arial" w:cs="Arial"/>
                <w:color w:val="000000"/>
                <w:sz w:val="20"/>
                <w:szCs w:val="20"/>
              </w:rPr>
              <w:br/>
              <w:t>20.33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36 to 50</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1851</w:t>
            </w:r>
            <w:r w:rsidRPr="000E5D59">
              <w:rPr>
                <w:rFonts w:ascii="Arial" w:eastAsia="Times New Roman" w:hAnsi="Arial" w:cs="Arial"/>
                <w:color w:val="000000"/>
                <w:sz w:val="20"/>
                <w:szCs w:val="20"/>
              </w:rPr>
              <w:br/>
              <w:t>27.33</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897</w:t>
            </w:r>
            <w:r w:rsidRPr="000E5D59">
              <w:rPr>
                <w:rFonts w:ascii="Arial" w:eastAsia="Times New Roman" w:hAnsi="Arial" w:cs="Arial"/>
                <w:color w:val="000000"/>
                <w:sz w:val="20"/>
                <w:szCs w:val="20"/>
              </w:rPr>
              <w:br/>
              <w:t>27.91</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949</w:t>
            </w:r>
            <w:r w:rsidRPr="000E5D59">
              <w:rPr>
                <w:rFonts w:ascii="Arial" w:eastAsia="Times New Roman" w:hAnsi="Arial" w:cs="Arial"/>
                <w:color w:val="000000"/>
                <w:sz w:val="20"/>
                <w:szCs w:val="20"/>
              </w:rPr>
              <w:br/>
              <w:t>26.76</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51 to 64</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2100</w:t>
            </w:r>
            <w:r w:rsidRPr="000E5D59">
              <w:rPr>
                <w:rFonts w:ascii="Arial" w:eastAsia="Times New Roman" w:hAnsi="Arial" w:cs="Arial"/>
                <w:color w:val="000000"/>
                <w:sz w:val="20"/>
                <w:szCs w:val="20"/>
              </w:rPr>
              <w:br/>
              <w:t>31.01</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1076</w:t>
            </w:r>
            <w:r w:rsidRPr="000E5D59">
              <w:rPr>
                <w:rFonts w:ascii="Arial" w:eastAsia="Times New Roman" w:hAnsi="Arial" w:cs="Arial"/>
                <w:color w:val="000000"/>
                <w:sz w:val="20"/>
                <w:szCs w:val="20"/>
              </w:rPr>
              <w:br/>
              <w:t>33.48</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1021</w:t>
            </w:r>
            <w:r w:rsidRPr="000E5D59">
              <w:rPr>
                <w:rFonts w:ascii="Arial" w:eastAsia="Times New Roman" w:hAnsi="Arial" w:cs="Arial"/>
                <w:color w:val="000000"/>
                <w:sz w:val="20"/>
                <w:szCs w:val="20"/>
              </w:rPr>
              <w:br/>
              <w:t>28.79</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65 or older</w:t>
            </w:r>
          </w:p>
        </w:tc>
        <w:tc>
          <w:tcPr>
            <w:tcW w:w="1170"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1088</w:t>
            </w:r>
            <w:r w:rsidRPr="000E5D59">
              <w:rPr>
                <w:rFonts w:ascii="Arial" w:eastAsia="Times New Roman" w:hAnsi="Arial" w:cs="Arial"/>
                <w:color w:val="000000"/>
                <w:sz w:val="20"/>
                <w:szCs w:val="20"/>
              </w:rPr>
              <w:br/>
              <w:t>16.07</w:t>
            </w:r>
          </w:p>
        </w:tc>
        <w:tc>
          <w:tcPr>
            <w:tcW w:w="1620" w:type="dxa"/>
            <w:tcBorders>
              <w:left w:val="thinThick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388</w:t>
            </w:r>
            <w:r w:rsidRPr="000E5D59">
              <w:rPr>
                <w:rFonts w:ascii="Arial" w:eastAsia="Times New Roman" w:hAnsi="Arial" w:cs="Arial"/>
                <w:color w:val="000000"/>
                <w:sz w:val="20"/>
                <w:szCs w:val="20"/>
              </w:rPr>
              <w:br/>
              <w:t>12.07</w:t>
            </w:r>
          </w:p>
        </w:tc>
        <w:tc>
          <w:tcPr>
            <w:tcW w:w="153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698</w:t>
            </w:r>
            <w:r w:rsidRPr="000E5D59">
              <w:rPr>
                <w:rFonts w:ascii="Arial" w:eastAsia="Times New Roman" w:hAnsi="Arial" w:cs="Arial"/>
                <w:color w:val="000000"/>
                <w:sz w:val="20"/>
                <w:szCs w:val="20"/>
              </w:rPr>
              <w:br/>
              <w:t>19.68</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Race/Ethnicity</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6672</w:t>
            </w:r>
          </w:p>
        </w:tc>
        <w:tc>
          <w:tcPr>
            <w:tcW w:w="1620" w:type="dxa"/>
            <w:tcBorders>
              <w:top w:val="nil"/>
              <w:left w:val="thinThick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White or Caucasian, non-Hispanic</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5834</w:t>
            </w:r>
            <w:r w:rsidRPr="000E5D59">
              <w:rPr>
                <w:rFonts w:ascii="Arial" w:eastAsia="Times New Roman" w:hAnsi="Arial" w:cs="Arial"/>
                <w:color w:val="000000"/>
                <w:sz w:val="20"/>
                <w:szCs w:val="20"/>
              </w:rPr>
              <w:br/>
              <w:t>87.44</w:t>
            </w:r>
          </w:p>
        </w:tc>
        <w:tc>
          <w:tcPr>
            <w:tcW w:w="1620" w:type="dxa"/>
            <w:tcBorders>
              <w:top w:val="single" w:sz="4" w:space="0" w:color="auto"/>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2693</w:t>
            </w:r>
            <w:r w:rsidRPr="000E5D59">
              <w:rPr>
                <w:rFonts w:ascii="Arial" w:eastAsia="Times New Roman" w:hAnsi="Arial" w:cs="Arial"/>
                <w:color w:val="000000"/>
                <w:sz w:val="20"/>
                <w:szCs w:val="20"/>
              </w:rPr>
              <w:br/>
              <w:t>84.39</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3134</w:t>
            </w:r>
            <w:r w:rsidRPr="000E5D59">
              <w:rPr>
                <w:rFonts w:ascii="Arial" w:eastAsia="Times New Roman" w:hAnsi="Arial" w:cs="Arial"/>
                <w:color w:val="000000"/>
                <w:sz w:val="20"/>
                <w:szCs w:val="20"/>
              </w:rPr>
              <w:br/>
              <w:t>90.26</w:t>
            </w:r>
          </w:p>
        </w:tc>
        <w:tc>
          <w:tcPr>
            <w:tcW w:w="1170" w:type="dxa"/>
            <w:tcBorders>
              <w:top w:val="nil"/>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Black or African-American, non-Hispanic</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188</w:t>
            </w:r>
            <w:r w:rsidRPr="000E5D59">
              <w:rPr>
                <w:rFonts w:ascii="Arial" w:eastAsia="Times New Roman" w:hAnsi="Arial" w:cs="Arial"/>
                <w:color w:val="000000"/>
                <w:sz w:val="20"/>
                <w:szCs w:val="20"/>
              </w:rPr>
              <w:br/>
              <w:t>2.82</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119</w:t>
            </w:r>
            <w:r w:rsidRPr="000E5D59">
              <w:rPr>
                <w:rFonts w:ascii="Arial" w:eastAsia="Times New Roman" w:hAnsi="Arial" w:cs="Arial"/>
                <w:color w:val="000000"/>
                <w:sz w:val="20"/>
                <w:szCs w:val="20"/>
              </w:rPr>
              <w:br/>
              <w:t>3.73</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68</w:t>
            </w:r>
            <w:r w:rsidRPr="000E5D59">
              <w:rPr>
                <w:rFonts w:ascii="Arial" w:eastAsia="Times New Roman" w:hAnsi="Arial" w:cs="Arial"/>
                <w:color w:val="000000"/>
                <w:sz w:val="20"/>
                <w:szCs w:val="20"/>
              </w:rPr>
              <w:br/>
              <w:t>1.96</w:t>
            </w:r>
          </w:p>
        </w:tc>
        <w:tc>
          <w:tcPr>
            <w:tcW w:w="1170" w:type="dxa"/>
            <w:tcBorders>
              <w:top w:val="nil"/>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Asian, non-Hispanic</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52</w:t>
            </w:r>
            <w:r w:rsidRPr="000E5D59">
              <w:rPr>
                <w:rFonts w:ascii="Arial" w:eastAsia="Times New Roman" w:hAnsi="Arial" w:cs="Arial"/>
                <w:color w:val="000000"/>
                <w:sz w:val="20"/>
                <w:szCs w:val="20"/>
              </w:rPr>
              <w:br/>
              <w:t>0.78</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w:t>
            </w:r>
            <w:r w:rsidRPr="000E5D59">
              <w:rPr>
                <w:rFonts w:ascii="Arial" w:eastAsia="Times New Roman" w:hAnsi="Arial" w:cs="Arial"/>
                <w:color w:val="000000"/>
                <w:sz w:val="20"/>
                <w:szCs w:val="20"/>
              </w:rPr>
              <w:br/>
              <w:t>0.53</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35</w:t>
            </w:r>
            <w:r w:rsidRPr="000E5D59">
              <w:rPr>
                <w:rFonts w:ascii="Arial" w:eastAsia="Times New Roman" w:hAnsi="Arial" w:cs="Arial"/>
                <w:color w:val="000000"/>
                <w:sz w:val="20"/>
                <w:szCs w:val="20"/>
              </w:rPr>
              <w:br/>
              <w:t>1.01</w:t>
            </w:r>
          </w:p>
        </w:tc>
        <w:tc>
          <w:tcPr>
            <w:tcW w:w="117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Native Hawaiian, Pacific Islander, American Indian or Alaska Native, non-Hispanic</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w:t>
            </w:r>
            <w:r w:rsidRPr="000E5D59">
              <w:rPr>
                <w:rFonts w:ascii="Arial" w:eastAsia="Times New Roman" w:hAnsi="Arial" w:cs="Arial"/>
                <w:color w:val="000000"/>
                <w:sz w:val="20"/>
                <w:szCs w:val="20"/>
              </w:rPr>
              <w:br/>
              <w:t>0.21</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w:t>
            </w:r>
            <w:r w:rsidRPr="000E5D59">
              <w:rPr>
                <w:rFonts w:ascii="Arial" w:eastAsia="Times New Roman" w:hAnsi="Arial" w:cs="Arial"/>
                <w:color w:val="000000"/>
                <w:sz w:val="20"/>
                <w:szCs w:val="20"/>
              </w:rPr>
              <w:br/>
              <w:t>0.41</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w:t>
            </w:r>
            <w:r w:rsidRPr="000E5D59">
              <w:rPr>
                <w:rFonts w:ascii="Arial" w:eastAsia="Times New Roman" w:hAnsi="Arial" w:cs="Arial"/>
                <w:color w:val="000000"/>
                <w:sz w:val="20"/>
                <w:szCs w:val="20"/>
              </w:rPr>
              <w:br/>
              <w:t>0.03</w:t>
            </w:r>
          </w:p>
        </w:tc>
        <w:tc>
          <w:tcPr>
            <w:tcW w:w="117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More than one race, non-Hispanic</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171</w:t>
            </w:r>
            <w:r w:rsidRPr="000E5D59">
              <w:rPr>
                <w:rFonts w:ascii="Arial" w:eastAsia="Times New Roman" w:hAnsi="Arial" w:cs="Arial"/>
                <w:color w:val="000000"/>
                <w:sz w:val="20"/>
                <w:szCs w:val="20"/>
              </w:rPr>
              <w:br/>
              <w:t>2.56</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91</w:t>
            </w:r>
            <w:r w:rsidRPr="000E5D59">
              <w:rPr>
                <w:rFonts w:ascii="Arial" w:eastAsia="Times New Roman" w:hAnsi="Arial" w:cs="Arial"/>
                <w:color w:val="000000"/>
                <w:sz w:val="20"/>
                <w:szCs w:val="20"/>
              </w:rPr>
              <w:br/>
              <w:t>2.85</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80</w:t>
            </w:r>
            <w:r w:rsidRPr="000E5D59">
              <w:rPr>
                <w:rFonts w:ascii="Arial" w:eastAsia="Times New Roman" w:hAnsi="Arial" w:cs="Arial"/>
                <w:color w:val="000000"/>
                <w:sz w:val="20"/>
                <w:szCs w:val="20"/>
              </w:rPr>
              <w:br/>
              <w:t>2.30</w:t>
            </w:r>
          </w:p>
        </w:tc>
        <w:tc>
          <w:tcPr>
            <w:tcW w:w="117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Hispanic</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323</w:t>
            </w:r>
            <w:r w:rsidRPr="000E5D59">
              <w:rPr>
                <w:rFonts w:ascii="Arial" w:eastAsia="Times New Roman" w:hAnsi="Arial" w:cs="Arial"/>
                <w:color w:val="000000"/>
                <w:sz w:val="20"/>
                <w:szCs w:val="20"/>
              </w:rPr>
              <w:br/>
              <w:t>4.84</w:t>
            </w:r>
          </w:p>
        </w:tc>
        <w:tc>
          <w:tcPr>
            <w:tcW w:w="1620" w:type="dxa"/>
            <w:tcBorders>
              <w:left w:val="thinThick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209</w:t>
            </w:r>
            <w:r w:rsidRPr="000E5D59">
              <w:rPr>
                <w:rFonts w:ascii="Arial" w:eastAsia="Times New Roman" w:hAnsi="Arial" w:cs="Arial"/>
                <w:color w:val="000000"/>
                <w:sz w:val="20"/>
                <w:szCs w:val="20"/>
              </w:rPr>
              <w:br/>
              <w:t>6.55</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113</w:t>
            </w:r>
            <w:r w:rsidRPr="000E5D59">
              <w:rPr>
                <w:rFonts w:ascii="Arial" w:eastAsia="Times New Roman" w:hAnsi="Arial" w:cs="Arial"/>
                <w:color w:val="000000"/>
                <w:sz w:val="20"/>
                <w:szCs w:val="20"/>
              </w:rPr>
              <w:br/>
              <w:t>3.25</w:t>
            </w:r>
          </w:p>
        </w:tc>
        <w:tc>
          <w:tcPr>
            <w:tcW w:w="117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Other</w:t>
            </w:r>
          </w:p>
        </w:tc>
        <w:tc>
          <w:tcPr>
            <w:tcW w:w="1170" w:type="dxa"/>
            <w:tcBorders>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90</w:t>
            </w:r>
            <w:r w:rsidRPr="000E5D59">
              <w:rPr>
                <w:rFonts w:ascii="Arial" w:eastAsia="Times New Roman" w:hAnsi="Arial" w:cs="Arial"/>
                <w:color w:val="000000"/>
                <w:sz w:val="20"/>
                <w:szCs w:val="20"/>
              </w:rPr>
              <w:br/>
              <w:t>1.35</w:t>
            </w:r>
          </w:p>
        </w:tc>
        <w:tc>
          <w:tcPr>
            <w:tcW w:w="1620" w:type="dxa"/>
            <w:tcBorders>
              <w:left w:val="thinThick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49</w:t>
            </w:r>
            <w:r w:rsidRPr="000E5D59">
              <w:rPr>
                <w:rFonts w:ascii="Arial" w:eastAsia="Times New Roman" w:hAnsi="Arial" w:cs="Arial"/>
                <w:color w:val="000000"/>
                <w:sz w:val="20"/>
                <w:szCs w:val="20"/>
              </w:rPr>
              <w:br/>
              <w:t>1.54</w:t>
            </w:r>
          </w:p>
        </w:tc>
        <w:tc>
          <w:tcPr>
            <w:tcW w:w="1530" w:type="dxa"/>
            <w:tcBorders>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41</w:t>
            </w:r>
            <w:r w:rsidRPr="000E5D59">
              <w:rPr>
                <w:rFonts w:ascii="Arial" w:eastAsia="Times New Roman" w:hAnsi="Arial" w:cs="Arial"/>
                <w:color w:val="000000"/>
                <w:sz w:val="20"/>
                <w:szCs w:val="20"/>
              </w:rPr>
              <w:br/>
              <w:t>1.18</w:t>
            </w:r>
          </w:p>
        </w:tc>
        <w:tc>
          <w:tcPr>
            <w:tcW w:w="1170" w:type="dxa"/>
            <w:tcBorders>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i/>
                <w:iCs/>
                <w:color w:val="000000"/>
                <w:sz w:val="20"/>
                <w:szCs w:val="20"/>
              </w:rPr>
              <w:t>*p&lt;0.05; **p&lt;0.01; ***p&lt;0.001; ****p&lt;0.0001; ns=not significant</w:t>
            </w:r>
          </w:p>
        </w:tc>
      </w:tr>
    </w:tbl>
    <w:p w:rsidR="000E5D59" w:rsidRPr="000E5D59" w:rsidRDefault="000E5D59" w:rsidP="006057BE">
      <w:pPr>
        <w:spacing w:after="0" w:line="240" w:lineRule="auto"/>
        <w:rPr>
          <w:rFonts w:ascii="Garamond" w:eastAsia="Calibri" w:hAnsi="Garamond" w:cs="Times New Roman"/>
          <w:b/>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(Continued) Table 2C: DPH Patient Survey Characteristics of Respo</w:t>
      </w:r>
      <w:r w:rsidR="000941B7">
        <w:rPr>
          <w:rFonts w:ascii="Arial" w:eastAsia="Calibri" w:hAnsi="Arial" w:cs="Arial"/>
          <w:b/>
          <w:sz w:val="24"/>
          <w:szCs w:val="24"/>
        </w:rPr>
        <w:t xml:space="preserve">ndents by Education </w:t>
      </w:r>
    </w:p>
    <w:tbl>
      <w:tblPr>
        <w:tblW w:w="9465" w:type="dxa"/>
        <w:tblInd w:w="93" w:type="dxa"/>
        <w:tblLook w:val="04A0" w:firstRow="1" w:lastRow="0" w:firstColumn="1" w:lastColumn="0" w:noHBand="0" w:noVBand="1"/>
        <w:tblCaption w:val="Continued: Department of Public Health  Patient Survey Characteristics of Respondents by Education "/>
        <w:tblDescription w:val="This table is a continuation of the table from the previous page (the complete table did not fit on a single page). &#10;The table compares demographic characteristics by educational attainment. A larger proportion of respondents with at least a Bachelor’s degree than respondents without a degree were aged 65 years or older  or between 26 to 35 years old, while a larger proportion of respondents without a Bachelor’s degree were aged between 18 and 25 and 51 to 64. A larger proportion with at least a Bachelor’s degree were non-Hispanic White compared to those with less than a Bachelor’s degree. Respondents with at least a Bachelor’s reported annual household incomes above $75,000 at higher rates than participants without a Bachelor’s degree. "/>
      </w:tblPr>
      <w:tblGrid>
        <w:gridCol w:w="3975"/>
        <w:gridCol w:w="1170"/>
        <w:gridCol w:w="1620"/>
        <w:gridCol w:w="1530"/>
        <w:gridCol w:w="1170"/>
      </w:tblGrid>
      <w:tr w:rsidR="000E5D59" w:rsidRPr="000E5D59" w:rsidTr="00784755">
        <w:trPr>
          <w:trHeight w:val="20"/>
        </w:trPr>
        <w:tc>
          <w:tcPr>
            <w:tcW w:w="3975" w:type="dxa"/>
            <w:vMerge w:val="restart"/>
            <w:tcBorders>
              <w:top w:val="single" w:sz="4" w:space="0" w:color="auto"/>
              <w:left w:val="single" w:sz="8" w:space="0" w:color="auto"/>
              <w:right w:val="nil"/>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single" w:sz="8" w:space="0" w:color="auto"/>
              <w:right w:val="thinThick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r w:rsidRPr="000E5D59">
              <w:rPr>
                <w:rFonts w:ascii="Arial" w:eastAsia="Times New Roman" w:hAnsi="Arial" w:cs="Arial"/>
                <w:color w:val="000000"/>
                <w:sz w:val="20"/>
                <w:szCs w:val="20"/>
              </w:rPr>
              <w:t> </w:t>
            </w:r>
          </w:p>
        </w:tc>
        <w:tc>
          <w:tcPr>
            <w:tcW w:w="4320" w:type="dxa"/>
            <w:gridSpan w:val="3"/>
            <w:tcBorders>
              <w:top w:val="single" w:sz="4" w:space="0" w:color="auto"/>
              <w:left w:val="thickThinSmallGap" w:sz="24" w:space="0" w:color="auto"/>
              <w:bottom w:val="single" w:sz="4" w:space="0" w:color="auto"/>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Education</w:t>
            </w:r>
          </w:p>
        </w:tc>
      </w:tr>
      <w:tr w:rsidR="000E5D59" w:rsidRPr="000E5D59" w:rsidTr="00784755">
        <w:trPr>
          <w:trHeight w:val="20"/>
        </w:trPr>
        <w:tc>
          <w:tcPr>
            <w:tcW w:w="3975" w:type="dxa"/>
            <w:vMerge/>
            <w:tcBorders>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170" w:type="dxa"/>
            <w:vMerge/>
            <w:tcBorders>
              <w:left w:val="single" w:sz="8" w:space="0" w:color="auto"/>
              <w:bottom w:val="single" w:sz="4" w:space="0" w:color="auto"/>
              <w:right w:val="thinThick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color w:val="000000"/>
                <w:sz w:val="20"/>
                <w:szCs w:val="20"/>
              </w:rPr>
            </w:pPr>
          </w:p>
        </w:tc>
        <w:tc>
          <w:tcPr>
            <w:tcW w:w="1620" w:type="dxa"/>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&lt; Bachelor's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(N=3282)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Bachelor's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(N=3595)</w:t>
            </w:r>
          </w:p>
        </w:tc>
        <w:tc>
          <w:tcPr>
            <w:tcW w:w="1170" w:type="dxa"/>
            <w:tcBorders>
              <w:top w:val="single" w:sz="4" w:space="0" w:color="auto"/>
              <w:left w:val="nil"/>
              <w:bottom w:val="single" w:sz="4" w:space="0" w:color="auto"/>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3975" w:type="dxa"/>
            <w:tcBorders>
              <w:top w:val="single" w:sz="4" w:space="0" w:color="auto"/>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Highest level of education completed</w:t>
            </w:r>
          </w:p>
        </w:tc>
        <w:tc>
          <w:tcPr>
            <w:tcW w:w="1170" w:type="dxa"/>
            <w:tcBorders>
              <w:top w:val="single" w:sz="4" w:space="0" w:color="auto"/>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6877</w:t>
            </w:r>
          </w:p>
        </w:tc>
        <w:tc>
          <w:tcPr>
            <w:tcW w:w="1620" w:type="dxa"/>
            <w:tcBorders>
              <w:top w:val="single" w:sz="4" w:space="0" w:color="auto"/>
              <w:left w:val="thickThin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single" w:sz="4" w:space="0" w:color="auto"/>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single" w:sz="4" w:space="0" w:color="auto"/>
              <w:left w:val="nil"/>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 test</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Less than high school</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131</w:t>
            </w:r>
            <w:r w:rsidRPr="000E5D59">
              <w:rPr>
                <w:rFonts w:ascii="Arial" w:eastAsia="Times New Roman" w:hAnsi="Arial" w:cs="Arial"/>
                <w:color w:val="000000"/>
                <w:sz w:val="20"/>
                <w:szCs w:val="20"/>
              </w:rPr>
              <w:br/>
              <w:t>1.90</w:t>
            </w:r>
          </w:p>
        </w:tc>
        <w:tc>
          <w:tcPr>
            <w:tcW w:w="1620" w:type="dxa"/>
            <w:tcBorders>
              <w:top w:val="nil"/>
              <w:left w:val="thickThinSmallGap" w:sz="2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High school or GED</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816</w:t>
            </w:r>
            <w:r w:rsidRPr="000E5D59">
              <w:rPr>
                <w:rFonts w:ascii="Arial" w:eastAsia="Times New Roman" w:hAnsi="Arial" w:cs="Arial"/>
                <w:color w:val="000000"/>
                <w:sz w:val="20"/>
                <w:szCs w:val="20"/>
              </w:rPr>
              <w:br/>
              <w:t>11.87</w:t>
            </w:r>
          </w:p>
        </w:tc>
        <w:tc>
          <w:tcPr>
            <w:tcW w:w="1620" w:type="dxa"/>
            <w:tcBorders>
              <w:top w:val="nil"/>
              <w:left w:val="thickThinSmallGap" w:sz="2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Some college credit, less than Bachelor's degree</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2335</w:t>
            </w:r>
            <w:r w:rsidRPr="000E5D59">
              <w:rPr>
                <w:rFonts w:ascii="Arial" w:eastAsia="Times New Roman" w:hAnsi="Arial" w:cs="Arial"/>
                <w:color w:val="000000"/>
                <w:sz w:val="20"/>
                <w:szCs w:val="20"/>
              </w:rPr>
              <w:br/>
              <w:t>33.95</w:t>
            </w:r>
          </w:p>
        </w:tc>
        <w:tc>
          <w:tcPr>
            <w:tcW w:w="1620" w:type="dxa"/>
            <w:tcBorders>
              <w:top w:val="nil"/>
              <w:left w:val="thickThinSmallGap" w:sz="2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Bachelor's degree</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1930</w:t>
            </w:r>
            <w:r w:rsidRPr="000E5D59">
              <w:rPr>
                <w:rFonts w:ascii="Arial" w:eastAsia="Times New Roman" w:hAnsi="Arial" w:cs="Arial"/>
                <w:color w:val="000000"/>
                <w:sz w:val="20"/>
                <w:szCs w:val="20"/>
              </w:rPr>
              <w:br/>
              <w:t>28.06</w:t>
            </w:r>
          </w:p>
        </w:tc>
        <w:tc>
          <w:tcPr>
            <w:tcW w:w="1620" w:type="dxa"/>
            <w:tcBorders>
              <w:top w:val="nil"/>
              <w:left w:val="thickThinSmallGap" w:sz="2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Professional degree beyond a Bachelor's degree</w:t>
            </w:r>
          </w:p>
        </w:tc>
        <w:tc>
          <w:tcPr>
            <w:tcW w:w="1170"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1665</w:t>
            </w:r>
            <w:r w:rsidRPr="000E5D59">
              <w:rPr>
                <w:rFonts w:ascii="Arial" w:eastAsia="Times New Roman" w:hAnsi="Arial" w:cs="Arial"/>
                <w:color w:val="000000"/>
                <w:sz w:val="20"/>
                <w:szCs w:val="20"/>
              </w:rPr>
              <w:br/>
              <w:t>24.21</w:t>
            </w:r>
          </w:p>
        </w:tc>
        <w:tc>
          <w:tcPr>
            <w:tcW w:w="1620" w:type="dxa"/>
            <w:tcBorders>
              <w:top w:val="nil"/>
              <w:left w:val="thickThinSmallGap" w:sz="2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Annual household income (all sources)</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6279</w:t>
            </w:r>
          </w:p>
        </w:tc>
        <w:tc>
          <w:tcPr>
            <w:tcW w:w="1620" w:type="dxa"/>
            <w:tcBorders>
              <w:top w:val="nil"/>
              <w:left w:val="thickThin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Less than $15,000</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578</w:t>
            </w:r>
            <w:r w:rsidRPr="000E5D59">
              <w:rPr>
                <w:rFonts w:ascii="Arial" w:eastAsia="Times New Roman" w:hAnsi="Arial" w:cs="Arial"/>
                <w:color w:val="000000"/>
                <w:sz w:val="20"/>
                <w:szCs w:val="20"/>
              </w:rPr>
              <w:br/>
              <w:t>9.21</w:t>
            </w:r>
          </w:p>
        </w:tc>
        <w:tc>
          <w:tcPr>
            <w:tcW w:w="1620" w:type="dxa"/>
            <w:tcBorders>
              <w:top w:val="single" w:sz="4" w:space="0" w:color="auto"/>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436</w:t>
            </w:r>
            <w:r w:rsidRPr="000E5D59">
              <w:rPr>
                <w:rFonts w:ascii="Arial" w:eastAsia="Times New Roman" w:hAnsi="Arial" w:cs="Arial"/>
                <w:color w:val="000000"/>
                <w:sz w:val="20"/>
                <w:szCs w:val="20"/>
              </w:rPr>
              <w:br/>
              <w:t>14.65</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141</w:t>
            </w:r>
            <w:r w:rsidRPr="000E5D59">
              <w:rPr>
                <w:rFonts w:ascii="Arial" w:eastAsia="Times New Roman" w:hAnsi="Arial" w:cs="Arial"/>
                <w:color w:val="000000"/>
                <w:sz w:val="20"/>
                <w:szCs w:val="20"/>
              </w:rPr>
              <w:br/>
              <w:t>4.28</w:t>
            </w:r>
          </w:p>
        </w:tc>
        <w:tc>
          <w:tcPr>
            <w:tcW w:w="1170" w:type="dxa"/>
            <w:tcBorders>
              <w:top w:val="nil"/>
              <w:left w:val="nil"/>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$15,000 to $39,999</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1147</w:t>
            </w:r>
            <w:r w:rsidRPr="000E5D59">
              <w:rPr>
                <w:rFonts w:ascii="Arial" w:eastAsia="Times New Roman" w:hAnsi="Arial" w:cs="Arial"/>
                <w:color w:val="000000"/>
                <w:sz w:val="20"/>
                <w:szCs w:val="20"/>
              </w:rPr>
              <w:br/>
              <w:t>18.27</w:t>
            </w:r>
          </w:p>
        </w:tc>
        <w:tc>
          <w:tcPr>
            <w:tcW w:w="162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777</w:t>
            </w:r>
            <w:r w:rsidRPr="000E5D59">
              <w:rPr>
                <w:rFonts w:ascii="Arial" w:eastAsia="Times New Roman" w:hAnsi="Arial" w:cs="Arial"/>
                <w:color w:val="000000"/>
                <w:sz w:val="20"/>
                <w:szCs w:val="20"/>
              </w:rPr>
              <w:br/>
              <w:t>26.11</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368</w:t>
            </w:r>
            <w:r w:rsidRPr="000E5D59">
              <w:rPr>
                <w:rFonts w:ascii="Arial" w:eastAsia="Times New Roman" w:hAnsi="Arial" w:cs="Arial"/>
                <w:color w:val="000000"/>
                <w:sz w:val="20"/>
                <w:szCs w:val="20"/>
              </w:rPr>
              <w:br/>
              <w:t>11.18</w:t>
            </w:r>
          </w:p>
        </w:tc>
        <w:tc>
          <w:tcPr>
            <w:tcW w:w="1170" w:type="dxa"/>
            <w:tcBorders>
              <w:top w:val="nil"/>
              <w:left w:val="nil"/>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$40,000 to $74,999</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1475</w:t>
            </w:r>
            <w:r w:rsidRPr="000E5D59">
              <w:rPr>
                <w:rFonts w:ascii="Arial" w:eastAsia="Times New Roman" w:hAnsi="Arial" w:cs="Arial"/>
                <w:color w:val="000000"/>
                <w:sz w:val="20"/>
                <w:szCs w:val="20"/>
              </w:rPr>
              <w:br/>
              <w:t>23.49</w:t>
            </w:r>
          </w:p>
        </w:tc>
        <w:tc>
          <w:tcPr>
            <w:tcW w:w="162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779</w:t>
            </w:r>
            <w:r w:rsidRPr="000E5D59">
              <w:rPr>
                <w:rFonts w:ascii="Arial" w:eastAsia="Times New Roman" w:hAnsi="Arial" w:cs="Arial"/>
                <w:color w:val="000000"/>
                <w:sz w:val="20"/>
                <w:szCs w:val="20"/>
              </w:rPr>
              <w:br/>
              <w:t>26.18</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694</w:t>
            </w:r>
            <w:r w:rsidRPr="000E5D59">
              <w:rPr>
                <w:rFonts w:ascii="Arial" w:eastAsia="Times New Roman" w:hAnsi="Arial" w:cs="Arial"/>
                <w:color w:val="000000"/>
                <w:sz w:val="20"/>
                <w:szCs w:val="20"/>
              </w:rPr>
              <w:br/>
              <w:t>21.08</w:t>
            </w:r>
          </w:p>
        </w:tc>
        <w:tc>
          <w:tcPr>
            <w:tcW w:w="1170" w:type="dxa"/>
            <w:tcBorders>
              <w:top w:val="nil"/>
              <w:left w:val="nil"/>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$75,000 to $99,999</w:t>
            </w:r>
          </w:p>
        </w:tc>
        <w:tc>
          <w:tcPr>
            <w:tcW w:w="1170" w:type="dxa"/>
            <w:tcBorders>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847</w:t>
            </w:r>
            <w:r w:rsidRPr="000E5D59">
              <w:rPr>
                <w:rFonts w:ascii="Arial" w:eastAsia="Times New Roman" w:hAnsi="Arial" w:cs="Arial"/>
                <w:color w:val="000000"/>
                <w:sz w:val="20"/>
                <w:szCs w:val="20"/>
              </w:rPr>
              <w:br/>
              <w:t>13.49</w:t>
            </w:r>
          </w:p>
        </w:tc>
        <w:tc>
          <w:tcPr>
            <w:tcW w:w="1620" w:type="dxa"/>
            <w:tcBorders>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344</w:t>
            </w:r>
            <w:r w:rsidRPr="000E5D59">
              <w:rPr>
                <w:rFonts w:ascii="Arial" w:eastAsia="Times New Roman" w:hAnsi="Arial" w:cs="Arial"/>
                <w:color w:val="000000"/>
                <w:sz w:val="20"/>
                <w:szCs w:val="20"/>
              </w:rPr>
              <w:br/>
              <w:t>11.56</w:t>
            </w:r>
          </w:p>
        </w:tc>
        <w:tc>
          <w:tcPr>
            <w:tcW w:w="1530" w:type="dxa"/>
            <w:tcBorders>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500</w:t>
            </w:r>
            <w:r w:rsidRPr="000E5D59">
              <w:rPr>
                <w:rFonts w:ascii="Arial" w:eastAsia="Times New Roman" w:hAnsi="Arial" w:cs="Arial"/>
                <w:color w:val="000000"/>
                <w:sz w:val="20"/>
                <w:szCs w:val="20"/>
              </w:rPr>
              <w:br/>
              <w:t>15.18</w:t>
            </w:r>
          </w:p>
        </w:tc>
        <w:tc>
          <w:tcPr>
            <w:tcW w:w="1170" w:type="dxa"/>
            <w:tcBorders>
              <w:top w:val="nil"/>
              <w:left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$100,000 or more</w:t>
            </w:r>
          </w:p>
        </w:tc>
        <w:tc>
          <w:tcPr>
            <w:tcW w:w="1170"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2232</w:t>
            </w:r>
            <w:r w:rsidRPr="000E5D59">
              <w:rPr>
                <w:rFonts w:ascii="Arial" w:eastAsia="Times New Roman" w:hAnsi="Arial" w:cs="Arial"/>
                <w:color w:val="000000"/>
                <w:sz w:val="20"/>
                <w:szCs w:val="20"/>
              </w:rPr>
              <w:br/>
              <w:t>35.55</w:t>
            </w:r>
          </w:p>
        </w:tc>
        <w:tc>
          <w:tcPr>
            <w:tcW w:w="1620" w:type="dxa"/>
            <w:tcBorders>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640</w:t>
            </w:r>
            <w:r w:rsidRPr="000E5D59">
              <w:rPr>
                <w:rFonts w:ascii="Arial" w:eastAsia="Times New Roman" w:hAnsi="Arial" w:cs="Arial"/>
                <w:color w:val="000000"/>
                <w:sz w:val="20"/>
                <w:szCs w:val="20"/>
              </w:rPr>
              <w:br/>
              <w:t>21.51</w:t>
            </w:r>
          </w:p>
        </w:tc>
        <w:tc>
          <w:tcPr>
            <w:tcW w:w="153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1590</w:t>
            </w:r>
            <w:r w:rsidRPr="000E5D59">
              <w:rPr>
                <w:rFonts w:ascii="Arial" w:eastAsia="Times New Roman" w:hAnsi="Arial" w:cs="Arial"/>
                <w:color w:val="000000"/>
                <w:sz w:val="20"/>
                <w:szCs w:val="20"/>
              </w:rPr>
              <w:br/>
              <w:t>48.28</w:t>
            </w:r>
          </w:p>
        </w:tc>
        <w:tc>
          <w:tcPr>
            <w:tcW w:w="1170" w:type="dxa"/>
            <w:tcBorders>
              <w:top w:val="nil"/>
              <w:left w:val="nil"/>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Currently Pregnant</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3070</w:t>
            </w:r>
          </w:p>
        </w:tc>
        <w:tc>
          <w:tcPr>
            <w:tcW w:w="1620" w:type="dxa"/>
            <w:tcBorders>
              <w:top w:val="nil"/>
              <w:left w:val="thickThin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3054</w:t>
            </w:r>
            <w:r w:rsidRPr="000E5D59">
              <w:rPr>
                <w:rFonts w:ascii="Arial" w:eastAsia="Times New Roman" w:hAnsi="Arial" w:cs="Arial"/>
                <w:color w:val="000000"/>
                <w:sz w:val="20"/>
                <w:szCs w:val="20"/>
              </w:rPr>
              <w:br/>
              <w:t>99.48</w:t>
            </w:r>
          </w:p>
        </w:tc>
        <w:tc>
          <w:tcPr>
            <w:tcW w:w="1620" w:type="dxa"/>
            <w:tcBorders>
              <w:top w:val="single" w:sz="4" w:space="0" w:color="auto"/>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1420</w:t>
            </w:r>
            <w:r w:rsidRPr="000E5D59">
              <w:rPr>
                <w:rFonts w:ascii="Arial" w:eastAsia="Times New Roman" w:hAnsi="Arial" w:cs="Arial"/>
                <w:color w:val="000000"/>
                <w:sz w:val="20"/>
                <w:szCs w:val="20"/>
              </w:rPr>
              <w:br/>
              <w:t>99.58</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1626</w:t>
            </w:r>
            <w:r w:rsidRPr="000E5D59">
              <w:rPr>
                <w:rFonts w:ascii="Arial" w:eastAsia="Times New Roman" w:hAnsi="Arial" w:cs="Arial"/>
                <w:color w:val="000000"/>
                <w:sz w:val="20"/>
                <w:szCs w:val="20"/>
              </w:rPr>
              <w:br/>
              <w:t>99.39</w:t>
            </w:r>
          </w:p>
        </w:tc>
        <w:tc>
          <w:tcPr>
            <w:tcW w:w="1170" w:type="dxa"/>
            <w:tcBorders>
              <w:top w:val="nil"/>
              <w:left w:val="nil"/>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Yes</w:t>
            </w:r>
          </w:p>
        </w:tc>
        <w:tc>
          <w:tcPr>
            <w:tcW w:w="1170" w:type="dxa"/>
            <w:tcBorders>
              <w:left w:val="single" w:sz="8" w:space="0" w:color="auto"/>
              <w:bottom w:val="double" w:sz="6"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w:t>
            </w:r>
            <w:r w:rsidRPr="000E5D59">
              <w:rPr>
                <w:rFonts w:ascii="Arial" w:eastAsia="Times New Roman" w:hAnsi="Arial" w:cs="Arial"/>
                <w:color w:val="000000"/>
                <w:sz w:val="20"/>
                <w:szCs w:val="20"/>
              </w:rPr>
              <w:br/>
              <w:t>0.52</w:t>
            </w:r>
          </w:p>
        </w:tc>
        <w:tc>
          <w:tcPr>
            <w:tcW w:w="1620" w:type="dxa"/>
            <w:tcBorders>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w:t>
            </w:r>
            <w:r w:rsidRPr="000E5D59">
              <w:rPr>
                <w:rFonts w:ascii="Arial" w:eastAsia="Times New Roman" w:hAnsi="Arial" w:cs="Arial"/>
                <w:color w:val="000000"/>
                <w:sz w:val="20"/>
                <w:szCs w:val="20"/>
              </w:rPr>
              <w:br/>
              <w:t>0.42</w:t>
            </w:r>
          </w:p>
        </w:tc>
        <w:tc>
          <w:tcPr>
            <w:tcW w:w="1530" w:type="dxa"/>
            <w:tcBorders>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w:t>
            </w:r>
            <w:r w:rsidRPr="000E5D59">
              <w:rPr>
                <w:rFonts w:ascii="Arial" w:eastAsia="Times New Roman" w:hAnsi="Arial" w:cs="Arial"/>
                <w:color w:val="000000"/>
                <w:sz w:val="20"/>
                <w:szCs w:val="20"/>
              </w:rPr>
              <w:br/>
              <w:t>0.61</w:t>
            </w:r>
          </w:p>
        </w:tc>
        <w:tc>
          <w:tcPr>
            <w:tcW w:w="1170" w:type="dxa"/>
            <w:tcBorders>
              <w:top w:val="nil"/>
              <w:left w:val="nil"/>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single" w:sz="4" w:space="0" w:color="auto"/>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Currently Breastfeeding</w:t>
            </w:r>
          </w:p>
        </w:tc>
        <w:tc>
          <w:tcPr>
            <w:tcW w:w="1170" w:type="dxa"/>
            <w:tcBorders>
              <w:top w:val="nil"/>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3061</w:t>
            </w:r>
          </w:p>
        </w:tc>
        <w:tc>
          <w:tcPr>
            <w:tcW w:w="1620" w:type="dxa"/>
            <w:tcBorders>
              <w:top w:val="nil"/>
              <w:left w:val="thickThinSmallGap" w:sz="2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3975" w:type="dxa"/>
            <w:tcBorders>
              <w:top w:val="nil"/>
              <w:left w:val="single" w:sz="8"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w:t>
            </w:r>
          </w:p>
        </w:tc>
        <w:tc>
          <w:tcPr>
            <w:tcW w:w="1170" w:type="dxa"/>
            <w:tcBorders>
              <w:top w:val="single" w:sz="4" w:space="0" w:color="auto"/>
              <w:left w:val="single" w:sz="8"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3058</w:t>
            </w:r>
            <w:r w:rsidRPr="000E5D59">
              <w:rPr>
                <w:rFonts w:ascii="Arial" w:eastAsia="Times New Roman" w:hAnsi="Arial" w:cs="Arial"/>
                <w:color w:val="000000"/>
                <w:sz w:val="20"/>
                <w:szCs w:val="20"/>
              </w:rPr>
              <w:br/>
              <w:t>99.90</w:t>
            </w:r>
          </w:p>
        </w:tc>
        <w:tc>
          <w:tcPr>
            <w:tcW w:w="1620" w:type="dxa"/>
            <w:tcBorders>
              <w:top w:val="single" w:sz="4" w:space="0" w:color="auto"/>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1415</w:t>
            </w:r>
            <w:r w:rsidRPr="000E5D59">
              <w:rPr>
                <w:rFonts w:ascii="Arial" w:eastAsia="Times New Roman" w:hAnsi="Arial" w:cs="Arial"/>
                <w:color w:val="000000"/>
                <w:sz w:val="20"/>
                <w:szCs w:val="20"/>
              </w:rPr>
              <w:br/>
              <w:t>99.86</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1636</w:t>
            </w:r>
            <w:r w:rsidRPr="000E5D59">
              <w:rPr>
                <w:rFonts w:ascii="Arial" w:eastAsia="Times New Roman" w:hAnsi="Arial" w:cs="Arial"/>
                <w:color w:val="000000"/>
                <w:sz w:val="20"/>
                <w:szCs w:val="20"/>
              </w:rPr>
              <w:br/>
              <w:t>99.94</w:t>
            </w:r>
          </w:p>
        </w:tc>
        <w:tc>
          <w:tcPr>
            <w:tcW w:w="1170" w:type="dxa"/>
            <w:tcBorders>
              <w:top w:val="nil"/>
              <w:left w:val="nil"/>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8"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Yes</w:t>
            </w:r>
          </w:p>
        </w:tc>
        <w:tc>
          <w:tcPr>
            <w:tcW w:w="1170" w:type="dxa"/>
            <w:tcBorders>
              <w:left w:val="single" w:sz="8" w:space="0" w:color="auto"/>
              <w:bottom w:val="single" w:sz="4" w:space="0" w:color="auto"/>
              <w:right w:val="thinThick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w:t>
            </w:r>
            <w:r w:rsidRPr="000E5D59">
              <w:rPr>
                <w:rFonts w:ascii="Arial" w:eastAsia="Times New Roman" w:hAnsi="Arial" w:cs="Arial"/>
                <w:color w:val="000000"/>
                <w:sz w:val="20"/>
                <w:szCs w:val="20"/>
              </w:rPr>
              <w:br/>
              <w:t>0.10</w:t>
            </w:r>
          </w:p>
        </w:tc>
        <w:tc>
          <w:tcPr>
            <w:tcW w:w="1620" w:type="dxa"/>
            <w:tcBorders>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w:t>
            </w:r>
            <w:r w:rsidRPr="000E5D59">
              <w:rPr>
                <w:rFonts w:ascii="Arial" w:eastAsia="Times New Roman" w:hAnsi="Arial" w:cs="Arial"/>
                <w:color w:val="000000"/>
                <w:sz w:val="20"/>
                <w:szCs w:val="20"/>
              </w:rPr>
              <w:br/>
              <w:t>0.14</w:t>
            </w:r>
          </w:p>
        </w:tc>
        <w:tc>
          <w:tcPr>
            <w:tcW w:w="1530" w:type="dxa"/>
            <w:tcBorders>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w:t>
            </w:r>
            <w:r w:rsidRPr="000E5D59">
              <w:rPr>
                <w:rFonts w:ascii="Arial" w:eastAsia="Times New Roman" w:hAnsi="Arial" w:cs="Arial"/>
                <w:color w:val="000000"/>
                <w:sz w:val="20"/>
                <w:szCs w:val="20"/>
              </w:rPr>
              <w:br/>
              <w:t>0.06</w:t>
            </w:r>
          </w:p>
        </w:tc>
        <w:tc>
          <w:tcPr>
            <w:tcW w:w="1170" w:type="dxa"/>
            <w:tcBorders>
              <w:top w:val="nil"/>
              <w:left w:val="nil"/>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9465" w:type="dxa"/>
            <w:gridSpan w:val="5"/>
            <w:tcBorders>
              <w:top w:val="single" w:sz="4" w:space="0" w:color="auto"/>
              <w:left w:val="single" w:sz="8" w:space="0" w:color="auto"/>
              <w:bottom w:val="single" w:sz="8" w:space="0" w:color="auto"/>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i/>
                <w:iCs/>
                <w:color w:val="000000"/>
                <w:sz w:val="20"/>
                <w:szCs w:val="20"/>
              </w:rPr>
              <w:t>*p&lt;0.05; **p&lt;0.01; ***p&lt;0.001; ****p&lt;0.0001; ns=not significant</w:t>
            </w:r>
          </w:p>
        </w:tc>
      </w:tr>
    </w:tbl>
    <w:p w:rsidR="000E5D59" w:rsidRPr="000E5D59" w:rsidRDefault="000E5D59" w:rsidP="006057BE">
      <w:pPr>
        <w:spacing w:after="0" w:line="240" w:lineRule="auto"/>
        <w:rPr>
          <w:rFonts w:ascii="Calibri" w:eastAsia="Calibri" w:hAnsi="Calibri" w:cs="Times New Roman"/>
          <w:sz w:val="24"/>
          <w:szCs w:val="24"/>
        </w:rPr>
      </w:pPr>
    </w:p>
    <w:p w:rsidR="000E5D59" w:rsidRPr="000E5D59" w:rsidRDefault="000E5D59" w:rsidP="00AC40A7">
      <w:pPr>
        <w:pStyle w:val="Heading3"/>
      </w:pPr>
      <w:bookmarkStart w:id="209" w:name="_Toc11765947"/>
      <w:bookmarkStart w:id="210" w:name="_Toc11766602"/>
      <w:r w:rsidRPr="000E5D59">
        <w:t>Marijuana and Marijuana Product Use</w:t>
      </w:r>
      <w:bookmarkEnd w:id="209"/>
      <w:bookmarkEnd w:id="210"/>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 3A, 3B, and 3C</w:t>
      </w:r>
      <w:r w:rsidRPr="000E5D59">
        <w:rPr>
          <w:rFonts w:ascii="Arial" w:eastAsia="Calibri" w:hAnsi="Arial" w:cs="Arial"/>
          <w:sz w:val="24"/>
          <w:szCs w:val="24"/>
        </w:rPr>
        <w:t xml:space="preserve"> show results of survey responses pertaining to marijuana and marijuana product use, with comparisons by gender, age group, and educational attainment, respectively. All survey respondents were asked to report on the number of days in the past 30 days that they used marijuana or marijuana products. On average, respondents reported marijuana use for 23.5 days out of 30. Over 60% of respondents reported marijuana use for over 20 out of 30 days, while approximately 8% reported no use. A slightly higher rate of respondents under the age of 51 reported at least 11 days of use compared to respondents over age 50 (82% vs. 76%). A larger proportion of respondents without a Bachelor’s degree than respondents with a Bachelor’s degree reported use for over 20 out of 30 days (65% vs. 56%).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lastRenderedPageBreak/>
        <w:t>Respondents who indicated having used marijuana or marijuana products at least once in the past 30 days were asked to report their total monthly expenditures on marijuana and marijuana products. Almost 40% of these respondents reported spending at least $201 on marijuana or marijuana products in the past 30 days, while only 10% reported spending nothing. On average, male respondents reported spending approximately $20 more than females, with a larger proportion of males than females spending at least $151 (56% vs. 51%). Respondents under age 51 reported spending an average of $82 more than older respondents, with a larger proportion of younger respondents than older spending at least $151 (60% vs. 47%). Respondents without a Bachelor’s degree spent approximately $71 more than respondents with a Bachelor’s degree, with a larger proportion of respondents without a Bachelor’s spending at least $151 (61% vs. 48%).</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All survey respondents were asked to indicate the purpose of their marijuana use in the past 30 days. 93% of respondents reported medical use of marijuana certified by a medical practitioner, 6% reported medical use not certified by a medical practitioner, and 17% of respondents reported recreational use of marijuana. Respondents younger than 51 years old reported higher rates of recreational use than older respondents (20% vs, 14%). Respondents with a Bachelor’s degree reported higher rates of recreational use than respondents without a Bachelor’s degree (20% vs. 14%).</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 </w:t>
      </w:r>
    </w:p>
    <w:p w:rsidR="000941B7" w:rsidRDefault="000941B7" w:rsidP="006057BE">
      <w:pPr>
        <w:spacing w:after="0" w:line="240" w:lineRule="auto"/>
        <w:rPr>
          <w:rFonts w:ascii="Arial" w:eastAsia="Calibri" w:hAnsi="Arial" w:cs="Arial"/>
          <w:b/>
          <w:sz w:val="24"/>
          <w:szCs w:val="24"/>
        </w:r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Table 3A: DPH Patient Survey Marijuana an</w:t>
      </w:r>
      <w:r w:rsidR="000941B7">
        <w:rPr>
          <w:rFonts w:ascii="Arial" w:eastAsia="Calibri" w:hAnsi="Arial" w:cs="Arial"/>
          <w:b/>
          <w:sz w:val="24"/>
          <w:szCs w:val="24"/>
        </w:rPr>
        <w:t xml:space="preserve">d Marijuana Products by Gender </w:t>
      </w:r>
    </w:p>
    <w:tbl>
      <w:tblPr>
        <w:tblW w:w="9465" w:type="dxa"/>
        <w:tblInd w:w="93" w:type="dxa"/>
        <w:tblLayout w:type="fixed"/>
        <w:tblLook w:val="04A0" w:firstRow="1" w:lastRow="0" w:firstColumn="1" w:lastColumn="0" w:noHBand="0" w:noVBand="1"/>
        <w:tblCaption w:val="Department of Public Health Patient Survey Marijuana and Marijuana Products by Gender "/>
        <w:tblDescription w:val="The table summarizes comparisons between male and female respondants regarding number of days using marijuana (out of past 30 days), money spent on marijuana, and purpose of use. On average, male respondents reported spending approximately $20 more than females, with a larger proportion of males than females spending at least $151. "/>
      </w:tblPr>
      <w:tblGrid>
        <w:gridCol w:w="3975"/>
        <w:gridCol w:w="1170"/>
        <w:gridCol w:w="1620"/>
        <w:gridCol w:w="1530"/>
        <w:gridCol w:w="1170"/>
      </w:tblGrid>
      <w:tr w:rsidR="000E5D59" w:rsidRPr="000E5D59" w:rsidTr="00784755">
        <w:trPr>
          <w:trHeight w:val="20"/>
        </w:trPr>
        <w:tc>
          <w:tcPr>
            <w:tcW w:w="3975" w:type="dxa"/>
            <w:vMerge w:val="restart"/>
            <w:tcBorders>
              <w:top w:val="single" w:sz="4" w:space="0" w:color="auto"/>
              <w:left w:val="single" w:sz="4" w:space="0" w:color="auto"/>
              <w:bottom w:val="single" w:sz="8" w:space="0" w:color="000000"/>
              <w:right w:val="nil"/>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r w:rsidRPr="000E5D59">
              <w:rPr>
                <w:rFonts w:ascii="Arial" w:eastAsia="Times New Roman" w:hAnsi="Arial" w:cs="Arial"/>
                <w:color w:val="000000"/>
                <w:sz w:val="20"/>
                <w:szCs w:val="20"/>
              </w:rPr>
              <w:t>  </w:t>
            </w:r>
          </w:p>
        </w:tc>
        <w:tc>
          <w:tcPr>
            <w:tcW w:w="432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Gender</w:t>
            </w:r>
          </w:p>
        </w:tc>
      </w:tr>
      <w:tr w:rsidR="000E5D59" w:rsidRPr="000E5D59" w:rsidTr="00784755">
        <w:trPr>
          <w:trHeight w:val="20"/>
        </w:trPr>
        <w:tc>
          <w:tcPr>
            <w:tcW w:w="3975" w:type="dxa"/>
            <w:vMerge/>
            <w:tcBorders>
              <w:top w:val="nil"/>
              <w:left w:val="single" w:sz="4" w:space="0" w:color="auto"/>
              <w:bottom w:val="single" w:sz="8" w:space="0" w:color="000000"/>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17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Male</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(N=3732)</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Female</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(N=3056)</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xml:space="preserve">Number of days in past 30 days using marijuana (Mean; Std.)  </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23.53</w:t>
            </w:r>
            <w:r w:rsidRPr="000E5D59">
              <w:rPr>
                <w:rFonts w:ascii="Arial" w:eastAsia="Times New Roman" w:hAnsi="Arial" w:cs="Arial"/>
                <w:color w:val="000000"/>
                <w:sz w:val="20"/>
                <w:szCs w:val="20"/>
              </w:rPr>
              <w:br/>
              <w:t>8.58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23.78</w:t>
            </w:r>
            <w:r w:rsidRPr="000E5D59">
              <w:rPr>
                <w:rFonts w:ascii="Arial" w:eastAsia="Times New Roman" w:hAnsi="Arial" w:cs="Arial"/>
                <w:color w:val="000000"/>
                <w:sz w:val="20"/>
                <w:szCs w:val="20"/>
              </w:rPr>
              <w:br/>
              <w:t>8.36</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23.20</w:t>
            </w:r>
            <w:r w:rsidRPr="000E5D59">
              <w:rPr>
                <w:rFonts w:ascii="Arial" w:eastAsia="Times New Roman" w:hAnsi="Arial" w:cs="Arial"/>
                <w:color w:val="000000"/>
                <w:sz w:val="20"/>
                <w:szCs w:val="20"/>
              </w:rPr>
              <w:br/>
              <w:t>8.86</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Number of days in past 30 days using marijuana</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6640</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0 days</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529</w:t>
            </w:r>
            <w:r w:rsidRPr="000E5D59">
              <w:rPr>
                <w:rFonts w:ascii="Arial" w:eastAsia="Times New Roman" w:hAnsi="Arial" w:cs="Arial"/>
                <w:color w:val="000000"/>
                <w:sz w:val="20"/>
                <w:szCs w:val="20"/>
              </w:rPr>
              <w:br/>
              <w:t>7.97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278</w:t>
            </w:r>
            <w:r w:rsidRPr="000E5D59">
              <w:rPr>
                <w:rFonts w:ascii="Arial" w:eastAsia="Times New Roman" w:hAnsi="Arial" w:cs="Arial"/>
                <w:color w:val="000000"/>
                <w:sz w:val="20"/>
                <w:szCs w:val="20"/>
              </w:rPr>
              <w:br/>
              <w:t>7.78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237</w:t>
            </w:r>
            <w:r w:rsidRPr="000E5D59">
              <w:rPr>
                <w:rFonts w:ascii="Arial" w:eastAsia="Times New Roman" w:hAnsi="Arial" w:cs="Arial"/>
                <w:color w:val="000000"/>
                <w:sz w:val="20"/>
                <w:szCs w:val="20"/>
              </w:rPr>
              <w:br/>
              <w:t>8.01</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 days</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370</w:t>
            </w:r>
            <w:r w:rsidRPr="000E5D59">
              <w:rPr>
                <w:rFonts w:ascii="Arial" w:eastAsia="Times New Roman" w:hAnsi="Arial" w:cs="Arial"/>
                <w:color w:val="000000"/>
                <w:sz w:val="20"/>
                <w:szCs w:val="20"/>
              </w:rPr>
              <w:br/>
              <w:t>5.57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168</w:t>
            </w:r>
            <w:r w:rsidRPr="000E5D59">
              <w:rPr>
                <w:rFonts w:ascii="Arial" w:eastAsia="Times New Roman" w:hAnsi="Arial" w:cs="Arial"/>
                <w:color w:val="000000"/>
                <w:sz w:val="20"/>
                <w:szCs w:val="20"/>
              </w:rPr>
              <w:br/>
              <w:t>4.70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196</w:t>
            </w:r>
            <w:r w:rsidRPr="000E5D59">
              <w:rPr>
                <w:rFonts w:ascii="Arial" w:eastAsia="Times New Roman" w:hAnsi="Arial" w:cs="Arial"/>
                <w:color w:val="000000"/>
                <w:sz w:val="20"/>
                <w:szCs w:val="20"/>
              </w:rPr>
              <w:br/>
              <w:t>6.63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6-10 days</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495</w:t>
            </w:r>
            <w:r w:rsidRPr="000E5D59">
              <w:rPr>
                <w:rFonts w:ascii="Arial" w:eastAsia="Times New Roman" w:hAnsi="Arial" w:cs="Arial"/>
                <w:color w:val="000000"/>
                <w:sz w:val="20"/>
                <w:szCs w:val="20"/>
              </w:rPr>
              <w:br/>
              <w:t>7.45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260</w:t>
            </w:r>
            <w:r w:rsidRPr="000E5D59">
              <w:rPr>
                <w:rFonts w:ascii="Arial" w:eastAsia="Times New Roman" w:hAnsi="Arial" w:cs="Arial"/>
                <w:color w:val="000000"/>
                <w:sz w:val="20"/>
                <w:szCs w:val="20"/>
              </w:rPr>
              <w:br/>
              <w:t>7.28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230</w:t>
            </w:r>
            <w:r w:rsidRPr="000E5D59">
              <w:rPr>
                <w:rFonts w:ascii="Arial" w:eastAsia="Times New Roman" w:hAnsi="Arial" w:cs="Arial"/>
                <w:color w:val="000000"/>
                <w:sz w:val="20"/>
                <w:szCs w:val="20"/>
              </w:rPr>
              <w:br/>
              <w:t>7.78</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11-20 days</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1223</w:t>
            </w:r>
            <w:r w:rsidRPr="000E5D59">
              <w:rPr>
                <w:rFonts w:ascii="Arial" w:eastAsia="Times New Roman" w:hAnsi="Arial" w:cs="Arial"/>
                <w:color w:val="000000"/>
                <w:sz w:val="20"/>
                <w:szCs w:val="20"/>
              </w:rPr>
              <w:br/>
              <w:t>18.42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662</w:t>
            </w:r>
            <w:r w:rsidRPr="000E5D59">
              <w:rPr>
                <w:rFonts w:ascii="Arial" w:eastAsia="Times New Roman" w:hAnsi="Arial" w:cs="Arial"/>
                <w:color w:val="000000"/>
                <w:sz w:val="20"/>
                <w:szCs w:val="20"/>
              </w:rPr>
              <w:br/>
              <w:t>18.54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546</w:t>
            </w:r>
            <w:r w:rsidRPr="000E5D59">
              <w:rPr>
                <w:rFonts w:ascii="Arial" w:eastAsia="Times New Roman" w:hAnsi="Arial" w:cs="Arial"/>
                <w:color w:val="000000"/>
                <w:sz w:val="20"/>
                <w:szCs w:val="20"/>
              </w:rPr>
              <w:br/>
              <w:t>18.46</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21-30 days</w:t>
            </w:r>
          </w:p>
        </w:tc>
        <w:tc>
          <w:tcPr>
            <w:tcW w:w="117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4023</w:t>
            </w:r>
            <w:r w:rsidRPr="000E5D59">
              <w:rPr>
                <w:rFonts w:ascii="Arial" w:eastAsia="Times New Roman" w:hAnsi="Arial" w:cs="Arial"/>
                <w:color w:val="000000"/>
                <w:sz w:val="20"/>
                <w:szCs w:val="20"/>
              </w:rPr>
              <w:br/>
              <w:t>60.59</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2203</w:t>
            </w:r>
            <w:r w:rsidRPr="000E5D59">
              <w:rPr>
                <w:rFonts w:ascii="Arial" w:eastAsia="Times New Roman" w:hAnsi="Arial" w:cs="Arial"/>
                <w:color w:val="000000"/>
                <w:sz w:val="20"/>
                <w:szCs w:val="20"/>
              </w:rPr>
              <w:br/>
              <w:t>61.69</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1748</w:t>
            </w:r>
            <w:r w:rsidRPr="000E5D59">
              <w:rPr>
                <w:rFonts w:ascii="Arial" w:eastAsia="Times New Roman" w:hAnsi="Arial" w:cs="Arial"/>
                <w:color w:val="000000"/>
                <w:sz w:val="20"/>
                <w:szCs w:val="20"/>
              </w:rPr>
              <w:br/>
              <w:t>59.11</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Money spent on marijuana in past 30 days (Mean; Std.) †</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$245.59</w:t>
            </w:r>
            <w:r w:rsidRPr="000E5D59">
              <w:rPr>
                <w:rFonts w:ascii="Arial" w:eastAsia="Times New Roman" w:hAnsi="Arial" w:cs="Arial"/>
                <w:color w:val="000000"/>
                <w:sz w:val="20"/>
                <w:szCs w:val="20"/>
              </w:rPr>
              <w:br/>
              <w:t>313.61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$255.06</w:t>
            </w:r>
            <w:r w:rsidRPr="000E5D59">
              <w:rPr>
                <w:rFonts w:ascii="Arial" w:eastAsia="Times New Roman" w:hAnsi="Arial" w:cs="Arial"/>
                <w:color w:val="000000"/>
                <w:sz w:val="20"/>
                <w:szCs w:val="20"/>
              </w:rPr>
              <w:br/>
              <w:t>286.36</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$235.00</w:t>
            </w:r>
            <w:r w:rsidRPr="000E5D59">
              <w:rPr>
                <w:rFonts w:ascii="Arial" w:eastAsia="Times New Roman" w:hAnsi="Arial" w:cs="Arial"/>
                <w:color w:val="000000"/>
                <w:sz w:val="20"/>
                <w:szCs w:val="20"/>
              </w:rPr>
              <w:br/>
              <w:t>346.64</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xml:space="preserve">Total money spent on marijuana / products in past 30 days   </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4798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xml:space="preserve">$0 </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496</w:t>
            </w:r>
            <w:r w:rsidRPr="000E5D59">
              <w:rPr>
                <w:rFonts w:ascii="Arial" w:eastAsia="Times New Roman" w:hAnsi="Arial" w:cs="Arial"/>
                <w:color w:val="000000"/>
                <w:sz w:val="20"/>
                <w:szCs w:val="20"/>
              </w:rPr>
              <w:br/>
              <w:t>10.34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226</w:t>
            </w:r>
            <w:r w:rsidRPr="000E5D59">
              <w:rPr>
                <w:rFonts w:ascii="Arial" w:eastAsia="Times New Roman" w:hAnsi="Arial" w:cs="Arial"/>
                <w:color w:val="000000"/>
                <w:sz w:val="20"/>
                <w:szCs w:val="20"/>
              </w:rPr>
              <w:br/>
              <w:t>8.65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263</w:t>
            </w:r>
            <w:r w:rsidRPr="000E5D59">
              <w:rPr>
                <w:rFonts w:ascii="Arial" w:eastAsia="Times New Roman" w:hAnsi="Arial" w:cs="Arial"/>
                <w:color w:val="000000"/>
                <w:sz w:val="20"/>
                <w:szCs w:val="20"/>
              </w:rPr>
              <w:br/>
              <w:t>12.43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$1 - $50</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348</w:t>
            </w:r>
            <w:r w:rsidRPr="000E5D59">
              <w:rPr>
                <w:rFonts w:ascii="Arial" w:eastAsia="Times New Roman" w:hAnsi="Arial" w:cs="Arial"/>
                <w:color w:val="000000"/>
                <w:sz w:val="20"/>
                <w:szCs w:val="20"/>
              </w:rPr>
              <w:br/>
              <w:t>7.25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190</w:t>
            </w:r>
            <w:r w:rsidRPr="000E5D59">
              <w:rPr>
                <w:rFonts w:ascii="Arial" w:eastAsia="Times New Roman" w:hAnsi="Arial" w:cs="Arial"/>
                <w:color w:val="000000"/>
                <w:sz w:val="20"/>
                <w:szCs w:val="20"/>
              </w:rPr>
              <w:br/>
              <w:t>7.27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149</w:t>
            </w:r>
            <w:r w:rsidRPr="000E5D59">
              <w:rPr>
                <w:rFonts w:ascii="Arial" w:eastAsia="Times New Roman" w:hAnsi="Arial" w:cs="Arial"/>
                <w:color w:val="000000"/>
                <w:sz w:val="20"/>
                <w:szCs w:val="20"/>
              </w:rPr>
              <w:br/>
              <w:t>7.04</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$51 to $100</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809</w:t>
            </w:r>
            <w:r w:rsidRPr="000E5D59">
              <w:rPr>
                <w:rFonts w:ascii="Arial" w:eastAsia="Times New Roman" w:hAnsi="Arial" w:cs="Arial"/>
                <w:color w:val="000000"/>
                <w:sz w:val="20"/>
                <w:szCs w:val="20"/>
              </w:rPr>
              <w:br/>
              <w:t>16.86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450</w:t>
            </w:r>
            <w:r w:rsidRPr="000E5D59">
              <w:rPr>
                <w:rFonts w:ascii="Arial" w:eastAsia="Times New Roman" w:hAnsi="Arial" w:cs="Arial"/>
                <w:color w:val="000000"/>
                <w:sz w:val="20"/>
                <w:szCs w:val="20"/>
              </w:rPr>
              <w:br/>
              <w:t>17.21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346</w:t>
            </w:r>
            <w:r w:rsidRPr="000E5D59">
              <w:rPr>
                <w:rFonts w:ascii="Arial" w:eastAsia="Times New Roman" w:hAnsi="Arial" w:cs="Arial"/>
                <w:color w:val="000000"/>
                <w:sz w:val="20"/>
                <w:szCs w:val="20"/>
              </w:rPr>
              <w:br/>
              <w:t>16.36</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$101 to $150</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571</w:t>
            </w:r>
            <w:r w:rsidRPr="000E5D59">
              <w:rPr>
                <w:rFonts w:ascii="Arial" w:eastAsia="Times New Roman" w:hAnsi="Arial" w:cs="Arial"/>
                <w:color w:val="000000"/>
                <w:sz w:val="20"/>
                <w:szCs w:val="20"/>
              </w:rPr>
              <w:br/>
              <w:t>11.90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287</w:t>
            </w:r>
            <w:r w:rsidRPr="000E5D59">
              <w:rPr>
                <w:rFonts w:ascii="Arial" w:eastAsia="Times New Roman" w:hAnsi="Arial" w:cs="Arial"/>
                <w:color w:val="000000"/>
                <w:sz w:val="20"/>
                <w:szCs w:val="20"/>
              </w:rPr>
              <w:br/>
              <w:t>10.98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278</w:t>
            </w:r>
            <w:r w:rsidRPr="000E5D59">
              <w:rPr>
                <w:rFonts w:ascii="Arial" w:eastAsia="Times New Roman" w:hAnsi="Arial" w:cs="Arial"/>
                <w:color w:val="000000"/>
                <w:sz w:val="20"/>
                <w:szCs w:val="20"/>
              </w:rPr>
              <w:br/>
              <w:t>13.14</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$151 to $200</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687</w:t>
            </w:r>
            <w:r w:rsidRPr="000E5D59">
              <w:rPr>
                <w:rFonts w:ascii="Arial" w:eastAsia="Times New Roman" w:hAnsi="Arial" w:cs="Arial"/>
                <w:color w:val="000000"/>
                <w:sz w:val="20"/>
                <w:szCs w:val="20"/>
              </w:rPr>
              <w:br/>
              <w:t>14.32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383</w:t>
            </w:r>
            <w:r w:rsidRPr="000E5D59">
              <w:rPr>
                <w:rFonts w:ascii="Arial" w:eastAsia="Times New Roman" w:hAnsi="Arial" w:cs="Arial"/>
                <w:color w:val="000000"/>
                <w:sz w:val="20"/>
                <w:szCs w:val="20"/>
              </w:rPr>
              <w:br/>
              <w:t>14.65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294</w:t>
            </w:r>
            <w:r w:rsidRPr="000E5D59">
              <w:rPr>
                <w:rFonts w:ascii="Arial" w:eastAsia="Times New Roman" w:hAnsi="Arial" w:cs="Arial"/>
                <w:color w:val="000000"/>
                <w:sz w:val="20"/>
                <w:szCs w:val="20"/>
              </w:rPr>
              <w:br/>
              <w:t>13.90</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$201 or more</w:t>
            </w:r>
          </w:p>
        </w:tc>
        <w:tc>
          <w:tcPr>
            <w:tcW w:w="117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1887</w:t>
            </w:r>
            <w:r w:rsidRPr="000E5D59">
              <w:rPr>
                <w:rFonts w:ascii="Arial" w:eastAsia="Times New Roman" w:hAnsi="Arial" w:cs="Arial"/>
                <w:color w:val="000000"/>
                <w:sz w:val="20"/>
                <w:szCs w:val="20"/>
              </w:rPr>
              <w:br/>
              <w:t>39.33</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1078</w:t>
            </w:r>
            <w:r w:rsidRPr="000E5D59">
              <w:rPr>
                <w:rFonts w:ascii="Arial" w:eastAsia="Times New Roman" w:hAnsi="Arial" w:cs="Arial"/>
                <w:color w:val="000000"/>
                <w:sz w:val="20"/>
                <w:szCs w:val="20"/>
              </w:rPr>
              <w:br/>
              <w:t>41.24</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785</w:t>
            </w:r>
            <w:r w:rsidRPr="000E5D59">
              <w:rPr>
                <w:rFonts w:ascii="Arial" w:eastAsia="Times New Roman" w:hAnsi="Arial" w:cs="Arial"/>
                <w:color w:val="000000"/>
                <w:sz w:val="20"/>
                <w:szCs w:val="20"/>
              </w:rPr>
              <w:br/>
              <w:t>37.12</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Purpose of marijuana use †‡</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620" w:type="dxa"/>
            <w:tcBorders>
              <w:top w:val="nil"/>
              <w:left w:val="thickThinSmallGap" w:sz="2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Recreational (non-medical, e.g., to get high) only</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1038</w:t>
            </w:r>
            <w:r w:rsidRPr="000E5D59">
              <w:rPr>
                <w:rFonts w:ascii="Arial" w:eastAsia="Times New Roman" w:hAnsi="Arial" w:cs="Arial"/>
                <w:color w:val="000000"/>
                <w:sz w:val="20"/>
                <w:szCs w:val="20"/>
              </w:rPr>
              <w:br/>
              <w:t>17.00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585</w:t>
            </w:r>
            <w:r w:rsidRPr="000E5D59">
              <w:rPr>
                <w:rFonts w:ascii="Arial" w:eastAsia="Times New Roman" w:hAnsi="Arial" w:cs="Arial"/>
                <w:color w:val="000000"/>
                <w:sz w:val="20"/>
                <w:szCs w:val="20"/>
              </w:rPr>
              <w:br/>
              <w:t>17.79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428</w:t>
            </w:r>
            <w:r w:rsidRPr="000E5D59">
              <w:rPr>
                <w:rFonts w:ascii="Arial" w:eastAsia="Times New Roman" w:hAnsi="Arial" w:cs="Arial"/>
                <w:color w:val="000000"/>
                <w:sz w:val="20"/>
                <w:szCs w:val="20"/>
              </w:rPr>
              <w:br/>
              <w:t>15.74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Medical use NOT certified by a qualified practitioner only</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380</w:t>
            </w:r>
            <w:r w:rsidRPr="000E5D59">
              <w:rPr>
                <w:rFonts w:ascii="Arial" w:eastAsia="Times New Roman" w:hAnsi="Arial" w:cs="Arial"/>
                <w:color w:val="000000"/>
                <w:sz w:val="20"/>
                <w:szCs w:val="20"/>
              </w:rPr>
              <w:br/>
              <w:t>6.22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238</w:t>
            </w:r>
            <w:r w:rsidRPr="000E5D59">
              <w:rPr>
                <w:rFonts w:ascii="Arial" w:eastAsia="Times New Roman" w:hAnsi="Arial" w:cs="Arial"/>
                <w:color w:val="000000"/>
                <w:sz w:val="20"/>
                <w:szCs w:val="20"/>
              </w:rPr>
              <w:br/>
              <w:t>7.24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134</w:t>
            </w:r>
            <w:r w:rsidRPr="000E5D59">
              <w:rPr>
                <w:rFonts w:ascii="Arial" w:eastAsia="Times New Roman" w:hAnsi="Arial" w:cs="Arial"/>
                <w:color w:val="000000"/>
                <w:sz w:val="20"/>
                <w:szCs w:val="20"/>
              </w:rPr>
              <w:br/>
              <w:t>4.93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Medical use certified by a qualified practitioner only</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5690</w:t>
            </w:r>
            <w:r w:rsidRPr="000E5D59">
              <w:rPr>
                <w:rFonts w:ascii="Arial" w:eastAsia="Times New Roman" w:hAnsi="Arial" w:cs="Arial"/>
                <w:color w:val="000000"/>
                <w:sz w:val="20"/>
                <w:szCs w:val="20"/>
              </w:rPr>
              <w:br/>
              <w:t>93.2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3029</w:t>
            </w:r>
            <w:r w:rsidRPr="000E5D59">
              <w:rPr>
                <w:rFonts w:ascii="Arial" w:eastAsia="Times New Roman" w:hAnsi="Arial" w:cs="Arial"/>
                <w:color w:val="000000"/>
                <w:sz w:val="20"/>
                <w:szCs w:val="20"/>
              </w:rPr>
              <w:br/>
              <w:t>92.09</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2567</w:t>
            </w:r>
            <w:r w:rsidRPr="000E5D59">
              <w:rPr>
                <w:rFonts w:ascii="Arial" w:eastAsia="Times New Roman" w:hAnsi="Arial" w:cs="Arial"/>
                <w:color w:val="000000"/>
                <w:sz w:val="20"/>
                <w:szCs w:val="20"/>
              </w:rPr>
              <w:br/>
              <w:t>94.41</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b/>
                <w:bCs/>
                <w:color w:val="000000"/>
                <w:sz w:val="20"/>
                <w:szCs w:val="20"/>
              </w:rPr>
              <w:t>†</w:t>
            </w:r>
            <w:r w:rsidRPr="000E5D59">
              <w:rPr>
                <w:rFonts w:ascii="Arial" w:eastAsia="Times New Roman" w:hAnsi="Arial" w:cs="Arial"/>
                <w:color w:val="000000"/>
                <w:sz w:val="20"/>
                <w:szCs w:val="20"/>
              </w:rPr>
              <w:t xml:space="preserve"> </w:t>
            </w:r>
            <w:r w:rsidRPr="000E5D59">
              <w:rPr>
                <w:rFonts w:ascii="Arial" w:eastAsia="Times New Roman" w:hAnsi="Arial" w:cs="Arial"/>
                <w:i/>
                <w:iCs/>
                <w:color w:val="000000"/>
                <w:sz w:val="20"/>
                <w:szCs w:val="20"/>
              </w:rPr>
              <w:t>Among respondents indicating use of marijuana or marijuana products at least once in past 30 days (N=6111)</w:t>
            </w:r>
            <w:r w:rsidRPr="000E5D59">
              <w:rPr>
                <w:rFonts w:ascii="Arial" w:eastAsia="Times New Roman" w:hAnsi="Arial" w:cs="Arial"/>
                <w:i/>
                <w:iCs/>
                <w:color w:val="000000"/>
                <w:sz w:val="20"/>
                <w:szCs w:val="20"/>
              </w:rPr>
              <w:br/>
            </w:r>
            <w:r w:rsidRPr="000E5D59">
              <w:rPr>
                <w:rFonts w:ascii="Arial" w:eastAsia="Times New Roman" w:hAnsi="Arial" w:cs="Arial"/>
                <w:b/>
                <w:bCs/>
                <w:color w:val="000000"/>
                <w:sz w:val="20"/>
                <w:szCs w:val="20"/>
              </w:rPr>
              <w:t>‡</w:t>
            </w:r>
            <w:r w:rsidRPr="000E5D59">
              <w:rPr>
                <w:rFonts w:ascii="Arial" w:eastAsia="Times New Roman" w:hAnsi="Arial" w:cs="Arial"/>
                <w:i/>
                <w:iCs/>
                <w:color w:val="000000"/>
                <w:sz w:val="20"/>
                <w:szCs w:val="20"/>
              </w:rPr>
              <w:t xml:space="preserve"> Percentages sum to more than 100% because respondents could choose more than one option</w:t>
            </w:r>
            <w:r w:rsidRPr="000E5D59">
              <w:rPr>
                <w:rFonts w:ascii="Arial" w:eastAsia="Times New Roman" w:hAnsi="Arial" w:cs="Arial"/>
                <w:i/>
                <w:iCs/>
                <w:color w:val="000000"/>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Table 3B: DPH Patient Survey Marijuana and Marijuana Prod</w:t>
      </w:r>
      <w:r w:rsidR="000941B7">
        <w:rPr>
          <w:rFonts w:ascii="Arial" w:eastAsia="Calibri" w:hAnsi="Arial" w:cs="Arial"/>
          <w:b/>
          <w:sz w:val="24"/>
          <w:szCs w:val="24"/>
        </w:rPr>
        <w:t xml:space="preserve">uct Use by Age Group </w:t>
      </w:r>
    </w:p>
    <w:tbl>
      <w:tblPr>
        <w:tblW w:w="9555" w:type="dxa"/>
        <w:tblInd w:w="93" w:type="dxa"/>
        <w:tblLayout w:type="fixed"/>
        <w:tblLook w:val="04A0" w:firstRow="1" w:lastRow="0" w:firstColumn="1" w:lastColumn="0" w:noHBand="0" w:noVBand="1"/>
        <w:tblCaption w:val="Department of Public Health Patient Survey Marijuana and Marijuana Product Use by Age Group "/>
        <w:tblDescription w:val="The table summarizes comparisons of product use by age category (less than 50 years old versus 51 years old or older). Respondents younger than 50 years old reported higher rates of recreational use than older respondents. Respondents under age 50 reported spending an average of $82 more than older respondents, with a larger proportion of younger respondents than older spending at least $151.&#10;"/>
      </w:tblPr>
      <w:tblGrid>
        <w:gridCol w:w="3885"/>
        <w:gridCol w:w="1170"/>
        <w:gridCol w:w="1620"/>
        <w:gridCol w:w="1620"/>
        <w:gridCol w:w="1260"/>
      </w:tblGrid>
      <w:tr w:rsidR="000E5D59" w:rsidRPr="000E5D59" w:rsidTr="00784755">
        <w:trPr>
          <w:trHeight w:val="20"/>
        </w:trPr>
        <w:tc>
          <w:tcPr>
            <w:tcW w:w="3885" w:type="dxa"/>
            <w:vMerge w:val="restart"/>
            <w:tcBorders>
              <w:top w:val="single" w:sz="4" w:space="0" w:color="auto"/>
              <w:left w:val="single" w:sz="4" w:space="0" w:color="auto"/>
              <w:bottom w:val="single" w:sz="8" w:space="0" w:color="000000"/>
              <w:right w:val="nil"/>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r w:rsidRPr="000E5D59">
              <w:rPr>
                <w:rFonts w:ascii="Arial" w:eastAsia="Times New Roman" w:hAnsi="Arial" w:cs="Arial"/>
                <w:color w:val="000000"/>
                <w:sz w:val="20"/>
                <w:szCs w:val="20"/>
              </w:rPr>
              <w:t>  </w:t>
            </w:r>
          </w:p>
        </w:tc>
        <w:tc>
          <w:tcPr>
            <w:tcW w:w="450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Age Group</w:t>
            </w:r>
          </w:p>
        </w:tc>
      </w:tr>
      <w:tr w:rsidR="000E5D59" w:rsidRPr="000E5D59" w:rsidTr="00784755">
        <w:trPr>
          <w:trHeight w:val="20"/>
        </w:trPr>
        <w:tc>
          <w:tcPr>
            <w:tcW w:w="3885" w:type="dxa"/>
            <w:vMerge/>
            <w:tcBorders>
              <w:top w:val="nil"/>
              <w:left w:val="single" w:sz="4" w:space="0" w:color="auto"/>
              <w:bottom w:val="single" w:sz="8" w:space="0" w:color="000000"/>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17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50 years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(N=3584)</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51 years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(N=3188)</w:t>
            </w:r>
          </w:p>
        </w:tc>
        <w:tc>
          <w:tcPr>
            <w:tcW w:w="126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388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xml:space="preserve">Number of Days in Past 30 Days Using Marijuana (Mean; Std.)  </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23.53</w:t>
            </w:r>
            <w:r w:rsidRPr="000E5D59">
              <w:rPr>
                <w:rFonts w:ascii="Arial" w:eastAsia="Times New Roman" w:hAnsi="Arial" w:cs="Arial"/>
                <w:color w:val="000000"/>
                <w:sz w:val="20"/>
                <w:szCs w:val="20"/>
              </w:rPr>
              <w:br/>
              <w:t>8.58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23.93</w:t>
            </w:r>
            <w:r w:rsidRPr="000E5D59">
              <w:rPr>
                <w:rFonts w:ascii="Arial" w:eastAsia="Times New Roman" w:hAnsi="Arial" w:cs="Arial"/>
                <w:color w:val="000000"/>
                <w:sz w:val="20"/>
                <w:szCs w:val="20"/>
              </w:rPr>
              <w:br/>
              <w:t>8.27</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23.08</w:t>
            </w:r>
            <w:r w:rsidRPr="000E5D59">
              <w:rPr>
                <w:rFonts w:ascii="Arial" w:eastAsia="Times New Roman" w:hAnsi="Arial" w:cs="Arial"/>
                <w:color w:val="000000"/>
                <w:sz w:val="20"/>
                <w:szCs w:val="20"/>
              </w:rPr>
              <w:br/>
              <w:t>8.89</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88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Number of days in past 30 days using marijuana</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6640</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88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0 days</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529</w:t>
            </w:r>
            <w:r w:rsidRPr="000E5D59">
              <w:rPr>
                <w:rFonts w:ascii="Arial" w:eastAsia="Times New Roman" w:hAnsi="Arial" w:cs="Arial"/>
                <w:color w:val="000000"/>
                <w:sz w:val="20"/>
                <w:szCs w:val="20"/>
              </w:rPr>
              <w:br/>
              <w:t>7.97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243</w:t>
            </w:r>
            <w:r w:rsidRPr="000E5D59">
              <w:rPr>
                <w:rFonts w:ascii="Arial" w:eastAsia="Times New Roman" w:hAnsi="Arial" w:cs="Arial"/>
                <w:color w:val="000000"/>
                <w:sz w:val="20"/>
                <w:szCs w:val="20"/>
              </w:rPr>
              <w:br/>
              <w:t>7.01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268</w:t>
            </w:r>
            <w:r w:rsidRPr="000E5D59">
              <w:rPr>
                <w:rFonts w:ascii="Arial" w:eastAsia="Times New Roman" w:hAnsi="Arial" w:cs="Arial"/>
                <w:color w:val="000000"/>
                <w:sz w:val="20"/>
                <w:szCs w:val="20"/>
              </w:rPr>
              <w:br/>
              <w:t>8.76</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88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 days</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370</w:t>
            </w:r>
            <w:r w:rsidRPr="000E5D59">
              <w:rPr>
                <w:rFonts w:ascii="Arial" w:eastAsia="Times New Roman" w:hAnsi="Arial" w:cs="Arial"/>
                <w:color w:val="000000"/>
                <w:sz w:val="20"/>
                <w:szCs w:val="20"/>
              </w:rPr>
              <w:br/>
              <w:t>5.57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171</w:t>
            </w:r>
            <w:r w:rsidRPr="000E5D59">
              <w:rPr>
                <w:rFonts w:ascii="Arial" w:eastAsia="Times New Roman" w:hAnsi="Arial" w:cs="Arial"/>
                <w:color w:val="000000"/>
                <w:sz w:val="20"/>
                <w:szCs w:val="20"/>
              </w:rPr>
              <w:br/>
              <w:t>4.93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191</w:t>
            </w:r>
            <w:r w:rsidRPr="000E5D59">
              <w:rPr>
                <w:rFonts w:ascii="Arial" w:eastAsia="Times New Roman" w:hAnsi="Arial" w:cs="Arial"/>
                <w:color w:val="000000"/>
                <w:sz w:val="20"/>
                <w:szCs w:val="20"/>
              </w:rPr>
              <w:br/>
              <w:t>6.24</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88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6-10 days</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495</w:t>
            </w:r>
            <w:r w:rsidRPr="000E5D59">
              <w:rPr>
                <w:rFonts w:ascii="Arial" w:eastAsia="Times New Roman" w:hAnsi="Arial" w:cs="Arial"/>
                <w:color w:val="000000"/>
                <w:sz w:val="20"/>
                <w:szCs w:val="20"/>
              </w:rPr>
              <w:br/>
              <w:t>7.45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221</w:t>
            </w:r>
            <w:r w:rsidRPr="000E5D59">
              <w:rPr>
                <w:rFonts w:ascii="Arial" w:eastAsia="Times New Roman" w:hAnsi="Arial" w:cs="Arial"/>
                <w:color w:val="000000"/>
                <w:sz w:val="20"/>
                <w:szCs w:val="20"/>
              </w:rPr>
              <w:br/>
              <w:t>6.37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266</w:t>
            </w:r>
            <w:r w:rsidRPr="000E5D59">
              <w:rPr>
                <w:rFonts w:ascii="Arial" w:eastAsia="Times New Roman" w:hAnsi="Arial" w:cs="Arial"/>
                <w:color w:val="000000"/>
                <w:sz w:val="20"/>
                <w:szCs w:val="20"/>
              </w:rPr>
              <w:br/>
              <w:t>8.69</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88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11-20 days</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1223</w:t>
            </w:r>
            <w:r w:rsidRPr="000E5D59">
              <w:rPr>
                <w:rFonts w:ascii="Arial" w:eastAsia="Times New Roman" w:hAnsi="Arial" w:cs="Arial"/>
                <w:color w:val="000000"/>
                <w:sz w:val="20"/>
                <w:szCs w:val="20"/>
              </w:rPr>
              <w:br/>
              <w:t>18.42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664</w:t>
            </w:r>
            <w:r w:rsidRPr="000E5D59">
              <w:rPr>
                <w:rFonts w:ascii="Arial" w:eastAsia="Times New Roman" w:hAnsi="Arial" w:cs="Arial"/>
                <w:color w:val="000000"/>
                <w:sz w:val="20"/>
                <w:szCs w:val="20"/>
              </w:rPr>
              <w:br/>
              <w:t>19.15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546</w:t>
            </w:r>
            <w:r w:rsidRPr="000E5D59">
              <w:rPr>
                <w:rFonts w:ascii="Arial" w:eastAsia="Times New Roman" w:hAnsi="Arial" w:cs="Arial"/>
                <w:color w:val="000000"/>
                <w:sz w:val="20"/>
                <w:szCs w:val="20"/>
              </w:rPr>
              <w:br/>
              <w:t>17.84</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88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21-30 days</w:t>
            </w:r>
          </w:p>
        </w:tc>
        <w:tc>
          <w:tcPr>
            <w:tcW w:w="117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4023</w:t>
            </w:r>
            <w:r w:rsidRPr="000E5D59">
              <w:rPr>
                <w:rFonts w:ascii="Arial" w:eastAsia="Times New Roman" w:hAnsi="Arial" w:cs="Arial"/>
                <w:color w:val="000000"/>
                <w:sz w:val="20"/>
                <w:szCs w:val="20"/>
              </w:rPr>
              <w:br/>
              <w:t>60.59</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2168</w:t>
            </w:r>
            <w:r w:rsidRPr="000E5D59">
              <w:rPr>
                <w:rFonts w:ascii="Arial" w:eastAsia="Times New Roman" w:hAnsi="Arial" w:cs="Arial"/>
                <w:color w:val="000000"/>
                <w:sz w:val="20"/>
                <w:szCs w:val="20"/>
              </w:rPr>
              <w:br/>
              <w:t>62.53</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1790</w:t>
            </w:r>
            <w:r w:rsidRPr="000E5D59">
              <w:rPr>
                <w:rFonts w:ascii="Arial" w:eastAsia="Times New Roman" w:hAnsi="Arial" w:cs="Arial"/>
                <w:color w:val="000000"/>
                <w:sz w:val="20"/>
                <w:szCs w:val="20"/>
              </w:rPr>
              <w:br/>
              <w:t>58.48</w:t>
            </w:r>
          </w:p>
        </w:tc>
        <w:tc>
          <w:tcPr>
            <w:tcW w:w="126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88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Money Spent on Marijuana in Past 30 Days (Mean; Std.) †</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$245.59</w:t>
            </w:r>
            <w:r w:rsidRPr="000E5D59">
              <w:rPr>
                <w:rFonts w:ascii="Arial" w:eastAsia="Times New Roman" w:hAnsi="Arial" w:cs="Arial"/>
                <w:color w:val="000000"/>
                <w:sz w:val="20"/>
                <w:szCs w:val="20"/>
              </w:rPr>
              <w:br/>
              <w:t>313.61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$285.14</w:t>
            </w:r>
            <w:r w:rsidRPr="000E5D59">
              <w:rPr>
                <w:rFonts w:ascii="Arial" w:eastAsia="Times New Roman" w:hAnsi="Arial" w:cs="Arial"/>
                <w:color w:val="000000"/>
                <w:sz w:val="20"/>
                <w:szCs w:val="20"/>
              </w:rPr>
              <w:br/>
              <w:t>379.04</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$203.03</w:t>
            </w:r>
            <w:r w:rsidRPr="000E5D59">
              <w:rPr>
                <w:rFonts w:ascii="Arial" w:eastAsia="Times New Roman" w:hAnsi="Arial" w:cs="Arial"/>
                <w:color w:val="000000"/>
                <w:sz w:val="20"/>
                <w:szCs w:val="20"/>
              </w:rPr>
              <w:br/>
              <w:t>216.65</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88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xml:space="preserve">Total money spent on marijuana / products in past 30 days   </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4798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88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xml:space="preserve">$0 </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496</w:t>
            </w:r>
            <w:r w:rsidRPr="000E5D59">
              <w:rPr>
                <w:rFonts w:ascii="Arial" w:eastAsia="Times New Roman" w:hAnsi="Arial" w:cs="Arial"/>
                <w:color w:val="000000"/>
                <w:sz w:val="20"/>
                <w:szCs w:val="20"/>
              </w:rPr>
              <w:br/>
              <w:t>10.34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192</w:t>
            </w:r>
            <w:r w:rsidRPr="000E5D59">
              <w:rPr>
                <w:rFonts w:ascii="Arial" w:eastAsia="Times New Roman" w:hAnsi="Arial" w:cs="Arial"/>
                <w:color w:val="000000"/>
                <w:sz w:val="20"/>
                <w:szCs w:val="20"/>
              </w:rPr>
              <w:br/>
              <w:t>7.75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293</w:t>
            </w:r>
            <w:r w:rsidRPr="000E5D59">
              <w:rPr>
                <w:rFonts w:ascii="Arial" w:eastAsia="Times New Roman" w:hAnsi="Arial" w:cs="Arial"/>
                <w:color w:val="000000"/>
                <w:sz w:val="20"/>
                <w:szCs w:val="20"/>
              </w:rPr>
              <w:br/>
              <w:t>13.04</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88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$1 - $50</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348</w:t>
            </w:r>
            <w:r w:rsidRPr="000E5D59">
              <w:rPr>
                <w:rFonts w:ascii="Arial" w:eastAsia="Times New Roman" w:hAnsi="Arial" w:cs="Arial"/>
                <w:color w:val="000000"/>
                <w:sz w:val="20"/>
                <w:szCs w:val="20"/>
              </w:rPr>
              <w:br/>
              <w:t>7.25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145</w:t>
            </w:r>
            <w:r w:rsidRPr="000E5D59">
              <w:rPr>
                <w:rFonts w:ascii="Arial" w:eastAsia="Times New Roman" w:hAnsi="Arial" w:cs="Arial"/>
                <w:color w:val="000000"/>
                <w:sz w:val="20"/>
                <w:szCs w:val="20"/>
              </w:rPr>
              <w:br/>
              <w:t>5.86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196</w:t>
            </w:r>
            <w:r w:rsidRPr="000E5D59">
              <w:rPr>
                <w:rFonts w:ascii="Arial" w:eastAsia="Times New Roman" w:hAnsi="Arial" w:cs="Arial"/>
                <w:color w:val="000000"/>
                <w:sz w:val="20"/>
                <w:szCs w:val="20"/>
              </w:rPr>
              <w:br/>
              <w:t>8.72</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88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$51 to $100</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809</w:t>
            </w:r>
            <w:r w:rsidRPr="000E5D59">
              <w:rPr>
                <w:rFonts w:ascii="Arial" w:eastAsia="Times New Roman" w:hAnsi="Arial" w:cs="Arial"/>
                <w:color w:val="000000"/>
                <w:sz w:val="20"/>
                <w:szCs w:val="20"/>
              </w:rPr>
              <w:br/>
              <w:t>16.86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385</w:t>
            </w:r>
            <w:r w:rsidRPr="000E5D59">
              <w:rPr>
                <w:rFonts w:ascii="Arial" w:eastAsia="Times New Roman" w:hAnsi="Arial" w:cs="Arial"/>
                <w:color w:val="000000"/>
                <w:sz w:val="20"/>
                <w:szCs w:val="20"/>
              </w:rPr>
              <w:br/>
              <w:t>15.55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412</w:t>
            </w:r>
            <w:r w:rsidRPr="000E5D59">
              <w:rPr>
                <w:rFonts w:ascii="Arial" w:eastAsia="Times New Roman" w:hAnsi="Arial" w:cs="Arial"/>
                <w:color w:val="000000"/>
                <w:sz w:val="20"/>
                <w:szCs w:val="20"/>
              </w:rPr>
              <w:br/>
              <w:t>18.34</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88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$101 to $150</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571</w:t>
            </w:r>
            <w:r w:rsidRPr="000E5D59">
              <w:rPr>
                <w:rFonts w:ascii="Arial" w:eastAsia="Times New Roman" w:hAnsi="Arial" w:cs="Arial"/>
                <w:color w:val="000000"/>
                <w:sz w:val="20"/>
                <w:szCs w:val="20"/>
              </w:rPr>
              <w:br/>
              <w:t>11.90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269</w:t>
            </w:r>
            <w:r w:rsidRPr="000E5D59">
              <w:rPr>
                <w:rFonts w:ascii="Arial" w:eastAsia="Times New Roman" w:hAnsi="Arial" w:cs="Arial"/>
                <w:color w:val="000000"/>
                <w:sz w:val="20"/>
                <w:szCs w:val="20"/>
              </w:rPr>
              <w:br/>
              <w:t>10.86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297</w:t>
            </w:r>
            <w:r w:rsidRPr="000E5D59">
              <w:rPr>
                <w:rFonts w:ascii="Arial" w:eastAsia="Times New Roman" w:hAnsi="Arial" w:cs="Arial"/>
                <w:color w:val="000000"/>
                <w:sz w:val="20"/>
                <w:szCs w:val="20"/>
              </w:rPr>
              <w:br/>
              <w:t>13.22</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88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$151 to $200</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687</w:t>
            </w:r>
            <w:r w:rsidRPr="000E5D59">
              <w:rPr>
                <w:rFonts w:ascii="Arial" w:eastAsia="Times New Roman" w:hAnsi="Arial" w:cs="Arial"/>
                <w:color w:val="000000"/>
                <w:sz w:val="20"/>
                <w:szCs w:val="20"/>
              </w:rPr>
              <w:br/>
              <w:t>14.32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368</w:t>
            </w:r>
            <w:r w:rsidRPr="000E5D59">
              <w:rPr>
                <w:rFonts w:ascii="Arial" w:eastAsia="Times New Roman" w:hAnsi="Arial" w:cs="Arial"/>
                <w:color w:val="000000"/>
                <w:sz w:val="20"/>
                <w:szCs w:val="20"/>
              </w:rPr>
              <w:br/>
              <w:t>14.86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310</w:t>
            </w:r>
            <w:r w:rsidRPr="000E5D59">
              <w:rPr>
                <w:rFonts w:ascii="Arial" w:eastAsia="Times New Roman" w:hAnsi="Arial" w:cs="Arial"/>
                <w:color w:val="000000"/>
                <w:sz w:val="20"/>
                <w:szCs w:val="20"/>
              </w:rPr>
              <w:br/>
              <w:t>13.80</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88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$201 or more</w:t>
            </w:r>
          </w:p>
        </w:tc>
        <w:tc>
          <w:tcPr>
            <w:tcW w:w="117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1887</w:t>
            </w:r>
            <w:r w:rsidRPr="000E5D59">
              <w:rPr>
                <w:rFonts w:ascii="Arial" w:eastAsia="Times New Roman" w:hAnsi="Arial" w:cs="Arial"/>
                <w:color w:val="000000"/>
                <w:sz w:val="20"/>
                <w:szCs w:val="20"/>
              </w:rPr>
              <w:br/>
              <w:t>39.33</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1117</w:t>
            </w:r>
            <w:r w:rsidRPr="000E5D59">
              <w:rPr>
                <w:rFonts w:ascii="Arial" w:eastAsia="Times New Roman" w:hAnsi="Arial" w:cs="Arial"/>
                <w:color w:val="000000"/>
                <w:sz w:val="20"/>
                <w:szCs w:val="20"/>
              </w:rPr>
              <w:br/>
              <w:t>45.11</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739</w:t>
            </w:r>
            <w:r w:rsidRPr="000E5D59">
              <w:rPr>
                <w:rFonts w:ascii="Arial" w:eastAsia="Times New Roman" w:hAnsi="Arial" w:cs="Arial"/>
                <w:color w:val="000000"/>
                <w:sz w:val="20"/>
                <w:szCs w:val="20"/>
              </w:rPr>
              <w:br/>
              <w:t>32.89</w:t>
            </w:r>
          </w:p>
        </w:tc>
        <w:tc>
          <w:tcPr>
            <w:tcW w:w="126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88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Purpose of Marijuana Use †‡</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620" w:type="dxa"/>
            <w:tcBorders>
              <w:top w:val="nil"/>
              <w:left w:val="thickThinSmallGap" w:sz="2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62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r>
      <w:tr w:rsidR="000E5D59" w:rsidRPr="000E5D59" w:rsidTr="00784755">
        <w:trPr>
          <w:trHeight w:val="20"/>
        </w:trPr>
        <w:tc>
          <w:tcPr>
            <w:tcW w:w="388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Recreational (non-medical, e.g., to get high) only</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1038</w:t>
            </w:r>
            <w:r w:rsidRPr="000E5D59">
              <w:rPr>
                <w:rFonts w:ascii="Arial" w:eastAsia="Times New Roman" w:hAnsi="Arial" w:cs="Arial"/>
                <w:color w:val="000000"/>
                <w:sz w:val="20"/>
                <w:szCs w:val="20"/>
              </w:rPr>
              <w:br/>
              <w:t>17.00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651</w:t>
            </w:r>
            <w:r w:rsidRPr="000E5D59">
              <w:rPr>
                <w:rFonts w:ascii="Arial" w:eastAsia="Times New Roman" w:hAnsi="Arial" w:cs="Arial"/>
                <w:color w:val="000000"/>
                <w:sz w:val="20"/>
                <w:szCs w:val="20"/>
              </w:rPr>
              <w:br/>
              <w:t>20.20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381</w:t>
            </w:r>
            <w:r w:rsidRPr="000E5D59">
              <w:rPr>
                <w:rFonts w:ascii="Arial" w:eastAsia="Times New Roman" w:hAnsi="Arial" w:cs="Arial"/>
                <w:color w:val="000000"/>
                <w:sz w:val="20"/>
                <w:szCs w:val="20"/>
              </w:rPr>
              <w:br/>
              <w:t>13.66</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88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Medical use NOT certified by a qualified practitioner only</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380</w:t>
            </w:r>
            <w:r w:rsidRPr="000E5D59">
              <w:rPr>
                <w:rFonts w:ascii="Arial" w:eastAsia="Times New Roman" w:hAnsi="Arial" w:cs="Arial"/>
                <w:color w:val="000000"/>
                <w:sz w:val="20"/>
                <w:szCs w:val="20"/>
              </w:rPr>
              <w:br/>
              <w:t>6.22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172</w:t>
            </w:r>
            <w:r w:rsidRPr="000E5D59">
              <w:rPr>
                <w:rFonts w:ascii="Arial" w:eastAsia="Times New Roman" w:hAnsi="Arial" w:cs="Arial"/>
                <w:color w:val="000000"/>
                <w:sz w:val="20"/>
                <w:szCs w:val="20"/>
              </w:rPr>
              <w:br/>
              <w:t>5.34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203</w:t>
            </w:r>
            <w:r w:rsidRPr="000E5D59">
              <w:rPr>
                <w:rFonts w:ascii="Arial" w:eastAsia="Times New Roman" w:hAnsi="Arial" w:cs="Arial"/>
                <w:color w:val="000000"/>
                <w:sz w:val="20"/>
                <w:szCs w:val="20"/>
              </w:rPr>
              <w:br/>
              <w:t>7.28</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88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Medical use certified by a qualified practitioner only</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5690</w:t>
            </w:r>
            <w:r w:rsidRPr="000E5D59">
              <w:rPr>
                <w:rFonts w:ascii="Arial" w:eastAsia="Times New Roman" w:hAnsi="Arial" w:cs="Arial"/>
                <w:color w:val="000000"/>
                <w:sz w:val="20"/>
                <w:szCs w:val="20"/>
              </w:rPr>
              <w:br/>
              <w:t>93.2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3024</w:t>
            </w:r>
            <w:r w:rsidRPr="000E5D59">
              <w:rPr>
                <w:rFonts w:ascii="Arial" w:eastAsia="Times New Roman" w:hAnsi="Arial" w:cs="Arial"/>
                <w:color w:val="000000"/>
                <w:sz w:val="20"/>
                <w:szCs w:val="20"/>
              </w:rPr>
              <w:br/>
              <w:t>93.85</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2578</w:t>
            </w:r>
            <w:r w:rsidRPr="000E5D59">
              <w:rPr>
                <w:rFonts w:ascii="Arial" w:eastAsia="Times New Roman" w:hAnsi="Arial" w:cs="Arial"/>
                <w:color w:val="000000"/>
                <w:sz w:val="20"/>
                <w:szCs w:val="20"/>
              </w:rPr>
              <w:br/>
              <w:t>92.40</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b/>
                <w:bCs/>
                <w:color w:val="000000"/>
                <w:sz w:val="20"/>
                <w:szCs w:val="20"/>
              </w:rPr>
              <w:t>†</w:t>
            </w:r>
            <w:r w:rsidRPr="000E5D59">
              <w:rPr>
                <w:rFonts w:ascii="Arial" w:eastAsia="Times New Roman" w:hAnsi="Arial" w:cs="Arial"/>
                <w:color w:val="000000"/>
                <w:sz w:val="20"/>
                <w:szCs w:val="20"/>
              </w:rPr>
              <w:t xml:space="preserve"> </w:t>
            </w:r>
            <w:r w:rsidRPr="000E5D59">
              <w:rPr>
                <w:rFonts w:ascii="Arial" w:eastAsia="Times New Roman" w:hAnsi="Arial" w:cs="Arial"/>
                <w:i/>
                <w:iCs/>
                <w:color w:val="000000"/>
                <w:sz w:val="20"/>
                <w:szCs w:val="20"/>
              </w:rPr>
              <w:t>Among respondents indicating use of marijuana or marijuana products at least once in past 30 days (N=6111)</w:t>
            </w:r>
            <w:r w:rsidRPr="000E5D59">
              <w:rPr>
                <w:rFonts w:ascii="Arial" w:eastAsia="Times New Roman" w:hAnsi="Arial" w:cs="Arial"/>
                <w:i/>
                <w:iCs/>
                <w:color w:val="000000"/>
                <w:sz w:val="20"/>
                <w:szCs w:val="20"/>
              </w:rPr>
              <w:br/>
            </w:r>
            <w:r w:rsidRPr="000E5D59">
              <w:rPr>
                <w:rFonts w:ascii="Arial" w:eastAsia="Times New Roman" w:hAnsi="Arial" w:cs="Arial"/>
                <w:b/>
                <w:bCs/>
                <w:color w:val="000000"/>
                <w:sz w:val="20"/>
                <w:szCs w:val="20"/>
              </w:rPr>
              <w:t>‡</w:t>
            </w:r>
            <w:r w:rsidRPr="000E5D59">
              <w:rPr>
                <w:rFonts w:ascii="Arial" w:eastAsia="Times New Roman" w:hAnsi="Arial" w:cs="Arial"/>
                <w:i/>
                <w:iCs/>
                <w:color w:val="000000"/>
                <w:sz w:val="20"/>
                <w:szCs w:val="20"/>
              </w:rPr>
              <w:t xml:space="preserve"> Percentages sum to more than 100% because respondents could choose more than one option</w:t>
            </w:r>
            <w:r w:rsidRPr="000E5D59">
              <w:rPr>
                <w:rFonts w:ascii="Arial" w:eastAsia="Times New Roman" w:hAnsi="Arial" w:cs="Arial"/>
                <w:i/>
                <w:iCs/>
                <w:color w:val="000000"/>
                <w:sz w:val="20"/>
                <w:szCs w:val="20"/>
              </w:rPr>
              <w:br/>
              <w:t>*p&lt;0.05; **p&lt;0.01; ***p&lt;0.001; ****p&lt;0.0001; ns=not significant</w:t>
            </w:r>
          </w:p>
        </w:tc>
      </w:tr>
    </w:tbl>
    <w:p w:rsidR="000E5D59" w:rsidRPr="000E5D59" w:rsidRDefault="000E5D59" w:rsidP="006057BE">
      <w:pPr>
        <w:spacing w:after="0" w:line="240" w:lineRule="auto"/>
        <w:rPr>
          <w:rFonts w:ascii="Calibri" w:eastAsia="Calibri" w:hAnsi="Calibri" w:cs="Times New Roman"/>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Table 3C: DPH Patient Survey Marijuana and Marijuana P</w:t>
      </w:r>
      <w:r w:rsidR="000941B7">
        <w:rPr>
          <w:rFonts w:ascii="Arial" w:eastAsia="Calibri" w:hAnsi="Arial" w:cs="Arial"/>
          <w:b/>
          <w:sz w:val="24"/>
          <w:szCs w:val="24"/>
        </w:rPr>
        <w:t xml:space="preserve">roducts Use by Education </w:t>
      </w:r>
    </w:p>
    <w:tbl>
      <w:tblPr>
        <w:tblW w:w="9465" w:type="dxa"/>
        <w:tblInd w:w="93" w:type="dxa"/>
        <w:tblLayout w:type="fixed"/>
        <w:tblLook w:val="04A0" w:firstRow="1" w:lastRow="0" w:firstColumn="1" w:lastColumn="0" w:noHBand="0" w:noVBand="1"/>
        <w:tblCaption w:val="Department of Public Health Patient Survey Marijuana and Marijuana Products Use by Education "/>
        <w:tblDescription w:val="The table compares product use by education level (attainment of education less than a bachelor's degree versus attainment of a bachelor's degree or higher). A larger proportion of respondents without a Bachelor’s degree reported use for over 20 out of 30 days. &#10;Respondents without a Bachelor’s degree spent approximately $71 more than respondents with a Bachelor’s degree, with a larger proportion of respondents without a Bachelor’s spending at least $151.&#10;Respondents with a Bachelor’s degree reported higher rates of recreational use than respondents without a Bachelor’s degree.&#10;"/>
      </w:tblPr>
      <w:tblGrid>
        <w:gridCol w:w="3975"/>
        <w:gridCol w:w="1170"/>
        <w:gridCol w:w="1620"/>
        <w:gridCol w:w="1530"/>
        <w:gridCol w:w="1170"/>
      </w:tblGrid>
      <w:tr w:rsidR="000E5D59" w:rsidRPr="000E5D59" w:rsidTr="00784755">
        <w:trPr>
          <w:trHeight w:val="20"/>
        </w:trPr>
        <w:tc>
          <w:tcPr>
            <w:tcW w:w="3975" w:type="dxa"/>
            <w:vMerge w:val="restart"/>
            <w:tcBorders>
              <w:top w:val="single" w:sz="4" w:space="0" w:color="auto"/>
              <w:left w:val="single" w:sz="4" w:space="0" w:color="auto"/>
              <w:bottom w:val="single" w:sz="8" w:space="0" w:color="000000"/>
              <w:right w:val="nil"/>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r w:rsidRPr="000E5D59">
              <w:rPr>
                <w:rFonts w:ascii="Arial" w:eastAsia="Times New Roman" w:hAnsi="Arial" w:cs="Arial"/>
                <w:color w:val="000000"/>
                <w:sz w:val="20"/>
                <w:szCs w:val="20"/>
              </w:rPr>
              <w:t>  </w:t>
            </w:r>
          </w:p>
        </w:tc>
        <w:tc>
          <w:tcPr>
            <w:tcW w:w="432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Education</w:t>
            </w:r>
          </w:p>
        </w:tc>
      </w:tr>
      <w:tr w:rsidR="000E5D59" w:rsidRPr="000E5D59" w:rsidTr="00784755">
        <w:trPr>
          <w:trHeight w:val="20"/>
        </w:trPr>
        <w:tc>
          <w:tcPr>
            <w:tcW w:w="3975" w:type="dxa"/>
            <w:vMerge/>
            <w:tcBorders>
              <w:top w:val="nil"/>
              <w:left w:val="single" w:sz="4" w:space="0" w:color="auto"/>
              <w:bottom w:val="single" w:sz="8" w:space="0" w:color="000000"/>
              <w:right w:val="nil"/>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17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&lt; Bachelor's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(N=3282)</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Bachelor's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(N=3595)</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xml:space="preserve">Number of days in past 30 days using marijuana (Mean; Std.)  </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23.53</w:t>
            </w:r>
            <w:r w:rsidRPr="000E5D59">
              <w:rPr>
                <w:rFonts w:ascii="Arial" w:eastAsia="Times New Roman" w:hAnsi="Arial" w:cs="Arial"/>
                <w:color w:val="000000"/>
                <w:sz w:val="20"/>
                <w:szCs w:val="20"/>
              </w:rPr>
              <w:br/>
              <w:t>8.58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24.82</w:t>
            </w:r>
            <w:r w:rsidRPr="000E5D59">
              <w:rPr>
                <w:rFonts w:ascii="Arial" w:eastAsia="Times New Roman" w:hAnsi="Arial" w:cs="Arial"/>
                <w:color w:val="000000"/>
                <w:sz w:val="20"/>
                <w:szCs w:val="20"/>
              </w:rPr>
              <w:br/>
              <w:t>7.94</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22.40</w:t>
            </w:r>
            <w:r w:rsidRPr="000E5D59">
              <w:rPr>
                <w:rFonts w:ascii="Arial" w:eastAsia="Times New Roman" w:hAnsi="Arial" w:cs="Arial"/>
                <w:color w:val="000000"/>
                <w:sz w:val="20"/>
                <w:szCs w:val="20"/>
              </w:rPr>
              <w:br/>
              <w:t>8.96</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Number of days in past 30 days using marijuana</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6640</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0 days</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529</w:t>
            </w:r>
            <w:r w:rsidRPr="000E5D59">
              <w:rPr>
                <w:rFonts w:ascii="Arial" w:eastAsia="Times New Roman" w:hAnsi="Arial" w:cs="Arial"/>
                <w:color w:val="000000"/>
                <w:sz w:val="20"/>
                <w:szCs w:val="20"/>
              </w:rPr>
              <w:br/>
              <w:t>7.97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286</w:t>
            </w:r>
            <w:r w:rsidRPr="000E5D59">
              <w:rPr>
                <w:rFonts w:ascii="Arial" w:eastAsia="Times New Roman" w:hAnsi="Arial" w:cs="Arial"/>
                <w:color w:val="000000"/>
                <w:sz w:val="20"/>
                <w:szCs w:val="20"/>
              </w:rPr>
              <w:br/>
              <w:t>9.06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242</w:t>
            </w:r>
            <w:r w:rsidRPr="000E5D59">
              <w:rPr>
                <w:rFonts w:ascii="Arial" w:eastAsia="Times New Roman" w:hAnsi="Arial" w:cs="Arial"/>
                <w:color w:val="000000"/>
                <w:sz w:val="20"/>
                <w:szCs w:val="20"/>
              </w:rPr>
              <w:br/>
              <w:t>6.98</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 days</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370</w:t>
            </w:r>
            <w:r w:rsidRPr="000E5D59">
              <w:rPr>
                <w:rFonts w:ascii="Arial" w:eastAsia="Times New Roman" w:hAnsi="Arial" w:cs="Arial"/>
                <w:color w:val="000000"/>
                <w:sz w:val="20"/>
                <w:szCs w:val="20"/>
              </w:rPr>
              <w:br/>
              <w:t>5.57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122</w:t>
            </w:r>
            <w:r w:rsidRPr="000E5D59">
              <w:rPr>
                <w:rFonts w:ascii="Arial" w:eastAsia="Times New Roman" w:hAnsi="Arial" w:cs="Arial"/>
                <w:color w:val="000000"/>
                <w:sz w:val="20"/>
                <w:szCs w:val="20"/>
              </w:rPr>
              <w:br/>
              <w:t>3.86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245</w:t>
            </w:r>
            <w:r w:rsidRPr="000E5D59">
              <w:rPr>
                <w:rFonts w:ascii="Arial" w:eastAsia="Times New Roman" w:hAnsi="Arial" w:cs="Arial"/>
                <w:color w:val="000000"/>
                <w:sz w:val="20"/>
                <w:szCs w:val="20"/>
              </w:rPr>
              <w:br/>
              <w:t>7.07</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6-10 days</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495</w:t>
            </w:r>
            <w:r w:rsidRPr="000E5D59">
              <w:rPr>
                <w:rFonts w:ascii="Arial" w:eastAsia="Times New Roman" w:hAnsi="Arial" w:cs="Arial"/>
                <w:color w:val="000000"/>
                <w:sz w:val="20"/>
                <w:szCs w:val="20"/>
              </w:rPr>
              <w:br/>
              <w:t>7.45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180</w:t>
            </w:r>
            <w:r w:rsidRPr="000E5D59">
              <w:rPr>
                <w:rFonts w:ascii="Arial" w:eastAsia="Times New Roman" w:hAnsi="Arial" w:cs="Arial"/>
                <w:color w:val="000000"/>
                <w:sz w:val="20"/>
                <w:szCs w:val="20"/>
              </w:rPr>
              <w:br/>
              <w:t>5.70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314</w:t>
            </w:r>
            <w:r w:rsidRPr="000E5D59">
              <w:rPr>
                <w:rFonts w:ascii="Arial" w:eastAsia="Times New Roman" w:hAnsi="Arial" w:cs="Arial"/>
                <w:color w:val="000000"/>
                <w:sz w:val="20"/>
                <w:szCs w:val="20"/>
              </w:rPr>
              <w:br/>
              <w:t>9.06</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11-20 days</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1223</w:t>
            </w:r>
            <w:r w:rsidRPr="000E5D59">
              <w:rPr>
                <w:rFonts w:ascii="Arial" w:eastAsia="Times New Roman" w:hAnsi="Arial" w:cs="Arial"/>
                <w:color w:val="000000"/>
                <w:sz w:val="20"/>
                <w:szCs w:val="20"/>
              </w:rPr>
              <w:br/>
              <w:t>18.42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507</w:t>
            </w:r>
            <w:r w:rsidRPr="000E5D59">
              <w:rPr>
                <w:rFonts w:ascii="Arial" w:eastAsia="Times New Roman" w:hAnsi="Arial" w:cs="Arial"/>
                <w:color w:val="000000"/>
                <w:sz w:val="20"/>
                <w:szCs w:val="20"/>
              </w:rPr>
              <w:br/>
              <w:t>16.06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713</w:t>
            </w:r>
            <w:r w:rsidRPr="000E5D59">
              <w:rPr>
                <w:rFonts w:ascii="Arial" w:eastAsia="Times New Roman" w:hAnsi="Arial" w:cs="Arial"/>
                <w:color w:val="000000"/>
                <w:sz w:val="20"/>
                <w:szCs w:val="20"/>
              </w:rPr>
              <w:br/>
              <w:t>20.58</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21-30 days</w:t>
            </w:r>
          </w:p>
        </w:tc>
        <w:tc>
          <w:tcPr>
            <w:tcW w:w="117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4023</w:t>
            </w:r>
            <w:r w:rsidRPr="000E5D59">
              <w:rPr>
                <w:rFonts w:ascii="Arial" w:eastAsia="Times New Roman" w:hAnsi="Arial" w:cs="Arial"/>
                <w:color w:val="000000"/>
                <w:sz w:val="20"/>
                <w:szCs w:val="20"/>
              </w:rPr>
              <w:br/>
              <w:t>60.59</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2062</w:t>
            </w:r>
            <w:r w:rsidRPr="000E5D59">
              <w:rPr>
                <w:rFonts w:ascii="Arial" w:eastAsia="Times New Roman" w:hAnsi="Arial" w:cs="Arial"/>
                <w:color w:val="000000"/>
                <w:sz w:val="20"/>
                <w:szCs w:val="20"/>
              </w:rPr>
              <w:br/>
              <w:t>65.32</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1951</w:t>
            </w:r>
            <w:r w:rsidRPr="000E5D59">
              <w:rPr>
                <w:rFonts w:ascii="Arial" w:eastAsia="Times New Roman" w:hAnsi="Arial" w:cs="Arial"/>
                <w:color w:val="000000"/>
                <w:sz w:val="20"/>
                <w:szCs w:val="20"/>
              </w:rPr>
              <w:br/>
              <w:t>56.31</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Money spent on marijuana in past 30 days (Mean; Std.) †</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$245.59</w:t>
            </w:r>
            <w:r w:rsidRPr="000E5D59">
              <w:rPr>
                <w:rFonts w:ascii="Arial" w:eastAsia="Times New Roman" w:hAnsi="Arial" w:cs="Arial"/>
                <w:color w:val="000000"/>
                <w:sz w:val="20"/>
                <w:szCs w:val="20"/>
              </w:rPr>
              <w:br/>
              <w:t>313.61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$285.18</w:t>
            </w:r>
            <w:r w:rsidRPr="000E5D59">
              <w:rPr>
                <w:rFonts w:ascii="Arial" w:eastAsia="Times New Roman" w:hAnsi="Arial" w:cs="Arial"/>
                <w:color w:val="000000"/>
                <w:sz w:val="20"/>
                <w:szCs w:val="20"/>
              </w:rPr>
              <w:br/>
              <w:t>379.25</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$213.81</w:t>
            </w:r>
            <w:r w:rsidRPr="000E5D59">
              <w:rPr>
                <w:rFonts w:ascii="Arial" w:eastAsia="Times New Roman" w:hAnsi="Arial" w:cs="Arial"/>
                <w:color w:val="000000"/>
                <w:sz w:val="20"/>
                <w:szCs w:val="20"/>
              </w:rPr>
              <w:br/>
              <w:t>243.93</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xml:space="preserve">Total money spent on marijuana / products in past 30 days   </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4798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xml:space="preserve">$0 </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496</w:t>
            </w:r>
            <w:r w:rsidRPr="000E5D59">
              <w:rPr>
                <w:rFonts w:ascii="Arial" w:eastAsia="Times New Roman" w:hAnsi="Arial" w:cs="Arial"/>
                <w:color w:val="000000"/>
                <w:sz w:val="20"/>
                <w:szCs w:val="20"/>
              </w:rPr>
              <w:br/>
              <w:t>10.34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167</w:t>
            </w:r>
            <w:r w:rsidRPr="000E5D59">
              <w:rPr>
                <w:rFonts w:ascii="Arial" w:eastAsia="Times New Roman" w:hAnsi="Arial" w:cs="Arial"/>
                <w:color w:val="000000"/>
                <w:sz w:val="20"/>
                <w:szCs w:val="20"/>
              </w:rPr>
              <w:br/>
              <w:t>7.79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327</w:t>
            </w:r>
            <w:r w:rsidRPr="000E5D59">
              <w:rPr>
                <w:rFonts w:ascii="Arial" w:eastAsia="Times New Roman" w:hAnsi="Arial" w:cs="Arial"/>
                <w:color w:val="000000"/>
                <w:sz w:val="20"/>
                <w:szCs w:val="20"/>
              </w:rPr>
              <w:br/>
              <w:t>12.38</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$1 - $50</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348</w:t>
            </w:r>
            <w:r w:rsidRPr="000E5D59">
              <w:rPr>
                <w:rFonts w:ascii="Arial" w:eastAsia="Times New Roman" w:hAnsi="Arial" w:cs="Arial"/>
                <w:color w:val="000000"/>
                <w:sz w:val="20"/>
                <w:szCs w:val="20"/>
              </w:rPr>
              <w:br/>
              <w:t>7.25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129</w:t>
            </w:r>
            <w:r w:rsidRPr="000E5D59">
              <w:rPr>
                <w:rFonts w:ascii="Arial" w:eastAsia="Times New Roman" w:hAnsi="Arial" w:cs="Arial"/>
                <w:color w:val="000000"/>
                <w:sz w:val="20"/>
                <w:szCs w:val="20"/>
              </w:rPr>
              <w:br/>
              <w:t>6.01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218</w:t>
            </w:r>
            <w:r w:rsidRPr="000E5D59">
              <w:rPr>
                <w:rFonts w:ascii="Arial" w:eastAsia="Times New Roman" w:hAnsi="Arial" w:cs="Arial"/>
                <w:color w:val="000000"/>
                <w:sz w:val="20"/>
                <w:szCs w:val="20"/>
              </w:rPr>
              <w:br/>
              <w:t>8.25</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$51 to $100</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809</w:t>
            </w:r>
            <w:r w:rsidRPr="000E5D59">
              <w:rPr>
                <w:rFonts w:ascii="Arial" w:eastAsia="Times New Roman" w:hAnsi="Arial" w:cs="Arial"/>
                <w:color w:val="000000"/>
                <w:sz w:val="20"/>
                <w:szCs w:val="20"/>
              </w:rPr>
              <w:br/>
              <w:t>16.86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315</w:t>
            </w:r>
            <w:r w:rsidRPr="000E5D59">
              <w:rPr>
                <w:rFonts w:ascii="Arial" w:eastAsia="Times New Roman" w:hAnsi="Arial" w:cs="Arial"/>
                <w:color w:val="000000"/>
                <w:sz w:val="20"/>
                <w:szCs w:val="20"/>
              </w:rPr>
              <w:br/>
              <w:t>14.69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491</w:t>
            </w:r>
            <w:r w:rsidRPr="000E5D59">
              <w:rPr>
                <w:rFonts w:ascii="Arial" w:eastAsia="Times New Roman" w:hAnsi="Arial" w:cs="Arial"/>
                <w:color w:val="000000"/>
                <w:sz w:val="20"/>
                <w:szCs w:val="20"/>
              </w:rPr>
              <w:br/>
              <w:t>18.59</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$101 to $150</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571</w:t>
            </w:r>
            <w:r w:rsidRPr="000E5D59">
              <w:rPr>
                <w:rFonts w:ascii="Arial" w:eastAsia="Times New Roman" w:hAnsi="Arial" w:cs="Arial"/>
                <w:color w:val="000000"/>
                <w:sz w:val="20"/>
                <w:szCs w:val="20"/>
              </w:rPr>
              <w:br/>
              <w:t>11.90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236</w:t>
            </w:r>
            <w:r w:rsidRPr="000E5D59">
              <w:rPr>
                <w:rFonts w:ascii="Arial" w:eastAsia="Times New Roman" w:hAnsi="Arial" w:cs="Arial"/>
                <w:color w:val="000000"/>
                <w:sz w:val="20"/>
                <w:szCs w:val="20"/>
              </w:rPr>
              <w:br/>
              <w:t>11.00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334</w:t>
            </w:r>
            <w:r w:rsidRPr="000E5D59">
              <w:rPr>
                <w:rFonts w:ascii="Arial" w:eastAsia="Times New Roman" w:hAnsi="Arial" w:cs="Arial"/>
                <w:color w:val="000000"/>
                <w:sz w:val="20"/>
                <w:szCs w:val="20"/>
              </w:rPr>
              <w:br/>
              <w:t>12.65</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$151 to $200</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687</w:t>
            </w:r>
            <w:r w:rsidRPr="000E5D59">
              <w:rPr>
                <w:rFonts w:ascii="Arial" w:eastAsia="Times New Roman" w:hAnsi="Arial" w:cs="Arial"/>
                <w:color w:val="000000"/>
                <w:sz w:val="20"/>
                <w:szCs w:val="20"/>
              </w:rPr>
              <w:br/>
              <w:t>14.32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299</w:t>
            </w:r>
            <w:r w:rsidRPr="000E5D59">
              <w:rPr>
                <w:rFonts w:ascii="Arial" w:eastAsia="Times New Roman" w:hAnsi="Arial" w:cs="Arial"/>
                <w:color w:val="000000"/>
                <w:sz w:val="20"/>
                <w:szCs w:val="20"/>
              </w:rPr>
              <w:br/>
              <w:t>13.94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386</w:t>
            </w:r>
            <w:r w:rsidRPr="000E5D59">
              <w:rPr>
                <w:rFonts w:ascii="Arial" w:eastAsia="Times New Roman" w:hAnsi="Arial" w:cs="Arial"/>
                <w:color w:val="000000"/>
                <w:sz w:val="20"/>
                <w:szCs w:val="20"/>
              </w:rPr>
              <w:br/>
              <w:t>14.62</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$201 or more</w:t>
            </w:r>
          </w:p>
        </w:tc>
        <w:tc>
          <w:tcPr>
            <w:tcW w:w="117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1887</w:t>
            </w:r>
            <w:r w:rsidRPr="000E5D59">
              <w:rPr>
                <w:rFonts w:ascii="Arial" w:eastAsia="Times New Roman" w:hAnsi="Arial" w:cs="Arial"/>
                <w:color w:val="000000"/>
                <w:sz w:val="20"/>
                <w:szCs w:val="20"/>
              </w:rPr>
              <w:br/>
              <w:t>39.33</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999</w:t>
            </w:r>
            <w:r w:rsidRPr="000E5D59">
              <w:rPr>
                <w:rFonts w:ascii="Arial" w:eastAsia="Times New Roman" w:hAnsi="Arial" w:cs="Arial"/>
                <w:color w:val="000000"/>
                <w:sz w:val="20"/>
                <w:szCs w:val="20"/>
              </w:rPr>
              <w:br/>
              <w:t>46.57</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885</w:t>
            </w:r>
            <w:r w:rsidRPr="000E5D59">
              <w:rPr>
                <w:rFonts w:ascii="Arial" w:eastAsia="Times New Roman" w:hAnsi="Arial" w:cs="Arial"/>
                <w:color w:val="000000"/>
                <w:sz w:val="20"/>
                <w:szCs w:val="20"/>
              </w:rPr>
              <w:br/>
              <w:t>33.51</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Purpose of marijuana use †‡</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620" w:type="dxa"/>
            <w:tcBorders>
              <w:top w:val="nil"/>
              <w:left w:val="thickThinSmallGap" w:sz="2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Recreational (non-medical, e.g., to get high) only</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1038</w:t>
            </w:r>
            <w:r w:rsidRPr="000E5D59">
              <w:rPr>
                <w:rFonts w:ascii="Arial" w:eastAsia="Times New Roman" w:hAnsi="Arial" w:cs="Arial"/>
                <w:color w:val="000000"/>
                <w:sz w:val="20"/>
                <w:szCs w:val="20"/>
              </w:rPr>
              <w:br/>
              <w:t>17.00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402</w:t>
            </w:r>
            <w:r w:rsidRPr="000E5D59">
              <w:rPr>
                <w:rFonts w:ascii="Arial" w:eastAsia="Times New Roman" w:hAnsi="Arial" w:cs="Arial"/>
                <w:color w:val="000000"/>
                <w:sz w:val="20"/>
                <w:szCs w:val="20"/>
              </w:rPr>
              <w:br/>
              <w:t>14.01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633</w:t>
            </w:r>
            <w:r w:rsidRPr="000E5D59">
              <w:rPr>
                <w:rFonts w:ascii="Arial" w:eastAsia="Times New Roman" w:hAnsi="Arial" w:cs="Arial"/>
                <w:color w:val="000000"/>
                <w:sz w:val="20"/>
                <w:szCs w:val="20"/>
              </w:rPr>
              <w:br/>
              <w:t>19.66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Medical use NOT certified by a qualified practitioner only</w:t>
            </w:r>
          </w:p>
        </w:tc>
        <w:tc>
          <w:tcPr>
            <w:tcW w:w="117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380</w:t>
            </w:r>
            <w:r w:rsidRPr="000E5D59">
              <w:rPr>
                <w:rFonts w:ascii="Arial" w:eastAsia="Times New Roman" w:hAnsi="Arial" w:cs="Arial"/>
                <w:color w:val="000000"/>
                <w:sz w:val="20"/>
                <w:szCs w:val="20"/>
              </w:rPr>
              <w:br/>
              <w:t>6.22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186</w:t>
            </w:r>
            <w:r w:rsidRPr="000E5D59">
              <w:rPr>
                <w:rFonts w:ascii="Arial" w:eastAsia="Times New Roman" w:hAnsi="Arial" w:cs="Arial"/>
                <w:color w:val="000000"/>
                <w:sz w:val="20"/>
                <w:szCs w:val="20"/>
              </w:rPr>
              <w:br/>
              <w:t>6.48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194</w:t>
            </w:r>
            <w:r w:rsidRPr="000E5D59">
              <w:rPr>
                <w:rFonts w:ascii="Arial" w:eastAsia="Times New Roman" w:hAnsi="Arial" w:cs="Arial"/>
                <w:color w:val="000000"/>
                <w:sz w:val="20"/>
                <w:szCs w:val="20"/>
              </w:rPr>
              <w:br/>
              <w:t>6.02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Medical use certified by a qualified practitioner only</w:t>
            </w:r>
          </w:p>
        </w:tc>
        <w:tc>
          <w:tcPr>
            <w:tcW w:w="117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5690</w:t>
            </w:r>
            <w:r w:rsidRPr="000E5D59">
              <w:rPr>
                <w:rFonts w:ascii="Arial" w:eastAsia="Times New Roman" w:hAnsi="Arial" w:cs="Arial"/>
                <w:color w:val="000000"/>
                <w:sz w:val="20"/>
                <w:szCs w:val="20"/>
              </w:rPr>
              <w:br/>
              <w:t>93.2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2673</w:t>
            </w:r>
            <w:r w:rsidRPr="000E5D59">
              <w:rPr>
                <w:rFonts w:ascii="Arial" w:eastAsia="Times New Roman" w:hAnsi="Arial" w:cs="Arial"/>
                <w:color w:val="000000"/>
                <w:sz w:val="20"/>
                <w:szCs w:val="20"/>
              </w:rPr>
              <w:br/>
              <w:t>93.17</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3000</w:t>
            </w:r>
            <w:r w:rsidRPr="000E5D59">
              <w:rPr>
                <w:rFonts w:ascii="Arial" w:eastAsia="Times New Roman" w:hAnsi="Arial" w:cs="Arial"/>
                <w:color w:val="000000"/>
                <w:sz w:val="20"/>
                <w:szCs w:val="20"/>
              </w:rPr>
              <w:br/>
              <w:t>93.17</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b/>
                <w:bCs/>
                <w:color w:val="000000"/>
                <w:sz w:val="20"/>
                <w:szCs w:val="20"/>
              </w:rPr>
              <w:t>†</w:t>
            </w:r>
            <w:r w:rsidRPr="000E5D59">
              <w:rPr>
                <w:rFonts w:ascii="Arial" w:eastAsia="Times New Roman" w:hAnsi="Arial" w:cs="Arial"/>
                <w:color w:val="000000"/>
                <w:sz w:val="20"/>
                <w:szCs w:val="20"/>
              </w:rPr>
              <w:t xml:space="preserve"> </w:t>
            </w:r>
            <w:r w:rsidRPr="000E5D59">
              <w:rPr>
                <w:rFonts w:ascii="Arial" w:eastAsia="Times New Roman" w:hAnsi="Arial" w:cs="Arial"/>
                <w:i/>
                <w:iCs/>
                <w:color w:val="000000"/>
                <w:sz w:val="20"/>
                <w:szCs w:val="20"/>
              </w:rPr>
              <w:t>Among respondents indicating use of marijuana or marijuana products at least once in past 30 days (N=6111)</w:t>
            </w:r>
            <w:r w:rsidRPr="000E5D59">
              <w:rPr>
                <w:rFonts w:ascii="Arial" w:eastAsia="Times New Roman" w:hAnsi="Arial" w:cs="Arial"/>
                <w:i/>
                <w:iCs/>
                <w:color w:val="000000"/>
                <w:sz w:val="20"/>
                <w:szCs w:val="20"/>
              </w:rPr>
              <w:br/>
            </w:r>
            <w:r w:rsidRPr="000E5D59">
              <w:rPr>
                <w:rFonts w:ascii="Arial" w:eastAsia="Times New Roman" w:hAnsi="Arial" w:cs="Arial"/>
                <w:b/>
                <w:bCs/>
                <w:color w:val="000000"/>
                <w:sz w:val="20"/>
                <w:szCs w:val="20"/>
              </w:rPr>
              <w:t>‡</w:t>
            </w:r>
            <w:r w:rsidRPr="000E5D59">
              <w:rPr>
                <w:rFonts w:ascii="Arial" w:eastAsia="Times New Roman" w:hAnsi="Arial" w:cs="Arial"/>
                <w:i/>
                <w:iCs/>
                <w:color w:val="000000"/>
                <w:sz w:val="20"/>
                <w:szCs w:val="20"/>
              </w:rPr>
              <w:t xml:space="preserve"> Percentages sum to more than 100% because respondents could choose more than one option</w:t>
            </w:r>
            <w:r w:rsidRPr="000E5D59">
              <w:rPr>
                <w:rFonts w:ascii="Arial" w:eastAsia="Times New Roman" w:hAnsi="Arial" w:cs="Arial"/>
                <w:i/>
                <w:iCs/>
                <w:color w:val="000000"/>
                <w:sz w:val="20"/>
                <w:szCs w:val="20"/>
              </w:rPr>
              <w:br/>
              <w:t>*p&lt;0.05; **p&lt;0.01; ***p&lt;0.001; ****p&lt;0.0001; ns=not significant</w:t>
            </w:r>
          </w:p>
        </w:tc>
      </w:tr>
    </w:tbl>
    <w:p w:rsidR="000E5D59" w:rsidRPr="000E5D59" w:rsidRDefault="000E5D59" w:rsidP="006057BE">
      <w:pPr>
        <w:spacing w:after="0" w:line="240" w:lineRule="auto"/>
        <w:rPr>
          <w:rFonts w:ascii="Calibri" w:eastAsia="Calibri" w:hAnsi="Calibri" w:cs="Times New Roman"/>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AC40A7">
      <w:pPr>
        <w:pStyle w:val="Heading3"/>
      </w:pPr>
      <w:bookmarkStart w:id="211" w:name="_Toc11765948"/>
      <w:bookmarkStart w:id="212" w:name="_Toc11766603"/>
      <w:r w:rsidRPr="000E5D59">
        <w:lastRenderedPageBreak/>
        <w:t>Medical Conditions for Marijuana and Marijuana Product Use</w:t>
      </w:r>
      <w:bookmarkEnd w:id="211"/>
      <w:bookmarkEnd w:id="212"/>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Tables 4A, 4B, and 4C</w:t>
      </w:r>
      <w:r w:rsidRPr="000E5D59">
        <w:rPr>
          <w:rFonts w:ascii="Arial" w:eastAsia="Calibri" w:hAnsi="Arial" w:cs="Arial"/>
          <w:sz w:val="24"/>
          <w:szCs w:val="24"/>
        </w:rPr>
        <w:t xml:space="preserve"> summarize results of survey responses pertaining to medical conditions for which marijuana and marijuana products were used, with comparisons by gender, age group, and educational attainment, respectively. Respondents who did not use marijuana or marijuana products for medical use in the past 30 days (whether certified or uncertified) were asked to indicate all medical conditions for which they used marijuana or marijuana products. Note that percentages in </w:t>
      </w:r>
      <w:r w:rsidRPr="000E5D59">
        <w:rPr>
          <w:rFonts w:ascii="Arial" w:eastAsia="Calibri" w:hAnsi="Arial" w:cs="Arial"/>
          <w:i/>
          <w:sz w:val="24"/>
          <w:szCs w:val="24"/>
        </w:rPr>
        <w:t>Tables 4A, 4B, and 4C</w:t>
      </w:r>
      <w:r w:rsidRPr="000E5D59">
        <w:rPr>
          <w:rFonts w:ascii="Arial" w:eastAsia="Calibri" w:hAnsi="Arial" w:cs="Arial"/>
          <w:sz w:val="24"/>
          <w:szCs w:val="24"/>
        </w:rPr>
        <w:t xml:space="preserve"> add to more than 100% because of multiple conditions being treated at the same time.</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The most common medical condition for which respondents indicated marijuana use was anxiety (60%), followed by chronic pain (46%), insomnia (43%), depression (42%), and stress (41%). Respondents also reported treating arthritis, headaches/migraines, muscle spasms, PTSD, and nausea at rates between 16 and 26%.</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 significantly larger proportion of female respondents than male reported using marijuana or marijuana products to treat anxiety, arthritis, bowel distress, depression, fibromyalgia, headaches/migraines, multiple sclerosis, nausea, osteoarthritis, PTSD, vomiting, and “other”. A larger proportion of male respondents than female reported using marijuana or marijuana products to treat ADHD, alcohol dependency, diabetes, HIV/AIDS, and sleep apnea.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 larger proportion of respondents 51 years or older reported using marijuana or marijuana products to treat arthritis, cancer, chronic pain, diabetes, glaucoma, HIV/AIDS, hypertension, neuropathy, and osteoarthritis. A larger proportion of respondents under 51 years old reported using marijuana or marijuana products to treat ADHD, anxiety, bipolar disorder, bowel distress, depression, headaches/migraines, insomnia, loss of appetite, nausea, OCD, PTSD, stress, and vomiting.</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Respondents with a Bachelor’s degree did not report using marijuana or marijuana products to treat any of the medical conditions at higher rates than respondents without a Bachelor’s degree. Respondents without a Bachelor’s degree reported using marijuana or marijuana products at higher rates than respondents with a Bachelor’s degree to treat ADHD, anxiety, arthritis, bipolar disorder, carpal tunnel, chronic pain, depression, diabetes, fibromyalgia, headaches/migraines, loss of appetite, muscle spasms, nausea, OCD, opioid use, PTSD, seizures, sleep apnea, and stress.</w:t>
      </w: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Table 4A: DPH Patient Survey Medical Use of Marijuana and Marijuana Product Use, Medica</w:t>
      </w:r>
      <w:r w:rsidR="000941B7">
        <w:rPr>
          <w:rFonts w:ascii="Arial" w:eastAsia="Calibri" w:hAnsi="Arial" w:cs="Arial"/>
          <w:b/>
          <w:sz w:val="24"/>
          <w:szCs w:val="24"/>
        </w:rPr>
        <w:t xml:space="preserve">l Conditions Treated by Gender </w:t>
      </w:r>
    </w:p>
    <w:tbl>
      <w:tblPr>
        <w:tblW w:w="0" w:type="auto"/>
        <w:tblInd w:w="93" w:type="dxa"/>
        <w:tblLook w:val="04A0" w:firstRow="1" w:lastRow="0" w:firstColumn="1" w:lastColumn="0" w:noHBand="0" w:noVBand="1"/>
        <w:tblCaption w:val="DPH Patient Survey Medical Use of Marijuana and Marijuana Product Use, Medical Conditions Treated by Gender"/>
        <w:tblDescription w:val="The table summarizes medical conditions for which respondents used marijuana products, comparing male versus female respondents' data. More female respondents than male respondents reported using  marijuana products to treat anxiety, arthritis, bowel distress, depression, fibromyalgia, headaches/migraines, multiple sclerosis, nausea, osteoarthritis, PTSD, vomiting, and “other”. More males reported using marijuana products to treat ADHD, alcohol dependency, diabetes, HIV/AIDS, and sleep apnea."/>
      </w:tblPr>
      <w:tblGrid>
        <w:gridCol w:w="4155"/>
        <w:gridCol w:w="1170"/>
        <w:gridCol w:w="1530"/>
        <w:gridCol w:w="1440"/>
        <w:gridCol w:w="1170"/>
      </w:tblGrid>
      <w:tr w:rsidR="000E5D59" w:rsidRPr="000E5D59" w:rsidTr="00784755">
        <w:trPr>
          <w:trHeight w:val="20"/>
        </w:trPr>
        <w:tc>
          <w:tcPr>
            <w:tcW w:w="4155" w:type="dxa"/>
            <w:vMerge w:val="restart"/>
            <w:tcBorders>
              <w:top w:val="single" w:sz="4" w:space="0" w:color="auto"/>
              <w:left w:val="single" w:sz="4" w:space="0" w:color="auto"/>
              <w:bottom w:val="single" w:sz="8" w:space="0" w:color="000000"/>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single" w:sz="8" w:space="0" w:color="auto"/>
              <w:bottom w:val="single" w:sz="8" w:space="0" w:color="000000"/>
              <w:right w:val="thickThinSmallGap" w:sz="24" w:space="0" w:color="auto"/>
            </w:tcBorders>
            <w:shd w:val="clear" w:color="auto" w:fill="auto"/>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right"/>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Gender</w:t>
            </w:r>
          </w:p>
        </w:tc>
      </w:tr>
      <w:tr w:rsidR="000E5D59" w:rsidRPr="000E5D59" w:rsidTr="00784755">
        <w:trPr>
          <w:trHeight w:val="20"/>
        </w:trPr>
        <w:tc>
          <w:tcPr>
            <w:tcW w:w="4155" w:type="dxa"/>
            <w:vMerge/>
            <w:tcBorders>
              <w:top w:val="nil"/>
              <w:left w:val="single" w:sz="4" w:space="0" w:color="auto"/>
              <w:bottom w:val="single" w:sz="8" w:space="0" w:color="000000"/>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p>
        </w:tc>
        <w:tc>
          <w:tcPr>
            <w:tcW w:w="1170" w:type="dxa"/>
            <w:vMerge/>
            <w:tcBorders>
              <w:top w:val="nil"/>
              <w:left w:val="single" w:sz="8" w:space="0" w:color="auto"/>
              <w:bottom w:val="single" w:sz="8" w:space="0" w:color="000000"/>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p>
        </w:tc>
        <w:tc>
          <w:tcPr>
            <w:tcW w:w="153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Male</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(N=3293)</w:t>
            </w:r>
          </w:p>
        </w:tc>
        <w:tc>
          <w:tcPr>
            <w:tcW w:w="144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Female</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(N=2720)</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Marijuana used for medical p</w:t>
            </w:r>
            <w:r w:rsidRPr="000E5D59">
              <w:rPr>
                <w:rFonts w:ascii="Arial" w:eastAsia="Times New Roman" w:hAnsi="Arial" w:cs="Arial"/>
                <w:b/>
                <w:bCs/>
                <w:color w:val="000000"/>
                <w:sz w:val="20"/>
                <w:szCs w:val="20"/>
                <w:shd w:val="clear" w:color="auto" w:fill="BFBFBF"/>
              </w:rPr>
              <w:t>u</w:t>
            </w:r>
            <w:r w:rsidRPr="000E5D59">
              <w:rPr>
                <w:rFonts w:ascii="Arial" w:eastAsia="Times New Roman" w:hAnsi="Arial" w:cs="Arial"/>
                <w:b/>
                <w:bCs/>
                <w:color w:val="000000"/>
                <w:sz w:val="20"/>
                <w:szCs w:val="20"/>
              </w:rPr>
              <w:t xml:space="preserve">rposes </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6111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195</w:t>
            </w:r>
            <w:r w:rsidRPr="000E5D59">
              <w:rPr>
                <w:rFonts w:ascii="Arial" w:eastAsia="Times New Roman" w:hAnsi="Arial" w:cs="Arial"/>
                <w:color w:val="000000"/>
                <w:sz w:val="20"/>
                <w:szCs w:val="20"/>
              </w:rPr>
              <w:br/>
              <w:t>3.19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122</w:t>
            </w:r>
            <w:r w:rsidRPr="000E5D59">
              <w:rPr>
                <w:rFonts w:ascii="Arial" w:eastAsia="Times New Roman" w:hAnsi="Arial" w:cs="Arial"/>
                <w:color w:val="000000"/>
                <w:sz w:val="20"/>
                <w:szCs w:val="20"/>
              </w:rPr>
              <w:br/>
              <w:t>3.70</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70</w:t>
            </w:r>
            <w:r w:rsidRPr="000E5D59">
              <w:rPr>
                <w:rFonts w:ascii="Arial" w:eastAsia="Times New Roman" w:hAnsi="Arial" w:cs="Arial"/>
                <w:color w:val="000000"/>
                <w:sz w:val="20"/>
                <w:szCs w:val="20"/>
              </w:rPr>
              <w:br/>
              <w:t>2.57</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p>
        </w:tc>
      </w:tr>
      <w:tr w:rsidR="000E5D59" w:rsidRPr="000E5D59" w:rsidTr="00784755">
        <w:trPr>
          <w:trHeight w:val="20"/>
        </w:trPr>
        <w:tc>
          <w:tcPr>
            <w:tcW w:w="415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Yes</w:t>
            </w:r>
          </w:p>
        </w:tc>
        <w:tc>
          <w:tcPr>
            <w:tcW w:w="117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5916</w:t>
            </w:r>
            <w:r w:rsidRPr="000E5D59">
              <w:rPr>
                <w:rFonts w:ascii="Arial" w:eastAsia="Times New Roman" w:hAnsi="Arial" w:cs="Arial"/>
                <w:color w:val="000000"/>
                <w:sz w:val="20"/>
                <w:szCs w:val="20"/>
              </w:rPr>
              <w:br/>
              <w:t>96.81</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3171</w:t>
            </w:r>
            <w:r w:rsidRPr="000E5D59">
              <w:rPr>
                <w:rFonts w:ascii="Arial" w:eastAsia="Times New Roman" w:hAnsi="Arial" w:cs="Arial"/>
                <w:color w:val="000000"/>
                <w:sz w:val="20"/>
                <w:szCs w:val="20"/>
              </w:rPr>
              <w:br/>
              <w:t>96.30</w:t>
            </w:r>
          </w:p>
        </w:tc>
        <w:tc>
          <w:tcPr>
            <w:tcW w:w="144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2650</w:t>
            </w:r>
            <w:r w:rsidRPr="000E5D59">
              <w:rPr>
                <w:rFonts w:ascii="Arial" w:eastAsia="Times New Roman" w:hAnsi="Arial" w:cs="Arial"/>
                <w:color w:val="000000"/>
                <w:sz w:val="20"/>
                <w:szCs w:val="20"/>
              </w:rPr>
              <w:br/>
              <w:t>97.43</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xml:space="preserve">Medical condition (s) for which respondent uses marijuana or marijuana products †‡ </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5916</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ADHD</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711</w:t>
            </w:r>
            <w:r w:rsidRPr="000E5D59">
              <w:rPr>
                <w:rFonts w:ascii="Arial" w:eastAsia="Times New Roman" w:hAnsi="Arial" w:cs="Arial"/>
                <w:color w:val="000000"/>
                <w:sz w:val="20"/>
                <w:szCs w:val="20"/>
              </w:rPr>
              <w:br/>
              <w:t>12.02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424</w:t>
            </w:r>
            <w:r w:rsidRPr="000E5D59">
              <w:rPr>
                <w:rFonts w:ascii="Arial" w:eastAsia="Times New Roman" w:hAnsi="Arial" w:cs="Arial"/>
                <w:color w:val="000000"/>
                <w:sz w:val="20"/>
                <w:szCs w:val="20"/>
              </w:rPr>
              <w:br/>
              <w:t>13.37</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260</w:t>
            </w:r>
            <w:r w:rsidRPr="000E5D59">
              <w:rPr>
                <w:rFonts w:ascii="Arial" w:eastAsia="Times New Roman" w:hAnsi="Arial" w:cs="Arial"/>
                <w:color w:val="000000"/>
                <w:sz w:val="20"/>
                <w:szCs w:val="20"/>
              </w:rPr>
              <w:br/>
              <w:t>9.81</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Alcohol Dependency</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164</w:t>
            </w:r>
            <w:r w:rsidRPr="000E5D59">
              <w:rPr>
                <w:rFonts w:ascii="Arial" w:eastAsia="Times New Roman" w:hAnsi="Arial" w:cs="Arial"/>
                <w:color w:val="000000"/>
                <w:sz w:val="20"/>
                <w:szCs w:val="20"/>
              </w:rPr>
              <w:br/>
              <w:t>2.77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120</w:t>
            </w:r>
            <w:r w:rsidRPr="000E5D59">
              <w:rPr>
                <w:rFonts w:ascii="Arial" w:eastAsia="Times New Roman" w:hAnsi="Arial" w:cs="Arial"/>
                <w:color w:val="000000"/>
                <w:sz w:val="20"/>
                <w:szCs w:val="20"/>
              </w:rPr>
              <w:br/>
              <w:t>3.78</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42</w:t>
            </w:r>
            <w:r w:rsidRPr="000E5D59">
              <w:rPr>
                <w:rFonts w:ascii="Arial" w:eastAsia="Times New Roman" w:hAnsi="Arial" w:cs="Arial"/>
                <w:color w:val="000000"/>
                <w:sz w:val="20"/>
                <w:szCs w:val="20"/>
              </w:rPr>
              <w:br/>
              <w:t>1.58</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Anxiety</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3559</w:t>
            </w:r>
            <w:r w:rsidRPr="000E5D59">
              <w:rPr>
                <w:rFonts w:ascii="Arial" w:eastAsia="Times New Roman" w:hAnsi="Arial" w:cs="Arial"/>
                <w:color w:val="000000"/>
                <w:sz w:val="20"/>
                <w:szCs w:val="20"/>
              </w:rPr>
              <w:br/>
              <w:t>60.16</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1773</w:t>
            </w:r>
            <w:r w:rsidRPr="000E5D59">
              <w:rPr>
                <w:rFonts w:ascii="Arial" w:eastAsia="Times New Roman" w:hAnsi="Arial" w:cs="Arial"/>
                <w:color w:val="000000"/>
                <w:sz w:val="20"/>
                <w:szCs w:val="20"/>
              </w:rPr>
              <w:br/>
              <w:t>55.91</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1719</w:t>
            </w:r>
            <w:r w:rsidRPr="000E5D59">
              <w:rPr>
                <w:rFonts w:ascii="Arial" w:eastAsia="Times New Roman" w:hAnsi="Arial" w:cs="Arial"/>
                <w:color w:val="000000"/>
                <w:sz w:val="20"/>
                <w:szCs w:val="20"/>
              </w:rPr>
              <w:br/>
              <w:t>64.87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Arthritis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1563</w:t>
            </w:r>
            <w:r w:rsidRPr="000E5D59">
              <w:rPr>
                <w:rFonts w:ascii="Arial" w:eastAsia="Times New Roman" w:hAnsi="Arial" w:cs="Arial"/>
                <w:color w:val="000000"/>
                <w:sz w:val="20"/>
                <w:szCs w:val="20"/>
              </w:rPr>
              <w:br/>
              <w:t>26.42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784</w:t>
            </w:r>
            <w:r w:rsidRPr="000E5D59">
              <w:rPr>
                <w:rFonts w:ascii="Arial" w:eastAsia="Times New Roman" w:hAnsi="Arial" w:cs="Arial"/>
                <w:color w:val="000000"/>
                <w:sz w:val="20"/>
                <w:szCs w:val="20"/>
              </w:rPr>
              <w:br/>
              <w:t>24.72</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759</w:t>
            </w:r>
            <w:r w:rsidRPr="000E5D59">
              <w:rPr>
                <w:rFonts w:ascii="Arial" w:eastAsia="Times New Roman" w:hAnsi="Arial" w:cs="Arial"/>
                <w:color w:val="000000"/>
                <w:sz w:val="20"/>
                <w:szCs w:val="20"/>
              </w:rPr>
              <w:br/>
              <w:t>28.64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Asthma</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190</w:t>
            </w:r>
            <w:r w:rsidRPr="000E5D59">
              <w:rPr>
                <w:rFonts w:ascii="Arial" w:eastAsia="Times New Roman" w:hAnsi="Arial" w:cs="Arial"/>
                <w:color w:val="000000"/>
                <w:sz w:val="20"/>
                <w:szCs w:val="20"/>
              </w:rPr>
              <w:br/>
              <w:t>3.21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83</w:t>
            </w:r>
            <w:r w:rsidRPr="000E5D59">
              <w:rPr>
                <w:rFonts w:ascii="Arial" w:eastAsia="Times New Roman" w:hAnsi="Arial" w:cs="Arial"/>
                <w:color w:val="000000"/>
                <w:sz w:val="20"/>
                <w:szCs w:val="20"/>
              </w:rPr>
              <w:br/>
              <w:t>2.62</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101</w:t>
            </w:r>
            <w:r w:rsidRPr="000E5D59">
              <w:rPr>
                <w:rFonts w:ascii="Arial" w:eastAsia="Times New Roman" w:hAnsi="Arial" w:cs="Arial"/>
                <w:color w:val="000000"/>
                <w:sz w:val="20"/>
                <w:szCs w:val="20"/>
              </w:rPr>
              <w:br/>
              <w:t>3.81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765DA1" w:rsidP="00765DA1">
            <w:pPr>
              <w:tabs>
                <w:tab w:val="left" w:pos="348"/>
                <w:tab w:val="right" w:pos="3939"/>
              </w:tabs>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b/>
            </w:r>
            <w:r>
              <w:rPr>
                <w:rFonts w:ascii="Arial" w:eastAsia="Times New Roman" w:hAnsi="Arial" w:cs="Arial"/>
                <w:color w:val="000000"/>
                <w:sz w:val="20"/>
                <w:szCs w:val="20"/>
              </w:rPr>
              <w:tab/>
            </w:r>
            <w:r w:rsidR="000E5D59" w:rsidRPr="000E5D59">
              <w:rPr>
                <w:rFonts w:ascii="Arial" w:eastAsia="Times New Roman" w:hAnsi="Arial" w:cs="Arial"/>
                <w:color w:val="000000"/>
                <w:sz w:val="20"/>
                <w:szCs w:val="20"/>
              </w:rPr>
              <w:t>Bipolar Disorder</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336</w:t>
            </w:r>
            <w:r w:rsidRPr="000E5D59">
              <w:rPr>
                <w:rFonts w:ascii="Arial" w:eastAsia="Times New Roman" w:hAnsi="Arial" w:cs="Arial"/>
                <w:color w:val="000000"/>
                <w:sz w:val="20"/>
                <w:szCs w:val="20"/>
              </w:rPr>
              <w:br/>
              <w:t>5.68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167</w:t>
            </w:r>
            <w:r w:rsidRPr="000E5D59">
              <w:rPr>
                <w:rFonts w:ascii="Arial" w:eastAsia="Times New Roman" w:hAnsi="Arial" w:cs="Arial"/>
                <w:color w:val="000000"/>
                <w:sz w:val="20"/>
                <w:szCs w:val="20"/>
              </w:rPr>
              <w:br/>
              <w:t>5.27</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162</w:t>
            </w:r>
            <w:r w:rsidRPr="000E5D59">
              <w:rPr>
                <w:rFonts w:ascii="Arial" w:eastAsia="Times New Roman" w:hAnsi="Arial" w:cs="Arial"/>
                <w:color w:val="000000"/>
                <w:sz w:val="20"/>
                <w:szCs w:val="20"/>
              </w:rPr>
              <w:br/>
              <w:t>6.11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Bowel Distress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562</w:t>
            </w:r>
            <w:r w:rsidRPr="000E5D59">
              <w:rPr>
                <w:rFonts w:ascii="Arial" w:eastAsia="Times New Roman" w:hAnsi="Arial" w:cs="Arial"/>
                <w:color w:val="000000"/>
                <w:sz w:val="20"/>
                <w:szCs w:val="20"/>
              </w:rPr>
              <w:br/>
              <w:t>9.50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232</w:t>
            </w:r>
            <w:r w:rsidRPr="000E5D59">
              <w:rPr>
                <w:rFonts w:ascii="Arial" w:eastAsia="Times New Roman" w:hAnsi="Arial" w:cs="Arial"/>
                <w:color w:val="000000"/>
                <w:sz w:val="20"/>
                <w:szCs w:val="20"/>
              </w:rPr>
              <w:br/>
              <w:t>7.32</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318</w:t>
            </w:r>
            <w:r w:rsidRPr="000E5D59">
              <w:rPr>
                <w:rFonts w:ascii="Arial" w:eastAsia="Times New Roman" w:hAnsi="Arial" w:cs="Arial"/>
                <w:color w:val="000000"/>
                <w:sz w:val="20"/>
                <w:szCs w:val="20"/>
              </w:rPr>
              <w:br/>
              <w:t>12.00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Cancer</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331</w:t>
            </w:r>
            <w:r w:rsidRPr="000E5D59">
              <w:rPr>
                <w:rFonts w:ascii="Arial" w:eastAsia="Times New Roman" w:hAnsi="Arial" w:cs="Arial"/>
                <w:color w:val="000000"/>
                <w:sz w:val="20"/>
                <w:szCs w:val="20"/>
              </w:rPr>
              <w:br/>
              <w:t>5.59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186</w:t>
            </w:r>
            <w:r w:rsidRPr="000E5D59">
              <w:rPr>
                <w:rFonts w:ascii="Arial" w:eastAsia="Times New Roman" w:hAnsi="Arial" w:cs="Arial"/>
                <w:color w:val="000000"/>
                <w:sz w:val="20"/>
                <w:szCs w:val="20"/>
              </w:rPr>
              <w:br/>
              <w:t>5.87</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141</w:t>
            </w:r>
            <w:r w:rsidRPr="000E5D59">
              <w:rPr>
                <w:rFonts w:ascii="Arial" w:eastAsia="Times New Roman" w:hAnsi="Arial" w:cs="Arial"/>
                <w:color w:val="000000"/>
                <w:sz w:val="20"/>
                <w:szCs w:val="20"/>
              </w:rPr>
              <w:br/>
              <w:t>5.32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Carpal Tunnel</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214</w:t>
            </w:r>
            <w:r w:rsidRPr="000E5D59">
              <w:rPr>
                <w:rFonts w:ascii="Arial" w:eastAsia="Times New Roman" w:hAnsi="Arial" w:cs="Arial"/>
                <w:color w:val="000000"/>
                <w:sz w:val="20"/>
                <w:szCs w:val="20"/>
              </w:rPr>
              <w:br/>
              <w:t>3.62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101</w:t>
            </w:r>
            <w:r w:rsidRPr="000E5D59">
              <w:rPr>
                <w:rFonts w:ascii="Arial" w:eastAsia="Times New Roman" w:hAnsi="Arial" w:cs="Arial"/>
                <w:color w:val="000000"/>
                <w:sz w:val="20"/>
                <w:szCs w:val="20"/>
              </w:rPr>
              <w:br/>
              <w:t>3.19</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111</w:t>
            </w:r>
            <w:r w:rsidRPr="000E5D59">
              <w:rPr>
                <w:rFonts w:ascii="Arial" w:eastAsia="Times New Roman" w:hAnsi="Arial" w:cs="Arial"/>
                <w:color w:val="000000"/>
                <w:sz w:val="20"/>
                <w:szCs w:val="20"/>
              </w:rPr>
              <w:br/>
              <w:t>4.19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Chronic Pain</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2749</w:t>
            </w:r>
            <w:r w:rsidRPr="000E5D59">
              <w:rPr>
                <w:rFonts w:ascii="Arial" w:eastAsia="Times New Roman" w:hAnsi="Arial" w:cs="Arial"/>
                <w:color w:val="000000"/>
                <w:sz w:val="20"/>
                <w:szCs w:val="20"/>
              </w:rPr>
              <w:br/>
              <w:t>46.47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1456</w:t>
            </w:r>
            <w:r w:rsidRPr="000E5D59">
              <w:rPr>
                <w:rFonts w:ascii="Arial" w:eastAsia="Times New Roman" w:hAnsi="Arial" w:cs="Arial"/>
                <w:color w:val="000000"/>
                <w:sz w:val="20"/>
                <w:szCs w:val="20"/>
              </w:rPr>
              <w:br/>
              <w:t>45.92</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1247</w:t>
            </w:r>
            <w:r w:rsidRPr="000E5D59">
              <w:rPr>
                <w:rFonts w:ascii="Arial" w:eastAsia="Times New Roman" w:hAnsi="Arial" w:cs="Arial"/>
                <w:color w:val="000000"/>
                <w:sz w:val="20"/>
                <w:szCs w:val="20"/>
              </w:rPr>
              <w:br/>
              <w:t>47.06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Crohn's Disease</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159</w:t>
            </w:r>
            <w:r w:rsidRPr="000E5D59">
              <w:rPr>
                <w:rFonts w:ascii="Arial" w:eastAsia="Times New Roman" w:hAnsi="Arial" w:cs="Arial"/>
                <w:color w:val="000000"/>
                <w:sz w:val="20"/>
                <w:szCs w:val="20"/>
              </w:rPr>
              <w:br/>
              <w:t>2.69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80</w:t>
            </w:r>
            <w:r w:rsidRPr="000E5D59">
              <w:rPr>
                <w:rFonts w:ascii="Arial" w:eastAsia="Times New Roman" w:hAnsi="Arial" w:cs="Arial"/>
                <w:color w:val="000000"/>
                <w:sz w:val="20"/>
                <w:szCs w:val="20"/>
              </w:rPr>
              <w:br/>
              <w:t>2.52</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78</w:t>
            </w:r>
            <w:r w:rsidRPr="000E5D59">
              <w:rPr>
                <w:rFonts w:ascii="Arial" w:eastAsia="Times New Roman" w:hAnsi="Arial" w:cs="Arial"/>
                <w:color w:val="000000"/>
                <w:sz w:val="20"/>
                <w:szCs w:val="20"/>
              </w:rPr>
              <w:br/>
              <w:t>2.94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Depression</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2463</w:t>
            </w:r>
            <w:r w:rsidRPr="000E5D59">
              <w:rPr>
                <w:rFonts w:ascii="Arial" w:eastAsia="Times New Roman" w:hAnsi="Arial" w:cs="Arial"/>
                <w:color w:val="000000"/>
                <w:sz w:val="20"/>
                <w:szCs w:val="20"/>
              </w:rPr>
              <w:br/>
              <w:t>41.63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1213</w:t>
            </w:r>
            <w:r w:rsidRPr="000E5D59">
              <w:rPr>
                <w:rFonts w:ascii="Arial" w:eastAsia="Times New Roman" w:hAnsi="Arial" w:cs="Arial"/>
                <w:color w:val="000000"/>
                <w:sz w:val="20"/>
                <w:szCs w:val="20"/>
              </w:rPr>
              <w:br/>
              <w:t>38.25</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1195</w:t>
            </w:r>
            <w:r w:rsidRPr="000E5D59">
              <w:rPr>
                <w:rFonts w:ascii="Arial" w:eastAsia="Times New Roman" w:hAnsi="Arial" w:cs="Arial"/>
                <w:color w:val="000000"/>
                <w:sz w:val="20"/>
                <w:szCs w:val="20"/>
              </w:rPr>
              <w:br/>
              <w:t>45.09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Diabetes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216</w:t>
            </w:r>
            <w:r w:rsidRPr="000E5D59">
              <w:rPr>
                <w:rFonts w:ascii="Arial" w:eastAsia="Times New Roman" w:hAnsi="Arial" w:cs="Arial"/>
                <w:color w:val="000000"/>
                <w:sz w:val="20"/>
                <w:szCs w:val="20"/>
              </w:rPr>
              <w:br/>
              <w:t>3.65</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160</w:t>
            </w:r>
            <w:r w:rsidRPr="000E5D59">
              <w:rPr>
                <w:rFonts w:ascii="Arial" w:eastAsia="Times New Roman" w:hAnsi="Arial" w:cs="Arial"/>
                <w:color w:val="000000"/>
                <w:sz w:val="20"/>
                <w:szCs w:val="20"/>
              </w:rPr>
              <w:br/>
              <w:t>5.05</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55</w:t>
            </w:r>
            <w:r w:rsidRPr="000E5D59">
              <w:rPr>
                <w:rFonts w:ascii="Arial" w:eastAsia="Times New Roman" w:hAnsi="Arial" w:cs="Arial"/>
                <w:color w:val="000000"/>
                <w:sz w:val="20"/>
                <w:szCs w:val="20"/>
              </w:rPr>
              <w:br/>
              <w:t>2.08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Fibromyalgia</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444</w:t>
            </w:r>
            <w:r w:rsidRPr="000E5D59">
              <w:rPr>
                <w:rFonts w:ascii="Arial" w:eastAsia="Times New Roman" w:hAnsi="Arial" w:cs="Arial"/>
                <w:color w:val="000000"/>
                <w:sz w:val="20"/>
                <w:szCs w:val="20"/>
              </w:rPr>
              <w:br/>
              <w:t>7.51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76</w:t>
            </w:r>
            <w:r w:rsidRPr="000E5D59">
              <w:rPr>
                <w:rFonts w:ascii="Arial" w:eastAsia="Times New Roman" w:hAnsi="Arial" w:cs="Arial"/>
                <w:color w:val="000000"/>
                <w:sz w:val="20"/>
                <w:szCs w:val="20"/>
              </w:rPr>
              <w:br/>
              <w:t>2.40</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359</w:t>
            </w:r>
            <w:r w:rsidRPr="000E5D59">
              <w:rPr>
                <w:rFonts w:ascii="Arial" w:eastAsia="Times New Roman" w:hAnsi="Arial" w:cs="Arial"/>
                <w:color w:val="000000"/>
                <w:sz w:val="20"/>
                <w:szCs w:val="20"/>
              </w:rPr>
              <w:br/>
              <w:t>13.55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Glaucoma</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143</w:t>
            </w:r>
            <w:r w:rsidRPr="000E5D59">
              <w:rPr>
                <w:rFonts w:ascii="Arial" w:eastAsia="Times New Roman" w:hAnsi="Arial" w:cs="Arial"/>
                <w:color w:val="000000"/>
                <w:sz w:val="20"/>
                <w:szCs w:val="20"/>
              </w:rPr>
              <w:br/>
              <w:t>2.42</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91</w:t>
            </w:r>
            <w:r w:rsidRPr="000E5D59">
              <w:rPr>
                <w:rFonts w:ascii="Arial" w:eastAsia="Times New Roman" w:hAnsi="Arial" w:cs="Arial"/>
                <w:color w:val="000000"/>
                <w:sz w:val="20"/>
                <w:szCs w:val="20"/>
              </w:rPr>
              <w:br/>
              <w:t>2.87</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52</w:t>
            </w:r>
            <w:r w:rsidRPr="000E5D59">
              <w:rPr>
                <w:rFonts w:ascii="Arial" w:eastAsia="Times New Roman" w:hAnsi="Arial" w:cs="Arial"/>
                <w:color w:val="000000"/>
                <w:sz w:val="20"/>
                <w:szCs w:val="20"/>
              </w:rPr>
              <w:br/>
              <w:t>1.96</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i/>
                <w:iCs/>
                <w:color w:val="000000"/>
                <w:sz w:val="20"/>
                <w:szCs w:val="20"/>
              </w:rPr>
            </w:pPr>
            <w:r w:rsidRPr="000E5D59">
              <w:rPr>
                <w:rFonts w:ascii="Arial" w:eastAsia="Times New Roman" w:hAnsi="Arial" w:cs="Arial"/>
                <w:b/>
                <w:bCs/>
                <w:color w:val="000000"/>
                <w:sz w:val="20"/>
                <w:szCs w:val="20"/>
              </w:rPr>
              <w:t>†</w:t>
            </w:r>
            <w:r w:rsidRPr="000E5D59">
              <w:rPr>
                <w:rFonts w:ascii="Arial" w:eastAsia="Times New Roman" w:hAnsi="Arial" w:cs="Arial"/>
                <w:color w:val="000000"/>
                <w:sz w:val="20"/>
                <w:szCs w:val="20"/>
              </w:rPr>
              <w:t xml:space="preserve"> </w:t>
            </w:r>
            <w:r w:rsidRPr="000E5D59">
              <w:rPr>
                <w:rFonts w:ascii="Arial" w:eastAsia="Times New Roman" w:hAnsi="Arial" w:cs="Arial"/>
                <w:i/>
                <w:iCs/>
                <w:color w:val="000000"/>
                <w:sz w:val="20"/>
                <w:szCs w:val="20"/>
              </w:rPr>
              <w:t>Among respondents indicating medical use of marijuana or marijuana products (certified or uncertified)</w:t>
            </w:r>
            <w:r w:rsidRPr="000E5D59">
              <w:rPr>
                <w:rFonts w:ascii="Arial" w:eastAsia="Times New Roman" w:hAnsi="Arial" w:cs="Arial"/>
                <w:i/>
                <w:iCs/>
                <w:color w:val="000000"/>
                <w:sz w:val="20"/>
                <w:szCs w:val="20"/>
              </w:rPr>
              <w:br/>
            </w:r>
            <w:r w:rsidRPr="000E5D59">
              <w:rPr>
                <w:rFonts w:ascii="Arial" w:eastAsia="Times New Roman" w:hAnsi="Arial" w:cs="Arial"/>
                <w:b/>
                <w:bCs/>
                <w:color w:val="000000"/>
                <w:sz w:val="20"/>
                <w:szCs w:val="20"/>
              </w:rPr>
              <w:t>‡</w:t>
            </w:r>
            <w:r w:rsidRPr="000E5D59">
              <w:rPr>
                <w:rFonts w:ascii="Arial" w:eastAsia="Times New Roman" w:hAnsi="Arial" w:cs="Arial"/>
                <w:i/>
                <w:iCs/>
                <w:color w:val="000000"/>
                <w:sz w:val="20"/>
                <w:szCs w:val="20"/>
              </w:rPr>
              <w:t xml:space="preserve"> Percentages sum to more than 100% because respondents could choose more than one option</w:t>
            </w:r>
          </w:p>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i/>
                <w:iCs/>
                <w:color w:val="000000"/>
                <w:sz w:val="20"/>
                <w:szCs w:val="20"/>
              </w:rPr>
              <w:t>*p&lt;0.05; **p&lt;0.01; ***p&lt;0.001; ****p&lt;0.0001; ns=not significant</w:t>
            </w:r>
          </w:p>
        </w:tc>
      </w:tr>
    </w:tbl>
    <w:p w:rsidR="000E5D59" w:rsidRPr="000E5D59" w:rsidRDefault="000E5D59" w:rsidP="006057BE">
      <w:pPr>
        <w:spacing w:after="0" w:line="240" w:lineRule="auto"/>
        <w:rPr>
          <w:rFonts w:ascii="Garamond" w:eastAsia="Calibri" w:hAnsi="Garamond" w:cs="Times New Roman"/>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(Continued) Table 4A: DPH Patient Survey Medical Use of Marijuana and Marijuana Product Use, Medica</w:t>
      </w:r>
      <w:r w:rsidR="000941B7">
        <w:rPr>
          <w:rFonts w:ascii="Arial" w:eastAsia="Calibri" w:hAnsi="Arial" w:cs="Arial"/>
          <w:b/>
          <w:sz w:val="24"/>
          <w:szCs w:val="24"/>
        </w:rPr>
        <w:t xml:space="preserve">l Conditions Treated by Gender </w:t>
      </w:r>
    </w:p>
    <w:tbl>
      <w:tblPr>
        <w:tblW w:w="0" w:type="auto"/>
        <w:tblInd w:w="93" w:type="dxa"/>
        <w:tblLook w:val="04A0" w:firstRow="1" w:lastRow="0" w:firstColumn="1" w:lastColumn="0" w:noHBand="0" w:noVBand="1"/>
        <w:tblCaption w:val="Continued: DPH Patient Survey Medical Use of Marijuana and Marijuana Product Use, Medical Conditions Treated by Gender"/>
        <w:tblDescription w:val="The table summarizes medical conditions for which respondents used marijuana products, comparing male versus female respondents' data. More female respondents than male respondents reported using  marijuana products to treat anxiety, arthritis, bowel distress, depression, fibromyalgia, headaches/migraines, multiple sclerosis, nausea, osteoarthritis, PTSD, vomiting, and “other”. More males reported using marijuana products to treat ADHD, alcohol dependency, diabetes, HIV/AIDS, and sleep apnea."/>
      </w:tblPr>
      <w:tblGrid>
        <w:gridCol w:w="4155"/>
        <w:gridCol w:w="1170"/>
        <w:gridCol w:w="1530"/>
        <w:gridCol w:w="1440"/>
        <w:gridCol w:w="1170"/>
      </w:tblGrid>
      <w:tr w:rsidR="000E5D59" w:rsidRPr="000E5D59" w:rsidTr="00784755">
        <w:trPr>
          <w:trHeight w:val="20"/>
        </w:trPr>
        <w:tc>
          <w:tcPr>
            <w:tcW w:w="415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right"/>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Gender</w:t>
            </w:r>
          </w:p>
        </w:tc>
      </w:tr>
      <w:tr w:rsidR="000E5D59" w:rsidRPr="000E5D59" w:rsidTr="00784755">
        <w:trPr>
          <w:trHeight w:val="20"/>
        </w:trPr>
        <w:tc>
          <w:tcPr>
            <w:tcW w:w="415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17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53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Male</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(N=3293)</w:t>
            </w:r>
          </w:p>
        </w:tc>
        <w:tc>
          <w:tcPr>
            <w:tcW w:w="144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Female</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(N=2720)</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xml:space="preserve">Medical condition (s) for which respondent uses marijuana or marijuana products †‡ </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5916</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Headaches/Migraines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1185</w:t>
            </w:r>
            <w:r w:rsidRPr="000E5D59">
              <w:rPr>
                <w:rFonts w:ascii="Arial" w:eastAsia="Times New Roman" w:hAnsi="Arial" w:cs="Arial"/>
                <w:color w:val="000000"/>
                <w:sz w:val="20"/>
                <w:szCs w:val="20"/>
              </w:rPr>
              <w:br/>
              <w:t>20.03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464</w:t>
            </w:r>
            <w:r w:rsidRPr="000E5D59">
              <w:rPr>
                <w:rFonts w:ascii="Arial" w:eastAsia="Times New Roman" w:hAnsi="Arial" w:cs="Arial"/>
                <w:color w:val="000000"/>
                <w:sz w:val="20"/>
                <w:szCs w:val="20"/>
              </w:rPr>
              <w:br/>
              <w:t>14.63</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693</w:t>
            </w:r>
            <w:r w:rsidRPr="000E5D59">
              <w:rPr>
                <w:rFonts w:ascii="Arial" w:eastAsia="Times New Roman" w:hAnsi="Arial" w:cs="Arial"/>
                <w:color w:val="000000"/>
                <w:sz w:val="20"/>
                <w:szCs w:val="20"/>
              </w:rPr>
              <w:br/>
              <w:t>26.15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Hepatitis C</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56</w:t>
            </w:r>
            <w:r w:rsidRPr="000E5D59">
              <w:rPr>
                <w:rFonts w:ascii="Arial" w:eastAsia="Times New Roman" w:hAnsi="Arial" w:cs="Arial"/>
                <w:color w:val="000000"/>
                <w:sz w:val="20"/>
                <w:szCs w:val="20"/>
              </w:rPr>
              <w:br/>
              <w:t>0.95</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41</w:t>
            </w:r>
            <w:r w:rsidRPr="000E5D59">
              <w:rPr>
                <w:rFonts w:ascii="Arial" w:eastAsia="Times New Roman" w:hAnsi="Arial" w:cs="Arial"/>
                <w:color w:val="000000"/>
                <w:sz w:val="20"/>
                <w:szCs w:val="20"/>
              </w:rPr>
              <w:br/>
              <w:t>1.29</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w:t>
            </w:r>
            <w:r w:rsidRPr="000E5D59">
              <w:rPr>
                <w:rFonts w:ascii="Arial" w:eastAsia="Times New Roman" w:hAnsi="Arial" w:cs="Arial"/>
                <w:color w:val="000000"/>
                <w:sz w:val="20"/>
                <w:szCs w:val="20"/>
              </w:rPr>
              <w:br/>
              <w:t>0.53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HIV/AIDS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43</w:t>
            </w:r>
            <w:r w:rsidRPr="000E5D59">
              <w:rPr>
                <w:rFonts w:ascii="Arial" w:eastAsia="Times New Roman" w:hAnsi="Arial" w:cs="Arial"/>
                <w:color w:val="000000"/>
                <w:sz w:val="20"/>
                <w:szCs w:val="20"/>
              </w:rPr>
              <w:br/>
              <w:t>0.73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38</w:t>
            </w:r>
            <w:r w:rsidRPr="000E5D59">
              <w:rPr>
                <w:rFonts w:ascii="Arial" w:eastAsia="Times New Roman" w:hAnsi="Arial" w:cs="Arial"/>
                <w:color w:val="000000"/>
                <w:sz w:val="20"/>
                <w:szCs w:val="20"/>
              </w:rPr>
              <w:br/>
              <w:t>1.20</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w:t>
            </w:r>
            <w:r w:rsidRPr="000E5D59">
              <w:rPr>
                <w:rFonts w:ascii="Arial" w:eastAsia="Times New Roman" w:hAnsi="Arial" w:cs="Arial"/>
                <w:color w:val="000000"/>
                <w:sz w:val="20"/>
                <w:szCs w:val="20"/>
              </w:rPr>
              <w:br/>
              <w:t>0.19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Huntington's Disease</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w:t>
            </w:r>
            <w:r w:rsidRPr="000E5D59">
              <w:rPr>
                <w:rFonts w:ascii="Arial" w:eastAsia="Times New Roman" w:hAnsi="Arial" w:cs="Arial"/>
                <w:color w:val="000000"/>
                <w:sz w:val="20"/>
                <w:szCs w:val="20"/>
              </w:rPr>
              <w:br/>
              <w:t>0.03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w:t>
            </w:r>
            <w:r w:rsidRPr="000E5D59">
              <w:rPr>
                <w:rFonts w:ascii="Arial" w:eastAsia="Times New Roman" w:hAnsi="Arial" w:cs="Arial"/>
                <w:color w:val="000000"/>
                <w:sz w:val="20"/>
                <w:szCs w:val="20"/>
              </w:rPr>
              <w:br/>
              <w:t>0.03</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w:t>
            </w:r>
            <w:r w:rsidRPr="000E5D59">
              <w:rPr>
                <w:rFonts w:ascii="Arial" w:eastAsia="Times New Roman" w:hAnsi="Arial" w:cs="Arial"/>
                <w:color w:val="000000"/>
                <w:sz w:val="20"/>
                <w:szCs w:val="20"/>
              </w:rPr>
              <w:br/>
              <w:t>0.04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Hypertension</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318</w:t>
            </w:r>
            <w:r w:rsidRPr="000E5D59">
              <w:rPr>
                <w:rFonts w:ascii="Arial" w:eastAsia="Times New Roman" w:hAnsi="Arial" w:cs="Arial"/>
                <w:color w:val="000000"/>
                <w:sz w:val="20"/>
                <w:szCs w:val="20"/>
              </w:rPr>
              <w:br/>
              <w:t>5.38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201</w:t>
            </w:r>
            <w:r w:rsidRPr="000E5D59">
              <w:rPr>
                <w:rFonts w:ascii="Arial" w:eastAsia="Times New Roman" w:hAnsi="Arial" w:cs="Arial"/>
                <w:color w:val="000000"/>
                <w:sz w:val="20"/>
                <w:szCs w:val="20"/>
              </w:rPr>
              <w:br/>
              <w:t>6.34</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111</w:t>
            </w:r>
            <w:r w:rsidRPr="000E5D59">
              <w:rPr>
                <w:rFonts w:ascii="Arial" w:eastAsia="Times New Roman" w:hAnsi="Arial" w:cs="Arial"/>
                <w:color w:val="000000"/>
                <w:sz w:val="20"/>
                <w:szCs w:val="20"/>
              </w:rPr>
              <w:br/>
              <w:t>4.19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Insomnia</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2524</w:t>
            </w:r>
            <w:r w:rsidRPr="000E5D59">
              <w:rPr>
                <w:rFonts w:ascii="Arial" w:eastAsia="Times New Roman" w:hAnsi="Arial" w:cs="Arial"/>
                <w:color w:val="000000"/>
                <w:sz w:val="20"/>
                <w:szCs w:val="20"/>
              </w:rPr>
              <w:br/>
              <w:t>42.66</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1326</w:t>
            </w:r>
            <w:r w:rsidRPr="000E5D59">
              <w:rPr>
                <w:rFonts w:ascii="Arial" w:eastAsia="Times New Roman" w:hAnsi="Arial" w:cs="Arial"/>
                <w:color w:val="000000"/>
                <w:sz w:val="20"/>
                <w:szCs w:val="20"/>
              </w:rPr>
              <w:br/>
              <w:t>41.82</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1152</w:t>
            </w:r>
            <w:r w:rsidRPr="000E5D59">
              <w:rPr>
                <w:rFonts w:ascii="Arial" w:eastAsia="Times New Roman" w:hAnsi="Arial" w:cs="Arial"/>
                <w:color w:val="000000"/>
                <w:sz w:val="20"/>
                <w:szCs w:val="20"/>
              </w:rPr>
              <w:br/>
              <w:t>43.47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Loss of Appetite</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744</w:t>
            </w:r>
            <w:r w:rsidRPr="000E5D59">
              <w:rPr>
                <w:rFonts w:ascii="Arial" w:eastAsia="Times New Roman" w:hAnsi="Arial" w:cs="Arial"/>
                <w:color w:val="000000"/>
                <w:sz w:val="20"/>
                <w:szCs w:val="20"/>
              </w:rPr>
              <w:br/>
              <w:t>12.58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396</w:t>
            </w:r>
            <w:r w:rsidRPr="000E5D59">
              <w:rPr>
                <w:rFonts w:ascii="Arial" w:eastAsia="Times New Roman" w:hAnsi="Arial" w:cs="Arial"/>
                <w:color w:val="000000"/>
                <w:sz w:val="20"/>
                <w:szCs w:val="20"/>
              </w:rPr>
              <w:br/>
              <w:t>12.49</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323</w:t>
            </w:r>
            <w:r w:rsidRPr="000E5D59">
              <w:rPr>
                <w:rFonts w:ascii="Arial" w:eastAsia="Times New Roman" w:hAnsi="Arial" w:cs="Arial"/>
                <w:color w:val="000000"/>
                <w:sz w:val="20"/>
                <w:szCs w:val="20"/>
              </w:rPr>
              <w:br/>
              <w:t>12.19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Multiple Sclerosis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140</w:t>
            </w:r>
            <w:r w:rsidRPr="000E5D59">
              <w:rPr>
                <w:rFonts w:ascii="Arial" w:eastAsia="Times New Roman" w:hAnsi="Arial" w:cs="Arial"/>
                <w:color w:val="000000"/>
                <w:sz w:val="20"/>
                <w:szCs w:val="20"/>
              </w:rPr>
              <w:br/>
              <w:t>2.37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45</w:t>
            </w:r>
            <w:r w:rsidRPr="000E5D59">
              <w:rPr>
                <w:rFonts w:ascii="Arial" w:eastAsia="Times New Roman" w:hAnsi="Arial" w:cs="Arial"/>
                <w:color w:val="000000"/>
                <w:sz w:val="20"/>
                <w:szCs w:val="20"/>
              </w:rPr>
              <w:br/>
              <w:t>1.42</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94</w:t>
            </w:r>
            <w:r w:rsidRPr="000E5D59">
              <w:rPr>
                <w:rFonts w:ascii="Arial" w:eastAsia="Times New Roman" w:hAnsi="Arial" w:cs="Arial"/>
                <w:color w:val="000000"/>
                <w:sz w:val="20"/>
                <w:szCs w:val="20"/>
              </w:rPr>
              <w:br/>
              <w:t>3.55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Muscle Spasms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1050</w:t>
            </w:r>
            <w:r w:rsidRPr="000E5D59">
              <w:rPr>
                <w:rFonts w:ascii="Arial" w:eastAsia="Times New Roman" w:hAnsi="Arial" w:cs="Arial"/>
                <w:color w:val="000000"/>
                <w:sz w:val="20"/>
                <w:szCs w:val="20"/>
              </w:rPr>
              <w:br/>
              <w:t>17.75</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516</w:t>
            </w:r>
            <w:r w:rsidRPr="000E5D59">
              <w:rPr>
                <w:rFonts w:ascii="Arial" w:eastAsia="Times New Roman" w:hAnsi="Arial" w:cs="Arial"/>
                <w:color w:val="000000"/>
                <w:sz w:val="20"/>
                <w:szCs w:val="20"/>
              </w:rPr>
              <w:br/>
              <w:t>16.27</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518</w:t>
            </w:r>
            <w:r w:rsidRPr="000E5D59">
              <w:rPr>
                <w:rFonts w:ascii="Arial" w:eastAsia="Times New Roman" w:hAnsi="Arial" w:cs="Arial"/>
                <w:color w:val="000000"/>
                <w:sz w:val="20"/>
                <w:szCs w:val="20"/>
              </w:rPr>
              <w:br/>
              <w:t>19.55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Muscular Dystrophy</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w:t>
            </w:r>
            <w:r w:rsidRPr="000E5D59">
              <w:rPr>
                <w:rFonts w:ascii="Arial" w:eastAsia="Times New Roman" w:hAnsi="Arial" w:cs="Arial"/>
                <w:color w:val="000000"/>
                <w:sz w:val="20"/>
                <w:szCs w:val="20"/>
              </w:rPr>
              <w:br/>
              <w:t>0.25</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w:t>
            </w:r>
            <w:r w:rsidRPr="000E5D59">
              <w:rPr>
                <w:rFonts w:ascii="Arial" w:eastAsia="Times New Roman" w:hAnsi="Arial" w:cs="Arial"/>
                <w:color w:val="000000"/>
                <w:sz w:val="20"/>
                <w:szCs w:val="20"/>
              </w:rPr>
              <w:br/>
              <w:t>0.35</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w:t>
            </w:r>
            <w:r w:rsidRPr="000E5D59">
              <w:rPr>
                <w:rFonts w:ascii="Arial" w:eastAsia="Times New Roman" w:hAnsi="Arial" w:cs="Arial"/>
                <w:color w:val="000000"/>
                <w:sz w:val="20"/>
                <w:szCs w:val="20"/>
              </w:rPr>
              <w:br/>
              <w:t>0.11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Nausea</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955</w:t>
            </w:r>
            <w:r w:rsidRPr="000E5D59">
              <w:rPr>
                <w:rFonts w:ascii="Arial" w:eastAsia="Times New Roman" w:hAnsi="Arial" w:cs="Arial"/>
                <w:color w:val="000000"/>
                <w:sz w:val="20"/>
                <w:szCs w:val="20"/>
              </w:rPr>
              <w:br/>
              <w:t>16.14</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381</w:t>
            </w:r>
            <w:r w:rsidRPr="000E5D59">
              <w:rPr>
                <w:rFonts w:ascii="Arial" w:eastAsia="Times New Roman" w:hAnsi="Arial" w:cs="Arial"/>
                <w:color w:val="000000"/>
                <w:sz w:val="20"/>
                <w:szCs w:val="20"/>
              </w:rPr>
              <w:br/>
              <w:t>12.02</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550</w:t>
            </w:r>
            <w:r w:rsidRPr="000E5D59">
              <w:rPr>
                <w:rFonts w:ascii="Arial" w:eastAsia="Times New Roman" w:hAnsi="Arial" w:cs="Arial"/>
                <w:color w:val="000000"/>
                <w:sz w:val="20"/>
                <w:szCs w:val="20"/>
              </w:rPr>
              <w:br/>
              <w:t>20.75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Neuropathy</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611</w:t>
            </w:r>
            <w:r w:rsidRPr="000E5D59">
              <w:rPr>
                <w:rFonts w:ascii="Arial" w:eastAsia="Times New Roman" w:hAnsi="Arial" w:cs="Arial"/>
                <w:color w:val="000000"/>
                <w:sz w:val="20"/>
                <w:szCs w:val="20"/>
              </w:rPr>
              <w:br/>
              <w:t>10.33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287</w:t>
            </w:r>
            <w:r w:rsidRPr="000E5D59">
              <w:rPr>
                <w:rFonts w:ascii="Arial" w:eastAsia="Times New Roman" w:hAnsi="Arial" w:cs="Arial"/>
                <w:color w:val="000000"/>
                <w:sz w:val="20"/>
                <w:szCs w:val="20"/>
              </w:rPr>
              <w:br/>
              <w:t>9.05</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313</w:t>
            </w:r>
            <w:r w:rsidRPr="000E5D59">
              <w:rPr>
                <w:rFonts w:ascii="Arial" w:eastAsia="Times New Roman" w:hAnsi="Arial" w:cs="Arial"/>
                <w:color w:val="000000"/>
                <w:sz w:val="20"/>
                <w:szCs w:val="20"/>
              </w:rPr>
              <w:br/>
              <w:t>11.81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OCD</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276</w:t>
            </w:r>
            <w:r w:rsidRPr="000E5D59">
              <w:rPr>
                <w:rFonts w:ascii="Arial" w:eastAsia="Times New Roman" w:hAnsi="Arial" w:cs="Arial"/>
                <w:color w:val="000000"/>
                <w:sz w:val="20"/>
                <w:szCs w:val="20"/>
              </w:rPr>
              <w:br/>
              <w:t>4.67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119</w:t>
            </w:r>
            <w:r w:rsidRPr="000E5D59">
              <w:rPr>
                <w:rFonts w:ascii="Arial" w:eastAsia="Times New Roman" w:hAnsi="Arial" w:cs="Arial"/>
                <w:color w:val="000000"/>
                <w:sz w:val="20"/>
                <w:szCs w:val="20"/>
              </w:rPr>
              <w:br/>
              <w:t>3.75</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152</w:t>
            </w:r>
            <w:r w:rsidRPr="000E5D59">
              <w:rPr>
                <w:rFonts w:ascii="Arial" w:eastAsia="Times New Roman" w:hAnsi="Arial" w:cs="Arial"/>
                <w:color w:val="000000"/>
                <w:sz w:val="20"/>
                <w:szCs w:val="20"/>
              </w:rPr>
              <w:br/>
              <w:t>5.74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Opioid Use</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133</w:t>
            </w:r>
            <w:r w:rsidRPr="000E5D59">
              <w:rPr>
                <w:rFonts w:ascii="Arial" w:eastAsia="Times New Roman" w:hAnsi="Arial" w:cs="Arial"/>
                <w:color w:val="000000"/>
                <w:sz w:val="20"/>
                <w:szCs w:val="20"/>
              </w:rPr>
              <w:br/>
              <w:t>2.25</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92</w:t>
            </w:r>
            <w:r w:rsidRPr="000E5D59">
              <w:rPr>
                <w:rFonts w:ascii="Arial" w:eastAsia="Times New Roman" w:hAnsi="Arial" w:cs="Arial"/>
                <w:color w:val="000000"/>
                <w:sz w:val="20"/>
                <w:szCs w:val="20"/>
              </w:rPr>
              <w:br/>
              <w:t>2.90</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38</w:t>
            </w:r>
            <w:r w:rsidRPr="000E5D59">
              <w:rPr>
                <w:rFonts w:ascii="Arial" w:eastAsia="Times New Roman" w:hAnsi="Arial" w:cs="Arial"/>
                <w:color w:val="000000"/>
                <w:sz w:val="20"/>
                <w:szCs w:val="20"/>
              </w:rPr>
              <w:br/>
              <w:t>1.43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Osteoarthritis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466</w:t>
            </w:r>
            <w:r w:rsidRPr="000E5D59">
              <w:rPr>
                <w:rFonts w:ascii="Arial" w:eastAsia="Times New Roman" w:hAnsi="Arial" w:cs="Arial"/>
                <w:color w:val="000000"/>
                <w:sz w:val="20"/>
                <w:szCs w:val="20"/>
              </w:rPr>
              <w:br/>
              <w:t>7.88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183</w:t>
            </w:r>
            <w:r w:rsidRPr="000E5D59">
              <w:rPr>
                <w:rFonts w:ascii="Arial" w:eastAsia="Times New Roman" w:hAnsi="Arial" w:cs="Arial"/>
                <w:color w:val="000000"/>
                <w:sz w:val="20"/>
                <w:szCs w:val="20"/>
              </w:rPr>
              <w:br/>
              <w:t>5.77</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280</w:t>
            </w:r>
            <w:r w:rsidRPr="000E5D59">
              <w:rPr>
                <w:rFonts w:ascii="Arial" w:eastAsia="Times New Roman" w:hAnsi="Arial" w:cs="Arial"/>
                <w:color w:val="000000"/>
                <w:sz w:val="20"/>
                <w:szCs w:val="20"/>
              </w:rPr>
              <w:br/>
              <w:t>10.57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PTSD</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1005</w:t>
            </w:r>
            <w:r w:rsidRPr="000E5D59">
              <w:rPr>
                <w:rFonts w:ascii="Arial" w:eastAsia="Times New Roman" w:hAnsi="Arial" w:cs="Arial"/>
                <w:color w:val="000000"/>
                <w:sz w:val="20"/>
                <w:szCs w:val="20"/>
              </w:rPr>
              <w:br/>
              <w:t>16.99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464</w:t>
            </w:r>
            <w:r w:rsidRPr="000E5D59">
              <w:rPr>
                <w:rFonts w:ascii="Arial" w:eastAsia="Times New Roman" w:hAnsi="Arial" w:cs="Arial"/>
                <w:color w:val="000000"/>
                <w:sz w:val="20"/>
                <w:szCs w:val="20"/>
              </w:rPr>
              <w:br/>
              <w:t>14.63</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512</w:t>
            </w:r>
            <w:r w:rsidRPr="000E5D59">
              <w:rPr>
                <w:rFonts w:ascii="Arial" w:eastAsia="Times New Roman" w:hAnsi="Arial" w:cs="Arial"/>
                <w:color w:val="000000"/>
                <w:sz w:val="20"/>
                <w:szCs w:val="20"/>
              </w:rPr>
              <w:br/>
              <w:t>19.32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Schizophrenia</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w:t>
            </w:r>
            <w:r w:rsidRPr="000E5D59">
              <w:rPr>
                <w:rFonts w:ascii="Arial" w:eastAsia="Times New Roman" w:hAnsi="Arial" w:cs="Arial"/>
                <w:color w:val="000000"/>
                <w:sz w:val="20"/>
                <w:szCs w:val="20"/>
              </w:rPr>
              <w:br/>
              <w:t>0.29</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w:t>
            </w:r>
            <w:r w:rsidRPr="000E5D59">
              <w:rPr>
                <w:rFonts w:ascii="Arial" w:eastAsia="Times New Roman" w:hAnsi="Arial" w:cs="Arial"/>
                <w:color w:val="000000"/>
                <w:sz w:val="20"/>
                <w:szCs w:val="20"/>
              </w:rPr>
              <w:br/>
              <w:t>0.41</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w:t>
            </w:r>
            <w:r w:rsidRPr="000E5D59">
              <w:rPr>
                <w:rFonts w:ascii="Arial" w:eastAsia="Times New Roman" w:hAnsi="Arial" w:cs="Arial"/>
                <w:color w:val="000000"/>
                <w:sz w:val="20"/>
                <w:szCs w:val="20"/>
              </w:rPr>
              <w:br/>
              <w:t>0.08</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i/>
                <w:iCs/>
                <w:color w:val="000000"/>
                <w:sz w:val="20"/>
                <w:szCs w:val="20"/>
              </w:rPr>
            </w:pPr>
            <w:r w:rsidRPr="000E5D59">
              <w:rPr>
                <w:rFonts w:ascii="Arial" w:eastAsia="Times New Roman" w:hAnsi="Arial" w:cs="Arial"/>
                <w:b/>
                <w:bCs/>
                <w:color w:val="000000"/>
                <w:sz w:val="20"/>
                <w:szCs w:val="20"/>
              </w:rPr>
              <w:t>†</w:t>
            </w:r>
            <w:r w:rsidRPr="000E5D59">
              <w:rPr>
                <w:rFonts w:ascii="Arial" w:eastAsia="Times New Roman" w:hAnsi="Arial" w:cs="Arial"/>
                <w:color w:val="000000"/>
                <w:sz w:val="20"/>
                <w:szCs w:val="20"/>
              </w:rPr>
              <w:t xml:space="preserve"> </w:t>
            </w:r>
            <w:r w:rsidRPr="000E5D59">
              <w:rPr>
                <w:rFonts w:ascii="Arial" w:eastAsia="Times New Roman" w:hAnsi="Arial" w:cs="Arial"/>
                <w:i/>
                <w:iCs/>
                <w:color w:val="000000"/>
                <w:sz w:val="20"/>
                <w:szCs w:val="20"/>
              </w:rPr>
              <w:t>Among respondents indicating medical use of marijuana or marijuana products (certified or uncertified)</w:t>
            </w:r>
            <w:r w:rsidRPr="000E5D59">
              <w:rPr>
                <w:rFonts w:ascii="Arial" w:eastAsia="Times New Roman" w:hAnsi="Arial" w:cs="Arial"/>
                <w:i/>
                <w:iCs/>
                <w:color w:val="000000"/>
                <w:sz w:val="20"/>
                <w:szCs w:val="20"/>
              </w:rPr>
              <w:br/>
            </w:r>
            <w:r w:rsidRPr="000E5D59">
              <w:rPr>
                <w:rFonts w:ascii="Arial" w:eastAsia="Times New Roman" w:hAnsi="Arial" w:cs="Arial"/>
                <w:b/>
                <w:bCs/>
                <w:color w:val="000000"/>
                <w:sz w:val="20"/>
                <w:szCs w:val="20"/>
              </w:rPr>
              <w:t>‡</w:t>
            </w:r>
            <w:r w:rsidRPr="000E5D59">
              <w:rPr>
                <w:rFonts w:ascii="Arial" w:eastAsia="Times New Roman" w:hAnsi="Arial" w:cs="Arial"/>
                <w:i/>
                <w:iCs/>
                <w:color w:val="000000"/>
                <w:sz w:val="20"/>
                <w:szCs w:val="20"/>
              </w:rPr>
              <w:t xml:space="preserve"> Percentages sum to more than 100% because respondents could choose more than one option</w:t>
            </w:r>
          </w:p>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i/>
                <w:iCs/>
                <w:color w:val="000000"/>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(Continued)Table 4A: DPH Patient Survey Medical Use of Marijuana and Marijuana Product Use, Medical Conditions Treated by Gende</w:t>
      </w:r>
      <w:r w:rsidR="000941B7">
        <w:rPr>
          <w:rFonts w:ascii="Arial" w:eastAsia="Calibri" w:hAnsi="Arial" w:cs="Arial"/>
          <w:b/>
          <w:sz w:val="24"/>
          <w:szCs w:val="24"/>
        </w:rPr>
        <w:t xml:space="preserve">r </w:t>
      </w:r>
    </w:p>
    <w:tbl>
      <w:tblPr>
        <w:tblW w:w="0" w:type="auto"/>
        <w:tblInd w:w="93" w:type="dxa"/>
        <w:tblLook w:val="04A0" w:firstRow="1" w:lastRow="0" w:firstColumn="1" w:lastColumn="0" w:noHBand="0" w:noVBand="1"/>
        <w:tblCaption w:val="Continued: DPH Patient Survey Medical Use of Marijuana and Marijuana Product Use, Medical Conditions Treated by Gender"/>
        <w:tblDescription w:val="This table is a continuation of the table from the previous page (the complete table did not fit on a single page). The table summarizes medical conditions for which respondents used marijuana products, comparing male versus female respondents' data. More female respondents than male respondents reported using  marijuana products to treat anxiety, arthritis, bowel distress, depression, fibromyalgia, headaches/migraines, multiple sclerosis, nausea, osteoarthritis, PTSD, vomiting, and “other”. More males reported using marijuana products to treat ADHD, alcohol dependency, diabetes, HIV/AIDS, and sleep apnea."/>
      </w:tblPr>
      <w:tblGrid>
        <w:gridCol w:w="4155"/>
        <w:gridCol w:w="1170"/>
        <w:gridCol w:w="1530"/>
        <w:gridCol w:w="1440"/>
        <w:gridCol w:w="1170"/>
      </w:tblGrid>
      <w:tr w:rsidR="000E5D59" w:rsidRPr="000E5D59" w:rsidTr="00784755">
        <w:trPr>
          <w:trHeight w:val="20"/>
        </w:trPr>
        <w:tc>
          <w:tcPr>
            <w:tcW w:w="415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right"/>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Gender</w:t>
            </w:r>
          </w:p>
        </w:tc>
      </w:tr>
      <w:tr w:rsidR="000E5D59" w:rsidRPr="000E5D59" w:rsidTr="00784755">
        <w:trPr>
          <w:trHeight w:val="20"/>
        </w:trPr>
        <w:tc>
          <w:tcPr>
            <w:tcW w:w="415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17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53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Male</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(N=3293)</w:t>
            </w:r>
          </w:p>
        </w:tc>
        <w:tc>
          <w:tcPr>
            <w:tcW w:w="144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Female</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(N=2720)</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xml:space="preserve">Medical condition (s) for which respondent uses marijuana or marijuana products †‡ </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5916</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Seizures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114</w:t>
            </w:r>
            <w:r w:rsidRPr="000E5D59">
              <w:rPr>
                <w:rFonts w:ascii="Arial" w:eastAsia="Times New Roman" w:hAnsi="Arial" w:cs="Arial"/>
                <w:color w:val="000000"/>
                <w:sz w:val="20"/>
                <w:szCs w:val="20"/>
              </w:rPr>
              <w:br/>
              <w:t>1.93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60</w:t>
            </w:r>
            <w:r w:rsidRPr="000E5D59">
              <w:rPr>
                <w:rFonts w:ascii="Arial" w:eastAsia="Times New Roman" w:hAnsi="Arial" w:cs="Arial"/>
                <w:color w:val="000000"/>
                <w:sz w:val="20"/>
                <w:szCs w:val="20"/>
              </w:rPr>
              <w:br/>
              <w:t>1.89</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52</w:t>
            </w:r>
            <w:r w:rsidRPr="000E5D59">
              <w:rPr>
                <w:rFonts w:ascii="Arial" w:eastAsia="Times New Roman" w:hAnsi="Arial" w:cs="Arial"/>
                <w:color w:val="000000"/>
                <w:sz w:val="20"/>
                <w:szCs w:val="20"/>
              </w:rPr>
              <w:br/>
              <w:t>1.96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Skin Conditions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149</w:t>
            </w:r>
            <w:r w:rsidRPr="000E5D59">
              <w:rPr>
                <w:rFonts w:ascii="Arial" w:eastAsia="Times New Roman" w:hAnsi="Arial" w:cs="Arial"/>
                <w:color w:val="000000"/>
                <w:sz w:val="20"/>
                <w:szCs w:val="20"/>
              </w:rPr>
              <w:br/>
              <w:t>2.52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60</w:t>
            </w:r>
            <w:r w:rsidRPr="000E5D59">
              <w:rPr>
                <w:rFonts w:ascii="Arial" w:eastAsia="Times New Roman" w:hAnsi="Arial" w:cs="Arial"/>
                <w:color w:val="000000"/>
                <w:sz w:val="20"/>
                <w:szCs w:val="20"/>
              </w:rPr>
              <w:br/>
              <w:t>1.89</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84</w:t>
            </w:r>
            <w:r w:rsidRPr="000E5D59">
              <w:rPr>
                <w:rFonts w:ascii="Arial" w:eastAsia="Times New Roman" w:hAnsi="Arial" w:cs="Arial"/>
                <w:color w:val="000000"/>
                <w:sz w:val="20"/>
                <w:szCs w:val="20"/>
              </w:rPr>
              <w:br/>
              <w:t>3.17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Sleep Apnea</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536</w:t>
            </w:r>
            <w:r w:rsidRPr="000E5D59">
              <w:rPr>
                <w:rFonts w:ascii="Arial" w:eastAsia="Times New Roman" w:hAnsi="Arial" w:cs="Arial"/>
                <w:color w:val="000000"/>
                <w:sz w:val="20"/>
                <w:szCs w:val="20"/>
              </w:rPr>
              <w:br/>
              <w:t>9.06</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371</w:t>
            </w:r>
            <w:r w:rsidRPr="000E5D59">
              <w:rPr>
                <w:rFonts w:ascii="Arial" w:eastAsia="Times New Roman" w:hAnsi="Arial" w:cs="Arial"/>
                <w:color w:val="000000"/>
                <w:sz w:val="20"/>
                <w:szCs w:val="20"/>
              </w:rPr>
              <w:br/>
              <w:t>11.70</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155</w:t>
            </w:r>
            <w:r w:rsidRPr="000E5D59">
              <w:rPr>
                <w:rFonts w:ascii="Arial" w:eastAsia="Times New Roman" w:hAnsi="Arial" w:cs="Arial"/>
                <w:color w:val="000000"/>
                <w:sz w:val="20"/>
                <w:szCs w:val="20"/>
              </w:rPr>
              <w:br/>
              <w:t>5.85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765DA1" w:rsidP="00765DA1">
            <w:pPr>
              <w:tabs>
                <w:tab w:val="center" w:pos="1969"/>
                <w:tab w:val="right" w:pos="3939"/>
              </w:tabs>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b/>
            </w:r>
            <w:r>
              <w:rPr>
                <w:rFonts w:ascii="Arial" w:eastAsia="Times New Roman" w:hAnsi="Arial" w:cs="Arial"/>
                <w:color w:val="000000"/>
                <w:sz w:val="20"/>
                <w:szCs w:val="20"/>
              </w:rPr>
              <w:tab/>
            </w:r>
            <w:r w:rsidR="000E5D59" w:rsidRPr="000E5D59">
              <w:rPr>
                <w:rFonts w:ascii="Arial" w:eastAsia="Times New Roman" w:hAnsi="Arial" w:cs="Arial"/>
                <w:color w:val="000000"/>
                <w:sz w:val="20"/>
                <w:szCs w:val="20"/>
              </w:rPr>
              <w:t>Stress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2408</w:t>
            </w:r>
            <w:r w:rsidRPr="000E5D59">
              <w:rPr>
                <w:rFonts w:ascii="Arial" w:eastAsia="Times New Roman" w:hAnsi="Arial" w:cs="Arial"/>
                <w:color w:val="000000"/>
                <w:sz w:val="20"/>
                <w:szCs w:val="20"/>
              </w:rPr>
              <w:br/>
              <w:t>40.70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1259</w:t>
            </w:r>
            <w:r w:rsidRPr="000E5D59">
              <w:rPr>
                <w:rFonts w:ascii="Arial" w:eastAsia="Times New Roman" w:hAnsi="Arial" w:cs="Arial"/>
                <w:color w:val="000000"/>
                <w:sz w:val="20"/>
                <w:szCs w:val="20"/>
              </w:rPr>
              <w:br/>
              <w:t>39.70</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1095</w:t>
            </w:r>
            <w:r w:rsidRPr="000E5D59">
              <w:rPr>
                <w:rFonts w:ascii="Arial" w:eastAsia="Times New Roman" w:hAnsi="Arial" w:cs="Arial"/>
                <w:color w:val="000000"/>
                <w:sz w:val="20"/>
                <w:szCs w:val="20"/>
              </w:rPr>
              <w:br/>
              <w:t>41.32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Tourette's Syndrome</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w:t>
            </w:r>
            <w:r w:rsidRPr="000E5D59">
              <w:rPr>
                <w:rFonts w:ascii="Arial" w:eastAsia="Times New Roman" w:hAnsi="Arial" w:cs="Arial"/>
                <w:color w:val="000000"/>
                <w:sz w:val="20"/>
                <w:szCs w:val="20"/>
              </w:rPr>
              <w:br/>
              <w:t>0.30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w:t>
            </w:r>
            <w:r w:rsidRPr="000E5D59">
              <w:rPr>
                <w:rFonts w:ascii="Arial" w:eastAsia="Times New Roman" w:hAnsi="Arial" w:cs="Arial"/>
                <w:color w:val="000000"/>
                <w:sz w:val="20"/>
                <w:szCs w:val="20"/>
              </w:rPr>
              <w:br/>
              <w:t>0.50</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w:t>
            </w:r>
            <w:r w:rsidRPr="000E5D59">
              <w:rPr>
                <w:rFonts w:ascii="Arial" w:eastAsia="Times New Roman" w:hAnsi="Arial" w:cs="Arial"/>
                <w:color w:val="000000"/>
                <w:sz w:val="20"/>
                <w:szCs w:val="20"/>
              </w:rPr>
              <w:br/>
              <w:t>0.08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Tremors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126</w:t>
            </w:r>
            <w:r w:rsidRPr="000E5D59">
              <w:rPr>
                <w:rFonts w:ascii="Arial" w:eastAsia="Times New Roman" w:hAnsi="Arial" w:cs="Arial"/>
                <w:color w:val="000000"/>
                <w:sz w:val="20"/>
                <w:szCs w:val="20"/>
              </w:rPr>
              <w:br/>
              <w:t>2.13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67</w:t>
            </w:r>
            <w:r w:rsidRPr="000E5D59">
              <w:rPr>
                <w:rFonts w:ascii="Arial" w:eastAsia="Times New Roman" w:hAnsi="Arial" w:cs="Arial"/>
                <w:color w:val="000000"/>
                <w:sz w:val="20"/>
                <w:szCs w:val="20"/>
              </w:rPr>
              <w:br/>
              <w:t>2.11</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56</w:t>
            </w:r>
            <w:r w:rsidRPr="000E5D59">
              <w:rPr>
                <w:rFonts w:ascii="Arial" w:eastAsia="Times New Roman" w:hAnsi="Arial" w:cs="Arial"/>
                <w:color w:val="000000"/>
                <w:sz w:val="20"/>
                <w:szCs w:val="20"/>
              </w:rPr>
              <w:br/>
              <w:t>2.11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Vomiting</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224</w:t>
            </w:r>
            <w:r w:rsidRPr="000E5D59">
              <w:rPr>
                <w:rFonts w:ascii="Arial" w:eastAsia="Times New Roman" w:hAnsi="Arial" w:cs="Arial"/>
                <w:color w:val="000000"/>
                <w:sz w:val="20"/>
                <w:szCs w:val="20"/>
              </w:rPr>
              <w:br/>
              <w:t>3.79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88</w:t>
            </w:r>
            <w:r w:rsidRPr="000E5D59">
              <w:rPr>
                <w:rFonts w:ascii="Arial" w:eastAsia="Times New Roman" w:hAnsi="Arial" w:cs="Arial"/>
                <w:color w:val="000000"/>
                <w:sz w:val="20"/>
                <w:szCs w:val="20"/>
              </w:rPr>
              <w:br/>
              <w:t>2.78</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129</w:t>
            </w:r>
            <w:r w:rsidRPr="000E5D59">
              <w:rPr>
                <w:rFonts w:ascii="Arial" w:eastAsia="Times New Roman" w:hAnsi="Arial" w:cs="Arial"/>
                <w:color w:val="000000"/>
                <w:sz w:val="20"/>
                <w:szCs w:val="20"/>
              </w:rPr>
              <w:br/>
              <w:t>4.87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Wasting</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w:t>
            </w:r>
            <w:r w:rsidRPr="000E5D59">
              <w:rPr>
                <w:rFonts w:ascii="Arial" w:eastAsia="Times New Roman" w:hAnsi="Arial" w:cs="Arial"/>
                <w:color w:val="000000"/>
                <w:sz w:val="20"/>
                <w:szCs w:val="20"/>
              </w:rPr>
              <w:br/>
              <w:t>0.52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w:t>
            </w:r>
            <w:r w:rsidRPr="000E5D59">
              <w:rPr>
                <w:rFonts w:ascii="Arial" w:eastAsia="Times New Roman" w:hAnsi="Arial" w:cs="Arial"/>
                <w:color w:val="000000"/>
                <w:sz w:val="20"/>
                <w:szCs w:val="20"/>
              </w:rPr>
              <w:br/>
              <w:t>0.57</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w:t>
            </w:r>
            <w:r w:rsidRPr="000E5D59">
              <w:rPr>
                <w:rFonts w:ascii="Arial" w:eastAsia="Times New Roman" w:hAnsi="Arial" w:cs="Arial"/>
                <w:color w:val="000000"/>
                <w:sz w:val="20"/>
                <w:szCs w:val="20"/>
              </w:rPr>
              <w:br/>
              <w:t>0.45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Weight Loss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243</w:t>
            </w:r>
            <w:r w:rsidRPr="000E5D59">
              <w:rPr>
                <w:rFonts w:ascii="Arial" w:eastAsia="Times New Roman" w:hAnsi="Arial" w:cs="Arial"/>
                <w:color w:val="000000"/>
                <w:sz w:val="20"/>
                <w:szCs w:val="20"/>
              </w:rPr>
              <w:br/>
              <w:t>4.11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128</w:t>
            </w:r>
            <w:r w:rsidRPr="000E5D59">
              <w:rPr>
                <w:rFonts w:ascii="Arial" w:eastAsia="Times New Roman" w:hAnsi="Arial" w:cs="Arial"/>
                <w:color w:val="000000"/>
                <w:sz w:val="20"/>
                <w:szCs w:val="20"/>
              </w:rPr>
              <w:br/>
              <w:t>4.04</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109</w:t>
            </w:r>
            <w:r w:rsidRPr="000E5D59">
              <w:rPr>
                <w:rFonts w:ascii="Arial" w:eastAsia="Times New Roman" w:hAnsi="Arial" w:cs="Arial"/>
                <w:color w:val="000000"/>
                <w:sz w:val="20"/>
                <w:szCs w:val="20"/>
              </w:rPr>
              <w:br/>
              <w:t>4.11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Other</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779</w:t>
            </w:r>
            <w:r w:rsidRPr="000E5D59">
              <w:rPr>
                <w:rFonts w:ascii="Arial" w:eastAsia="Times New Roman" w:hAnsi="Arial" w:cs="Arial"/>
                <w:color w:val="000000"/>
                <w:sz w:val="20"/>
                <w:szCs w:val="20"/>
              </w:rPr>
              <w:br/>
              <w:t>13.17</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360</w:t>
            </w:r>
            <w:r w:rsidRPr="000E5D59">
              <w:rPr>
                <w:rFonts w:ascii="Arial" w:eastAsia="Times New Roman" w:hAnsi="Arial" w:cs="Arial"/>
                <w:color w:val="000000"/>
                <w:sz w:val="20"/>
                <w:szCs w:val="20"/>
              </w:rPr>
              <w:br/>
              <w:t>11.35</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406</w:t>
            </w:r>
            <w:r w:rsidRPr="000E5D59">
              <w:rPr>
                <w:rFonts w:ascii="Arial" w:eastAsia="Times New Roman" w:hAnsi="Arial" w:cs="Arial"/>
                <w:color w:val="000000"/>
                <w:sz w:val="20"/>
                <w:szCs w:val="20"/>
              </w:rPr>
              <w:br/>
              <w:t>15.32</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i/>
                <w:iCs/>
                <w:color w:val="000000"/>
                <w:sz w:val="20"/>
                <w:szCs w:val="20"/>
              </w:rPr>
            </w:pPr>
            <w:r w:rsidRPr="000E5D59">
              <w:rPr>
                <w:rFonts w:ascii="Arial" w:eastAsia="Times New Roman" w:hAnsi="Arial" w:cs="Arial"/>
                <w:b/>
                <w:bCs/>
                <w:color w:val="000000"/>
                <w:sz w:val="20"/>
                <w:szCs w:val="20"/>
              </w:rPr>
              <w:t>†</w:t>
            </w:r>
            <w:r w:rsidRPr="000E5D59">
              <w:rPr>
                <w:rFonts w:ascii="Arial" w:eastAsia="Times New Roman" w:hAnsi="Arial" w:cs="Arial"/>
                <w:color w:val="000000"/>
                <w:sz w:val="20"/>
                <w:szCs w:val="20"/>
              </w:rPr>
              <w:t xml:space="preserve"> </w:t>
            </w:r>
            <w:r w:rsidRPr="000E5D59">
              <w:rPr>
                <w:rFonts w:ascii="Arial" w:eastAsia="Times New Roman" w:hAnsi="Arial" w:cs="Arial"/>
                <w:i/>
                <w:iCs/>
                <w:color w:val="000000"/>
                <w:sz w:val="20"/>
                <w:szCs w:val="20"/>
              </w:rPr>
              <w:t>Among respondents indicating medical use of marijuana or marijuana products (certified or uncertified)</w:t>
            </w:r>
            <w:r w:rsidRPr="000E5D59">
              <w:rPr>
                <w:rFonts w:ascii="Arial" w:eastAsia="Times New Roman" w:hAnsi="Arial" w:cs="Arial"/>
                <w:i/>
                <w:iCs/>
                <w:color w:val="000000"/>
                <w:sz w:val="20"/>
                <w:szCs w:val="20"/>
              </w:rPr>
              <w:br/>
            </w:r>
            <w:r w:rsidRPr="000E5D59">
              <w:rPr>
                <w:rFonts w:ascii="Arial" w:eastAsia="Times New Roman" w:hAnsi="Arial" w:cs="Arial"/>
                <w:b/>
                <w:bCs/>
                <w:color w:val="000000"/>
                <w:sz w:val="20"/>
                <w:szCs w:val="20"/>
              </w:rPr>
              <w:t>‡</w:t>
            </w:r>
            <w:r w:rsidRPr="000E5D59">
              <w:rPr>
                <w:rFonts w:ascii="Arial" w:eastAsia="Times New Roman" w:hAnsi="Arial" w:cs="Arial"/>
                <w:i/>
                <w:iCs/>
                <w:color w:val="000000"/>
                <w:sz w:val="20"/>
                <w:szCs w:val="20"/>
              </w:rPr>
              <w:t xml:space="preserve"> Percentages sum to more than 100% because respondents could choose more than one option</w:t>
            </w:r>
          </w:p>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i/>
                <w:iCs/>
                <w:color w:val="000000"/>
                <w:sz w:val="20"/>
                <w:szCs w:val="20"/>
              </w:rPr>
              <w:t>*p&lt;0.05; **p&lt;0.01; ***p&lt;0.001; ****p&lt;0.0001; ns=not significant</w:t>
            </w:r>
          </w:p>
        </w:tc>
      </w:tr>
    </w:tbl>
    <w:p w:rsidR="000E5D59" w:rsidRPr="000E5D59" w:rsidRDefault="000E5D59" w:rsidP="006057BE">
      <w:pPr>
        <w:spacing w:after="0" w:line="240" w:lineRule="auto"/>
        <w:rPr>
          <w:rFonts w:ascii="Garamond" w:eastAsia="Calibri" w:hAnsi="Garamond" w:cs="Times New Roman"/>
          <w:sz w:val="24"/>
          <w:szCs w:val="24"/>
        </w:rPr>
      </w:pP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Table 4B: DPH Patient Survey Medical Use of Marijuana and Marijuana Product Use, Medical Conditions Treated by Age Group</w:t>
      </w:r>
      <w:r w:rsidR="000941B7">
        <w:rPr>
          <w:rFonts w:ascii="Arial" w:eastAsia="Calibri" w:hAnsi="Arial" w:cs="Arial"/>
          <w:b/>
          <w:sz w:val="24"/>
          <w:szCs w:val="24"/>
        </w:rPr>
        <w:t xml:space="preserve">  </w:t>
      </w:r>
    </w:p>
    <w:tbl>
      <w:tblPr>
        <w:tblW w:w="0" w:type="auto"/>
        <w:tblInd w:w="93" w:type="dxa"/>
        <w:tblLook w:val="04A0" w:firstRow="1" w:lastRow="0" w:firstColumn="1" w:lastColumn="0" w:noHBand="0" w:noVBand="1"/>
        <w:tblCaption w:val="DPH Patient Survey Medical Use of Marijuana and Marijuana Product Use, Medical Conditions Treated by Age Group  "/>
        <w:tblDescription w:val="More respondents 51 years or older reported using marijuana products to treat arthritis, cancer, chronic pain, diabetes, glaucoma, HIV/AIDS, hypertension, neuropathy, and osteoarthritis. More respondents under 51 years old reported using marijuana or marijuana products to treat ADHD, anxiety, bipolar disorder, bowel distress, depression, headaches/migraines, insomnia, loss of appetite, nausea, OCD, PTSD, stress, and vomiting."/>
      </w:tblPr>
      <w:tblGrid>
        <w:gridCol w:w="4155"/>
        <w:gridCol w:w="1170"/>
        <w:gridCol w:w="1530"/>
        <w:gridCol w:w="1530"/>
        <w:gridCol w:w="1080"/>
      </w:tblGrid>
      <w:tr w:rsidR="000E5D59" w:rsidRPr="000E5D59" w:rsidTr="00784755">
        <w:trPr>
          <w:trHeight w:val="20"/>
        </w:trPr>
        <w:tc>
          <w:tcPr>
            <w:tcW w:w="4155" w:type="dxa"/>
            <w:vMerge w:val="restart"/>
            <w:tcBorders>
              <w:top w:val="single" w:sz="4" w:space="0" w:color="auto"/>
              <w:left w:val="single" w:sz="4" w:space="0" w:color="auto"/>
              <w:bottom w:val="single" w:sz="8" w:space="0" w:color="000000"/>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single" w:sz="8" w:space="0" w:color="auto"/>
              <w:bottom w:val="single" w:sz="8" w:space="0" w:color="000000"/>
              <w:right w:val="thickThinSmallGap" w:sz="24" w:space="0" w:color="auto"/>
            </w:tcBorders>
            <w:shd w:val="clear" w:color="auto" w:fill="auto"/>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right"/>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Age Group</w:t>
            </w:r>
          </w:p>
        </w:tc>
      </w:tr>
      <w:tr w:rsidR="000E5D59" w:rsidRPr="000E5D59" w:rsidTr="00784755">
        <w:trPr>
          <w:trHeight w:val="20"/>
        </w:trPr>
        <w:tc>
          <w:tcPr>
            <w:tcW w:w="4155" w:type="dxa"/>
            <w:vMerge/>
            <w:tcBorders>
              <w:top w:val="nil"/>
              <w:left w:val="single" w:sz="4" w:space="0" w:color="auto"/>
              <w:bottom w:val="single" w:sz="8" w:space="0" w:color="000000"/>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p>
        </w:tc>
        <w:tc>
          <w:tcPr>
            <w:tcW w:w="1170" w:type="dxa"/>
            <w:vMerge/>
            <w:tcBorders>
              <w:top w:val="nil"/>
              <w:left w:val="single" w:sz="8" w:space="0" w:color="auto"/>
              <w:bottom w:val="single" w:sz="8" w:space="0" w:color="000000"/>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p>
        </w:tc>
        <w:tc>
          <w:tcPr>
            <w:tcW w:w="153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50 years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(N=3224)</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51 years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(N=2793)</w:t>
            </w:r>
          </w:p>
        </w:tc>
        <w:tc>
          <w:tcPr>
            <w:tcW w:w="108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Marijuana used for medical p</w:t>
            </w:r>
            <w:r w:rsidRPr="000E5D59">
              <w:rPr>
                <w:rFonts w:ascii="Arial" w:eastAsia="Times New Roman" w:hAnsi="Arial" w:cs="Arial"/>
                <w:b/>
                <w:bCs/>
                <w:color w:val="000000"/>
                <w:sz w:val="20"/>
                <w:szCs w:val="20"/>
                <w:shd w:val="clear" w:color="auto" w:fill="BFBFBF"/>
              </w:rPr>
              <w:t>u</w:t>
            </w:r>
            <w:r w:rsidRPr="000E5D59">
              <w:rPr>
                <w:rFonts w:ascii="Arial" w:eastAsia="Times New Roman" w:hAnsi="Arial" w:cs="Arial"/>
                <w:b/>
                <w:bCs/>
                <w:color w:val="000000"/>
                <w:sz w:val="20"/>
                <w:szCs w:val="20"/>
              </w:rPr>
              <w:t xml:space="preserve">rposes </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6111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195</w:t>
            </w:r>
            <w:r w:rsidRPr="000E5D59">
              <w:rPr>
                <w:rFonts w:ascii="Arial" w:eastAsia="Times New Roman" w:hAnsi="Arial" w:cs="Arial"/>
                <w:color w:val="000000"/>
                <w:sz w:val="20"/>
                <w:szCs w:val="20"/>
              </w:rPr>
              <w:br/>
              <w:t>3.19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114</w:t>
            </w:r>
            <w:r w:rsidRPr="000E5D59">
              <w:rPr>
                <w:rFonts w:ascii="Arial" w:eastAsia="Times New Roman" w:hAnsi="Arial" w:cs="Arial"/>
                <w:color w:val="000000"/>
                <w:sz w:val="20"/>
                <w:szCs w:val="20"/>
              </w:rPr>
              <w:br/>
              <w:t>3.54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78</w:t>
            </w:r>
            <w:r w:rsidRPr="000E5D59">
              <w:rPr>
                <w:rFonts w:ascii="Arial" w:eastAsia="Times New Roman" w:hAnsi="Arial" w:cs="Arial"/>
                <w:color w:val="000000"/>
                <w:sz w:val="20"/>
                <w:szCs w:val="20"/>
              </w:rPr>
              <w:br/>
              <w:t>2.79</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p>
        </w:tc>
      </w:tr>
      <w:tr w:rsidR="000E5D59" w:rsidRPr="000E5D59" w:rsidTr="00784755">
        <w:trPr>
          <w:trHeight w:val="20"/>
        </w:trPr>
        <w:tc>
          <w:tcPr>
            <w:tcW w:w="415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Yes</w:t>
            </w:r>
          </w:p>
        </w:tc>
        <w:tc>
          <w:tcPr>
            <w:tcW w:w="117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5916</w:t>
            </w:r>
            <w:r w:rsidRPr="000E5D59">
              <w:rPr>
                <w:rFonts w:ascii="Arial" w:eastAsia="Times New Roman" w:hAnsi="Arial" w:cs="Arial"/>
                <w:color w:val="000000"/>
                <w:sz w:val="20"/>
                <w:szCs w:val="20"/>
              </w:rPr>
              <w:br/>
              <w:t>96.81</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3110</w:t>
            </w:r>
            <w:r w:rsidRPr="000E5D59">
              <w:rPr>
                <w:rFonts w:ascii="Arial" w:eastAsia="Times New Roman" w:hAnsi="Arial" w:cs="Arial"/>
                <w:color w:val="000000"/>
                <w:sz w:val="20"/>
                <w:szCs w:val="20"/>
              </w:rPr>
              <w:br/>
              <w:t>96.46</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2715</w:t>
            </w:r>
            <w:r w:rsidRPr="000E5D59">
              <w:rPr>
                <w:rFonts w:ascii="Arial" w:eastAsia="Times New Roman" w:hAnsi="Arial" w:cs="Arial"/>
                <w:color w:val="000000"/>
                <w:sz w:val="20"/>
                <w:szCs w:val="20"/>
              </w:rPr>
              <w:br/>
              <w:t>97.21</w:t>
            </w:r>
          </w:p>
        </w:tc>
        <w:tc>
          <w:tcPr>
            <w:tcW w:w="108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xml:space="preserve">Medical condition (s) for which respondent uses marijuana or marijuana products †‡ </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5916</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ADHD</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711</w:t>
            </w:r>
            <w:r w:rsidRPr="000E5D59">
              <w:rPr>
                <w:rFonts w:ascii="Arial" w:eastAsia="Times New Roman" w:hAnsi="Arial" w:cs="Arial"/>
                <w:color w:val="000000"/>
                <w:sz w:val="20"/>
                <w:szCs w:val="20"/>
              </w:rPr>
              <w:br/>
              <w:t>12.02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555</w:t>
            </w:r>
            <w:r w:rsidRPr="000E5D59">
              <w:rPr>
                <w:rFonts w:ascii="Arial" w:eastAsia="Times New Roman" w:hAnsi="Arial" w:cs="Arial"/>
                <w:color w:val="000000"/>
                <w:sz w:val="20"/>
                <w:szCs w:val="20"/>
              </w:rPr>
              <w:br/>
              <w:t>17.85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153</w:t>
            </w:r>
            <w:r w:rsidRPr="000E5D59">
              <w:rPr>
                <w:rFonts w:ascii="Arial" w:eastAsia="Times New Roman" w:hAnsi="Arial" w:cs="Arial"/>
                <w:color w:val="000000"/>
                <w:sz w:val="20"/>
                <w:szCs w:val="20"/>
              </w:rPr>
              <w:br/>
              <w:t>5.64</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Alcohol Dependency</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164</w:t>
            </w:r>
            <w:r w:rsidRPr="000E5D59">
              <w:rPr>
                <w:rFonts w:ascii="Arial" w:eastAsia="Times New Roman" w:hAnsi="Arial" w:cs="Arial"/>
                <w:color w:val="000000"/>
                <w:sz w:val="20"/>
                <w:szCs w:val="20"/>
              </w:rPr>
              <w:br/>
              <w:t>2.77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110</w:t>
            </w:r>
            <w:r w:rsidRPr="000E5D59">
              <w:rPr>
                <w:rFonts w:ascii="Arial" w:eastAsia="Times New Roman" w:hAnsi="Arial" w:cs="Arial"/>
                <w:color w:val="000000"/>
                <w:sz w:val="20"/>
                <w:szCs w:val="20"/>
              </w:rPr>
              <w:br/>
              <w:t>3.54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54</w:t>
            </w:r>
            <w:r w:rsidRPr="000E5D59">
              <w:rPr>
                <w:rFonts w:ascii="Arial" w:eastAsia="Times New Roman" w:hAnsi="Arial" w:cs="Arial"/>
                <w:color w:val="000000"/>
                <w:sz w:val="20"/>
                <w:szCs w:val="20"/>
              </w:rPr>
              <w:br/>
              <w:t>1.99</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Anxiety</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3559</w:t>
            </w:r>
            <w:r w:rsidRPr="000E5D59">
              <w:rPr>
                <w:rFonts w:ascii="Arial" w:eastAsia="Times New Roman" w:hAnsi="Arial" w:cs="Arial"/>
                <w:color w:val="000000"/>
                <w:sz w:val="20"/>
                <w:szCs w:val="20"/>
              </w:rPr>
              <w:br/>
              <w:t>60.16</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2269</w:t>
            </w:r>
            <w:r w:rsidRPr="000E5D59">
              <w:rPr>
                <w:rFonts w:ascii="Arial" w:eastAsia="Times New Roman" w:hAnsi="Arial" w:cs="Arial"/>
                <w:color w:val="000000"/>
                <w:sz w:val="20"/>
                <w:szCs w:val="20"/>
              </w:rPr>
              <w:br/>
              <w:t>72.96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1243</w:t>
            </w:r>
            <w:r w:rsidRPr="000E5D59">
              <w:rPr>
                <w:rFonts w:ascii="Arial" w:eastAsia="Times New Roman" w:hAnsi="Arial" w:cs="Arial"/>
                <w:color w:val="000000"/>
                <w:sz w:val="20"/>
                <w:szCs w:val="20"/>
              </w:rPr>
              <w:br/>
              <w:t>45.78</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Arthritis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1563</w:t>
            </w:r>
            <w:r w:rsidRPr="000E5D59">
              <w:rPr>
                <w:rFonts w:ascii="Arial" w:eastAsia="Times New Roman" w:hAnsi="Arial" w:cs="Arial"/>
                <w:color w:val="000000"/>
                <w:sz w:val="20"/>
                <w:szCs w:val="20"/>
              </w:rPr>
              <w:br/>
              <w:t>26.42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481</w:t>
            </w:r>
            <w:r w:rsidRPr="000E5D59">
              <w:rPr>
                <w:rFonts w:ascii="Arial" w:eastAsia="Times New Roman" w:hAnsi="Arial" w:cs="Arial"/>
                <w:color w:val="000000"/>
                <w:sz w:val="20"/>
                <w:szCs w:val="20"/>
              </w:rPr>
              <w:br/>
              <w:t>15.47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1053</w:t>
            </w:r>
            <w:r w:rsidRPr="000E5D59">
              <w:rPr>
                <w:rFonts w:ascii="Arial" w:eastAsia="Times New Roman" w:hAnsi="Arial" w:cs="Arial"/>
                <w:color w:val="000000"/>
                <w:sz w:val="20"/>
                <w:szCs w:val="20"/>
              </w:rPr>
              <w:br/>
              <w:t>38.78</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Asthma</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190</w:t>
            </w:r>
            <w:r w:rsidRPr="000E5D59">
              <w:rPr>
                <w:rFonts w:ascii="Arial" w:eastAsia="Times New Roman" w:hAnsi="Arial" w:cs="Arial"/>
                <w:color w:val="000000"/>
                <w:sz w:val="20"/>
                <w:szCs w:val="20"/>
              </w:rPr>
              <w:br/>
              <w:t>3.21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98</w:t>
            </w:r>
            <w:r w:rsidRPr="000E5D59">
              <w:rPr>
                <w:rFonts w:ascii="Arial" w:eastAsia="Times New Roman" w:hAnsi="Arial" w:cs="Arial"/>
                <w:color w:val="000000"/>
                <w:sz w:val="20"/>
                <w:szCs w:val="20"/>
              </w:rPr>
              <w:br/>
              <w:t>3.15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87</w:t>
            </w:r>
            <w:r w:rsidRPr="000E5D59">
              <w:rPr>
                <w:rFonts w:ascii="Arial" w:eastAsia="Times New Roman" w:hAnsi="Arial" w:cs="Arial"/>
                <w:color w:val="000000"/>
                <w:sz w:val="20"/>
                <w:szCs w:val="20"/>
              </w:rPr>
              <w:br/>
              <w:t>3.20</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Bipolar Disorder</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336</w:t>
            </w:r>
            <w:r w:rsidRPr="000E5D59">
              <w:rPr>
                <w:rFonts w:ascii="Arial" w:eastAsia="Times New Roman" w:hAnsi="Arial" w:cs="Arial"/>
                <w:color w:val="000000"/>
                <w:sz w:val="20"/>
                <w:szCs w:val="20"/>
              </w:rPr>
              <w:br/>
              <w:t>5.68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268</w:t>
            </w:r>
            <w:r w:rsidRPr="000E5D59">
              <w:rPr>
                <w:rFonts w:ascii="Arial" w:eastAsia="Times New Roman" w:hAnsi="Arial" w:cs="Arial"/>
                <w:color w:val="000000"/>
                <w:sz w:val="20"/>
                <w:szCs w:val="20"/>
              </w:rPr>
              <w:br/>
              <w:t>8.62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64</w:t>
            </w:r>
            <w:r w:rsidRPr="000E5D59">
              <w:rPr>
                <w:rFonts w:ascii="Arial" w:eastAsia="Times New Roman" w:hAnsi="Arial" w:cs="Arial"/>
                <w:color w:val="000000"/>
                <w:sz w:val="20"/>
                <w:szCs w:val="20"/>
              </w:rPr>
              <w:br/>
              <w:t>2.36</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Bowel Distress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562</w:t>
            </w:r>
            <w:r w:rsidRPr="000E5D59">
              <w:rPr>
                <w:rFonts w:ascii="Arial" w:eastAsia="Times New Roman" w:hAnsi="Arial" w:cs="Arial"/>
                <w:color w:val="000000"/>
                <w:sz w:val="20"/>
                <w:szCs w:val="20"/>
              </w:rPr>
              <w:br/>
              <w:t>9.50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347</w:t>
            </w:r>
            <w:r w:rsidRPr="000E5D59">
              <w:rPr>
                <w:rFonts w:ascii="Arial" w:eastAsia="Times New Roman" w:hAnsi="Arial" w:cs="Arial"/>
                <w:color w:val="000000"/>
                <w:sz w:val="20"/>
                <w:szCs w:val="20"/>
              </w:rPr>
              <w:br/>
              <w:t>11.16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207</w:t>
            </w:r>
            <w:r w:rsidRPr="000E5D59">
              <w:rPr>
                <w:rFonts w:ascii="Arial" w:eastAsia="Times New Roman" w:hAnsi="Arial" w:cs="Arial"/>
                <w:color w:val="000000"/>
                <w:sz w:val="20"/>
                <w:szCs w:val="20"/>
              </w:rPr>
              <w:br/>
              <w:t>7.62</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Cancer</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331</w:t>
            </w:r>
            <w:r w:rsidRPr="000E5D59">
              <w:rPr>
                <w:rFonts w:ascii="Arial" w:eastAsia="Times New Roman" w:hAnsi="Arial" w:cs="Arial"/>
                <w:color w:val="000000"/>
                <w:sz w:val="20"/>
                <w:szCs w:val="20"/>
              </w:rPr>
              <w:br/>
              <w:t>5.59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77</w:t>
            </w:r>
            <w:r w:rsidRPr="000E5D59">
              <w:rPr>
                <w:rFonts w:ascii="Arial" w:eastAsia="Times New Roman" w:hAnsi="Arial" w:cs="Arial"/>
                <w:color w:val="000000"/>
                <w:sz w:val="20"/>
                <w:szCs w:val="20"/>
              </w:rPr>
              <w:br/>
              <w:t>2.48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242</w:t>
            </w:r>
            <w:r w:rsidRPr="000E5D59">
              <w:rPr>
                <w:rFonts w:ascii="Arial" w:eastAsia="Times New Roman" w:hAnsi="Arial" w:cs="Arial"/>
                <w:color w:val="000000"/>
                <w:sz w:val="20"/>
                <w:szCs w:val="20"/>
              </w:rPr>
              <w:br/>
              <w:t>8.91</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Carpal Tunnel</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214</w:t>
            </w:r>
            <w:r w:rsidRPr="000E5D59">
              <w:rPr>
                <w:rFonts w:ascii="Arial" w:eastAsia="Times New Roman" w:hAnsi="Arial" w:cs="Arial"/>
                <w:color w:val="000000"/>
                <w:sz w:val="20"/>
                <w:szCs w:val="20"/>
              </w:rPr>
              <w:br/>
              <w:t>3.62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110</w:t>
            </w:r>
            <w:r w:rsidRPr="000E5D59">
              <w:rPr>
                <w:rFonts w:ascii="Arial" w:eastAsia="Times New Roman" w:hAnsi="Arial" w:cs="Arial"/>
                <w:color w:val="000000"/>
                <w:sz w:val="20"/>
                <w:szCs w:val="20"/>
              </w:rPr>
              <w:br/>
              <w:t>3.54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99</w:t>
            </w:r>
            <w:r w:rsidRPr="000E5D59">
              <w:rPr>
                <w:rFonts w:ascii="Arial" w:eastAsia="Times New Roman" w:hAnsi="Arial" w:cs="Arial"/>
                <w:color w:val="000000"/>
                <w:sz w:val="20"/>
                <w:szCs w:val="20"/>
              </w:rPr>
              <w:br/>
              <w:t>3.65</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Chronic Pain</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2749</w:t>
            </w:r>
            <w:r w:rsidRPr="000E5D59">
              <w:rPr>
                <w:rFonts w:ascii="Arial" w:eastAsia="Times New Roman" w:hAnsi="Arial" w:cs="Arial"/>
                <w:color w:val="000000"/>
                <w:sz w:val="20"/>
                <w:szCs w:val="20"/>
              </w:rPr>
              <w:br/>
              <w:t>46.47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1293</w:t>
            </w:r>
            <w:r w:rsidRPr="000E5D59">
              <w:rPr>
                <w:rFonts w:ascii="Arial" w:eastAsia="Times New Roman" w:hAnsi="Arial" w:cs="Arial"/>
                <w:color w:val="000000"/>
                <w:sz w:val="20"/>
                <w:szCs w:val="20"/>
              </w:rPr>
              <w:br/>
              <w:t>41.58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1412</w:t>
            </w:r>
            <w:r w:rsidRPr="000E5D59">
              <w:rPr>
                <w:rFonts w:ascii="Arial" w:eastAsia="Times New Roman" w:hAnsi="Arial" w:cs="Arial"/>
                <w:color w:val="000000"/>
                <w:sz w:val="20"/>
                <w:szCs w:val="20"/>
              </w:rPr>
              <w:br/>
              <w:t>52.01</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Crohn's Disease</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159</w:t>
            </w:r>
            <w:r w:rsidRPr="000E5D59">
              <w:rPr>
                <w:rFonts w:ascii="Arial" w:eastAsia="Times New Roman" w:hAnsi="Arial" w:cs="Arial"/>
                <w:color w:val="000000"/>
                <w:sz w:val="20"/>
                <w:szCs w:val="20"/>
              </w:rPr>
              <w:br/>
              <w:t>2.69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96</w:t>
            </w:r>
            <w:r w:rsidRPr="000E5D59">
              <w:rPr>
                <w:rFonts w:ascii="Arial" w:eastAsia="Times New Roman" w:hAnsi="Arial" w:cs="Arial"/>
                <w:color w:val="000000"/>
                <w:sz w:val="20"/>
                <w:szCs w:val="20"/>
              </w:rPr>
              <w:br/>
              <w:t>3.09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58</w:t>
            </w:r>
            <w:r w:rsidRPr="000E5D59">
              <w:rPr>
                <w:rFonts w:ascii="Arial" w:eastAsia="Times New Roman" w:hAnsi="Arial" w:cs="Arial"/>
                <w:color w:val="000000"/>
                <w:sz w:val="20"/>
                <w:szCs w:val="20"/>
              </w:rPr>
              <w:br/>
              <w:t>2.14</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Depression</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2463</w:t>
            </w:r>
            <w:r w:rsidRPr="000E5D59">
              <w:rPr>
                <w:rFonts w:ascii="Arial" w:eastAsia="Times New Roman" w:hAnsi="Arial" w:cs="Arial"/>
                <w:color w:val="000000"/>
                <w:sz w:val="20"/>
                <w:szCs w:val="20"/>
              </w:rPr>
              <w:br/>
              <w:t>41.63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1611</w:t>
            </w:r>
            <w:r w:rsidRPr="000E5D59">
              <w:rPr>
                <w:rFonts w:ascii="Arial" w:eastAsia="Times New Roman" w:hAnsi="Arial" w:cs="Arial"/>
                <w:color w:val="000000"/>
                <w:sz w:val="20"/>
                <w:szCs w:val="20"/>
              </w:rPr>
              <w:br/>
              <w:t>51.80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823</w:t>
            </w:r>
            <w:r w:rsidRPr="000E5D59">
              <w:rPr>
                <w:rFonts w:ascii="Arial" w:eastAsia="Times New Roman" w:hAnsi="Arial" w:cs="Arial"/>
                <w:color w:val="000000"/>
                <w:sz w:val="20"/>
                <w:szCs w:val="20"/>
              </w:rPr>
              <w:br/>
              <w:t>30.31</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Diabetes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216</w:t>
            </w:r>
            <w:r w:rsidRPr="000E5D59">
              <w:rPr>
                <w:rFonts w:ascii="Arial" w:eastAsia="Times New Roman" w:hAnsi="Arial" w:cs="Arial"/>
                <w:color w:val="000000"/>
                <w:sz w:val="20"/>
                <w:szCs w:val="20"/>
              </w:rPr>
              <w:br/>
              <w:t>3.65</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68</w:t>
            </w:r>
            <w:r w:rsidRPr="000E5D59">
              <w:rPr>
                <w:rFonts w:ascii="Arial" w:eastAsia="Times New Roman" w:hAnsi="Arial" w:cs="Arial"/>
                <w:color w:val="000000"/>
                <w:sz w:val="20"/>
                <w:szCs w:val="20"/>
              </w:rPr>
              <w:br/>
              <w:t>2.19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144</w:t>
            </w:r>
            <w:r w:rsidRPr="000E5D59">
              <w:rPr>
                <w:rFonts w:ascii="Arial" w:eastAsia="Times New Roman" w:hAnsi="Arial" w:cs="Arial"/>
                <w:color w:val="000000"/>
                <w:sz w:val="20"/>
                <w:szCs w:val="20"/>
              </w:rPr>
              <w:br/>
              <w:t>5.30</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Fibromyalgia</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444</w:t>
            </w:r>
            <w:r w:rsidRPr="000E5D59">
              <w:rPr>
                <w:rFonts w:ascii="Arial" w:eastAsia="Times New Roman" w:hAnsi="Arial" w:cs="Arial"/>
                <w:color w:val="000000"/>
                <w:sz w:val="20"/>
                <w:szCs w:val="20"/>
              </w:rPr>
              <w:br/>
              <w:t>7.51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211</w:t>
            </w:r>
            <w:r w:rsidRPr="000E5D59">
              <w:rPr>
                <w:rFonts w:ascii="Arial" w:eastAsia="Times New Roman" w:hAnsi="Arial" w:cs="Arial"/>
                <w:color w:val="000000"/>
                <w:sz w:val="20"/>
                <w:szCs w:val="20"/>
              </w:rPr>
              <w:br/>
              <w:t>6.78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224</w:t>
            </w:r>
            <w:r w:rsidRPr="000E5D59">
              <w:rPr>
                <w:rFonts w:ascii="Arial" w:eastAsia="Times New Roman" w:hAnsi="Arial" w:cs="Arial"/>
                <w:color w:val="000000"/>
                <w:sz w:val="20"/>
                <w:szCs w:val="20"/>
              </w:rPr>
              <w:br/>
              <w:t>8.25</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Glaucoma</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143</w:t>
            </w:r>
            <w:r w:rsidRPr="000E5D59">
              <w:rPr>
                <w:rFonts w:ascii="Arial" w:eastAsia="Times New Roman" w:hAnsi="Arial" w:cs="Arial"/>
                <w:color w:val="000000"/>
                <w:sz w:val="20"/>
                <w:szCs w:val="20"/>
              </w:rPr>
              <w:br/>
              <w:t>2.42</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w:t>
            </w:r>
            <w:r w:rsidRPr="000E5D59">
              <w:rPr>
                <w:rFonts w:ascii="Arial" w:eastAsia="Times New Roman" w:hAnsi="Arial" w:cs="Arial"/>
                <w:color w:val="000000"/>
                <w:sz w:val="20"/>
                <w:szCs w:val="20"/>
              </w:rPr>
              <w:br/>
              <w:t>1.00</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111</w:t>
            </w:r>
            <w:r w:rsidRPr="000E5D59">
              <w:rPr>
                <w:rFonts w:ascii="Arial" w:eastAsia="Times New Roman" w:hAnsi="Arial" w:cs="Arial"/>
                <w:color w:val="000000"/>
                <w:sz w:val="20"/>
                <w:szCs w:val="20"/>
              </w:rPr>
              <w:br/>
              <w:t>4.09</w:t>
            </w:r>
          </w:p>
        </w:tc>
        <w:tc>
          <w:tcPr>
            <w:tcW w:w="108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i/>
                <w:iCs/>
                <w:color w:val="000000"/>
                <w:sz w:val="20"/>
                <w:szCs w:val="20"/>
              </w:rPr>
            </w:pPr>
            <w:r w:rsidRPr="000E5D59">
              <w:rPr>
                <w:rFonts w:ascii="Arial" w:eastAsia="Times New Roman" w:hAnsi="Arial" w:cs="Arial"/>
                <w:b/>
                <w:bCs/>
                <w:color w:val="000000"/>
                <w:sz w:val="20"/>
                <w:szCs w:val="20"/>
              </w:rPr>
              <w:t>†</w:t>
            </w:r>
            <w:r w:rsidRPr="000E5D59">
              <w:rPr>
                <w:rFonts w:ascii="Arial" w:eastAsia="Times New Roman" w:hAnsi="Arial" w:cs="Arial"/>
                <w:color w:val="000000"/>
                <w:sz w:val="20"/>
                <w:szCs w:val="20"/>
              </w:rPr>
              <w:t xml:space="preserve"> </w:t>
            </w:r>
            <w:r w:rsidRPr="000E5D59">
              <w:rPr>
                <w:rFonts w:ascii="Arial" w:eastAsia="Times New Roman" w:hAnsi="Arial" w:cs="Arial"/>
                <w:i/>
                <w:iCs/>
                <w:color w:val="000000"/>
                <w:sz w:val="20"/>
                <w:szCs w:val="20"/>
              </w:rPr>
              <w:t>Among respondents indicating medical use of marijuana or marijuana products (certified or uncertified)</w:t>
            </w:r>
            <w:r w:rsidRPr="000E5D59">
              <w:rPr>
                <w:rFonts w:ascii="Arial" w:eastAsia="Times New Roman" w:hAnsi="Arial" w:cs="Arial"/>
                <w:i/>
                <w:iCs/>
                <w:color w:val="000000"/>
                <w:sz w:val="20"/>
                <w:szCs w:val="20"/>
              </w:rPr>
              <w:br/>
            </w:r>
            <w:r w:rsidRPr="000E5D59">
              <w:rPr>
                <w:rFonts w:ascii="Arial" w:eastAsia="Times New Roman" w:hAnsi="Arial" w:cs="Arial"/>
                <w:b/>
                <w:bCs/>
                <w:color w:val="000000"/>
                <w:sz w:val="20"/>
                <w:szCs w:val="20"/>
              </w:rPr>
              <w:t>‡</w:t>
            </w:r>
            <w:r w:rsidRPr="000E5D59">
              <w:rPr>
                <w:rFonts w:ascii="Arial" w:eastAsia="Times New Roman" w:hAnsi="Arial" w:cs="Arial"/>
                <w:i/>
                <w:iCs/>
                <w:color w:val="000000"/>
                <w:sz w:val="20"/>
                <w:szCs w:val="20"/>
              </w:rPr>
              <w:t xml:space="preserve"> Percentages sum to more than 100% because respondents could choose more than one option</w:t>
            </w:r>
          </w:p>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i/>
                <w:iCs/>
                <w:color w:val="000000"/>
                <w:sz w:val="20"/>
                <w:szCs w:val="20"/>
              </w:rPr>
              <w:t>*p&lt;0.05; **p&lt;0.01; ***p&lt;0.001; ****p&lt;0.0001; ns=not significant</w:t>
            </w:r>
          </w:p>
        </w:tc>
      </w:tr>
    </w:tbl>
    <w:p w:rsidR="000E5D59" w:rsidRPr="000E5D59" w:rsidRDefault="000E5D59" w:rsidP="006057BE">
      <w:pPr>
        <w:spacing w:after="0" w:line="240" w:lineRule="auto"/>
        <w:rPr>
          <w:rFonts w:ascii="Garamond" w:eastAsia="Calibri" w:hAnsi="Garamond" w:cs="Times New Roman"/>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(Continued) Table 4B: DPH Patient Survey Medical Use of Marijuana and Marijuana Product Use, Medical Conditions Treated by Age Group</w:t>
      </w:r>
      <w:r w:rsidR="000941B7">
        <w:rPr>
          <w:rFonts w:ascii="Arial" w:eastAsia="Calibri" w:hAnsi="Arial" w:cs="Arial"/>
          <w:b/>
          <w:sz w:val="24"/>
          <w:szCs w:val="24"/>
        </w:rPr>
        <w:t xml:space="preserve">  </w:t>
      </w:r>
    </w:p>
    <w:tbl>
      <w:tblPr>
        <w:tblW w:w="0" w:type="auto"/>
        <w:tblInd w:w="93" w:type="dxa"/>
        <w:tblLook w:val="04A0" w:firstRow="1" w:lastRow="0" w:firstColumn="1" w:lastColumn="0" w:noHBand="0" w:noVBand="1"/>
        <w:tblCaption w:val="Continued: DPH Patient Survey Medical Use of Marijuana and Marijuana Product Use, Medical Conditions Treated by Age Group "/>
        <w:tblDescription w:val="This table is a continuation of the table from the previous page (the complete table did not fit on a single page). More respondents 51 years or older reported using marijuana products to treat arthritis, cancer, chronic pain, diabetes, glaucoma, HIV/AIDS, hypertension, neuropathy, and osteoarthritis. More respondents under 51 years old reported using marijuana or marijuana products to treat ADHD, anxiety, bipolar disorder, bowel distress, depression, headaches/migraines, insomnia, loss of appetite, nausea, OCD, PTSD, stress, and vomiting."/>
      </w:tblPr>
      <w:tblGrid>
        <w:gridCol w:w="4155"/>
        <w:gridCol w:w="1170"/>
        <w:gridCol w:w="1530"/>
        <w:gridCol w:w="1530"/>
        <w:gridCol w:w="1080"/>
      </w:tblGrid>
      <w:tr w:rsidR="000E5D59" w:rsidRPr="000E5D59" w:rsidTr="00784755">
        <w:trPr>
          <w:trHeight w:val="20"/>
        </w:trPr>
        <w:tc>
          <w:tcPr>
            <w:tcW w:w="415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right"/>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Age Group</w:t>
            </w:r>
          </w:p>
        </w:tc>
      </w:tr>
      <w:tr w:rsidR="000E5D59" w:rsidRPr="000E5D59" w:rsidTr="00784755">
        <w:trPr>
          <w:trHeight w:val="20"/>
        </w:trPr>
        <w:tc>
          <w:tcPr>
            <w:tcW w:w="415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17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53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50 years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(N=3224)</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51 years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(N=2793)</w:t>
            </w:r>
          </w:p>
        </w:tc>
        <w:tc>
          <w:tcPr>
            <w:tcW w:w="108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xml:space="preserve">Medical condition (s) for which respondent uses marijuana or marijuana products †‡ </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5916</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Headaches/Migraines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1185</w:t>
            </w:r>
            <w:r w:rsidRPr="000E5D59">
              <w:rPr>
                <w:rFonts w:ascii="Arial" w:eastAsia="Times New Roman" w:hAnsi="Arial" w:cs="Arial"/>
                <w:color w:val="000000"/>
                <w:sz w:val="20"/>
                <w:szCs w:val="20"/>
              </w:rPr>
              <w:br/>
              <w:t>20.03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814</w:t>
            </w:r>
            <w:r w:rsidRPr="000E5D59">
              <w:rPr>
                <w:rFonts w:ascii="Arial" w:eastAsia="Times New Roman" w:hAnsi="Arial" w:cs="Arial"/>
                <w:color w:val="000000"/>
                <w:sz w:val="20"/>
                <w:szCs w:val="20"/>
              </w:rPr>
              <w:br/>
              <w:t>26.17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352</w:t>
            </w:r>
            <w:r w:rsidRPr="000E5D59">
              <w:rPr>
                <w:rFonts w:ascii="Arial" w:eastAsia="Times New Roman" w:hAnsi="Arial" w:cs="Arial"/>
                <w:color w:val="000000"/>
                <w:sz w:val="20"/>
                <w:szCs w:val="20"/>
              </w:rPr>
              <w:br/>
              <w:t>12.97</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Hepatitis C</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56</w:t>
            </w:r>
            <w:r w:rsidRPr="000E5D59">
              <w:rPr>
                <w:rFonts w:ascii="Arial" w:eastAsia="Times New Roman" w:hAnsi="Arial" w:cs="Arial"/>
                <w:color w:val="000000"/>
                <w:sz w:val="20"/>
                <w:szCs w:val="20"/>
              </w:rPr>
              <w:br/>
              <w:t>0.95</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w:t>
            </w:r>
            <w:r w:rsidRPr="000E5D59">
              <w:rPr>
                <w:rFonts w:ascii="Arial" w:eastAsia="Times New Roman" w:hAnsi="Arial" w:cs="Arial"/>
                <w:color w:val="000000"/>
                <w:sz w:val="20"/>
                <w:szCs w:val="20"/>
              </w:rPr>
              <w:br/>
              <w:t>0.68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35</w:t>
            </w:r>
            <w:r w:rsidRPr="000E5D59">
              <w:rPr>
                <w:rFonts w:ascii="Arial" w:eastAsia="Times New Roman" w:hAnsi="Arial" w:cs="Arial"/>
                <w:color w:val="000000"/>
                <w:sz w:val="20"/>
                <w:szCs w:val="20"/>
              </w:rPr>
              <w:br/>
              <w:t>1.29</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HIV/AIDS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43</w:t>
            </w:r>
            <w:r w:rsidRPr="000E5D59">
              <w:rPr>
                <w:rFonts w:ascii="Arial" w:eastAsia="Times New Roman" w:hAnsi="Arial" w:cs="Arial"/>
                <w:color w:val="000000"/>
                <w:sz w:val="20"/>
                <w:szCs w:val="20"/>
              </w:rPr>
              <w:br/>
              <w:t>0.73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w:t>
            </w:r>
            <w:r w:rsidRPr="000E5D59">
              <w:rPr>
                <w:rFonts w:ascii="Arial" w:eastAsia="Times New Roman" w:hAnsi="Arial" w:cs="Arial"/>
                <w:color w:val="000000"/>
                <w:sz w:val="20"/>
                <w:szCs w:val="20"/>
              </w:rPr>
              <w:br/>
              <w:t>0.42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w:t>
            </w:r>
            <w:r w:rsidRPr="000E5D59">
              <w:rPr>
                <w:rFonts w:ascii="Arial" w:eastAsia="Times New Roman" w:hAnsi="Arial" w:cs="Arial"/>
                <w:color w:val="000000"/>
                <w:sz w:val="20"/>
                <w:szCs w:val="20"/>
              </w:rPr>
              <w:br/>
              <w:t>1.10</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Huntington's Disease</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w:t>
            </w:r>
            <w:r w:rsidRPr="000E5D59">
              <w:rPr>
                <w:rFonts w:ascii="Arial" w:eastAsia="Times New Roman" w:hAnsi="Arial" w:cs="Arial"/>
                <w:color w:val="000000"/>
                <w:sz w:val="20"/>
                <w:szCs w:val="20"/>
              </w:rPr>
              <w:br/>
              <w:t>0.03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0</w:t>
            </w:r>
            <w:r w:rsidRPr="000E5D59">
              <w:rPr>
                <w:rFonts w:ascii="Arial" w:eastAsia="Times New Roman" w:hAnsi="Arial" w:cs="Arial"/>
                <w:color w:val="000000"/>
                <w:sz w:val="20"/>
                <w:szCs w:val="20"/>
              </w:rPr>
              <w:br/>
              <w:t>0.00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w:t>
            </w:r>
            <w:r w:rsidRPr="000E5D59">
              <w:rPr>
                <w:rFonts w:ascii="Arial" w:eastAsia="Times New Roman" w:hAnsi="Arial" w:cs="Arial"/>
                <w:color w:val="000000"/>
                <w:sz w:val="20"/>
                <w:szCs w:val="20"/>
              </w:rPr>
              <w:br/>
              <w:t>0.07</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Hypertension</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318</w:t>
            </w:r>
            <w:r w:rsidRPr="000E5D59">
              <w:rPr>
                <w:rFonts w:ascii="Arial" w:eastAsia="Times New Roman" w:hAnsi="Arial" w:cs="Arial"/>
                <w:color w:val="000000"/>
                <w:sz w:val="20"/>
                <w:szCs w:val="20"/>
              </w:rPr>
              <w:br/>
              <w:t>5.38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112</w:t>
            </w:r>
            <w:r w:rsidRPr="000E5D59">
              <w:rPr>
                <w:rFonts w:ascii="Arial" w:eastAsia="Times New Roman" w:hAnsi="Arial" w:cs="Arial"/>
                <w:color w:val="000000"/>
                <w:sz w:val="20"/>
                <w:szCs w:val="20"/>
              </w:rPr>
              <w:br/>
              <w:t>3.60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200</w:t>
            </w:r>
            <w:r w:rsidRPr="000E5D59">
              <w:rPr>
                <w:rFonts w:ascii="Arial" w:eastAsia="Times New Roman" w:hAnsi="Arial" w:cs="Arial"/>
                <w:color w:val="000000"/>
                <w:sz w:val="20"/>
                <w:szCs w:val="20"/>
              </w:rPr>
              <w:br/>
              <w:t>7.37</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Insomnia</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2524</w:t>
            </w:r>
            <w:r w:rsidRPr="000E5D59">
              <w:rPr>
                <w:rFonts w:ascii="Arial" w:eastAsia="Times New Roman" w:hAnsi="Arial" w:cs="Arial"/>
                <w:color w:val="000000"/>
                <w:sz w:val="20"/>
                <w:szCs w:val="20"/>
              </w:rPr>
              <w:br/>
              <w:t>42.66</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1434</w:t>
            </w:r>
            <w:r w:rsidRPr="000E5D59">
              <w:rPr>
                <w:rFonts w:ascii="Arial" w:eastAsia="Times New Roman" w:hAnsi="Arial" w:cs="Arial"/>
                <w:color w:val="000000"/>
                <w:sz w:val="20"/>
                <w:szCs w:val="20"/>
              </w:rPr>
              <w:br/>
              <w:t>46.11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1059</w:t>
            </w:r>
            <w:r w:rsidRPr="000E5D59">
              <w:rPr>
                <w:rFonts w:ascii="Arial" w:eastAsia="Times New Roman" w:hAnsi="Arial" w:cs="Arial"/>
                <w:color w:val="000000"/>
                <w:sz w:val="20"/>
                <w:szCs w:val="20"/>
              </w:rPr>
              <w:br/>
              <w:t>39.01</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Loss of Appetite</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744</w:t>
            </w:r>
            <w:r w:rsidRPr="000E5D59">
              <w:rPr>
                <w:rFonts w:ascii="Arial" w:eastAsia="Times New Roman" w:hAnsi="Arial" w:cs="Arial"/>
                <w:color w:val="000000"/>
                <w:sz w:val="20"/>
                <w:szCs w:val="20"/>
              </w:rPr>
              <w:br/>
              <w:t>12.58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529</w:t>
            </w:r>
            <w:r w:rsidRPr="000E5D59">
              <w:rPr>
                <w:rFonts w:ascii="Arial" w:eastAsia="Times New Roman" w:hAnsi="Arial" w:cs="Arial"/>
                <w:color w:val="000000"/>
                <w:sz w:val="20"/>
                <w:szCs w:val="20"/>
              </w:rPr>
              <w:br/>
              <w:t>17.01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203</w:t>
            </w:r>
            <w:r w:rsidRPr="000E5D59">
              <w:rPr>
                <w:rFonts w:ascii="Arial" w:eastAsia="Times New Roman" w:hAnsi="Arial" w:cs="Arial"/>
                <w:color w:val="000000"/>
                <w:sz w:val="20"/>
                <w:szCs w:val="20"/>
              </w:rPr>
              <w:br/>
              <w:t>7.48</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Multiple Sclerosis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140</w:t>
            </w:r>
            <w:r w:rsidRPr="000E5D59">
              <w:rPr>
                <w:rFonts w:ascii="Arial" w:eastAsia="Times New Roman" w:hAnsi="Arial" w:cs="Arial"/>
                <w:color w:val="000000"/>
                <w:sz w:val="20"/>
                <w:szCs w:val="20"/>
              </w:rPr>
              <w:br/>
              <w:t>2.37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63</w:t>
            </w:r>
            <w:r w:rsidRPr="000E5D59">
              <w:rPr>
                <w:rFonts w:ascii="Arial" w:eastAsia="Times New Roman" w:hAnsi="Arial" w:cs="Arial"/>
                <w:color w:val="000000"/>
                <w:sz w:val="20"/>
                <w:szCs w:val="20"/>
              </w:rPr>
              <w:br/>
              <w:t>2.03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76</w:t>
            </w:r>
            <w:r w:rsidRPr="000E5D59">
              <w:rPr>
                <w:rFonts w:ascii="Arial" w:eastAsia="Times New Roman" w:hAnsi="Arial" w:cs="Arial"/>
                <w:color w:val="000000"/>
                <w:sz w:val="20"/>
                <w:szCs w:val="20"/>
              </w:rPr>
              <w:br/>
              <w:t>2.80</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Muscle Spasms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1050</w:t>
            </w:r>
            <w:r w:rsidRPr="000E5D59">
              <w:rPr>
                <w:rFonts w:ascii="Arial" w:eastAsia="Times New Roman" w:hAnsi="Arial" w:cs="Arial"/>
                <w:color w:val="000000"/>
                <w:sz w:val="20"/>
                <w:szCs w:val="20"/>
              </w:rPr>
              <w:br/>
              <w:t>17.75</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542</w:t>
            </w:r>
            <w:r w:rsidRPr="000E5D59">
              <w:rPr>
                <w:rFonts w:ascii="Arial" w:eastAsia="Times New Roman" w:hAnsi="Arial" w:cs="Arial"/>
                <w:color w:val="000000"/>
                <w:sz w:val="20"/>
                <w:szCs w:val="20"/>
              </w:rPr>
              <w:br/>
              <w:t>17.43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494</w:t>
            </w:r>
            <w:r w:rsidRPr="000E5D59">
              <w:rPr>
                <w:rFonts w:ascii="Arial" w:eastAsia="Times New Roman" w:hAnsi="Arial" w:cs="Arial"/>
                <w:color w:val="000000"/>
                <w:sz w:val="20"/>
                <w:szCs w:val="20"/>
              </w:rPr>
              <w:br/>
              <w:t>18.20</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Muscular Dystrophy</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w:t>
            </w:r>
            <w:r w:rsidRPr="000E5D59">
              <w:rPr>
                <w:rFonts w:ascii="Arial" w:eastAsia="Times New Roman" w:hAnsi="Arial" w:cs="Arial"/>
                <w:color w:val="000000"/>
                <w:sz w:val="20"/>
                <w:szCs w:val="20"/>
              </w:rPr>
              <w:br/>
              <w:t>0.25</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w:t>
            </w:r>
            <w:r w:rsidRPr="000E5D59">
              <w:rPr>
                <w:rFonts w:ascii="Arial" w:eastAsia="Times New Roman" w:hAnsi="Arial" w:cs="Arial"/>
                <w:color w:val="000000"/>
                <w:sz w:val="20"/>
                <w:szCs w:val="20"/>
              </w:rPr>
              <w:br/>
              <w:t>0.29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w:t>
            </w:r>
            <w:r w:rsidRPr="000E5D59">
              <w:rPr>
                <w:rFonts w:ascii="Arial" w:eastAsia="Times New Roman" w:hAnsi="Arial" w:cs="Arial"/>
                <w:color w:val="000000"/>
                <w:sz w:val="20"/>
                <w:szCs w:val="20"/>
              </w:rPr>
              <w:br/>
              <w:t>0.22</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Nausea</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955</w:t>
            </w:r>
            <w:r w:rsidRPr="000E5D59">
              <w:rPr>
                <w:rFonts w:ascii="Arial" w:eastAsia="Times New Roman" w:hAnsi="Arial" w:cs="Arial"/>
                <w:color w:val="000000"/>
                <w:sz w:val="20"/>
                <w:szCs w:val="20"/>
              </w:rPr>
              <w:br/>
              <w:t>16.14</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638</w:t>
            </w:r>
            <w:r w:rsidRPr="000E5D59">
              <w:rPr>
                <w:rFonts w:ascii="Arial" w:eastAsia="Times New Roman" w:hAnsi="Arial" w:cs="Arial"/>
                <w:color w:val="000000"/>
                <w:sz w:val="20"/>
                <w:szCs w:val="20"/>
              </w:rPr>
              <w:br/>
              <w:t>20.51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298</w:t>
            </w:r>
            <w:r w:rsidRPr="000E5D59">
              <w:rPr>
                <w:rFonts w:ascii="Arial" w:eastAsia="Times New Roman" w:hAnsi="Arial" w:cs="Arial"/>
                <w:color w:val="000000"/>
                <w:sz w:val="20"/>
                <w:szCs w:val="20"/>
              </w:rPr>
              <w:br/>
              <w:t>10.98</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Neuropathy</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611</w:t>
            </w:r>
            <w:r w:rsidRPr="000E5D59">
              <w:rPr>
                <w:rFonts w:ascii="Arial" w:eastAsia="Times New Roman" w:hAnsi="Arial" w:cs="Arial"/>
                <w:color w:val="000000"/>
                <w:sz w:val="20"/>
                <w:szCs w:val="20"/>
              </w:rPr>
              <w:br/>
              <w:t>10.33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213</w:t>
            </w:r>
            <w:r w:rsidRPr="000E5D59">
              <w:rPr>
                <w:rFonts w:ascii="Arial" w:eastAsia="Times New Roman" w:hAnsi="Arial" w:cs="Arial"/>
                <w:color w:val="000000"/>
                <w:sz w:val="20"/>
                <w:szCs w:val="20"/>
              </w:rPr>
              <w:br/>
              <w:t>6.85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388</w:t>
            </w:r>
            <w:r w:rsidRPr="000E5D59">
              <w:rPr>
                <w:rFonts w:ascii="Arial" w:eastAsia="Times New Roman" w:hAnsi="Arial" w:cs="Arial"/>
                <w:color w:val="000000"/>
                <w:sz w:val="20"/>
                <w:szCs w:val="20"/>
              </w:rPr>
              <w:br/>
              <w:t>14.29</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OCD</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276</w:t>
            </w:r>
            <w:r w:rsidRPr="000E5D59">
              <w:rPr>
                <w:rFonts w:ascii="Arial" w:eastAsia="Times New Roman" w:hAnsi="Arial" w:cs="Arial"/>
                <w:color w:val="000000"/>
                <w:sz w:val="20"/>
                <w:szCs w:val="20"/>
              </w:rPr>
              <w:br/>
              <w:t>4.67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220</w:t>
            </w:r>
            <w:r w:rsidRPr="000E5D59">
              <w:rPr>
                <w:rFonts w:ascii="Arial" w:eastAsia="Times New Roman" w:hAnsi="Arial" w:cs="Arial"/>
                <w:color w:val="000000"/>
                <w:sz w:val="20"/>
                <w:szCs w:val="20"/>
              </w:rPr>
              <w:br/>
              <w:t>7.07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56</w:t>
            </w:r>
            <w:r w:rsidRPr="000E5D59">
              <w:rPr>
                <w:rFonts w:ascii="Arial" w:eastAsia="Times New Roman" w:hAnsi="Arial" w:cs="Arial"/>
                <w:color w:val="000000"/>
                <w:sz w:val="20"/>
                <w:szCs w:val="20"/>
              </w:rPr>
              <w:br/>
              <w:t>2.06</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Opioid Use</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133</w:t>
            </w:r>
            <w:r w:rsidRPr="000E5D59">
              <w:rPr>
                <w:rFonts w:ascii="Arial" w:eastAsia="Times New Roman" w:hAnsi="Arial" w:cs="Arial"/>
                <w:color w:val="000000"/>
                <w:sz w:val="20"/>
                <w:szCs w:val="20"/>
              </w:rPr>
              <w:br/>
              <w:t>2.25</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76</w:t>
            </w:r>
            <w:r w:rsidRPr="000E5D59">
              <w:rPr>
                <w:rFonts w:ascii="Arial" w:eastAsia="Times New Roman" w:hAnsi="Arial" w:cs="Arial"/>
                <w:color w:val="000000"/>
                <w:sz w:val="20"/>
                <w:szCs w:val="20"/>
              </w:rPr>
              <w:br/>
              <w:t>2.44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55</w:t>
            </w:r>
            <w:r w:rsidRPr="000E5D59">
              <w:rPr>
                <w:rFonts w:ascii="Arial" w:eastAsia="Times New Roman" w:hAnsi="Arial" w:cs="Arial"/>
                <w:color w:val="000000"/>
                <w:sz w:val="20"/>
                <w:szCs w:val="20"/>
              </w:rPr>
              <w:br/>
              <w:t>2.03</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Osteoarthritis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466</w:t>
            </w:r>
            <w:r w:rsidRPr="000E5D59">
              <w:rPr>
                <w:rFonts w:ascii="Arial" w:eastAsia="Times New Roman" w:hAnsi="Arial" w:cs="Arial"/>
                <w:color w:val="000000"/>
                <w:sz w:val="20"/>
                <w:szCs w:val="20"/>
              </w:rPr>
              <w:br/>
              <w:t>7.88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95</w:t>
            </w:r>
            <w:r w:rsidRPr="000E5D59">
              <w:rPr>
                <w:rFonts w:ascii="Arial" w:eastAsia="Times New Roman" w:hAnsi="Arial" w:cs="Arial"/>
                <w:color w:val="000000"/>
                <w:sz w:val="20"/>
                <w:szCs w:val="20"/>
              </w:rPr>
              <w:br/>
              <w:t>3.05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359</w:t>
            </w:r>
            <w:r w:rsidRPr="000E5D59">
              <w:rPr>
                <w:rFonts w:ascii="Arial" w:eastAsia="Times New Roman" w:hAnsi="Arial" w:cs="Arial"/>
                <w:color w:val="000000"/>
                <w:sz w:val="20"/>
                <w:szCs w:val="20"/>
              </w:rPr>
              <w:br/>
              <w:t>13.22</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PTSD</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1005</w:t>
            </w:r>
            <w:r w:rsidRPr="000E5D59">
              <w:rPr>
                <w:rFonts w:ascii="Arial" w:eastAsia="Times New Roman" w:hAnsi="Arial" w:cs="Arial"/>
                <w:color w:val="000000"/>
                <w:sz w:val="20"/>
                <w:szCs w:val="20"/>
              </w:rPr>
              <w:br/>
              <w:t>16.99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634</w:t>
            </w:r>
            <w:r w:rsidRPr="000E5D59">
              <w:rPr>
                <w:rFonts w:ascii="Arial" w:eastAsia="Times New Roman" w:hAnsi="Arial" w:cs="Arial"/>
                <w:color w:val="000000"/>
                <w:sz w:val="20"/>
                <w:szCs w:val="20"/>
              </w:rPr>
              <w:br/>
              <w:t>20.39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352</w:t>
            </w:r>
            <w:r w:rsidRPr="000E5D59">
              <w:rPr>
                <w:rFonts w:ascii="Arial" w:eastAsia="Times New Roman" w:hAnsi="Arial" w:cs="Arial"/>
                <w:color w:val="000000"/>
                <w:sz w:val="20"/>
                <w:szCs w:val="20"/>
              </w:rPr>
              <w:br/>
              <w:t>12.97</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Schizophrenia</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w:t>
            </w:r>
            <w:r w:rsidRPr="000E5D59">
              <w:rPr>
                <w:rFonts w:ascii="Arial" w:eastAsia="Times New Roman" w:hAnsi="Arial" w:cs="Arial"/>
                <w:color w:val="000000"/>
                <w:sz w:val="20"/>
                <w:szCs w:val="20"/>
              </w:rPr>
              <w:br/>
              <w:t>0.29</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w:t>
            </w:r>
            <w:r w:rsidRPr="000E5D59">
              <w:rPr>
                <w:rFonts w:ascii="Arial" w:eastAsia="Times New Roman" w:hAnsi="Arial" w:cs="Arial"/>
                <w:color w:val="000000"/>
                <w:sz w:val="20"/>
                <w:szCs w:val="20"/>
              </w:rPr>
              <w:br/>
              <w:t>0.45</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w:t>
            </w:r>
            <w:r w:rsidRPr="000E5D59">
              <w:rPr>
                <w:rFonts w:ascii="Arial" w:eastAsia="Times New Roman" w:hAnsi="Arial" w:cs="Arial"/>
                <w:color w:val="000000"/>
                <w:sz w:val="20"/>
                <w:szCs w:val="20"/>
              </w:rPr>
              <w:br/>
              <w:t>0.11</w:t>
            </w:r>
          </w:p>
        </w:tc>
        <w:tc>
          <w:tcPr>
            <w:tcW w:w="108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i/>
                <w:iCs/>
                <w:color w:val="000000"/>
                <w:sz w:val="20"/>
                <w:szCs w:val="20"/>
              </w:rPr>
            </w:pPr>
            <w:r w:rsidRPr="000E5D59">
              <w:rPr>
                <w:rFonts w:ascii="Arial" w:eastAsia="Times New Roman" w:hAnsi="Arial" w:cs="Arial"/>
                <w:b/>
                <w:bCs/>
                <w:color w:val="000000"/>
                <w:sz w:val="20"/>
                <w:szCs w:val="20"/>
              </w:rPr>
              <w:t>†</w:t>
            </w:r>
            <w:r w:rsidRPr="000E5D59">
              <w:rPr>
                <w:rFonts w:ascii="Arial" w:eastAsia="Times New Roman" w:hAnsi="Arial" w:cs="Arial"/>
                <w:color w:val="000000"/>
                <w:sz w:val="20"/>
                <w:szCs w:val="20"/>
              </w:rPr>
              <w:t xml:space="preserve"> </w:t>
            </w:r>
            <w:r w:rsidRPr="000E5D59">
              <w:rPr>
                <w:rFonts w:ascii="Arial" w:eastAsia="Times New Roman" w:hAnsi="Arial" w:cs="Arial"/>
                <w:i/>
                <w:iCs/>
                <w:color w:val="000000"/>
                <w:sz w:val="20"/>
                <w:szCs w:val="20"/>
              </w:rPr>
              <w:t>Among respondents indicating medical use of marijuana or marijuana products (certified or uncertified)</w:t>
            </w:r>
            <w:r w:rsidRPr="000E5D59">
              <w:rPr>
                <w:rFonts w:ascii="Arial" w:eastAsia="Times New Roman" w:hAnsi="Arial" w:cs="Arial"/>
                <w:i/>
                <w:iCs/>
                <w:color w:val="000000"/>
                <w:sz w:val="20"/>
                <w:szCs w:val="20"/>
              </w:rPr>
              <w:br/>
            </w:r>
            <w:r w:rsidRPr="000E5D59">
              <w:rPr>
                <w:rFonts w:ascii="Arial" w:eastAsia="Times New Roman" w:hAnsi="Arial" w:cs="Arial"/>
                <w:b/>
                <w:bCs/>
                <w:color w:val="000000"/>
                <w:sz w:val="20"/>
                <w:szCs w:val="20"/>
              </w:rPr>
              <w:t>‡</w:t>
            </w:r>
            <w:r w:rsidRPr="000E5D59">
              <w:rPr>
                <w:rFonts w:ascii="Arial" w:eastAsia="Times New Roman" w:hAnsi="Arial" w:cs="Arial"/>
                <w:i/>
                <w:iCs/>
                <w:color w:val="000000"/>
                <w:sz w:val="20"/>
                <w:szCs w:val="20"/>
              </w:rPr>
              <w:t xml:space="preserve"> Percentages sum to more than 100% because respondents could choose more than one option</w:t>
            </w:r>
          </w:p>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i/>
                <w:iCs/>
                <w:color w:val="000000"/>
                <w:sz w:val="20"/>
                <w:szCs w:val="20"/>
              </w:rPr>
              <w:t>*p&lt;0.05; **p&lt;0.01; ***p&lt;0.001; ****p&lt;0.0001; ns=not significant</w:t>
            </w:r>
          </w:p>
        </w:tc>
      </w:tr>
    </w:tbl>
    <w:p w:rsidR="000E5D59" w:rsidRPr="000E5D59" w:rsidRDefault="000E5D59" w:rsidP="006057BE">
      <w:pPr>
        <w:spacing w:after="0" w:line="240" w:lineRule="auto"/>
        <w:rPr>
          <w:rFonts w:ascii="Garamond" w:eastAsia="Calibri" w:hAnsi="Garamond" w:cs="Times New Roman"/>
          <w:b/>
          <w:sz w:val="24"/>
          <w:szCs w:val="24"/>
        </w:rPr>
      </w:pP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(Continued) Table 4B: DPH Patient Survey Medical Use of Marijuana and Marijuana Product Use, Medical Conditions Treated by Age Group</w:t>
      </w:r>
    </w:p>
    <w:p w:rsidR="000E5D59" w:rsidRPr="000E5D59" w:rsidRDefault="000941B7" w:rsidP="006057BE">
      <w:pPr>
        <w:spacing w:after="0" w:line="240" w:lineRule="auto"/>
        <w:rPr>
          <w:rFonts w:ascii="Arial" w:eastAsia="Calibri" w:hAnsi="Arial" w:cs="Arial"/>
          <w:b/>
          <w:sz w:val="24"/>
          <w:szCs w:val="24"/>
        </w:rPr>
      </w:pPr>
      <w:r>
        <w:rPr>
          <w:rFonts w:ascii="Arial" w:eastAsia="Calibri" w:hAnsi="Arial" w:cs="Arial"/>
          <w:b/>
          <w:sz w:val="24"/>
          <w:szCs w:val="24"/>
        </w:rPr>
        <w:t xml:space="preserve"> </w:t>
      </w:r>
    </w:p>
    <w:tbl>
      <w:tblPr>
        <w:tblW w:w="0" w:type="auto"/>
        <w:tblInd w:w="93" w:type="dxa"/>
        <w:tblLook w:val="04A0" w:firstRow="1" w:lastRow="0" w:firstColumn="1" w:lastColumn="0" w:noHBand="0" w:noVBand="1"/>
        <w:tblCaption w:val="Continued: DPH Patient Survey Medical Use of Marijuana and Marijuana Product Use, Medical Conditions Treated by Age Group"/>
        <w:tblDescription w:val="This table is a continuation of the table from the previous page (the complete table did not fit on a single page).  More respondents 51 years or older reported using marijuana products to treat arthritis, cancer, chronic pain, diabetes, glaucoma, HIV/AIDS, hypertension, neuropathy, and osteoarthritis. More respondents under 51 years old reported using marijuana or marijuana products to treat ADHD, anxiety, bipolar disorder, bowel distress, depression, headaches/migraines, insomnia, loss of appetite, nausea, OCD, PTSD, stress, and vomiting."/>
      </w:tblPr>
      <w:tblGrid>
        <w:gridCol w:w="4155"/>
        <w:gridCol w:w="1170"/>
        <w:gridCol w:w="1530"/>
        <w:gridCol w:w="1530"/>
        <w:gridCol w:w="1080"/>
      </w:tblGrid>
      <w:tr w:rsidR="000E5D59" w:rsidRPr="000E5D59" w:rsidTr="00784755">
        <w:trPr>
          <w:trHeight w:val="20"/>
        </w:trPr>
        <w:tc>
          <w:tcPr>
            <w:tcW w:w="415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117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right"/>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Age Group</w:t>
            </w:r>
          </w:p>
        </w:tc>
      </w:tr>
      <w:tr w:rsidR="000E5D59" w:rsidRPr="000E5D59" w:rsidTr="00784755">
        <w:trPr>
          <w:trHeight w:val="20"/>
        </w:trPr>
        <w:tc>
          <w:tcPr>
            <w:tcW w:w="415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17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color w:val="000000"/>
                <w:sz w:val="20"/>
                <w:szCs w:val="20"/>
              </w:rPr>
            </w:pPr>
          </w:p>
        </w:tc>
        <w:tc>
          <w:tcPr>
            <w:tcW w:w="153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50 years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(N=3224)</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51 years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(N=2793)</w:t>
            </w:r>
          </w:p>
        </w:tc>
        <w:tc>
          <w:tcPr>
            <w:tcW w:w="108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xml:space="preserve">Medical condition (s) for which respondent uses marijuana or marijuana products †‡ </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5916</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Seizures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114</w:t>
            </w:r>
            <w:r w:rsidRPr="000E5D59">
              <w:rPr>
                <w:rFonts w:ascii="Arial" w:eastAsia="Times New Roman" w:hAnsi="Arial" w:cs="Arial"/>
                <w:color w:val="000000"/>
                <w:sz w:val="20"/>
                <w:szCs w:val="20"/>
              </w:rPr>
              <w:br/>
              <w:t>1.93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71</w:t>
            </w:r>
            <w:r w:rsidRPr="000E5D59">
              <w:rPr>
                <w:rFonts w:ascii="Arial" w:eastAsia="Times New Roman" w:hAnsi="Arial" w:cs="Arial"/>
                <w:color w:val="000000"/>
                <w:sz w:val="20"/>
                <w:szCs w:val="20"/>
              </w:rPr>
              <w:br/>
              <w:t>2.28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40</w:t>
            </w:r>
            <w:r w:rsidRPr="000E5D59">
              <w:rPr>
                <w:rFonts w:ascii="Arial" w:eastAsia="Times New Roman" w:hAnsi="Arial" w:cs="Arial"/>
                <w:color w:val="000000"/>
                <w:sz w:val="20"/>
                <w:szCs w:val="20"/>
              </w:rPr>
              <w:br/>
              <w:t>1.47</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Skin Conditions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149</w:t>
            </w:r>
            <w:r w:rsidRPr="000E5D59">
              <w:rPr>
                <w:rFonts w:ascii="Arial" w:eastAsia="Times New Roman" w:hAnsi="Arial" w:cs="Arial"/>
                <w:color w:val="000000"/>
                <w:sz w:val="20"/>
                <w:szCs w:val="20"/>
              </w:rPr>
              <w:br/>
              <w:t>2.52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84</w:t>
            </w:r>
            <w:r w:rsidRPr="000E5D59">
              <w:rPr>
                <w:rFonts w:ascii="Arial" w:eastAsia="Times New Roman" w:hAnsi="Arial" w:cs="Arial"/>
                <w:color w:val="000000"/>
                <w:sz w:val="20"/>
                <w:szCs w:val="20"/>
              </w:rPr>
              <w:br/>
              <w:t>2.70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65</w:t>
            </w:r>
            <w:r w:rsidRPr="000E5D59">
              <w:rPr>
                <w:rFonts w:ascii="Arial" w:eastAsia="Times New Roman" w:hAnsi="Arial" w:cs="Arial"/>
                <w:color w:val="000000"/>
                <w:sz w:val="20"/>
                <w:szCs w:val="20"/>
              </w:rPr>
              <w:br/>
              <w:t>2.39</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Sleep Apnea</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536</w:t>
            </w:r>
            <w:r w:rsidRPr="000E5D59">
              <w:rPr>
                <w:rFonts w:ascii="Arial" w:eastAsia="Times New Roman" w:hAnsi="Arial" w:cs="Arial"/>
                <w:color w:val="000000"/>
                <w:sz w:val="20"/>
                <w:szCs w:val="20"/>
              </w:rPr>
              <w:br/>
              <w:t>9.06</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263</w:t>
            </w:r>
            <w:r w:rsidRPr="000E5D59">
              <w:rPr>
                <w:rFonts w:ascii="Arial" w:eastAsia="Times New Roman" w:hAnsi="Arial" w:cs="Arial"/>
                <w:color w:val="000000"/>
                <w:sz w:val="20"/>
                <w:szCs w:val="20"/>
              </w:rPr>
              <w:br/>
              <w:t>8.46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266</w:t>
            </w:r>
            <w:r w:rsidRPr="000E5D59">
              <w:rPr>
                <w:rFonts w:ascii="Arial" w:eastAsia="Times New Roman" w:hAnsi="Arial" w:cs="Arial"/>
                <w:color w:val="000000"/>
                <w:sz w:val="20"/>
                <w:szCs w:val="20"/>
              </w:rPr>
              <w:br/>
              <w:t>9.80</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Stress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2408</w:t>
            </w:r>
            <w:r w:rsidRPr="000E5D59">
              <w:rPr>
                <w:rFonts w:ascii="Arial" w:eastAsia="Times New Roman" w:hAnsi="Arial" w:cs="Arial"/>
                <w:color w:val="000000"/>
                <w:sz w:val="20"/>
                <w:szCs w:val="20"/>
              </w:rPr>
              <w:br/>
              <w:t>40.70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1529</w:t>
            </w:r>
            <w:r w:rsidRPr="000E5D59">
              <w:rPr>
                <w:rFonts w:ascii="Arial" w:eastAsia="Times New Roman" w:hAnsi="Arial" w:cs="Arial"/>
                <w:color w:val="000000"/>
                <w:sz w:val="20"/>
                <w:szCs w:val="20"/>
              </w:rPr>
              <w:br/>
              <w:t>49.16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845</w:t>
            </w:r>
            <w:r w:rsidRPr="000E5D59">
              <w:rPr>
                <w:rFonts w:ascii="Arial" w:eastAsia="Times New Roman" w:hAnsi="Arial" w:cs="Arial"/>
                <w:color w:val="000000"/>
                <w:sz w:val="20"/>
                <w:szCs w:val="20"/>
              </w:rPr>
              <w:br/>
              <w:t>31.12</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Tourette's Syndrome</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18</w:t>
            </w:r>
            <w:r w:rsidRPr="000E5D59">
              <w:rPr>
                <w:rFonts w:ascii="Arial" w:eastAsia="Times New Roman" w:hAnsi="Arial" w:cs="Arial"/>
                <w:color w:val="000000"/>
                <w:sz w:val="20"/>
                <w:szCs w:val="20"/>
              </w:rPr>
              <w:br/>
              <w:t>0.30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w:t>
            </w:r>
            <w:r w:rsidRPr="000E5D59">
              <w:rPr>
                <w:rFonts w:ascii="Arial" w:eastAsia="Times New Roman" w:hAnsi="Arial" w:cs="Arial"/>
                <w:color w:val="000000"/>
                <w:sz w:val="20"/>
                <w:szCs w:val="20"/>
              </w:rPr>
              <w:br/>
              <w:t>0.42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w:t>
            </w:r>
            <w:r w:rsidRPr="000E5D59">
              <w:rPr>
                <w:rFonts w:ascii="Arial" w:eastAsia="Times New Roman" w:hAnsi="Arial" w:cs="Arial"/>
                <w:color w:val="000000"/>
                <w:sz w:val="20"/>
                <w:szCs w:val="20"/>
              </w:rPr>
              <w:br/>
              <w:t>0.18</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Tremors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126</w:t>
            </w:r>
            <w:r w:rsidRPr="000E5D59">
              <w:rPr>
                <w:rFonts w:ascii="Arial" w:eastAsia="Times New Roman" w:hAnsi="Arial" w:cs="Arial"/>
                <w:color w:val="000000"/>
                <w:sz w:val="20"/>
                <w:szCs w:val="20"/>
              </w:rPr>
              <w:br/>
              <w:t>2.13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60</w:t>
            </w:r>
            <w:r w:rsidRPr="000E5D59">
              <w:rPr>
                <w:rFonts w:ascii="Arial" w:eastAsia="Times New Roman" w:hAnsi="Arial" w:cs="Arial"/>
                <w:color w:val="000000"/>
                <w:sz w:val="20"/>
                <w:szCs w:val="20"/>
              </w:rPr>
              <w:br/>
              <w:t>1.93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66</w:t>
            </w:r>
            <w:r w:rsidRPr="000E5D59">
              <w:rPr>
                <w:rFonts w:ascii="Arial" w:eastAsia="Times New Roman" w:hAnsi="Arial" w:cs="Arial"/>
                <w:color w:val="000000"/>
                <w:sz w:val="20"/>
                <w:szCs w:val="20"/>
              </w:rPr>
              <w:br/>
              <w:t>2.43</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Vomiting</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224</w:t>
            </w:r>
            <w:r w:rsidRPr="000E5D59">
              <w:rPr>
                <w:rFonts w:ascii="Arial" w:eastAsia="Times New Roman" w:hAnsi="Arial" w:cs="Arial"/>
                <w:color w:val="000000"/>
                <w:sz w:val="20"/>
                <w:szCs w:val="20"/>
              </w:rPr>
              <w:br/>
              <w:t>3.79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164</w:t>
            </w:r>
            <w:r w:rsidRPr="000E5D59">
              <w:rPr>
                <w:rFonts w:ascii="Arial" w:eastAsia="Times New Roman" w:hAnsi="Arial" w:cs="Arial"/>
                <w:color w:val="000000"/>
                <w:sz w:val="20"/>
                <w:szCs w:val="20"/>
              </w:rPr>
              <w:br/>
              <w:t>5.27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55</w:t>
            </w:r>
            <w:r w:rsidRPr="000E5D59">
              <w:rPr>
                <w:rFonts w:ascii="Arial" w:eastAsia="Times New Roman" w:hAnsi="Arial" w:cs="Arial"/>
                <w:color w:val="000000"/>
                <w:sz w:val="20"/>
                <w:szCs w:val="20"/>
              </w:rPr>
              <w:br/>
              <w:t>2.03</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Wasting</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w:t>
            </w:r>
            <w:r w:rsidRPr="000E5D59">
              <w:rPr>
                <w:rFonts w:ascii="Arial" w:eastAsia="Times New Roman" w:hAnsi="Arial" w:cs="Arial"/>
                <w:color w:val="000000"/>
                <w:sz w:val="20"/>
                <w:szCs w:val="20"/>
              </w:rPr>
              <w:br/>
              <w:t>0.52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w:t>
            </w:r>
            <w:r w:rsidRPr="000E5D59">
              <w:rPr>
                <w:rFonts w:ascii="Arial" w:eastAsia="Times New Roman" w:hAnsi="Arial" w:cs="Arial"/>
                <w:color w:val="000000"/>
                <w:sz w:val="20"/>
                <w:szCs w:val="20"/>
              </w:rPr>
              <w:br/>
              <w:t>0.55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w:t>
            </w:r>
            <w:r w:rsidRPr="000E5D59">
              <w:rPr>
                <w:rFonts w:ascii="Arial" w:eastAsia="Times New Roman" w:hAnsi="Arial" w:cs="Arial"/>
                <w:color w:val="000000"/>
                <w:sz w:val="20"/>
                <w:szCs w:val="20"/>
              </w:rPr>
              <w:br/>
              <w:t>0.52</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Weight Loss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243</w:t>
            </w:r>
            <w:r w:rsidRPr="000E5D59">
              <w:rPr>
                <w:rFonts w:ascii="Arial" w:eastAsia="Times New Roman" w:hAnsi="Arial" w:cs="Arial"/>
                <w:color w:val="000000"/>
                <w:sz w:val="20"/>
                <w:szCs w:val="20"/>
              </w:rPr>
              <w:br/>
              <w:t>4.11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149</w:t>
            </w:r>
            <w:r w:rsidRPr="000E5D59">
              <w:rPr>
                <w:rFonts w:ascii="Arial" w:eastAsia="Times New Roman" w:hAnsi="Arial" w:cs="Arial"/>
                <w:color w:val="000000"/>
                <w:sz w:val="20"/>
                <w:szCs w:val="20"/>
              </w:rPr>
              <w:br/>
              <w:t>4.79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91</w:t>
            </w:r>
            <w:r w:rsidRPr="000E5D59">
              <w:rPr>
                <w:rFonts w:ascii="Arial" w:eastAsia="Times New Roman" w:hAnsi="Arial" w:cs="Arial"/>
                <w:color w:val="000000"/>
                <w:sz w:val="20"/>
                <w:szCs w:val="20"/>
              </w:rPr>
              <w:br/>
              <w:t>3.35</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Other</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779</w:t>
            </w:r>
            <w:r w:rsidRPr="000E5D59">
              <w:rPr>
                <w:rFonts w:ascii="Arial" w:eastAsia="Times New Roman" w:hAnsi="Arial" w:cs="Arial"/>
                <w:color w:val="000000"/>
                <w:sz w:val="20"/>
                <w:szCs w:val="20"/>
              </w:rPr>
              <w:br/>
              <w:t>13.17</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374</w:t>
            </w:r>
            <w:r w:rsidRPr="000E5D59">
              <w:rPr>
                <w:rFonts w:ascii="Arial" w:eastAsia="Times New Roman" w:hAnsi="Arial" w:cs="Arial"/>
                <w:color w:val="000000"/>
                <w:sz w:val="20"/>
                <w:szCs w:val="20"/>
              </w:rPr>
              <w:br/>
              <w:t>12.03</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401</w:t>
            </w:r>
            <w:r w:rsidRPr="000E5D59">
              <w:rPr>
                <w:rFonts w:ascii="Arial" w:eastAsia="Times New Roman" w:hAnsi="Arial" w:cs="Arial"/>
                <w:color w:val="000000"/>
                <w:sz w:val="20"/>
                <w:szCs w:val="20"/>
              </w:rPr>
              <w:br/>
              <w:t>14.77</w:t>
            </w:r>
          </w:p>
        </w:tc>
        <w:tc>
          <w:tcPr>
            <w:tcW w:w="108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i/>
                <w:iCs/>
                <w:color w:val="000000"/>
                <w:sz w:val="20"/>
                <w:szCs w:val="20"/>
              </w:rPr>
            </w:pPr>
            <w:r w:rsidRPr="000E5D59">
              <w:rPr>
                <w:rFonts w:ascii="Arial" w:eastAsia="Times New Roman" w:hAnsi="Arial" w:cs="Arial"/>
                <w:b/>
                <w:bCs/>
                <w:color w:val="000000"/>
                <w:sz w:val="20"/>
                <w:szCs w:val="20"/>
              </w:rPr>
              <w:t>†</w:t>
            </w:r>
            <w:r w:rsidRPr="000E5D59">
              <w:rPr>
                <w:rFonts w:ascii="Arial" w:eastAsia="Times New Roman" w:hAnsi="Arial" w:cs="Arial"/>
                <w:color w:val="000000"/>
                <w:sz w:val="20"/>
                <w:szCs w:val="20"/>
              </w:rPr>
              <w:t xml:space="preserve"> </w:t>
            </w:r>
            <w:r w:rsidRPr="000E5D59">
              <w:rPr>
                <w:rFonts w:ascii="Arial" w:eastAsia="Times New Roman" w:hAnsi="Arial" w:cs="Arial"/>
                <w:i/>
                <w:iCs/>
                <w:color w:val="000000"/>
                <w:sz w:val="20"/>
                <w:szCs w:val="20"/>
              </w:rPr>
              <w:t>Among respondents indicating medical use of marijuana or marijuana products (certified or uncertified)</w:t>
            </w:r>
            <w:r w:rsidRPr="000E5D59">
              <w:rPr>
                <w:rFonts w:ascii="Arial" w:eastAsia="Times New Roman" w:hAnsi="Arial" w:cs="Arial"/>
                <w:i/>
                <w:iCs/>
                <w:color w:val="000000"/>
                <w:sz w:val="20"/>
                <w:szCs w:val="20"/>
              </w:rPr>
              <w:br/>
            </w:r>
            <w:r w:rsidRPr="000E5D59">
              <w:rPr>
                <w:rFonts w:ascii="Arial" w:eastAsia="Times New Roman" w:hAnsi="Arial" w:cs="Arial"/>
                <w:b/>
                <w:bCs/>
                <w:color w:val="000000"/>
                <w:sz w:val="20"/>
                <w:szCs w:val="20"/>
              </w:rPr>
              <w:t>‡</w:t>
            </w:r>
            <w:r w:rsidRPr="000E5D59">
              <w:rPr>
                <w:rFonts w:ascii="Arial" w:eastAsia="Times New Roman" w:hAnsi="Arial" w:cs="Arial"/>
                <w:i/>
                <w:iCs/>
                <w:color w:val="000000"/>
                <w:sz w:val="20"/>
                <w:szCs w:val="20"/>
              </w:rPr>
              <w:t xml:space="preserve"> Percentages sum to more than 100% because respondents could choose more than one option</w:t>
            </w:r>
          </w:p>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i/>
                <w:iCs/>
                <w:color w:val="000000"/>
                <w:sz w:val="20"/>
                <w:szCs w:val="20"/>
              </w:rPr>
              <w:t>*p&lt;0.05; **p&lt;0.01; ***p&lt;0.001; ****p&lt;0.0001; ns=not significant</w:t>
            </w:r>
          </w:p>
        </w:tc>
      </w:tr>
    </w:tbl>
    <w:p w:rsidR="000E5D59" w:rsidRPr="000E5D59" w:rsidRDefault="000E5D59" w:rsidP="006057BE">
      <w:pPr>
        <w:spacing w:after="0" w:line="240" w:lineRule="auto"/>
        <w:rPr>
          <w:rFonts w:ascii="Garamond" w:eastAsia="Calibri" w:hAnsi="Garamond" w:cs="Times New Roman"/>
          <w:b/>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Table 4C: DPH Patient Survey Medical Use of Marijuana and Marijuana Product Use, Medical C</w:t>
      </w:r>
      <w:r w:rsidR="000941B7">
        <w:rPr>
          <w:rFonts w:ascii="Arial" w:eastAsia="Calibri" w:hAnsi="Arial" w:cs="Arial"/>
          <w:b/>
          <w:sz w:val="24"/>
          <w:szCs w:val="24"/>
        </w:rPr>
        <w:t xml:space="preserve">onditions Treated by Education </w:t>
      </w:r>
    </w:p>
    <w:tbl>
      <w:tblPr>
        <w:tblW w:w="0" w:type="auto"/>
        <w:tblInd w:w="93" w:type="dxa"/>
        <w:tblLook w:val="04A0" w:firstRow="1" w:lastRow="0" w:firstColumn="1" w:lastColumn="0" w:noHBand="0" w:noVBand="1"/>
        <w:tblCaption w:val="DPH Patient Survey Medical Use of Marijuana and Marijuana Product Use, Medical Conditions Treated by Education "/>
        <w:tblDescription w:val="Respondents with a Bachelor’s degree did not report using marijuana products to treat any of the medical conditions at higher rates than respondents without a Bachelor’s degree. Respondents without a Bachelor’s degree reported using marijuana products at higher rates than respondents with a Bachelor’s degree to treat ADHD, anxiety, arthritis, bipolar disorder, carpal tunnel, chronic pain, depression, diabetes, fibromyalgia, headaches/migraines, loss of appetite, muscle spasms, nausea, OCD, opioid use, PTSD, seizures, sleep apnea, and stress."/>
      </w:tblPr>
      <w:tblGrid>
        <w:gridCol w:w="4155"/>
        <w:gridCol w:w="990"/>
        <w:gridCol w:w="1620"/>
        <w:gridCol w:w="1620"/>
        <w:gridCol w:w="1080"/>
      </w:tblGrid>
      <w:tr w:rsidR="000E5D59" w:rsidRPr="000E5D59" w:rsidTr="00784755">
        <w:trPr>
          <w:trHeight w:val="20"/>
        </w:trPr>
        <w:tc>
          <w:tcPr>
            <w:tcW w:w="4155" w:type="dxa"/>
            <w:vMerge w:val="restart"/>
            <w:tcBorders>
              <w:top w:val="single" w:sz="4" w:space="0" w:color="auto"/>
              <w:left w:val="single" w:sz="4" w:space="0" w:color="auto"/>
              <w:bottom w:val="single" w:sz="8" w:space="0" w:color="000000"/>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w:t>
            </w:r>
          </w:p>
        </w:tc>
        <w:tc>
          <w:tcPr>
            <w:tcW w:w="990" w:type="dxa"/>
            <w:vMerge w:val="restart"/>
            <w:tcBorders>
              <w:top w:val="single" w:sz="4" w:space="0" w:color="auto"/>
              <w:left w:val="single" w:sz="8" w:space="0" w:color="auto"/>
              <w:bottom w:val="single" w:sz="8" w:space="0" w:color="000000"/>
              <w:right w:val="thickThinSmallGap" w:sz="24" w:space="0" w:color="auto"/>
            </w:tcBorders>
            <w:shd w:val="clear" w:color="auto" w:fill="auto"/>
          </w:tcPr>
          <w:p w:rsidR="000E5D59" w:rsidRPr="000E5D59" w:rsidRDefault="000E5D59" w:rsidP="006057BE">
            <w:pPr>
              <w:spacing w:after="0" w:line="240" w:lineRule="auto"/>
              <w:jc w:val="center"/>
              <w:rPr>
                <w:rFonts w:ascii="Arial" w:eastAsia="Times New Roman" w:hAnsi="Arial" w:cs="Arial"/>
                <w:b/>
                <w:color w:val="000000"/>
                <w:sz w:val="20"/>
                <w:szCs w:val="20"/>
              </w:rPr>
            </w:pPr>
            <w:r w:rsidRPr="000E5D59">
              <w:rPr>
                <w:rFonts w:ascii="Arial" w:eastAsia="Times New Roman" w:hAnsi="Arial" w:cs="Arial"/>
                <w:b/>
                <w:color w:val="000000"/>
                <w:sz w:val="20"/>
                <w:szCs w:val="20"/>
              </w:rPr>
              <w:t>Total</w:t>
            </w:r>
          </w:p>
          <w:p w:rsidR="000E5D59" w:rsidRPr="000E5D59" w:rsidRDefault="000E5D59" w:rsidP="006057BE">
            <w:pPr>
              <w:spacing w:after="0" w:line="240" w:lineRule="auto"/>
              <w:jc w:val="right"/>
              <w:rPr>
                <w:rFonts w:ascii="Arial" w:eastAsia="Times New Roman" w:hAnsi="Arial" w:cs="Arial"/>
                <w:b/>
                <w:color w:val="000000"/>
                <w:sz w:val="20"/>
                <w:szCs w:val="20"/>
              </w:rPr>
            </w:pPr>
            <w:r w:rsidRPr="000E5D59">
              <w:rPr>
                <w:rFonts w:ascii="Arial" w:eastAsia="Times New Roman" w:hAnsi="Arial" w:cs="Arial"/>
                <w:b/>
                <w:color w:val="000000"/>
                <w:sz w:val="20"/>
                <w:szCs w:val="20"/>
              </w:rPr>
              <w:t>N</w:t>
            </w:r>
          </w:p>
          <w:p w:rsidR="000E5D59" w:rsidRPr="000E5D59" w:rsidRDefault="000E5D59" w:rsidP="006057BE">
            <w:pPr>
              <w:spacing w:after="0" w:line="240" w:lineRule="auto"/>
              <w:jc w:val="right"/>
              <w:rPr>
                <w:rFonts w:ascii="Arial" w:eastAsia="Times New Roman" w:hAnsi="Arial" w:cs="Arial"/>
                <w:b/>
                <w:bCs/>
                <w:color w:val="000000"/>
                <w:sz w:val="20"/>
                <w:szCs w:val="20"/>
              </w:rPr>
            </w:pPr>
            <w:r w:rsidRPr="000E5D59">
              <w:rPr>
                <w:rFonts w:ascii="Arial" w:eastAsia="Times New Roman" w:hAnsi="Arial" w:cs="Arial"/>
                <w:b/>
                <w:color w:val="000000"/>
                <w:sz w:val="20"/>
                <w:szCs w:val="20"/>
              </w:rPr>
              <w:t>%</w:t>
            </w:r>
          </w:p>
        </w:tc>
        <w:tc>
          <w:tcPr>
            <w:tcW w:w="432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Education</w:t>
            </w:r>
          </w:p>
        </w:tc>
      </w:tr>
      <w:tr w:rsidR="000E5D59" w:rsidRPr="000E5D59" w:rsidTr="00784755">
        <w:trPr>
          <w:trHeight w:val="20"/>
        </w:trPr>
        <w:tc>
          <w:tcPr>
            <w:tcW w:w="4155" w:type="dxa"/>
            <w:vMerge/>
            <w:tcBorders>
              <w:top w:val="nil"/>
              <w:left w:val="single" w:sz="4" w:space="0" w:color="auto"/>
              <w:bottom w:val="single" w:sz="8" w:space="0" w:color="000000"/>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p>
        </w:tc>
        <w:tc>
          <w:tcPr>
            <w:tcW w:w="990" w:type="dxa"/>
            <w:vMerge/>
            <w:tcBorders>
              <w:top w:val="nil"/>
              <w:left w:val="single" w:sz="8" w:space="0" w:color="auto"/>
              <w:bottom w:val="single" w:sz="8" w:space="0" w:color="000000"/>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b/>
                <w:bCs/>
                <w:color w:val="000000"/>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&lt; Bachelor's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(N=2871)</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Bachelor's</w:t>
            </w:r>
            <w:r w:rsidRPr="000E5D59">
              <w:rPr>
                <w:rFonts w:ascii="Arial" w:eastAsia="Times New Roman" w:hAnsi="Arial" w:cs="Arial"/>
                <w:b/>
                <w:bCs/>
                <w:color w:val="000000"/>
                <w:sz w:val="20"/>
                <w:szCs w:val="20"/>
              </w:rPr>
              <w:br/>
            </w:r>
            <w:r w:rsidRPr="000E5D59">
              <w:rPr>
                <w:rFonts w:ascii="Arial" w:eastAsia="Times New Roman" w:hAnsi="Arial" w:cs="Arial"/>
                <w:color w:val="000000"/>
                <w:sz w:val="20"/>
                <w:szCs w:val="20"/>
              </w:rPr>
              <w:t>(N=3223)</w:t>
            </w:r>
          </w:p>
        </w:tc>
        <w:tc>
          <w:tcPr>
            <w:tcW w:w="108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p-value</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Marijuana used for medical p</w:t>
            </w:r>
            <w:r w:rsidRPr="000E5D59">
              <w:rPr>
                <w:rFonts w:ascii="Arial" w:eastAsia="Times New Roman" w:hAnsi="Arial" w:cs="Arial"/>
                <w:b/>
                <w:bCs/>
                <w:color w:val="000000"/>
                <w:sz w:val="20"/>
                <w:szCs w:val="20"/>
                <w:shd w:val="clear" w:color="auto" w:fill="BFBFBF"/>
              </w:rPr>
              <w:t>u</w:t>
            </w:r>
            <w:r w:rsidRPr="000E5D59">
              <w:rPr>
                <w:rFonts w:ascii="Arial" w:eastAsia="Times New Roman" w:hAnsi="Arial" w:cs="Arial"/>
                <w:b/>
                <w:bCs/>
                <w:color w:val="000000"/>
                <w:sz w:val="20"/>
                <w:szCs w:val="20"/>
              </w:rPr>
              <w:t xml:space="preserve">rposes </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6111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No</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195</w:t>
            </w:r>
            <w:r w:rsidRPr="000E5D59">
              <w:rPr>
                <w:rFonts w:ascii="Arial" w:eastAsia="Times New Roman" w:hAnsi="Arial" w:cs="Arial"/>
                <w:color w:val="000000"/>
                <w:sz w:val="20"/>
                <w:szCs w:val="20"/>
              </w:rPr>
              <w:br/>
              <w:t>3.19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86</w:t>
            </w:r>
            <w:r w:rsidRPr="000E5D59">
              <w:rPr>
                <w:rFonts w:ascii="Arial" w:eastAsia="Times New Roman" w:hAnsi="Arial" w:cs="Arial"/>
                <w:color w:val="000000"/>
                <w:sz w:val="20"/>
                <w:szCs w:val="20"/>
              </w:rPr>
              <w:br/>
              <w:t>3.00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109</w:t>
            </w:r>
            <w:r w:rsidRPr="000E5D59">
              <w:rPr>
                <w:rFonts w:ascii="Arial" w:eastAsia="Times New Roman" w:hAnsi="Arial" w:cs="Arial"/>
                <w:color w:val="000000"/>
                <w:sz w:val="20"/>
                <w:szCs w:val="20"/>
              </w:rPr>
              <w:br/>
              <w:t>3.38</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p>
        </w:tc>
      </w:tr>
      <w:tr w:rsidR="000E5D59" w:rsidRPr="000E5D59" w:rsidTr="00784755">
        <w:trPr>
          <w:trHeight w:val="20"/>
        </w:trPr>
        <w:tc>
          <w:tcPr>
            <w:tcW w:w="415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Yes</w:t>
            </w:r>
          </w:p>
        </w:tc>
        <w:tc>
          <w:tcPr>
            <w:tcW w:w="99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5916</w:t>
            </w:r>
            <w:r w:rsidRPr="000E5D59">
              <w:rPr>
                <w:rFonts w:ascii="Arial" w:eastAsia="Times New Roman" w:hAnsi="Arial" w:cs="Arial"/>
                <w:color w:val="000000"/>
                <w:sz w:val="20"/>
                <w:szCs w:val="20"/>
              </w:rPr>
              <w:br/>
              <w:t>96.81</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2785</w:t>
            </w:r>
            <w:r w:rsidRPr="000E5D59">
              <w:rPr>
                <w:rFonts w:ascii="Arial" w:eastAsia="Times New Roman" w:hAnsi="Arial" w:cs="Arial"/>
                <w:color w:val="000000"/>
                <w:sz w:val="20"/>
                <w:szCs w:val="20"/>
              </w:rPr>
              <w:br/>
              <w:t>97.00</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3114</w:t>
            </w:r>
            <w:r w:rsidRPr="000E5D59">
              <w:rPr>
                <w:rFonts w:ascii="Arial" w:eastAsia="Times New Roman" w:hAnsi="Arial" w:cs="Arial"/>
                <w:color w:val="000000"/>
                <w:sz w:val="20"/>
                <w:szCs w:val="20"/>
              </w:rPr>
              <w:br/>
              <w:t>96.62</w:t>
            </w:r>
          </w:p>
        </w:tc>
        <w:tc>
          <w:tcPr>
            <w:tcW w:w="108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color w:val="000000"/>
                <w:sz w:val="20"/>
                <w:szCs w:val="20"/>
              </w:rPr>
            </w:pPr>
            <w:r w:rsidRPr="000E5D59">
              <w:rPr>
                <w:rFonts w:ascii="Arial" w:eastAsia="Times New Roman" w:hAnsi="Arial" w:cs="Arial"/>
                <w:b/>
                <w:bCs/>
                <w:color w:val="000000"/>
                <w:sz w:val="20"/>
                <w:szCs w:val="20"/>
              </w:rPr>
              <w:t xml:space="preserve">Medical condition (s) for which respondent uses marijuana or marijuana products †‡ </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5916</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ADHD</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711</w:t>
            </w:r>
            <w:r w:rsidRPr="000E5D59">
              <w:rPr>
                <w:rFonts w:ascii="Arial" w:eastAsia="Times New Roman" w:hAnsi="Arial" w:cs="Arial"/>
                <w:color w:val="000000"/>
                <w:sz w:val="20"/>
                <w:szCs w:val="20"/>
              </w:rPr>
              <w:br/>
              <w:t>12.02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403</w:t>
            </w:r>
            <w:r w:rsidRPr="000E5D59">
              <w:rPr>
                <w:rFonts w:ascii="Arial" w:eastAsia="Times New Roman" w:hAnsi="Arial" w:cs="Arial"/>
                <w:color w:val="000000"/>
                <w:sz w:val="20"/>
                <w:szCs w:val="20"/>
              </w:rPr>
              <w:br/>
              <w:t>14.47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307</w:t>
            </w:r>
            <w:r w:rsidRPr="000E5D59">
              <w:rPr>
                <w:rFonts w:ascii="Arial" w:eastAsia="Times New Roman" w:hAnsi="Arial" w:cs="Arial"/>
                <w:color w:val="000000"/>
                <w:sz w:val="20"/>
                <w:szCs w:val="20"/>
              </w:rPr>
              <w:br/>
              <w:t>9.86</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Alcohol Dependency</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164</w:t>
            </w:r>
            <w:r w:rsidRPr="000E5D59">
              <w:rPr>
                <w:rFonts w:ascii="Arial" w:eastAsia="Times New Roman" w:hAnsi="Arial" w:cs="Arial"/>
                <w:color w:val="000000"/>
                <w:sz w:val="20"/>
                <w:szCs w:val="20"/>
              </w:rPr>
              <w:br/>
              <w:t>2.77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85</w:t>
            </w:r>
            <w:r w:rsidRPr="000E5D59">
              <w:rPr>
                <w:rFonts w:ascii="Arial" w:eastAsia="Times New Roman" w:hAnsi="Arial" w:cs="Arial"/>
                <w:color w:val="000000"/>
                <w:sz w:val="20"/>
                <w:szCs w:val="20"/>
              </w:rPr>
              <w:br/>
              <w:t>3.05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79</w:t>
            </w:r>
            <w:r w:rsidRPr="000E5D59">
              <w:rPr>
                <w:rFonts w:ascii="Arial" w:eastAsia="Times New Roman" w:hAnsi="Arial" w:cs="Arial"/>
                <w:color w:val="000000"/>
                <w:sz w:val="20"/>
                <w:szCs w:val="20"/>
              </w:rPr>
              <w:br/>
              <w:t>2.54</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Anxiety</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3559</w:t>
            </w:r>
            <w:r w:rsidRPr="000E5D59">
              <w:rPr>
                <w:rFonts w:ascii="Arial" w:eastAsia="Times New Roman" w:hAnsi="Arial" w:cs="Arial"/>
                <w:color w:val="000000"/>
                <w:sz w:val="20"/>
                <w:szCs w:val="20"/>
              </w:rPr>
              <w:br/>
              <w:t>60.16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1784</w:t>
            </w:r>
            <w:r w:rsidRPr="000E5D59">
              <w:rPr>
                <w:rFonts w:ascii="Arial" w:eastAsia="Times New Roman" w:hAnsi="Arial" w:cs="Arial"/>
                <w:color w:val="000000"/>
                <w:sz w:val="20"/>
                <w:szCs w:val="20"/>
              </w:rPr>
              <w:br/>
              <w:t>64.06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1768</w:t>
            </w:r>
            <w:r w:rsidRPr="000E5D59">
              <w:rPr>
                <w:rFonts w:ascii="Arial" w:eastAsia="Times New Roman" w:hAnsi="Arial" w:cs="Arial"/>
                <w:color w:val="000000"/>
                <w:sz w:val="20"/>
                <w:szCs w:val="20"/>
              </w:rPr>
              <w:br/>
              <w:t>56.78</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Arthritis</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1563</w:t>
            </w:r>
            <w:r w:rsidRPr="000E5D59">
              <w:rPr>
                <w:rFonts w:ascii="Arial" w:eastAsia="Times New Roman" w:hAnsi="Arial" w:cs="Arial"/>
                <w:color w:val="000000"/>
                <w:sz w:val="20"/>
                <w:szCs w:val="20"/>
              </w:rPr>
              <w:br/>
              <w:t>26.42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835</w:t>
            </w:r>
            <w:r w:rsidRPr="000E5D59">
              <w:rPr>
                <w:rFonts w:ascii="Arial" w:eastAsia="Times New Roman" w:hAnsi="Arial" w:cs="Arial"/>
                <w:color w:val="000000"/>
                <w:sz w:val="20"/>
                <w:szCs w:val="20"/>
              </w:rPr>
              <w:br/>
              <w:t>29.98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725</w:t>
            </w:r>
            <w:r w:rsidRPr="000E5D59">
              <w:rPr>
                <w:rFonts w:ascii="Arial" w:eastAsia="Times New Roman" w:hAnsi="Arial" w:cs="Arial"/>
                <w:color w:val="000000"/>
                <w:sz w:val="20"/>
                <w:szCs w:val="20"/>
              </w:rPr>
              <w:br/>
              <w:t>23.28</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Asthma</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190</w:t>
            </w:r>
            <w:r w:rsidRPr="000E5D59">
              <w:rPr>
                <w:rFonts w:ascii="Arial" w:eastAsia="Times New Roman" w:hAnsi="Arial" w:cs="Arial"/>
                <w:color w:val="000000"/>
                <w:sz w:val="20"/>
                <w:szCs w:val="20"/>
              </w:rPr>
              <w:br/>
              <w:t>3.21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111</w:t>
            </w:r>
            <w:r w:rsidRPr="000E5D59">
              <w:rPr>
                <w:rFonts w:ascii="Arial" w:eastAsia="Times New Roman" w:hAnsi="Arial" w:cs="Arial"/>
                <w:color w:val="000000"/>
                <w:sz w:val="20"/>
                <w:szCs w:val="20"/>
              </w:rPr>
              <w:br/>
              <w:t>3.99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79</w:t>
            </w:r>
            <w:r w:rsidRPr="000E5D59">
              <w:rPr>
                <w:rFonts w:ascii="Arial" w:eastAsia="Times New Roman" w:hAnsi="Arial" w:cs="Arial"/>
                <w:color w:val="000000"/>
                <w:sz w:val="20"/>
                <w:szCs w:val="20"/>
              </w:rPr>
              <w:br/>
              <w:t>2.54</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Bipolar Disorder</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336</w:t>
            </w:r>
            <w:r w:rsidRPr="000E5D59">
              <w:rPr>
                <w:rFonts w:ascii="Arial" w:eastAsia="Times New Roman" w:hAnsi="Arial" w:cs="Arial"/>
                <w:color w:val="000000"/>
                <w:sz w:val="20"/>
                <w:szCs w:val="20"/>
              </w:rPr>
              <w:br/>
              <w:t>5.68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237</w:t>
            </w:r>
            <w:r w:rsidRPr="000E5D59">
              <w:rPr>
                <w:rFonts w:ascii="Arial" w:eastAsia="Times New Roman" w:hAnsi="Arial" w:cs="Arial"/>
                <w:color w:val="000000"/>
                <w:sz w:val="20"/>
                <w:szCs w:val="20"/>
              </w:rPr>
              <w:br/>
              <w:t>8.51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97</w:t>
            </w:r>
            <w:r w:rsidRPr="000E5D59">
              <w:rPr>
                <w:rFonts w:ascii="Arial" w:eastAsia="Times New Roman" w:hAnsi="Arial" w:cs="Arial"/>
                <w:color w:val="000000"/>
                <w:sz w:val="20"/>
                <w:szCs w:val="20"/>
              </w:rPr>
              <w:br/>
              <w:t>3.11</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Bowel Distress</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562</w:t>
            </w:r>
            <w:r w:rsidRPr="000E5D59">
              <w:rPr>
                <w:rFonts w:ascii="Arial" w:eastAsia="Times New Roman" w:hAnsi="Arial" w:cs="Arial"/>
                <w:color w:val="000000"/>
                <w:sz w:val="20"/>
                <w:szCs w:val="20"/>
              </w:rPr>
              <w:br/>
              <w:t>9.50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268</w:t>
            </w:r>
            <w:r w:rsidRPr="000E5D59">
              <w:rPr>
                <w:rFonts w:ascii="Arial" w:eastAsia="Times New Roman" w:hAnsi="Arial" w:cs="Arial"/>
                <w:color w:val="000000"/>
                <w:sz w:val="20"/>
                <w:szCs w:val="20"/>
              </w:rPr>
              <w:br/>
              <w:t>9.62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292</w:t>
            </w:r>
            <w:r w:rsidRPr="000E5D59">
              <w:rPr>
                <w:rFonts w:ascii="Arial" w:eastAsia="Times New Roman" w:hAnsi="Arial" w:cs="Arial"/>
                <w:color w:val="000000"/>
                <w:sz w:val="20"/>
                <w:szCs w:val="20"/>
              </w:rPr>
              <w:br/>
              <w:t>9.38</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Cancer</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331</w:t>
            </w:r>
            <w:r w:rsidRPr="000E5D59">
              <w:rPr>
                <w:rFonts w:ascii="Arial" w:eastAsia="Times New Roman" w:hAnsi="Arial" w:cs="Arial"/>
                <w:color w:val="000000"/>
                <w:sz w:val="20"/>
                <w:szCs w:val="20"/>
              </w:rPr>
              <w:br/>
              <w:t>5.59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139</w:t>
            </w:r>
            <w:r w:rsidRPr="000E5D59">
              <w:rPr>
                <w:rFonts w:ascii="Arial" w:eastAsia="Times New Roman" w:hAnsi="Arial" w:cs="Arial"/>
                <w:color w:val="000000"/>
                <w:sz w:val="20"/>
                <w:szCs w:val="20"/>
              </w:rPr>
              <w:br/>
              <w:t>4.99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191</w:t>
            </w:r>
            <w:r w:rsidRPr="000E5D59">
              <w:rPr>
                <w:rFonts w:ascii="Arial" w:eastAsia="Times New Roman" w:hAnsi="Arial" w:cs="Arial"/>
                <w:color w:val="000000"/>
                <w:sz w:val="20"/>
                <w:szCs w:val="20"/>
              </w:rPr>
              <w:br/>
              <w:t>6.13</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Carpal Tunnel</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214</w:t>
            </w:r>
            <w:r w:rsidRPr="000E5D59">
              <w:rPr>
                <w:rFonts w:ascii="Arial" w:eastAsia="Times New Roman" w:hAnsi="Arial" w:cs="Arial"/>
                <w:color w:val="000000"/>
                <w:sz w:val="20"/>
                <w:szCs w:val="20"/>
              </w:rPr>
              <w:br/>
              <w:t>3.62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138</w:t>
            </w:r>
            <w:r w:rsidRPr="000E5D59">
              <w:rPr>
                <w:rFonts w:ascii="Arial" w:eastAsia="Times New Roman" w:hAnsi="Arial" w:cs="Arial"/>
                <w:color w:val="000000"/>
                <w:sz w:val="20"/>
                <w:szCs w:val="20"/>
              </w:rPr>
              <w:br/>
              <w:t>4.96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76</w:t>
            </w:r>
            <w:r w:rsidRPr="000E5D59">
              <w:rPr>
                <w:rFonts w:ascii="Arial" w:eastAsia="Times New Roman" w:hAnsi="Arial" w:cs="Arial"/>
                <w:color w:val="000000"/>
                <w:sz w:val="20"/>
                <w:szCs w:val="20"/>
              </w:rPr>
              <w:br/>
              <w:t>2.44</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Chronic Pain</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2749</w:t>
            </w:r>
            <w:r w:rsidRPr="000E5D59">
              <w:rPr>
                <w:rFonts w:ascii="Arial" w:eastAsia="Times New Roman" w:hAnsi="Arial" w:cs="Arial"/>
                <w:color w:val="000000"/>
                <w:sz w:val="20"/>
                <w:szCs w:val="20"/>
              </w:rPr>
              <w:br/>
              <w:t>46.47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1460</w:t>
            </w:r>
            <w:r w:rsidRPr="000E5D59">
              <w:rPr>
                <w:rFonts w:ascii="Arial" w:eastAsia="Times New Roman" w:hAnsi="Arial" w:cs="Arial"/>
                <w:color w:val="000000"/>
                <w:sz w:val="20"/>
                <w:szCs w:val="20"/>
              </w:rPr>
              <w:br/>
              <w:t>52.42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1284</w:t>
            </w:r>
            <w:r w:rsidRPr="000E5D59">
              <w:rPr>
                <w:rFonts w:ascii="Arial" w:eastAsia="Times New Roman" w:hAnsi="Arial" w:cs="Arial"/>
                <w:color w:val="000000"/>
                <w:sz w:val="20"/>
                <w:szCs w:val="20"/>
              </w:rPr>
              <w:br/>
              <w:t>41.23</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Crohn's Disease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159</w:t>
            </w:r>
            <w:r w:rsidRPr="000E5D59">
              <w:rPr>
                <w:rFonts w:ascii="Arial" w:eastAsia="Times New Roman" w:hAnsi="Arial" w:cs="Arial"/>
                <w:color w:val="000000"/>
                <w:sz w:val="20"/>
                <w:szCs w:val="20"/>
              </w:rPr>
              <w:br/>
              <w:t>2.69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64</w:t>
            </w:r>
            <w:r w:rsidRPr="000E5D59">
              <w:rPr>
                <w:rFonts w:ascii="Arial" w:eastAsia="Times New Roman" w:hAnsi="Arial" w:cs="Arial"/>
                <w:color w:val="000000"/>
                <w:sz w:val="20"/>
                <w:szCs w:val="20"/>
              </w:rPr>
              <w:br/>
              <w:t>2.30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95</w:t>
            </w:r>
            <w:r w:rsidRPr="000E5D59">
              <w:rPr>
                <w:rFonts w:ascii="Arial" w:eastAsia="Times New Roman" w:hAnsi="Arial" w:cs="Arial"/>
                <w:color w:val="000000"/>
                <w:sz w:val="20"/>
                <w:szCs w:val="20"/>
              </w:rPr>
              <w:br/>
              <w:t>3.05</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Depression</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2463</w:t>
            </w:r>
            <w:r w:rsidRPr="000E5D59">
              <w:rPr>
                <w:rFonts w:ascii="Arial" w:eastAsia="Times New Roman" w:hAnsi="Arial" w:cs="Arial"/>
                <w:color w:val="000000"/>
                <w:sz w:val="20"/>
                <w:szCs w:val="20"/>
              </w:rPr>
              <w:br/>
              <w:t>41.63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1327</w:t>
            </w:r>
            <w:r w:rsidRPr="000E5D59">
              <w:rPr>
                <w:rFonts w:ascii="Arial" w:eastAsia="Times New Roman" w:hAnsi="Arial" w:cs="Arial"/>
                <w:color w:val="000000"/>
                <w:sz w:val="20"/>
                <w:szCs w:val="20"/>
              </w:rPr>
              <w:br/>
              <w:t>47.65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1128</w:t>
            </w:r>
            <w:r w:rsidRPr="000E5D59">
              <w:rPr>
                <w:rFonts w:ascii="Arial" w:eastAsia="Times New Roman" w:hAnsi="Arial" w:cs="Arial"/>
                <w:color w:val="000000"/>
                <w:sz w:val="20"/>
                <w:szCs w:val="20"/>
              </w:rPr>
              <w:br/>
              <w:t>36.22</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Diabetes</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216</w:t>
            </w:r>
            <w:r w:rsidRPr="000E5D59">
              <w:rPr>
                <w:rFonts w:ascii="Arial" w:eastAsia="Times New Roman" w:hAnsi="Arial" w:cs="Arial"/>
                <w:color w:val="000000"/>
                <w:sz w:val="20"/>
                <w:szCs w:val="20"/>
              </w:rPr>
              <w:br/>
              <w:t>3.65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131</w:t>
            </w:r>
            <w:r w:rsidRPr="000E5D59">
              <w:rPr>
                <w:rFonts w:ascii="Arial" w:eastAsia="Times New Roman" w:hAnsi="Arial" w:cs="Arial"/>
                <w:color w:val="000000"/>
                <w:sz w:val="20"/>
                <w:szCs w:val="20"/>
              </w:rPr>
              <w:br/>
              <w:t>4.70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84</w:t>
            </w:r>
            <w:r w:rsidRPr="000E5D59">
              <w:rPr>
                <w:rFonts w:ascii="Arial" w:eastAsia="Times New Roman" w:hAnsi="Arial" w:cs="Arial"/>
                <w:color w:val="000000"/>
                <w:sz w:val="20"/>
                <w:szCs w:val="20"/>
              </w:rPr>
              <w:br/>
              <w:t>2.70</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Fibromyalgia</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444</w:t>
            </w:r>
            <w:r w:rsidRPr="000E5D59">
              <w:rPr>
                <w:rFonts w:ascii="Arial" w:eastAsia="Times New Roman" w:hAnsi="Arial" w:cs="Arial"/>
                <w:color w:val="000000"/>
                <w:sz w:val="20"/>
                <w:szCs w:val="20"/>
              </w:rPr>
              <w:br/>
              <w:t>7.51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278</w:t>
            </w:r>
            <w:r w:rsidRPr="000E5D59">
              <w:rPr>
                <w:rFonts w:ascii="Arial" w:eastAsia="Times New Roman" w:hAnsi="Arial" w:cs="Arial"/>
                <w:color w:val="000000"/>
                <w:sz w:val="20"/>
                <w:szCs w:val="20"/>
              </w:rPr>
              <w:br/>
              <w:t>9.98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163</w:t>
            </w:r>
            <w:r w:rsidRPr="000E5D59">
              <w:rPr>
                <w:rFonts w:ascii="Arial" w:eastAsia="Times New Roman" w:hAnsi="Arial" w:cs="Arial"/>
                <w:color w:val="000000"/>
                <w:sz w:val="20"/>
                <w:szCs w:val="20"/>
              </w:rPr>
              <w:br/>
              <w:t>5.23</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Glaucoma</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143</w:t>
            </w:r>
            <w:r w:rsidRPr="000E5D59">
              <w:rPr>
                <w:rFonts w:ascii="Arial" w:eastAsia="Times New Roman" w:hAnsi="Arial" w:cs="Arial"/>
                <w:color w:val="000000"/>
                <w:sz w:val="20"/>
                <w:szCs w:val="20"/>
              </w:rPr>
              <w:br/>
              <w:t>2.42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68</w:t>
            </w:r>
            <w:r w:rsidRPr="000E5D59">
              <w:rPr>
                <w:rFonts w:ascii="Arial" w:eastAsia="Times New Roman" w:hAnsi="Arial" w:cs="Arial"/>
                <w:color w:val="000000"/>
                <w:sz w:val="20"/>
                <w:szCs w:val="20"/>
              </w:rPr>
              <w:br/>
              <w:t>2.44</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75</w:t>
            </w:r>
            <w:r w:rsidRPr="000E5D59">
              <w:rPr>
                <w:rFonts w:ascii="Arial" w:eastAsia="Times New Roman" w:hAnsi="Arial" w:cs="Arial"/>
                <w:color w:val="000000"/>
                <w:sz w:val="20"/>
                <w:szCs w:val="20"/>
              </w:rPr>
              <w:br/>
              <w:t>2.41</w:t>
            </w:r>
          </w:p>
        </w:tc>
        <w:tc>
          <w:tcPr>
            <w:tcW w:w="108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color w:val="000000"/>
                <w:sz w:val="20"/>
                <w:szCs w:val="20"/>
              </w:rPr>
            </w:pPr>
            <w:r w:rsidRPr="000E5D59">
              <w:rPr>
                <w:rFonts w:ascii="Arial" w:eastAsia="Times New Roman" w:hAnsi="Arial" w:cs="Arial"/>
                <w:color w:val="000000"/>
                <w:sz w:val="20"/>
                <w:szCs w:val="20"/>
              </w:rPr>
              <w:t>ns</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i/>
                <w:iCs/>
                <w:color w:val="000000"/>
                <w:sz w:val="20"/>
                <w:szCs w:val="20"/>
              </w:rPr>
            </w:pPr>
            <w:r w:rsidRPr="000E5D59">
              <w:rPr>
                <w:rFonts w:ascii="Arial" w:eastAsia="Times New Roman" w:hAnsi="Arial" w:cs="Arial"/>
                <w:b/>
                <w:bCs/>
                <w:color w:val="000000"/>
                <w:sz w:val="20"/>
                <w:szCs w:val="20"/>
              </w:rPr>
              <w:t>†</w:t>
            </w:r>
            <w:r w:rsidRPr="000E5D59">
              <w:rPr>
                <w:rFonts w:ascii="Arial" w:eastAsia="Times New Roman" w:hAnsi="Arial" w:cs="Arial"/>
                <w:color w:val="000000"/>
                <w:sz w:val="20"/>
                <w:szCs w:val="20"/>
              </w:rPr>
              <w:t xml:space="preserve"> </w:t>
            </w:r>
            <w:r w:rsidRPr="000E5D59">
              <w:rPr>
                <w:rFonts w:ascii="Arial" w:eastAsia="Times New Roman" w:hAnsi="Arial" w:cs="Arial"/>
                <w:i/>
                <w:iCs/>
                <w:color w:val="000000"/>
                <w:sz w:val="20"/>
                <w:szCs w:val="20"/>
              </w:rPr>
              <w:t>Among respondents indicating medical use of marijuana or marijuana products (certified or uncertified)</w:t>
            </w:r>
            <w:r w:rsidRPr="000E5D59">
              <w:rPr>
                <w:rFonts w:ascii="Arial" w:eastAsia="Times New Roman" w:hAnsi="Arial" w:cs="Arial"/>
                <w:i/>
                <w:iCs/>
                <w:color w:val="000000"/>
                <w:sz w:val="20"/>
                <w:szCs w:val="20"/>
              </w:rPr>
              <w:br/>
            </w:r>
            <w:r w:rsidRPr="000E5D59">
              <w:rPr>
                <w:rFonts w:ascii="Arial" w:eastAsia="Times New Roman" w:hAnsi="Arial" w:cs="Arial"/>
                <w:b/>
                <w:bCs/>
                <w:color w:val="000000"/>
                <w:sz w:val="20"/>
                <w:szCs w:val="20"/>
              </w:rPr>
              <w:t>‡</w:t>
            </w:r>
            <w:r w:rsidRPr="000E5D59">
              <w:rPr>
                <w:rFonts w:ascii="Arial" w:eastAsia="Times New Roman" w:hAnsi="Arial" w:cs="Arial"/>
                <w:i/>
                <w:iCs/>
                <w:color w:val="000000"/>
                <w:sz w:val="20"/>
                <w:szCs w:val="20"/>
              </w:rPr>
              <w:t xml:space="preserve"> Percentages sum to more than 100% because respondents could choose more than one option</w:t>
            </w:r>
          </w:p>
          <w:p w:rsidR="000E5D59" w:rsidRPr="000E5D59" w:rsidRDefault="000E5D59" w:rsidP="006057BE">
            <w:pPr>
              <w:spacing w:after="0" w:line="240" w:lineRule="auto"/>
              <w:rPr>
                <w:rFonts w:ascii="Arial" w:eastAsia="Times New Roman" w:hAnsi="Arial" w:cs="Arial"/>
                <w:color w:val="000000"/>
                <w:sz w:val="20"/>
                <w:szCs w:val="20"/>
              </w:rPr>
            </w:pPr>
            <w:r w:rsidRPr="000E5D59">
              <w:rPr>
                <w:rFonts w:ascii="Arial" w:eastAsia="Times New Roman" w:hAnsi="Arial" w:cs="Arial"/>
                <w:i/>
                <w:iCs/>
                <w:color w:val="000000"/>
                <w:sz w:val="20"/>
                <w:szCs w:val="20"/>
              </w:rPr>
              <w:t>*p&lt;0.05; **p&lt;0.01; ***p&lt;0.001; ****p&lt;0.0001; ns=not significant</w:t>
            </w:r>
          </w:p>
        </w:tc>
      </w:tr>
    </w:tbl>
    <w:p w:rsidR="000E5D59" w:rsidRPr="000E5D59" w:rsidRDefault="000E5D59" w:rsidP="006057BE">
      <w:pPr>
        <w:spacing w:after="0" w:line="240" w:lineRule="auto"/>
        <w:rPr>
          <w:rFonts w:ascii="Calibri" w:eastAsia="Calibri" w:hAnsi="Calibri" w:cs="Times New Roman"/>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(Continued) Table 4C: DPH Patient Survey Medical Use of Marijuana and Marijuana Product Use, Medical Co</w:t>
      </w:r>
      <w:r w:rsidR="000941B7">
        <w:rPr>
          <w:rFonts w:ascii="Arial" w:eastAsia="Calibri" w:hAnsi="Arial" w:cs="Arial"/>
          <w:b/>
          <w:sz w:val="24"/>
          <w:szCs w:val="24"/>
        </w:rPr>
        <w:t xml:space="preserve">nditions Treated by Education </w:t>
      </w:r>
    </w:p>
    <w:tbl>
      <w:tblPr>
        <w:tblW w:w="0" w:type="auto"/>
        <w:tblInd w:w="93" w:type="dxa"/>
        <w:tblLook w:val="04A0" w:firstRow="1" w:lastRow="0" w:firstColumn="1" w:lastColumn="0" w:noHBand="0" w:noVBand="1"/>
        <w:tblCaption w:val="Continued: DPH Patient Survey Medical Use of Marijuana and Marijuana Product Use, Medical Conditions Treated by Education "/>
        <w:tblDescription w:val="This table is a continuation of the table from the previous page (the complete table did not fit on a single page). Respondents with a Bachelor’s degree did not report using marijuana or marijuana products to treat any of the medical conditions at higher rates than respondents without a Bachelor’s degree. Respondents without a Bachelor’s degree reported using marijuana or marijuana products at higher rates than respondents with a Bachelor’s degree to treat ADHD, anxiety, arthritis, bipolar disorder, carpal tunnel, chronic pain, depression, diabetes, fibromyalgia, headaches/migraines, loss of appetite, muscle spasms, nausea, OCD, opioid use, PTSD, seizures, sleep apnea, and stress."/>
      </w:tblPr>
      <w:tblGrid>
        <w:gridCol w:w="4155"/>
        <w:gridCol w:w="990"/>
        <w:gridCol w:w="1620"/>
        <w:gridCol w:w="1620"/>
        <w:gridCol w:w="1080"/>
      </w:tblGrid>
      <w:tr w:rsidR="000E5D59" w:rsidRPr="000E5D59" w:rsidTr="00784755">
        <w:trPr>
          <w:trHeight w:val="20"/>
        </w:trPr>
        <w:tc>
          <w:tcPr>
            <w:tcW w:w="415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9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32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15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9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(N=2871)</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(N=3223)</w:t>
            </w:r>
          </w:p>
        </w:tc>
        <w:tc>
          <w:tcPr>
            <w:tcW w:w="108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Medical condition (s) for which respondent uses marijuana or marijuana products †‡ </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5916</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Headaches/Migraines</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1185</w:t>
            </w:r>
            <w:r w:rsidRPr="000E5D59">
              <w:rPr>
                <w:rFonts w:ascii="Arial" w:eastAsia="Times New Roman" w:hAnsi="Arial" w:cs="Arial"/>
                <w:sz w:val="20"/>
                <w:szCs w:val="20"/>
              </w:rPr>
              <w:br/>
              <w:t>20.03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669</w:t>
            </w:r>
            <w:r w:rsidRPr="000E5D59">
              <w:rPr>
                <w:rFonts w:ascii="Arial" w:eastAsia="Times New Roman" w:hAnsi="Arial" w:cs="Arial"/>
                <w:sz w:val="20"/>
                <w:szCs w:val="20"/>
              </w:rPr>
              <w:br/>
              <w:t>24.02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510</w:t>
            </w:r>
            <w:r w:rsidRPr="000E5D59">
              <w:rPr>
                <w:rFonts w:ascii="Arial" w:eastAsia="Times New Roman" w:hAnsi="Arial" w:cs="Arial"/>
                <w:sz w:val="20"/>
                <w:szCs w:val="20"/>
              </w:rPr>
              <w:br/>
              <w:t>16.38</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Hepatitis C</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0.95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w:t>
            </w:r>
            <w:r w:rsidRPr="000E5D59">
              <w:rPr>
                <w:rFonts w:ascii="Arial" w:eastAsia="Times New Roman" w:hAnsi="Arial" w:cs="Arial"/>
                <w:sz w:val="20"/>
                <w:szCs w:val="20"/>
              </w:rPr>
              <w:br/>
              <w:t>1.33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w:t>
            </w:r>
            <w:r w:rsidRPr="000E5D59">
              <w:rPr>
                <w:rFonts w:ascii="Arial" w:eastAsia="Times New Roman" w:hAnsi="Arial" w:cs="Arial"/>
                <w:sz w:val="20"/>
                <w:szCs w:val="20"/>
              </w:rPr>
              <w:br/>
              <w:t>0.58</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HIV/AIDS</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w:t>
            </w:r>
            <w:r w:rsidRPr="000E5D59">
              <w:rPr>
                <w:rFonts w:ascii="Arial" w:eastAsia="Times New Roman" w:hAnsi="Arial" w:cs="Arial"/>
                <w:sz w:val="20"/>
                <w:szCs w:val="20"/>
              </w:rPr>
              <w:br/>
              <w:t>0.73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w:t>
            </w:r>
            <w:r w:rsidRPr="000E5D59">
              <w:rPr>
                <w:rFonts w:ascii="Arial" w:eastAsia="Times New Roman" w:hAnsi="Arial" w:cs="Arial"/>
                <w:sz w:val="20"/>
                <w:szCs w:val="20"/>
              </w:rPr>
              <w:br/>
              <w:t>0.97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w:t>
            </w:r>
            <w:r w:rsidRPr="000E5D59">
              <w:rPr>
                <w:rFonts w:ascii="Arial" w:eastAsia="Times New Roman" w:hAnsi="Arial" w:cs="Arial"/>
                <w:sz w:val="20"/>
                <w:szCs w:val="20"/>
              </w:rPr>
              <w:br/>
              <w:t>0.51</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Huntington's Disease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0.03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0.04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0.03</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Hypertension</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318</w:t>
            </w:r>
            <w:r w:rsidRPr="000E5D59">
              <w:rPr>
                <w:rFonts w:ascii="Arial" w:eastAsia="Times New Roman" w:hAnsi="Arial" w:cs="Arial"/>
                <w:sz w:val="20"/>
                <w:szCs w:val="20"/>
              </w:rPr>
              <w:br/>
              <w:t>5.38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180</w:t>
            </w:r>
            <w:r w:rsidRPr="000E5D59">
              <w:rPr>
                <w:rFonts w:ascii="Arial" w:eastAsia="Times New Roman" w:hAnsi="Arial" w:cs="Arial"/>
                <w:sz w:val="20"/>
                <w:szCs w:val="20"/>
              </w:rPr>
              <w:br/>
              <w:t>6.46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137</w:t>
            </w:r>
            <w:r w:rsidRPr="000E5D59">
              <w:rPr>
                <w:rFonts w:ascii="Arial" w:eastAsia="Times New Roman" w:hAnsi="Arial" w:cs="Arial"/>
                <w:sz w:val="20"/>
                <w:szCs w:val="20"/>
              </w:rPr>
              <w:br/>
              <w:t>4.40</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Insomnia</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2524</w:t>
            </w:r>
            <w:r w:rsidRPr="000E5D59">
              <w:rPr>
                <w:rFonts w:ascii="Arial" w:eastAsia="Times New Roman" w:hAnsi="Arial" w:cs="Arial"/>
                <w:sz w:val="20"/>
                <w:szCs w:val="20"/>
              </w:rPr>
              <w:br/>
              <w:t>42.66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1213</w:t>
            </w:r>
            <w:r w:rsidRPr="000E5D59">
              <w:rPr>
                <w:rFonts w:ascii="Arial" w:eastAsia="Times New Roman" w:hAnsi="Arial" w:cs="Arial"/>
                <w:sz w:val="20"/>
                <w:szCs w:val="20"/>
              </w:rPr>
              <w:br/>
              <w:t>43.55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1304</w:t>
            </w:r>
            <w:r w:rsidRPr="000E5D59">
              <w:rPr>
                <w:rFonts w:ascii="Arial" w:eastAsia="Times New Roman" w:hAnsi="Arial" w:cs="Arial"/>
                <w:sz w:val="20"/>
                <w:szCs w:val="20"/>
              </w:rPr>
              <w:br/>
              <w:t>41.88</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Loss of Appetite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744</w:t>
            </w:r>
            <w:r w:rsidRPr="000E5D59">
              <w:rPr>
                <w:rFonts w:ascii="Arial" w:eastAsia="Times New Roman" w:hAnsi="Arial" w:cs="Arial"/>
                <w:sz w:val="20"/>
                <w:szCs w:val="20"/>
              </w:rPr>
              <w:br/>
              <w:t>12.58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438</w:t>
            </w:r>
            <w:r w:rsidRPr="000E5D59">
              <w:rPr>
                <w:rFonts w:ascii="Arial" w:eastAsia="Times New Roman" w:hAnsi="Arial" w:cs="Arial"/>
                <w:sz w:val="20"/>
                <w:szCs w:val="20"/>
              </w:rPr>
              <w:br/>
              <w:t>15.73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302</w:t>
            </w:r>
            <w:r w:rsidRPr="000E5D59">
              <w:rPr>
                <w:rFonts w:ascii="Arial" w:eastAsia="Times New Roman" w:hAnsi="Arial" w:cs="Arial"/>
                <w:sz w:val="20"/>
                <w:szCs w:val="20"/>
              </w:rPr>
              <w:br/>
              <w:t>9.70</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Sclerosis</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140</w:t>
            </w:r>
            <w:r w:rsidRPr="000E5D59">
              <w:rPr>
                <w:rFonts w:ascii="Arial" w:eastAsia="Times New Roman" w:hAnsi="Arial" w:cs="Arial"/>
                <w:sz w:val="20"/>
                <w:szCs w:val="20"/>
              </w:rPr>
              <w:br/>
              <w:t>2.37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68</w:t>
            </w:r>
            <w:r w:rsidRPr="000E5D59">
              <w:rPr>
                <w:rFonts w:ascii="Arial" w:eastAsia="Times New Roman" w:hAnsi="Arial" w:cs="Arial"/>
                <w:sz w:val="20"/>
                <w:szCs w:val="20"/>
              </w:rPr>
              <w:br/>
              <w:t>2.44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72</w:t>
            </w:r>
            <w:r w:rsidRPr="000E5D59">
              <w:rPr>
                <w:rFonts w:ascii="Arial" w:eastAsia="Times New Roman" w:hAnsi="Arial" w:cs="Arial"/>
                <w:sz w:val="20"/>
                <w:szCs w:val="20"/>
              </w:rPr>
              <w:br/>
              <w:t>2.31</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Muscle Spasms</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1050</w:t>
            </w:r>
            <w:r w:rsidRPr="000E5D59">
              <w:rPr>
                <w:rFonts w:ascii="Arial" w:eastAsia="Times New Roman" w:hAnsi="Arial" w:cs="Arial"/>
                <w:sz w:val="20"/>
                <w:szCs w:val="20"/>
              </w:rPr>
              <w:br/>
              <w:t>17.75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617</w:t>
            </w:r>
            <w:r w:rsidRPr="000E5D59">
              <w:rPr>
                <w:rFonts w:ascii="Arial" w:eastAsia="Times New Roman" w:hAnsi="Arial" w:cs="Arial"/>
                <w:sz w:val="20"/>
                <w:szCs w:val="20"/>
              </w:rPr>
              <w:br/>
              <w:t>22.15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428</w:t>
            </w:r>
            <w:r w:rsidRPr="000E5D59">
              <w:rPr>
                <w:rFonts w:ascii="Arial" w:eastAsia="Times New Roman" w:hAnsi="Arial" w:cs="Arial"/>
                <w:sz w:val="20"/>
                <w:szCs w:val="20"/>
              </w:rPr>
              <w:br/>
              <w:t>13.74</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Muscular Dystrophy</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0.25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0.36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0.16</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Nausea</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955</w:t>
            </w:r>
            <w:r w:rsidRPr="000E5D59">
              <w:rPr>
                <w:rFonts w:ascii="Arial" w:eastAsia="Times New Roman" w:hAnsi="Arial" w:cs="Arial"/>
                <w:sz w:val="20"/>
                <w:szCs w:val="20"/>
              </w:rPr>
              <w:br/>
              <w:t>16.14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514</w:t>
            </w:r>
            <w:r w:rsidRPr="000E5D59">
              <w:rPr>
                <w:rFonts w:ascii="Arial" w:eastAsia="Times New Roman" w:hAnsi="Arial" w:cs="Arial"/>
                <w:sz w:val="20"/>
                <w:szCs w:val="20"/>
              </w:rPr>
              <w:br/>
              <w:t>18.46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436</w:t>
            </w:r>
            <w:r w:rsidRPr="000E5D59">
              <w:rPr>
                <w:rFonts w:ascii="Arial" w:eastAsia="Times New Roman" w:hAnsi="Arial" w:cs="Arial"/>
                <w:sz w:val="20"/>
                <w:szCs w:val="20"/>
              </w:rPr>
              <w:br/>
              <w:t>14.00</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Neuropathy</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611</w:t>
            </w:r>
            <w:r w:rsidRPr="000E5D59">
              <w:rPr>
                <w:rFonts w:ascii="Arial" w:eastAsia="Times New Roman" w:hAnsi="Arial" w:cs="Arial"/>
                <w:sz w:val="20"/>
                <w:szCs w:val="20"/>
              </w:rPr>
              <w:br/>
              <w:t>10.33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325</w:t>
            </w:r>
            <w:r w:rsidRPr="000E5D59">
              <w:rPr>
                <w:rFonts w:ascii="Arial" w:eastAsia="Times New Roman" w:hAnsi="Arial" w:cs="Arial"/>
                <w:sz w:val="20"/>
                <w:szCs w:val="20"/>
              </w:rPr>
              <w:br/>
              <w:t>11.67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282</w:t>
            </w:r>
            <w:r w:rsidRPr="000E5D59">
              <w:rPr>
                <w:rFonts w:ascii="Arial" w:eastAsia="Times New Roman" w:hAnsi="Arial" w:cs="Arial"/>
                <w:sz w:val="20"/>
                <w:szCs w:val="20"/>
              </w:rPr>
              <w:br/>
              <w:t>9.06</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OCD</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276</w:t>
            </w:r>
            <w:r w:rsidRPr="000E5D59">
              <w:rPr>
                <w:rFonts w:ascii="Arial" w:eastAsia="Times New Roman" w:hAnsi="Arial" w:cs="Arial"/>
                <w:sz w:val="20"/>
                <w:szCs w:val="20"/>
              </w:rPr>
              <w:br/>
              <w:t>4.67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165</w:t>
            </w:r>
            <w:r w:rsidRPr="000E5D59">
              <w:rPr>
                <w:rFonts w:ascii="Arial" w:eastAsia="Times New Roman" w:hAnsi="Arial" w:cs="Arial"/>
                <w:sz w:val="20"/>
                <w:szCs w:val="20"/>
              </w:rPr>
              <w:br/>
              <w:t>5.92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111</w:t>
            </w:r>
            <w:r w:rsidRPr="000E5D59">
              <w:rPr>
                <w:rFonts w:ascii="Arial" w:eastAsia="Times New Roman" w:hAnsi="Arial" w:cs="Arial"/>
                <w:sz w:val="20"/>
                <w:szCs w:val="20"/>
              </w:rPr>
              <w:br/>
              <w:t>3.56</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Opioid Use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133</w:t>
            </w:r>
            <w:r w:rsidRPr="000E5D59">
              <w:rPr>
                <w:rFonts w:ascii="Arial" w:eastAsia="Times New Roman" w:hAnsi="Arial" w:cs="Arial"/>
                <w:sz w:val="20"/>
                <w:szCs w:val="20"/>
              </w:rPr>
              <w:br/>
              <w:t>2.25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98</w:t>
            </w:r>
            <w:r w:rsidRPr="000E5D59">
              <w:rPr>
                <w:rFonts w:ascii="Arial" w:eastAsia="Times New Roman" w:hAnsi="Arial" w:cs="Arial"/>
                <w:sz w:val="20"/>
                <w:szCs w:val="20"/>
              </w:rPr>
              <w:br/>
              <w:t>3.52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w:t>
            </w:r>
            <w:r w:rsidRPr="000E5D59">
              <w:rPr>
                <w:rFonts w:ascii="Arial" w:eastAsia="Times New Roman" w:hAnsi="Arial" w:cs="Arial"/>
                <w:sz w:val="20"/>
                <w:szCs w:val="20"/>
              </w:rPr>
              <w:br/>
              <w:t>1.12</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Osteoarthritis</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466</w:t>
            </w:r>
            <w:r w:rsidRPr="000E5D59">
              <w:rPr>
                <w:rFonts w:ascii="Arial" w:eastAsia="Times New Roman" w:hAnsi="Arial" w:cs="Arial"/>
                <w:sz w:val="20"/>
                <w:szCs w:val="20"/>
              </w:rPr>
              <w:br/>
              <w:t>7.88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221</w:t>
            </w:r>
            <w:r w:rsidRPr="000E5D59">
              <w:rPr>
                <w:rFonts w:ascii="Arial" w:eastAsia="Times New Roman" w:hAnsi="Arial" w:cs="Arial"/>
                <w:sz w:val="20"/>
                <w:szCs w:val="20"/>
              </w:rPr>
              <w:br/>
              <w:t>7.94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244</w:t>
            </w:r>
            <w:r w:rsidRPr="000E5D59">
              <w:rPr>
                <w:rFonts w:ascii="Arial" w:eastAsia="Times New Roman" w:hAnsi="Arial" w:cs="Arial"/>
                <w:sz w:val="20"/>
                <w:szCs w:val="20"/>
              </w:rPr>
              <w:br/>
              <w:t>7.84</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PTSD</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1005</w:t>
            </w:r>
            <w:r w:rsidRPr="000E5D59">
              <w:rPr>
                <w:rFonts w:ascii="Arial" w:eastAsia="Times New Roman" w:hAnsi="Arial" w:cs="Arial"/>
                <w:sz w:val="20"/>
                <w:szCs w:val="20"/>
              </w:rPr>
              <w:br/>
              <w:t>16.99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626</w:t>
            </w:r>
            <w:r w:rsidRPr="000E5D59">
              <w:rPr>
                <w:rFonts w:ascii="Arial" w:eastAsia="Times New Roman" w:hAnsi="Arial" w:cs="Arial"/>
                <w:sz w:val="20"/>
                <w:szCs w:val="20"/>
              </w:rPr>
              <w:br/>
              <w:t>22.48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377</w:t>
            </w:r>
            <w:r w:rsidRPr="000E5D59">
              <w:rPr>
                <w:rFonts w:ascii="Arial" w:eastAsia="Times New Roman" w:hAnsi="Arial" w:cs="Arial"/>
                <w:sz w:val="20"/>
                <w:szCs w:val="20"/>
              </w:rPr>
              <w:br/>
              <w:t>12.11</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Schizophrenia</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0.29</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w:t>
            </w:r>
            <w:r w:rsidRPr="000E5D59">
              <w:rPr>
                <w:rFonts w:ascii="Arial" w:eastAsia="Times New Roman" w:hAnsi="Arial" w:cs="Arial"/>
                <w:sz w:val="20"/>
                <w:szCs w:val="20"/>
              </w:rPr>
              <w:br/>
              <w:t>0.50</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0.10</w:t>
            </w:r>
          </w:p>
        </w:tc>
        <w:tc>
          <w:tcPr>
            <w:tcW w:w="108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i/>
                <w:i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indicating medical use of marijuana or marijuana products (certified or uncertified)</w:t>
            </w:r>
            <w:r w:rsidRPr="000E5D59">
              <w:rPr>
                <w:rFonts w:ascii="Arial" w:eastAsia="Times New Roman" w:hAnsi="Arial" w:cs="Arial"/>
                <w:i/>
                <w:iCs/>
                <w:sz w:val="20"/>
                <w:szCs w:val="20"/>
              </w:rPr>
              <w:br/>
            </w:r>
            <w:r w:rsidRPr="000E5D59">
              <w:rPr>
                <w:rFonts w:ascii="Arial" w:eastAsia="Times New Roman" w:hAnsi="Arial" w:cs="Arial"/>
                <w:b/>
                <w:bCs/>
                <w:sz w:val="20"/>
                <w:szCs w:val="20"/>
              </w:rPr>
              <w:t>‡</w:t>
            </w:r>
            <w:r w:rsidRPr="000E5D59">
              <w:rPr>
                <w:rFonts w:ascii="Arial" w:eastAsia="Times New Roman" w:hAnsi="Arial" w:cs="Arial"/>
                <w:i/>
                <w:iCs/>
                <w:sz w:val="20"/>
                <w:szCs w:val="20"/>
              </w:rPr>
              <w:t xml:space="preserve"> Percentages sum to more than 100% because respondents could choose more than one option</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(Continued) Table 4C: DPH Patient Survey Medical Use of Marijuana and Marijuana Product Use, Medical C</w:t>
      </w:r>
      <w:r w:rsidR="000941B7">
        <w:rPr>
          <w:rFonts w:ascii="Arial" w:eastAsia="Calibri" w:hAnsi="Arial" w:cs="Arial"/>
          <w:b/>
          <w:sz w:val="24"/>
          <w:szCs w:val="24"/>
        </w:rPr>
        <w:t xml:space="preserve">onditions Treated by Education </w:t>
      </w:r>
    </w:p>
    <w:tbl>
      <w:tblPr>
        <w:tblW w:w="0" w:type="auto"/>
        <w:tblInd w:w="93" w:type="dxa"/>
        <w:tblLook w:val="04A0" w:firstRow="1" w:lastRow="0" w:firstColumn="1" w:lastColumn="0" w:noHBand="0" w:noVBand="1"/>
        <w:tblCaption w:val="Continued: DPH Patient Survey Medical Use of Marijuana and Marijuana Product Use, Medical Conditions Treated by Education"/>
        <w:tblDescription w:val="This table is a continuation of the table from the previous page (the complete table did not fit on a single page). Respondents with a Bachelor’s degree did not report using marijuana or marijuana products to treat any of the medical conditions at higher rates than respondents without a Bachelor’s degree. Respondents without a Bachelor’s degree reported using marijuana or marijuana products at higher rates than respondents with a Bachelor’s degree to treat ADHD, anxiety, arthritis, bipolar disorder, carpal tunnel, chronic pain, depression, diabetes, fibromyalgia, headaches/migraines, loss of appetite, muscle spasms, nausea, OCD, opioid use, PTSD, seizures, sleep apnea, and stress."/>
      </w:tblPr>
      <w:tblGrid>
        <w:gridCol w:w="4155"/>
        <w:gridCol w:w="1170"/>
        <w:gridCol w:w="1530"/>
        <w:gridCol w:w="1440"/>
        <w:gridCol w:w="1170"/>
      </w:tblGrid>
      <w:tr w:rsidR="000E5D59" w:rsidRPr="000E5D59" w:rsidTr="00784755">
        <w:trPr>
          <w:trHeight w:val="20"/>
        </w:trPr>
        <w:tc>
          <w:tcPr>
            <w:tcW w:w="415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17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15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17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3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(N=2871)</w:t>
            </w:r>
          </w:p>
        </w:tc>
        <w:tc>
          <w:tcPr>
            <w:tcW w:w="144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(N=3223)</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Medical condition (s) for which respondent uses marijuana or marijuana products †‡ </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5916</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Seizures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114</w:t>
            </w:r>
            <w:r w:rsidRPr="000E5D59">
              <w:rPr>
                <w:rFonts w:ascii="Arial" w:eastAsia="Times New Roman" w:hAnsi="Arial" w:cs="Arial"/>
                <w:sz w:val="20"/>
                <w:szCs w:val="20"/>
              </w:rPr>
              <w:br/>
              <w:t>1.93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w:t>
            </w:r>
            <w:r w:rsidRPr="000E5D59">
              <w:rPr>
                <w:rFonts w:ascii="Arial" w:eastAsia="Times New Roman" w:hAnsi="Arial" w:cs="Arial"/>
                <w:sz w:val="20"/>
                <w:szCs w:val="20"/>
              </w:rPr>
              <w:br/>
              <w:t>2.66</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w:t>
            </w:r>
            <w:r w:rsidRPr="000E5D59">
              <w:rPr>
                <w:rFonts w:ascii="Arial" w:eastAsia="Times New Roman" w:hAnsi="Arial" w:cs="Arial"/>
                <w:sz w:val="20"/>
                <w:szCs w:val="20"/>
              </w:rPr>
              <w:br/>
              <w:t>1.22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Skin Conditions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149</w:t>
            </w:r>
            <w:r w:rsidRPr="000E5D59">
              <w:rPr>
                <w:rFonts w:ascii="Arial" w:eastAsia="Times New Roman" w:hAnsi="Arial" w:cs="Arial"/>
                <w:sz w:val="20"/>
                <w:szCs w:val="20"/>
              </w:rPr>
              <w:br/>
              <w:t>2.52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73</w:t>
            </w:r>
            <w:r w:rsidRPr="000E5D59">
              <w:rPr>
                <w:rFonts w:ascii="Arial" w:eastAsia="Times New Roman" w:hAnsi="Arial" w:cs="Arial"/>
                <w:sz w:val="20"/>
                <w:szCs w:val="20"/>
              </w:rPr>
              <w:br/>
              <w:t>2.62</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76</w:t>
            </w:r>
            <w:r w:rsidRPr="000E5D59">
              <w:rPr>
                <w:rFonts w:ascii="Arial" w:eastAsia="Times New Roman" w:hAnsi="Arial" w:cs="Arial"/>
                <w:sz w:val="20"/>
                <w:szCs w:val="20"/>
              </w:rPr>
              <w:br/>
              <w:t>2.44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Sleep Apnea</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536</w:t>
            </w:r>
            <w:r w:rsidRPr="000E5D59">
              <w:rPr>
                <w:rFonts w:ascii="Arial" w:eastAsia="Times New Roman" w:hAnsi="Arial" w:cs="Arial"/>
                <w:sz w:val="20"/>
                <w:szCs w:val="20"/>
              </w:rPr>
              <w:br/>
              <w:t>9.06</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315</w:t>
            </w:r>
            <w:r w:rsidRPr="000E5D59">
              <w:rPr>
                <w:rFonts w:ascii="Arial" w:eastAsia="Times New Roman" w:hAnsi="Arial" w:cs="Arial"/>
                <w:sz w:val="20"/>
                <w:szCs w:val="20"/>
              </w:rPr>
              <w:br/>
              <w:t>11.31</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221</w:t>
            </w:r>
            <w:r w:rsidRPr="000E5D59">
              <w:rPr>
                <w:rFonts w:ascii="Arial" w:eastAsia="Times New Roman" w:hAnsi="Arial" w:cs="Arial"/>
                <w:sz w:val="20"/>
                <w:szCs w:val="20"/>
              </w:rPr>
              <w:br/>
              <w:t>7.10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Stress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2408</w:t>
            </w:r>
            <w:r w:rsidRPr="000E5D59">
              <w:rPr>
                <w:rFonts w:ascii="Arial" w:eastAsia="Times New Roman" w:hAnsi="Arial" w:cs="Arial"/>
                <w:sz w:val="20"/>
                <w:szCs w:val="20"/>
              </w:rPr>
              <w:br/>
              <w:t>40.70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1266</w:t>
            </w:r>
            <w:r w:rsidRPr="000E5D59">
              <w:rPr>
                <w:rFonts w:ascii="Arial" w:eastAsia="Times New Roman" w:hAnsi="Arial" w:cs="Arial"/>
                <w:sz w:val="20"/>
                <w:szCs w:val="20"/>
              </w:rPr>
              <w:br/>
              <w:t>45.46</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1135</w:t>
            </w:r>
            <w:r w:rsidRPr="000E5D59">
              <w:rPr>
                <w:rFonts w:ascii="Arial" w:eastAsia="Times New Roman" w:hAnsi="Arial" w:cs="Arial"/>
                <w:sz w:val="20"/>
                <w:szCs w:val="20"/>
              </w:rPr>
              <w:br/>
              <w:t>36.45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Tourette's Syndrome</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w:t>
            </w:r>
            <w:r w:rsidRPr="000E5D59">
              <w:rPr>
                <w:rFonts w:ascii="Arial" w:eastAsia="Times New Roman" w:hAnsi="Arial" w:cs="Arial"/>
                <w:sz w:val="20"/>
                <w:szCs w:val="20"/>
              </w:rPr>
              <w:br/>
              <w:t>0.30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0.36</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w:t>
            </w:r>
            <w:r w:rsidRPr="000E5D59">
              <w:rPr>
                <w:rFonts w:ascii="Arial" w:eastAsia="Times New Roman" w:hAnsi="Arial" w:cs="Arial"/>
                <w:sz w:val="20"/>
                <w:szCs w:val="20"/>
              </w:rPr>
              <w:br/>
              <w:t>0.26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Tremors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126</w:t>
            </w:r>
            <w:r w:rsidRPr="000E5D59">
              <w:rPr>
                <w:rFonts w:ascii="Arial" w:eastAsia="Times New Roman" w:hAnsi="Arial" w:cs="Arial"/>
                <w:sz w:val="20"/>
                <w:szCs w:val="20"/>
              </w:rPr>
              <w:br/>
              <w:t>2.13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w:t>
            </w:r>
            <w:r w:rsidRPr="000E5D59">
              <w:rPr>
                <w:rFonts w:ascii="Arial" w:eastAsia="Times New Roman" w:hAnsi="Arial" w:cs="Arial"/>
                <w:sz w:val="20"/>
                <w:szCs w:val="20"/>
              </w:rPr>
              <w:br/>
              <w:t>2.55</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w:t>
            </w:r>
            <w:r w:rsidRPr="000E5D59">
              <w:rPr>
                <w:rFonts w:ascii="Arial" w:eastAsia="Times New Roman" w:hAnsi="Arial" w:cs="Arial"/>
                <w:sz w:val="20"/>
                <w:szCs w:val="20"/>
              </w:rPr>
              <w:br/>
              <w:t>1.73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Vomiting</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224</w:t>
            </w:r>
            <w:r w:rsidRPr="000E5D59">
              <w:rPr>
                <w:rFonts w:ascii="Arial" w:eastAsia="Times New Roman" w:hAnsi="Arial" w:cs="Arial"/>
                <w:sz w:val="20"/>
                <w:szCs w:val="20"/>
              </w:rPr>
              <w:br/>
              <w:t>3.79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127</w:t>
            </w:r>
            <w:r w:rsidRPr="000E5D59">
              <w:rPr>
                <w:rFonts w:ascii="Arial" w:eastAsia="Times New Roman" w:hAnsi="Arial" w:cs="Arial"/>
                <w:sz w:val="20"/>
                <w:szCs w:val="20"/>
              </w:rPr>
              <w:br/>
              <w:t>4.56</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w:t>
            </w:r>
            <w:r w:rsidRPr="000E5D59">
              <w:rPr>
                <w:rFonts w:ascii="Arial" w:eastAsia="Times New Roman" w:hAnsi="Arial" w:cs="Arial"/>
                <w:sz w:val="20"/>
                <w:szCs w:val="20"/>
              </w:rPr>
              <w:br/>
              <w:t>3.05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Wasting</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w:t>
            </w:r>
            <w:r w:rsidRPr="000E5D59">
              <w:rPr>
                <w:rFonts w:ascii="Arial" w:eastAsia="Times New Roman" w:hAnsi="Arial" w:cs="Arial"/>
                <w:sz w:val="20"/>
                <w:szCs w:val="20"/>
              </w:rPr>
              <w:br/>
              <w:t>0.52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w:t>
            </w:r>
            <w:r w:rsidRPr="000E5D59">
              <w:rPr>
                <w:rFonts w:ascii="Arial" w:eastAsia="Times New Roman" w:hAnsi="Arial" w:cs="Arial"/>
                <w:sz w:val="20"/>
                <w:szCs w:val="20"/>
              </w:rPr>
              <w:br/>
              <w:t>0.39</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w:t>
            </w:r>
            <w:r w:rsidRPr="000E5D59">
              <w:rPr>
                <w:rFonts w:ascii="Arial" w:eastAsia="Times New Roman" w:hAnsi="Arial" w:cs="Arial"/>
                <w:sz w:val="20"/>
                <w:szCs w:val="20"/>
              </w:rPr>
              <w:br/>
              <w:t>0.64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15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Weight Loss</w:t>
            </w:r>
          </w:p>
        </w:tc>
        <w:tc>
          <w:tcPr>
            <w:tcW w:w="117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243</w:t>
            </w:r>
            <w:r w:rsidRPr="000E5D59">
              <w:rPr>
                <w:rFonts w:ascii="Arial" w:eastAsia="Times New Roman" w:hAnsi="Arial" w:cs="Arial"/>
                <w:sz w:val="20"/>
                <w:szCs w:val="20"/>
              </w:rPr>
              <w:br/>
              <w:t>4.11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136</w:t>
            </w:r>
            <w:r w:rsidRPr="000E5D59">
              <w:rPr>
                <w:rFonts w:ascii="Arial" w:eastAsia="Times New Roman" w:hAnsi="Arial" w:cs="Arial"/>
                <w:sz w:val="20"/>
                <w:szCs w:val="20"/>
              </w:rPr>
              <w:br/>
              <w:t>4.88</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106</w:t>
            </w:r>
            <w:r w:rsidRPr="000E5D59">
              <w:rPr>
                <w:rFonts w:ascii="Arial" w:eastAsia="Times New Roman" w:hAnsi="Arial" w:cs="Arial"/>
                <w:sz w:val="20"/>
                <w:szCs w:val="20"/>
              </w:rPr>
              <w:br/>
              <w:t>3.40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15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Other</w:t>
            </w:r>
          </w:p>
        </w:tc>
        <w:tc>
          <w:tcPr>
            <w:tcW w:w="117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779</w:t>
            </w:r>
            <w:r w:rsidRPr="000E5D59">
              <w:rPr>
                <w:rFonts w:ascii="Arial" w:eastAsia="Times New Roman" w:hAnsi="Arial" w:cs="Arial"/>
                <w:sz w:val="20"/>
                <w:szCs w:val="20"/>
              </w:rPr>
              <w:br/>
              <w:t>13.17</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347</w:t>
            </w:r>
            <w:r w:rsidRPr="000E5D59">
              <w:rPr>
                <w:rFonts w:ascii="Arial" w:eastAsia="Times New Roman" w:hAnsi="Arial" w:cs="Arial"/>
                <w:sz w:val="20"/>
                <w:szCs w:val="20"/>
              </w:rPr>
              <w:br/>
              <w:t>12.46</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430</w:t>
            </w:r>
            <w:r w:rsidRPr="000E5D59">
              <w:rPr>
                <w:rFonts w:ascii="Arial" w:eastAsia="Times New Roman" w:hAnsi="Arial" w:cs="Arial"/>
                <w:sz w:val="20"/>
                <w:szCs w:val="20"/>
              </w:rPr>
              <w:br/>
              <w:t>13.81</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i/>
                <w:i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indicating medical use of marijuana or marijuana products (certified or uncertified)</w:t>
            </w:r>
            <w:r w:rsidRPr="000E5D59">
              <w:rPr>
                <w:rFonts w:ascii="Arial" w:eastAsia="Times New Roman" w:hAnsi="Arial" w:cs="Arial"/>
                <w:i/>
                <w:iCs/>
                <w:sz w:val="20"/>
                <w:szCs w:val="20"/>
              </w:rPr>
              <w:br/>
            </w:r>
            <w:r w:rsidRPr="000E5D59">
              <w:rPr>
                <w:rFonts w:ascii="Arial" w:eastAsia="Times New Roman" w:hAnsi="Arial" w:cs="Arial"/>
                <w:b/>
                <w:bCs/>
                <w:sz w:val="20"/>
                <w:szCs w:val="20"/>
              </w:rPr>
              <w:t>‡</w:t>
            </w:r>
            <w:r w:rsidRPr="000E5D59">
              <w:rPr>
                <w:rFonts w:ascii="Arial" w:eastAsia="Times New Roman" w:hAnsi="Arial" w:cs="Arial"/>
                <w:i/>
                <w:iCs/>
                <w:sz w:val="20"/>
                <w:szCs w:val="20"/>
              </w:rPr>
              <w:t xml:space="preserve"> Percentages sum to more than 100% because respondents could choose more than one option</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AC40A7">
      <w:pPr>
        <w:pStyle w:val="Heading3"/>
      </w:pPr>
      <w:bookmarkStart w:id="213" w:name="_Toc11765949"/>
      <w:bookmarkStart w:id="214" w:name="_Toc11766604"/>
      <w:r w:rsidRPr="000E5D59">
        <w:t>Methods of Marijuana / Marijuana Product Administration</w:t>
      </w:r>
      <w:bookmarkEnd w:id="213"/>
      <w:bookmarkEnd w:id="214"/>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Tables 5A, 5B, and 5C</w:t>
      </w:r>
      <w:r w:rsidRPr="000E5D59">
        <w:rPr>
          <w:rFonts w:ascii="Arial" w:eastAsia="Calibri" w:hAnsi="Arial" w:cs="Arial"/>
          <w:sz w:val="24"/>
          <w:szCs w:val="24"/>
        </w:rPr>
        <w:t xml:space="preserve"> summarize results of survey responses pertaining to methods of marijuana and marijuana product administration used in the past 30 days, with comparisons by gender, age group, and educational attainment, respectively. Respondents were asked additional questions regarding their typical use of marijuana and the methods of marijuana or marijuana product administration used in the past 30 days. Further, for each method of administration reported, respondents were asked to provide further detail on the frequency and amount of marijuana product used.</w:t>
      </w: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respondents who indicated using marijuana at least once in the past 30 days where asked to indicated which methods of marijuana administration they used in the past 30 days. 16% of these respondents used only 1 method in the past 30 days, 26% used 2 methods, 26% used 3, and 31% used 4 or more. A larger proportion of respondents aged 51 or older than younger respondents reported using 1 or 2 methods (51% vs. 34%), while a larger proportion of younger respondents reported using 4 or 5+ methods (38% vs. 22%). A larger proportion of respondents without a Bachelor’s degree than with a degree reported using 4 or more methods (34% vs. 27%), while a larger proportion of older respondents than younger reported using 2 or 3 methods (56% vs. 49%).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All respondents who indicated using marijuana or marijuana products at least once in the past 30 days where asked to report on the amount of THC and CBD in their typical marijuana or marijuana product use. 45% of these respondents reported typical use of marijuana or marijuana products that contain higher amounts of THC, 34% reported approximately equal amounts of THC and CBD, and 14% reported higher amounts of CBD. Almost 7% of respondents reported that they did not know. A larger proportion of males than females reported using products higher in THC (53% vs. 37%), while a larger proportion of females than males reported using products with higher amounts of CBD (17% vs. 11%) or equal amounts of THC and CBD (37% vs. 31%). A larger proportion of respondents under the age of 51 compared to older respondents reported using products higher in THC (50% vs. 40%), while a larger proportion of older respondents compared to younger reported using products higher in CBD (17% vs. 11%) or not knowing (9% vs. 5%). A slightly higher proportion of respondents without a Bachelor’s degree than with a degree reported using products higher in THC or containing equal amounts of THC and CBD, while a slightly higher proportion of respondent with a Bachelor’s degree reported using products higher in CBD.</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Respondents who indicated using marijuana or marijuana products at least once in the past 30 days were asked about different methods of marijuana or marijuana product administration used in the past 30 days. Over 2 in 3 respondents reported smoking dried flower (65%) or using vaporized concentrate (62%). 51% reported consuming edible marijuana products. Approximately 1 in 4 respondents reported using vaporized dried flower (28%), applied topical cannabis oil, ointment, lotion, cream, salve, etc. to the skin (27%), and sublingual or orally administered uptake products (23%). 16% of respondents reported using dabbed marijuana products, 11% using oral capsules or tablets, and 5% drinking marijuana infused products.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 significantly larger proportion of male respondents than female reported using vaporized dried flower and dabbed marijuana products. A significantly larger proportion of female respondents than male reported using sublingual or orally administered uptake products and topical cannabis oil, ointment, lotion, cream, salve, etc. to the skin. A significantly larger proportion of respondents under age 51 than older respondents reported smoking dried flower, using vaporized dried flower, vaporized concentrate, dabbed marijuana products, edible marijuana products, and drinkable marijuana products. A significantly larger proportion of respondents without a Bachelor’s degree than with a degree reported smoking dried flower and using dabbed marijuana products.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0E5D59" w:rsidRDefault="000E5D59" w:rsidP="006057BE">
      <w:pPr>
        <w:spacing w:after="0" w:line="240" w:lineRule="auto"/>
        <w:rPr>
          <w:rFonts w:ascii="Arial" w:eastAsia="Calibri" w:hAnsi="Arial" w:cs="Arial"/>
          <w:sz w:val="24"/>
          <w:szCs w:val="24"/>
        </w:rPr>
      </w:pPr>
    </w:p>
    <w:p w:rsidR="000941B7" w:rsidRDefault="000941B7" w:rsidP="006057BE">
      <w:pPr>
        <w:spacing w:after="0" w:line="240" w:lineRule="auto"/>
        <w:rPr>
          <w:rFonts w:ascii="Arial" w:eastAsia="Calibri" w:hAnsi="Arial" w:cs="Arial"/>
          <w:sz w:val="24"/>
          <w:szCs w:val="24"/>
        </w:rPr>
      </w:pPr>
    </w:p>
    <w:p w:rsidR="000941B7" w:rsidRDefault="000941B7" w:rsidP="006057BE">
      <w:pPr>
        <w:spacing w:after="0" w:line="240" w:lineRule="auto"/>
        <w:rPr>
          <w:rFonts w:ascii="Arial" w:eastAsia="Calibri" w:hAnsi="Arial" w:cs="Arial"/>
          <w:sz w:val="24"/>
          <w:szCs w:val="24"/>
        </w:rPr>
      </w:pPr>
    </w:p>
    <w:p w:rsidR="000941B7" w:rsidRPr="000E5D59" w:rsidRDefault="000941B7"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5A: DPH Patient Survey Methods of Administration by Gender (Among 6,111 Respondents who </w:t>
      </w:r>
      <w:r w:rsidR="000941B7">
        <w:rPr>
          <w:rFonts w:ascii="Arial" w:eastAsia="Calibri" w:hAnsi="Arial" w:cs="Arial"/>
          <w:b/>
          <w:sz w:val="24"/>
          <w:szCs w:val="24"/>
        </w:rPr>
        <w:t>Used Marijuana in Past 30 Days)</w:t>
      </w:r>
    </w:p>
    <w:tbl>
      <w:tblPr>
        <w:tblW w:w="9465" w:type="dxa"/>
        <w:tblInd w:w="93" w:type="dxa"/>
        <w:tblLayout w:type="fixed"/>
        <w:tblLook w:val="04A0" w:firstRow="1" w:lastRow="0" w:firstColumn="1" w:lastColumn="0" w:noHBand="0" w:noVBand="1"/>
        <w:tblCaption w:val="DPH Patient Survey Methods of Administration by Gender (Among 6,111 Respondents who Used Marijuana in Past 30 Days)"/>
        <w:tblDescription w:val="The table summarizes the comparisons of methods of use by gender. Moremales than females reported using products higher in THC, while more females than males reported using products with higher amounts of CBD or equal amounts of THC and CBD.&#10;More males than females reported using vaporized dried flower and dabbed marijuana products. More females than males reported using sublingual or orally administered uptake products and topical cannabis oil, ointment, lotion, cream, salve, etc. to the skin. &#10;"/>
      </w:tblPr>
      <w:tblGrid>
        <w:gridCol w:w="3975"/>
        <w:gridCol w:w="1080"/>
        <w:gridCol w:w="1620"/>
        <w:gridCol w:w="1530"/>
        <w:gridCol w:w="1260"/>
      </w:tblGrid>
      <w:tr w:rsidR="000E5D59" w:rsidRPr="000E5D59" w:rsidTr="00784755">
        <w:trPr>
          <w:trHeight w:val="20"/>
        </w:trPr>
        <w:tc>
          <w:tcPr>
            <w:tcW w:w="397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Total</w:t>
            </w:r>
          </w:p>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N</w:t>
            </w:r>
          </w:p>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397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(N=3293)</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(N=2720)</w:t>
            </w:r>
          </w:p>
        </w:tc>
        <w:tc>
          <w:tcPr>
            <w:tcW w:w="126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Number of administration methods used in the past 30 days</w:t>
            </w:r>
          </w:p>
        </w:tc>
        <w:tc>
          <w:tcPr>
            <w:tcW w:w="108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thickThinSmallGap" w:sz="2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3975" w:type="dxa"/>
            <w:tcBorders>
              <w:top w:val="single" w:sz="4" w:space="0" w:color="auto"/>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methods</w:t>
            </w:r>
          </w:p>
        </w:tc>
        <w:tc>
          <w:tcPr>
            <w:tcW w:w="1080" w:type="dxa"/>
            <w:tcBorders>
              <w:top w:val="single" w:sz="4" w:space="0" w:color="auto"/>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w:t>
            </w:r>
            <w:r w:rsidRPr="000E5D59">
              <w:rPr>
                <w:rFonts w:ascii="Arial" w:eastAsia="Times New Roman" w:hAnsi="Arial" w:cs="Arial"/>
                <w:sz w:val="20"/>
                <w:szCs w:val="20"/>
              </w:rPr>
              <w:br/>
              <w:t>1.21</w:t>
            </w:r>
          </w:p>
        </w:tc>
        <w:tc>
          <w:tcPr>
            <w:tcW w:w="1620" w:type="dxa"/>
            <w:tcBorders>
              <w:top w:val="single" w:sz="4" w:space="0" w:color="auto"/>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w:t>
            </w:r>
            <w:r w:rsidRPr="000E5D59">
              <w:rPr>
                <w:rFonts w:ascii="Arial" w:eastAsia="Times New Roman" w:hAnsi="Arial" w:cs="Arial"/>
                <w:sz w:val="20"/>
                <w:szCs w:val="20"/>
              </w:rPr>
              <w:br/>
              <w:t>1.21</w:t>
            </w:r>
          </w:p>
        </w:tc>
        <w:tc>
          <w:tcPr>
            <w:tcW w:w="1530" w:type="dxa"/>
            <w:tcBorders>
              <w:top w:val="single" w:sz="4" w:space="0" w:color="auto"/>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w:t>
            </w:r>
            <w:r w:rsidRPr="000E5D59">
              <w:rPr>
                <w:rFonts w:ascii="Arial" w:eastAsia="Times New Roman" w:hAnsi="Arial" w:cs="Arial"/>
                <w:sz w:val="20"/>
                <w:szCs w:val="20"/>
              </w:rPr>
              <w:br/>
              <w:t>1.21</w:t>
            </w:r>
          </w:p>
        </w:tc>
        <w:tc>
          <w:tcPr>
            <w:tcW w:w="1260" w:type="dxa"/>
            <w:tcBorders>
              <w:top w:val="single" w:sz="4" w:space="0" w:color="auto"/>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 method</w:t>
            </w:r>
          </w:p>
        </w:tc>
        <w:tc>
          <w:tcPr>
            <w:tcW w:w="1080" w:type="dxa"/>
            <w:tcBorders>
              <w:top w:val="nil"/>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953</w:t>
            </w:r>
            <w:r w:rsidRPr="000E5D59">
              <w:rPr>
                <w:rFonts w:ascii="Arial" w:eastAsia="Times New Roman" w:hAnsi="Arial" w:cs="Arial"/>
                <w:sz w:val="20"/>
                <w:szCs w:val="20"/>
              </w:rPr>
              <w:br/>
              <w:t>15.59</w:t>
            </w:r>
          </w:p>
        </w:tc>
        <w:tc>
          <w:tcPr>
            <w:tcW w:w="1620" w:type="dxa"/>
            <w:tcBorders>
              <w:top w:val="nil"/>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555</w:t>
            </w:r>
            <w:r w:rsidRPr="000E5D59">
              <w:rPr>
                <w:rFonts w:ascii="Arial" w:eastAsia="Times New Roman" w:hAnsi="Arial" w:cs="Arial"/>
                <w:sz w:val="20"/>
                <w:szCs w:val="20"/>
              </w:rPr>
              <w:br/>
              <w:t>16.85</w:t>
            </w:r>
          </w:p>
        </w:tc>
        <w:tc>
          <w:tcPr>
            <w:tcW w:w="153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387</w:t>
            </w:r>
            <w:r w:rsidRPr="000E5D59">
              <w:rPr>
                <w:rFonts w:ascii="Arial" w:eastAsia="Times New Roman" w:hAnsi="Arial" w:cs="Arial"/>
                <w:sz w:val="20"/>
                <w:szCs w:val="20"/>
              </w:rPr>
              <w:br/>
              <w:t>14.23</w:t>
            </w:r>
          </w:p>
        </w:tc>
        <w:tc>
          <w:tcPr>
            <w:tcW w:w="126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 methods</w:t>
            </w:r>
          </w:p>
        </w:tc>
        <w:tc>
          <w:tcPr>
            <w:tcW w:w="1080" w:type="dxa"/>
            <w:tcBorders>
              <w:top w:val="nil"/>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1619</w:t>
            </w:r>
            <w:r w:rsidRPr="000E5D59">
              <w:rPr>
                <w:rFonts w:ascii="Arial" w:eastAsia="Times New Roman" w:hAnsi="Arial" w:cs="Arial"/>
                <w:sz w:val="20"/>
                <w:szCs w:val="20"/>
              </w:rPr>
              <w:br/>
              <w:t>26.49</w:t>
            </w:r>
          </w:p>
        </w:tc>
        <w:tc>
          <w:tcPr>
            <w:tcW w:w="1620" w:type="dxa"/>
            <w:tcBorders>
              <w:top w:val="nil"/>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881</w:t>
            </w:r>
            <w:r w:rsidRPr="000E5D59">
              <w:rPr>
                <w:rFonts w:ascii="Arial" w:eastAsia="Times New Roman" w:hAnsi="Arial" w:cs="Arial"/>
                <w:sz w:val="20"/>
                <w:szCs w:val="20"/>
              </w:rPr>
              <w:br/>
              <w:t>26.75</w:t>
            </w:r>
          </w:p>
        </w:tc>
        <w:tc>
          <w:tcPr>
            <w:tcW w:w="153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717</w:t>
            </w:r>
            <w:r w:rsidRPr="000E5D59">
              <w:rPr>
                <w:rFonts w:ascii="Arial" w:eastAsia="Times New Roman" w:hAnsi="Arial" w:cs="Arial"/>
                <w:sz w:val="20"/>
                <w:szCs w:val="20"/>
              </w:rPr>
              <w:br/>
              <w:t>26.36</w:t>
            </w:r>
          </w:p>
        </w:tc>
        <w:tc>
          <w:tcPr>
            <w:tcW w:w="126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 methods</w:t>
            </w:r>
          </w:p>
        </w:tc>
        <w:tc>
          <w:tcPr>
            <w:tcW w:w="1080" w:type="dxa"/>
            <w:tcBorders>
              <w:top w:val="nil"/>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1598</w:t>
            </w:r>
            <w:r w:rsidRPr="000E5D59">
              <w:rPr>
                <w:rFonts w:ascii="Arial" w:eastAsia="Times New Roman" w:hAnsi="Arial" w:cs="Arial"/>
                <w:sz w:val="20"/>
                <w:szCs w:val="20"/>
              </w:rPr>
              <w:br/>
              <w:t>26.15</w:t>
            </w:r>
          </w:p>
        </w:tc>
        <w:tc>
          <w:tcPr>
            <w:tcW w:w="1620" w:type="dxa"/>
            <w:tcBorders>
              <w:top w:val="nil"/>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833</w:t>
            </w:r>
            <w:r w:rsidRPr="000E5D59">
              <w:rPr>
                <w:rFonts w:ascii="Arial" w:eastAsia="Times New Roman" w:hAnsi="Arial" w:cs="Arial"/>
                <w:sz w:val="20"/>
                <w:szCs w:val="20"/>
              </w:rPr>
              <w:br/>
              <w:t>25.30</w:t>
            </w:r>
          </w:p>
        </w:tc>
        <w:tc>
          <w:tcPr>
            <w:tcW w:w="153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744</w:t>
            </w:r>
            <w:r w:rsidRPr="000E5D59">
              <w:rPr>
                <w:rFonts w:ascii="Arial" w:eastAsia="Times New Roman" w:hAnsi="Arial" w:cs="Arial"/>
                <w:sz w:val="20"/>
                <w:szCs w:val="20"/>
              </w:rPr>
              <w:br/>
              <w:t>27.35</w:t>
            </w:r>
          </w:p>
        </w:tc>
        <w:tc>
          <w:tcPr>
            <w:tcW w:w="126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 methods</w:t>
            </w:r>
          </w:p>
        </w:tc>
        <w:tc>
          <w:tcPr>
            <w:tcW w:w="1080" w:type="dxa"/>
            <w:tcBorders>
              <w:top w:val="nil"/>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1028</w:t>
            </w:r>
            <w:r w:rsidRPr="000E5D59">
              <w:rPr>
                <w:rFonts w:ascii="Arial" w:eastAsia="Times New Roman" w:hAnsi="Arial" w:cs="Arial"/>
                <w:sz w:val="20"/>
                <w:szCs w:val="20"/>
              </w:rPr>
              <w:br/>
              <w:t>16.82</w:t>
            </w:r>
          </w:p>
        </w:tc>
        <w:tc>
          <w:tcPr>
            <w:tcW w:w="1620" w:type="dxa"/>
            <w:tcBorders>
              <w:top w:val="nil"/>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529</w:t>
            </w:r>
            <w:r w:rsidRPr="000E5D59">
              <w:rPr>
                <w:rFonts w:ascii="Arial" w:eastAsia="Times New Roman" w:hAnsi="Arial" w:cs="Arial"/>
                <w:sz w:val="20"/>
                <w:szCs w:val="20"/>
              </w:rPr>
              <w:br/>
              <w:t>16.06</w:t>
            </w:r>
          </w:p>
        </w:tc>
        <w:tc>
          <w:tcPr>
            <w:tcW w:w="153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474</w:t>
            </w:r>
            <w:r w:rsidRPr="000E5D59">
              <w:rPr>
                <w:rFonts w:ascii="Arial" w:eastAsia="Times New Roman" w:hAnsi="Arial" w:cs="Arial"/>
                <w:sz w:val="20"/>
                <w:szCs w:val="20"/>
              </w:rPr>
              <w:br/>
              <w:t>17.43</w:t>
            </w:r>
          </w:p>
        </w:tc>
        <w:tc>
          <w:tcPr>
            <w:tcW w:w="126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 methods</w:t>
            </w:r>
          </w:p>
        </w:tc>
        <w:tc>
          <w:tcPr>
            <w:tcW w:w="1080" w:type="dxa"/>
            <w:tcBorders>
              <w:top w:val="nil"/>
              <w:left w:val="single" w:sz="4"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839</w:t>
            </w:r>
            <w:r w:rsidRPr="000E5D59">
              <w:rPr>
                <w:rFonts w:ascii="Arial" w:eastAsia="Times New Roman" w:hAnsi="Arial" w:cs="Arial"/>
                <w:sz w:val="20"/>
                <w:szCs w:val="20"/>
              </w:rPr>
              <w:br/>
              <w:t>13.73</w:t>
            </w:r>
          </w:p>
        </w:tc>
        <w:tc>
          <w:tcPr>
            <w:tcW w:w="1620" w:type="dxa"/>
            <w:tcBorders>
              <w:top w:val="nil"/>
              <w:left w:val="thickThinSmallGap" w:sz="2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455</w:t>
            </w:r>
            <w:r w:rsidRPr="000E5D59">
              <w:rPr>
                <w:rFonts w:ascii="Arial" w:eastAsia="Times New Roman" w:hAnsi="Arial" w:cs="Arial"/>
                <w:sz w:val="20"/>
                <w:szCs w:val="20"/>
              </w:rPr>
              <w:br/>
              <w:t>13.82</w:t>
            </w:r>
          </w:p>
        </w:tc>
        <w:tc>
          <w:tcPr>
            <w:tcW w:w="1530" w:type="dxa"/>
            <w:tcBorders>
              <w:top w:val="nil"/>
              <w:left w:val="single" w:sz="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365</w:t>
            </w:r>
            <w:r w:rsidRPr="000E5D59">
              <w:rPr>
                <w:rFonts w:ascii="Arial" w:eastAsia="Times New Roman" w:hAnsi="Arial" w:cs="Arial"/>
                <w:sz w:val="20"/>
                <w:szCs w:val="20"/>
              </w:rPr>
              <w:br/>
              <w:t>13.42</w:t>
            </w:r>
          </w:p>
        </w:tc>
        <w:tc>
          <w:tcPr>
            <w:tcW w:w="1260" w:type="dxa"/>
            <w:tcBorders>
              <w:top w:val="nil"/>
              <w:left w:val="single" w:sz="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single" w:sz="4" w:space="0" w:color="auto"/>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Typical marijuana / product use</w:t>
            </w:r>
          </w:p>
        </w:tc>
        <w:tc>
          <w:tcPr>
            <w:tcW w:w="1080" w:type="dxa"/>
            <w:tcBorders>
              <w:top w:val="single" w:sz="4" w:space="0" w:color="auto"/>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6081</w:t>
            </w:r>
          </w:p>
        </w:tc>
        <w:tc>
          <w:tcPr>
            <w:tcW w:w="1620" w:type="dxa"/>
            <w:tcBorders>
              <w:top w:val="single" w:sz="4" w:space="0" w:color="auto"/>
              <w:left w:val="thickThinSmallGap" w:sz="2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sz w:val="20"/>
                <w:szCs w:val="20"/>
              </w:rPr>
              <w:t>Higher in THC</w:t>
            </w:r>
          </w:p>
        </w:tc>
        <w:tc>
          <w:tcPr>
            <w:tcW w:w="108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2760</w:t>
            </w:r>
            <w:r w:rsidRPr="000E5D59">
              <w:rPr>
                <w:rFonts w:ascii="Arial" w:eastAsia="Times New Roman" w:hAnsi="Arial" w:cs="Arial"/>
                <w:sz w:val="20"/>
                <w:szCs w:val="20"/>
              </w:rPr>
              <w:br/>
              <w:t>45.39</w:t>
            </w:r>
          </w:p>
        </w:tc>
        <w:tc>
          <w:tcPr>
            <w:tcW w:w="1620" w:type="dxa"/>
            <w:tcBorders>
              <w:top w:val="nil"/>
              <w:left w:val="thickThinSmallGap" w:sz="24" w:space="0" w:color="auto"/>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1722</w:t>
            </w:r>
            <w:r w:rsidRPr="000E5D59">
              <w:rPr>
                <w:rFonts w:ascii="Arial" w:eastAsia="Times New Roman" w:hAnsi="Arial" w:cs="Arial"/>
                <w:sz w:val="20"/>
                <w:szCs w:val="20"/>
              </w:rPr>
              <w:br/>
              <w:t>52.50</w:t>
            </w:r>
          </w:p>
        </w:tc>
        <w:tc>
          <w:tcPr>
            <w:tcW w:w="153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999</w:t>
            </w:r>
            <w:r w:rsidRPr="000E5D59">
              <w:rPr>
                <w:rFonts w:ascii="Arial" w:eastAsia="Times New Roman" w:hAnsi="Arial" w:cs="Arial"/>
                <w:sz w:val="20"/>
                <w:szCs w:val="20"/>
              </w:rPr>
              <w:br/>
              <w:t>36.96</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Higher in CBD</w:t>
            </w:r>
          </w:p>
        </w:tc>
        <w:tc>
          <w:tcPr>
            <w:tcW w:w="108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844</w:t>
            </w:r>
            <w:r w:rsidRPr="000E5D59">
              <w:rPr>
                <w:rFonts w:ascii="Arial" w:eastAsia="Times New Roman" w:hAnsi="Arial" w:cs="Arial"/>
                <w:sz w:val="20"/>
                <w:szCs w:val="20"/>
              </w:rPr>
              <w:br/>
              <w:t>13.88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365</w:t>
            </w:r>
            <w:r w:rsidRPr="000E5D59">
              <w:rPr>
                <w:rFonts w:ascii="Arial" w:eastAsia="Times New Roman" w:hAnsi="Arial" w:cs="Arial"/>
                <w:sz w:val="20"/>
                <w:szCs w:val="20"/>
              </w:rPr>
              <w:br/>
              <w:t>11.13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472</w:t>
            </w:r>
            <w:r w:rsidRPr="000E5D59">
              <w:rPr>
                <w:rFonts w:ascii="Arial" w:eastAsia="Times New Roman" w:hAnsi="Arial" w:cs="Arial"/>
                <w:sz w:val="20"/>
                <w:szCs w:val="20"/>
              </w:rPr>
              <w:br/>
              <w:t>17.46</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Contain somewhat equal amounts of THC and CBD</w:t>
            </w:r>
          </w:p>
        </w:tc>
        <w:tc>
          <w:tcPr>
            <w:tcW w:w="108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2063</w:t>
            </w:r>
            <w:r w:rsidRPr="000E5D59">
              <w:rPr>
                <w:rFonts w:ascii="Arial" w:eastAsia="Times New Roman" w:hAnsi="Arial" w:cs="Arial"/>
                <w:sz w:val="20"/>
                <w:szCs w:val="20"/>
              </w:rPr>
              <w:br/>
              <w:t>33.93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1010</w:t>
            </w:r>
            <w:r w:rsidRPr="000E5D59">
              <w:rPr>
                <w:rFonts w:ascii="Arial" w:eastAsia="Times New Roman" w:hAnsi="Arial" w:cs="Arial"/>
                <w:sz w:val="20"/>
                <w:szCs w:val="20"/>
              </w:rPr>
              <w:br/>
              <w:t>30.79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1011</w:t>
            </w:r>
            <w:r w:rsidRPr="000E5D59">
              <w:rPr>
                <w:rFonts w:ascii="Arial" w:eastAsia="Times New Roman" w:hAnsi="Arial" w:cs="Arial"/>
                <w:sz w:val="20"/>
                <w:szCs w:val="20"/>
              </w:rPr>
              <w:br/>
              <w:t>37.40</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 / not sure</w:t>
            </w:r>
          </w:p>
        </w:tc>
        <w:tc>
          <w:tcPr>
            <w:tcW w:w="108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414</w:t>
            </w:r>
            <w:r w:rsidRPr="000E5D59">
              <w:rPr>
                <w:rFonts w:ascii="Arial" w:eastAsia="Times New Roman" w:hAnsi="Arial" w:cs="Arial"/>
                <w:sz w:val="20"/>
                <w:szCs w:val="20"/>
              </w:rPr>
              <w:br/>
              <w:t>6.81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183</w:t>
            </w:r>
            <w:r w:rsidRPr="000E5D59">
              <w:rPr>
                <w:rFonts w:ascii="Arial" w:eastAsia="Times New Roman" w:hAnsi="Arial" w:cs="Arial"/>
                <w:sz w:val="20"/>
                <w:szCs w:val="20"/>
              </w:rPr>
              <w:br/>
              <w:t>5.58</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221</w:t>
            </w:r>
            <w:r w:rsidRPr="000E5D59">
              <w:rPr>
                <w:rFonts w:ascii="Arial" w:eastAsia="Times New Roman" w:hAnsi="Arial" w:cs="Arial"/>
                <w:sz w:val="20"/>
                <w:szCs w:val="20"/>
              </w:rPr>
              <w:br/>
              <w:t>8.18</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b/>
          <w:bCs/>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bCs/>
          <w:sz w:val="24"/>
          <w:szCs w:val="24"/>
        </w:rPr>
      </w:pPr>
      <w:r w:rsidRPr="000E5D59">
        <w:rPr>
          <w:rFonts w:ascii="Arial" w:eastAsia="Calibri" w:hAnsi="Arial" w:cs="Arial"/>
          <w:b/>
          <w:bCs/>
          <w:sz w:val="24"/>
          <w:szCs w:val="24"/>
        </w:rPr>
        <w:lastRenderedPageBreak/>
        <w:t xml:space="preserve">(Continues) Table 5A: DPH Patient Survey Methods of Administration by Gender (Among 6,111 Respondents who </w:t>
      </w:r>
      <w:r w:rsidR="000941B7">
        <w:rPr>
          <w:rFonts w:ascii="Arial" w:eastAsia="Calibri" w:hAnsi="Arial" w:cs="Arial"/>
          <w:b/>
          <w:bCs/>
          <w:sz w:val="24"/>
          <w:szCs w:val="24"/>
        </w:rPr>
        <w:t>Used Marijuana in Past 30 Days)</w:t>
      </w:r>
    </w:p>
    <w:tbl>
      <w:tblPr>
        <w:tblW w:w="0" w:type="auto"/>
        <w:tblInd w:w="93" w:type="dxa"/>
        <w:tblLook w:val="04A0" w:firstRow="1" w:lastRow="0" w:firstColumn="1" w:lastColumn="0" w:noHBand="0" w:noVBand="1"/>
        <w:tblCaption w:val="Continued: DPH Patient Survey Methods of Administration by Gender (Among 6,111 Respondents who Used Marijuana in Past 30 Days)"/>
        <w:tblDescription w:val="This table is a continuation of the table from the previous page (the complete table did not fit on a single page). The table summarizes the comparisons of methods of use by gender. Moremales than females reported using products higher in THC, while more females than males reported using products with higher amounts of CBD or equal amounts of THC and CBD.&#10;More males than females reported using vaporized dried flower and dabbed marijuana products. More females than males reported using sublingual or orally administered uptake products and topical cannabis oil, ointment, lotion, cream, salve, etc. to the skin. &#10;"/>
      </w:tblPr>
      <w:tblGrid>
        <w:gridCol w:w="3975"/>
        <w:gridCol w:w="1080"/>
        <w:gridCol w:w="1620"/>
        <w:gridCol w:w="1530"/>
        <w:gridCol w:w="1260"/>
      </w:tblGrid>
      <w:tr w:rsidR="000E5D59" w:rsidRPr="000E5D59" w:rsidTr="00784755">
        <w:trPr>
          <w:trHeight w:val="20"/>
        </w:trPr>
        <w:tc>
          <w:tcPr>
            <w:tcW w:w="397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Total</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bCs/>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bCs/>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397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(N=3293)</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(N=2720)</w:t>
            </w:r>
          </w:p>
        </w:tc>
        <w:tc>
          <w:tcPr>
            <w:tcW w:w="126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397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Method of administration used (one time or more) in the past 30 days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Smoked dried flower</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3921</w:t>
            </w:r>
            <w:r w:rsidRPr="000E5D59">
              <w:rPr>
                <w:rFonts w:ascii="Arial" w:eastAsia="Times New Roman" w:hAnsi="Arial" w:cs="Arial"/>
                <w:sz w:val="20"/>
                <w:szCs w:val="20"/>
              </w:rPr>
              <w:br/>
              <w:t>65.12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2185</w:t>
            </w:r>
            <w:r w:rsidRPr="000E5D59">
              <w:rPr>
                <w:rFonts w:ascii="Arial" w:eastAsia="Times New Roman" w:hAnsi="Arial" w:cs="Arial"/>
                <w:sz w:val="20"/>
                <w:szCs w:val="20"/>
              </w:rPr>
              <w:br/>
              <w:t>67.21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1667</w:t>
            </w:r>
            <w:r w:rsidRPr="000E5D59">
              <w:rPr>
                <w:rFonts w:ascii="Arial" w:eastAsia="Times New Roman" w:hAnsi="Arial" w:cs="Arial"/>
                <w:sz w:val="20"/>
                <w:szCs w:val="20"/>
              </w:rPr>
              <w:br/>
              <w:t>62.39</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Vaporized dried flower</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1704</w:t>
            </w:r>
            <w:r w:rsidRPr="000E5D59">
              <w:rPr>
                <w:rFonts w:ascii="Arial" w:eastAsia="Times New Roman" w:hAnsi="Arial" w:cs="Arial"/>
                <w:sz w:val="20"/>
                <w:szCs w:val="20"/>
              </w:rPr>
              <w:br/>
              <w:t>28.30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1033</w:t>
            </w:r>
            <w:r w:rsidRPr="000E5D59">
              <w:rPr>
                <w:rFonts w:ascii="Arial" w:eastAsia="Times New Roman" w:hAnsi="Arial" w:cs="Arial"/>
                <w:sz w:val="20"/>
                <w:szCs w:val="20"/>
              </w:rPr>
              <w:br/>
              <w:t>31.77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642</w:t>
            </w:r>
            <w:r w:rsidRPr="000E5D59">
              <w:rPr>
                <w:rFonts w:ascii="Arial" w:eastAsia="Times New Roman" w:hAnsi="Arial" w:cs="Arial"/>
                <w:sz w:val="20"/>
                <w:szCs w:val="20"/>
              </w:rPr>
              <w:br/>
              <w:t>24.03</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Vaporized concentrated (cartridge/vape oil)</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3751</w:t>
            </w:r>
            <w:r w:rsidRPr="000E5D59">
              <w:rPr>
                <w:rFonts w:ascii="Arial" w:eastAsia="Times New Roman" w:hAnsi="Arial" w:cs="Arial"/>
                <w:sz w:val="20"/>
                <w:szCs w:val="20"/>
              </w:rPr>
              <w:br/>
              <w:t>62.30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2040</w:t>
            </w:r>
            <w:r w:rsidRPr="000E5D59">
              <w:rPr>
                <w:rFonts w:ascii="Arial" w:eastAsia="Times New Roman" w:hAnsi="Arial" w:cs="Arial"/>
                <w:sz w:val="20"/>
                <w:szCs w:val="20"/>
              </w:rPr>
              <w:br/>
              <w:t>62.75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1647</w:t>
            </w:r>
            <w:r w:rsidRPr="000E5D59">
              <w:rPr>
                <w:rFonts w:ascii="Arial" w:eastAsia="Times New Roman" w:hAnsi="Arial" w:cs="Arial"/>
                <w:sz w:val="20"/>
                <w:szCs w:val="20"/>
              </w:rPr>
              <w:br/>
              <w:t>61.64</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Dabbed marijuana products (butane hash oil, wax, shatter, etc.)</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984</w:t>
            </w:r>
            <w:r w:rsidRPr="000E5D59">
              <w:rPr>
                <w:rFonts w:ascii="Arial" w:eastAsia="Times New Roman" w:hAnsi="Arial" w:cs="Arial"/>
                <w:sz w:val="20"/>
                <w:szCs w:val="20"/>
              </w:rPr>
              <w:br/>
              <w:t>16.34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632</w:t>
            </w:r>
            <w:r w:rsidRPr="000E5D59">
              <w:rPr>
                <w:rFonts w:ascii="Arial" w:eastAsia="Times New Roman" w:hAnsi="Arial" w:cs="Arial"/>
                <w:sz w:val="20"/>
                <w:szCs w:val="20"/>
              </w:rPr>
              <w:br/>
              <w:t>19.44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326</w:t>
            </w:r>
            <w:r w:rsidRPr="000E5D59">
              <w:rPr>
                <w:rFonts w:ascii="Arial" w:eastAsia="Times New Roman" w:hAnsi="Arial" w:cs="Arial"/>
                <w:sz w:val="20"/>
                <w:szCs w:val="20"/>
              </w:rPr>
              <w:br/>
              <w:t>12.20</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Ate marijuana products (brownies, cakes, cookies, etc.)</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3074</w:t>
            </w:r>
            <w:r w:rsidRPr="000E5D59">
              <w:rPr>
                <w:rFonts w:ascii="Arial" w:eastAsia="Times New Roman" w:hAnsi="Arial" w:cs="Arial"/>
                <w:sz w:val="20"/>
                <w:szCs w:val="20"/>
              </w:rPr>
              <w:br/>
              <w:t>51.05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1606</w:t>
            </w:r>
            <w:r w:rsidRPr="000E5D59">
              <w:rPr>
                <w:rFonts w:ascii="Arial" w:eastAsia="Times New Roman" w:hAnsi="Arial" w:cs="Arial"/>
                <w:sz w:val="20"/>
                <w:szCs w:val="20"/>
              </w:rPr>
              <w:br/>
              <w:t>49.40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1410</w:t>
            </w:r>
            <w:r w:rsidRPr="000E5D59">
              <w:rPr>
                <w:rFonts w:ascii="Arial" w:eastAsia="Times New Roman" w:hAnsi="Arial" w:cs="Arial"/>
                <w:sz w:val="20"/>
                <w:szCs w:val="20"/>
              </w:rPr>
              <w:br/>
              <w:t>52.77</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Drank marijuana infused products (tea, cola, alcohol, etc.)</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285</w:t>
            </w:r>
            <w:r w:rsidRPr="000E5D59">
              <w:rPr>
                <w:rFonts w:ascii="Arial" w:eastAsia="Times New Roman" w:hAnsi="Arial" w:cs="Arial"/>
                <w:sz w:val="20"/>
                <w:szCs w:val="20"/>
              </w:rPr>
              <w:br/>
              <w:t>4.73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165</w:t>
            </w:r>
            <w:r w:rsidRPr="000E5D59">
              <w:rPr>
                <w:rFonts w:ascii="Arial" w:eastAsia="Times New Roman" w:hAnsi="Arial" w:cs="Arial"/>
                <w:sz w:val="20"/>
                <w:szCs w:val="20"/>
              </w:rPr>
              <w:br/>
              <w:t>5.08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114</w:t>
            </w:r>
            <w:r w:rsidRPr="000E5D59">
              <w:rPr>
                <w:rFonts w:ascii="Arial" w:eastAsia="Times New Roman" w:hAnsi="Arial" w:cs="Arial"/>
                <w:sz w:val="20"/>
                <w:szCs w:val="20"/>
              </w:rPr>
              <w:br/>
              <w:t>4.27</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Used sublingual (under the tongue) or orally administered uptake products (dissolvable strips, sublingual sprays, oil, tinctures, medicated lozenges, etc.)</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1413</w:t>
            </w:r>
            <w:r w:rsidRPr="000E5D59">
              <w:rPr>
                <w:rFonts w:ascii="Arial" w:eastAsia="Times New Roman" w:hAnsi="Arial" w:cs="Arial"/>
                <w:sz w:val="20"/>
                <w:szCs w:val="20"/>
              </w:rPr>
              <w:br/>
              <w:t>23.47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651</w:t>
            </w:r>
            <w:r w:rsidRPr="000E5D59">
              <w:rPr>
                <w:rFonts w:ascii="Arial" w:eastAsia="Times New Roman" w:hAnsi="Arial" w:cs="Arial"/>
                <w:sz w:val="20"/>
                <w:szCs w:val="20"/>
              </w:rPr>
              <w:br/>
              <w:t>20.02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738</w:t>
            </w:r>
            <w:r w:rsidRPr="000E5D59">
              <w:rPr>
                <w:rFonts w:ascii="Arial" w:eastAsia="Times New Roman" w:hAnsi="Arial" w:cs="Arial"/>
                <w:sz w:val="20"/>
                <w:szCs w:val="20"/>
              </w:rPr>
              <w:br/>
              <w:t>27.62</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Used oral capsules/tablets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651</w:t>
            </w:r>
            <w:r w:rsidRPr="000E5D59">
              <w:rPr>
                <w:rFonts w:ascii="Arial" w:eastAsia="Times New Roman" w:hAnsi="Arial" w:cs="Arial"/>
                <w:sz w:val="20"/>
                <w:szCs w:val="20"/>
              </w:rPr>
              <w:br/>
              <w:t>10.81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353</w:t>
            </w:r>
            <w:r w:rsidRPr="000E5D59">
              <w:rPr>
                <w:rFonts w:ascii="Arial" w:eastAsia="Times New Roman" w:hAnsi="Arial" w:cs="Arial"/>
                <w:sz w:val="20"/>
                <w:szCs w:val="20"/>
              </w:rPr>
              <w:br/>
              <w:t>10.86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285</w:t>
            </w:r>
            <w:r w:rsidRPr="000E5D59">
              <w:rPr>
                <w:rFonts w:ascii="Arial" w:eastAsia="Times New Roman" w:hAnsi="Arial" w:cs="Arial"/>
                <w:sz w:val="20"/>
                <w:szCs w:val="20"/>
              </w:rPr>
              <w:br/>
              <w:t>10.67</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Applied topical cannabis oil, ointment, lotion, cream, slave, etc. to skin</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1600</w:t>
            </w:r>
            <w:r w:rsidRPr="000E5D59">
              <w:rPr>
                <w:rFonts w:ascii="Arial" w:eastAsia="Times New Roman" w:hAnsi="Arial" w:cs="Arial"/>
                <w:sz w:val="20"/>
                <w:szCs w:val="20"/>
              </w:rPr>
              <w:br/>
              <w:t>26.57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638</w:t>
            </w:r>
            <w:r w:rsidRPr="000E5D59">
              <w:rPr>
                <w:rFonts w:ascii="Arial" w:eastAsia="Times New Roman" w:hAnsi="Arial" w:cs="Arial"/>
                <w:sz w:val="20"/>
                <w:szCs w:val="20"/>
              </w:rPr>
              <w:br/>
              <w:t>19.62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933</w:t>
            </w:r>
            <w:r w:rsidRPr="000E5D59">
              <w:rPr>
                <w:rFonts w:ascii="Arial" w:eastAsia="Times New Roman" w:hAnsi="Arial" w:cs="Arial"/>
                <w:sz w:val="20"/>
                <w:szCs w:val="20"/>
              </w:rPr>
              <w:br/>
              <w:t>34.92</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Used rectal/vaginal cannabis suppositories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75</w:t>
            </w:r>
            <w:r w:rsidRPr="000E5D59">
              <w:rPr>
                <w:rFonts w:ascii="Arial" w:eastAsia="Times New Roman" w:hAnsi="Arial" w:cs="Arial"/>
                <w:sz w:val="20"/>
                <w:szCs w:val="20"/>
              </w:rPr>
              <w:br/>
              <w:t>1.25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w:t>
            </w:r>
            <w:r w:rsidRPr="000E5D59">
              <w:rPr>
                <w:rFonts w:ascii="Arial" w:eastAsia="Times New Roman" w:hAnsi="Arial" w:cs="Arial"/>
                <w:sz w:val="20"/>
                <w:szCs w:val="20"/>
              </w:rPr>
              <w:br/>
              <w:t>0.98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w:t>
            </w:r>
            <w:r w:rsidRPr="000E5D59">
              <w:rPr>
                <w:rFonts w:ascii="Arial" w:eastAsia="Times New Roman" w:hAnsi="Arial" w:cs="Arial"/>
                <w:sz w:val="20"/>
                <w:szCs w:val="20"/>
              </w:rPr>
              <w:br/>
              <w:t>1.46</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397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Other</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96</w:t>
            </w:r>
            <w:r w:rsidRPr="000E5D59">
              <w:rPr>
                <w:rFonts w:ascii="Arial" w:eastAsia="Times New Roman" w:hAnsi="Arial" w:cs="Arial"/>
                <w:sz w:val="20"/>
                <w:szCs w:val="20"/>
              </w:rPr>
              <w:br/>
              <w:t>1.59</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w:t>
            </w:r>
            <w:r w:rsidRPr="000E5D59">
              <w:rPr>
                <w:rFonts w:ascii="Arial" w:eastAsia="Times New Roman" w:hAnsi="Arial" w:cs="Arial"/>
                <w:sz w:val="20"/>
                <w:szCs w:val="20"/>
              </w:rPr>
              <w:br/>
              <w:t>1.51</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w:t>
            </w:r>
            <w:r w:rsidRPr="000E5D59">
              <w:rPr>
                <w:rFonts w:ascii="Arial" w:eastAsia="Times New Roman" w:hAnsi="Arial" w:cs="Arial"/>
                <w:sz w:val="20"/>
                <w:szCs w:val="20"/>
              </w:rPr>
              <w:br/>
              <w:t>1.72</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w:t>
            </w:r>
            <w:r w:rsidRPr="000E5D59">
              <w:rPr>
                <w:rFonts w:ascii="Arial" w:eastAsia="Times New Roman" w:hAnsi="Arial" w:cs="Arial"/>
                <w:i/>
                <w:iCs/>
                <w:sz w:val="20"/>
                <w:szCs w:val="20"/>
              </w:rPr>
              <w:t xml:space="preserve"> Percentages sum to more than 100% because respondents could choose more than one option</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5B: DPH Patient Survey Methods of Administration by Age Group (Among 6,111 Respondents who </w:t>
      </w:r>
      <w:r w:rsidR="000941B7">
        <w:rPr>
          <w:rFonts w:ascii="Arial" w:eastAsia="Calibri" w:hAnsi="Arial" w:cs="Arial"/>
          <w:b/>
          <w:sz w:val="24"/>
          <w:szCs w:val="24"/>
        </w:rPr>
        <w:t>Used Marijuana in Past 30 Days)</w:t>
      </w:r>
    </w:p>
    <w:tbl>
      <w:tblPr>
        <w:tblW w:w="9465" w:type="dxa"/>
        <w:tblInd w:w="93" w:type="dxa"/>
        <w:tblLayout w:type="fixed"/>
        <w:tblLook w:val="04A0" w:firstRow="1" w:lastRow="0" w:firstColumn="1" w:lastColumn="0" w:noHBand="0" w:noVBand="1"/>
        <w:tblCaption w:val="DPH Patient Survey Methods of Administration by Age Group (Among 6,111 Respondents who Used Marijuana in Past 30 Days)"/>
        <w:tblDescription w:val="The table summarizes methods of use compared between age groups of 50 years or younger and 51 years or older. More respondents aged 51 or older reported using 1 or 2 methods, while more younger respondents reported using 4 or 5+ methods. More respondents under the age of 51 reported using products higher in THC, while more older respondents reported using products higher in CBD or not knowing. More respondents under age 51 reported smoking dried flower, using vaporized dried flower, vaporized concentrate, dabbed marijuana products, edible marijuana products, and drinkable marijuana products.&#10;"/>
      </w:tblPr>
      <w:tblGrid>
        <w:gridCol w:w="3975"/>
        <w:gridCol w:w="1080"/>
        <w:gridCol w:w="1620"/>
        <w:gridCol w:w="1530"/>
        <w:gridCol w:w="1260"/>
      </w:tblGrid>
      <w:tr w:rsidR="000E5D59" w:rsidRPr="000E5D59" w:rsidTr="00784755">
        <w:trPr>
          <w:trHeight w:val="20"/>
        </w:trPr>
        <w:tc>
          <w:tcPr>
            <w:tcW w:w="397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Total</w:t>
            </w:r>
          </w:p>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N</w:t>
            </w:r>
          </w:p>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397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(N=3224)</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(N=2793)</w:t>
            </w:r>
          </w:p>
        </w:tc>
        <w:tc>
          <w:tcPr>
            <w:tcW w:w="126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Number of administration methods used in the past 30 days</w:t>
            </w:r>
          </w:p>
        </w:tc>
        <w:tc>
          <w:tcPr>
            <w:tcW w:w="108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thickThinSmallGap" w:sz="2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single" w:sz="4" w:space="0" w:color="auto"/>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methods</w:t>
            </w:r>
          </w:p>
        </w:tc>
        <w:tc>
          <w:tcPr>
            <w:tcW w:w="1080" w:type="dxa"/>
            <w:tcBorders>
              <w:top w:val="single" w:sz="4" w:space="0" w:color="auto"/>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w:t>
            </w:r>
            <w:r w:rsidRPr="000E5D59">
              <w:rPr>
                <w:rFonts w:ascii="Arial" w:eastAsia="Times New Roman" w:hAnsi="Arial" w:cs="Arial"/>
                <w:sz w:val="20"/>
                <w:szCs w:val="20"/>
              </w:rPr>
              <w:br/>
              <w:t>1.21</w:t>
            </w:r>
          </w:p>
        </w:tc>
        <w:tc>
          <w:tcPr>
            <w:tcW w:w="1620" w:type="dxa"/>
            <w:tcBorders>
              <w:top w:val="single" w:sz="4" w:space="0" w:color="auto"/>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w:t>
            </w:r>
            <w:r w:rsidRPr="000E5D59">
              <w:rPr>
                <w:rFonts w:ascii="Arial" w:eastAsia="Times New Roman" w:hAnsi="Arial" w:cs="Arial"/>
                <w:sz w:val="20"/>
                <w:szCs w:val="20"/>
              </w:rPr>
              <w:br/>
              <w:t>1.05</w:t>
            </w:r>
          </w:p>
        </w:tc>
        <w:tc>
          <w:tcPr>
            <w:tcW w:w="1530" w:type="dxa"/>
            <w:tcBorders>
              <w:top w:val="single" w:sz="4" w:space="0" w:color="auto"/>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w:t>
            </w:r>
            <w:r w:rsidRPr="000E5D59">
              <w:rPr>
                <w:rFonts w:ascii="Arial" w:eastAsia="Times New Roman" w:hAnsi="Arial" w:cs="Arial"/>
                <w:sz w:val="20"/>
                <w:szCs w:val="20"/>
              </w:rPr>
              <w:br/>
              <w:t>1.32</w:t>
            </w:r>
          </w:p>
        </w:tc>
        <w:tc>
          <w:tcPr>
            <w:tcW w:w="1260" w:type="dxa"/>
            <w:tcBorders>
              <w:top w:val="single" w:sz="4" w:space="0" w:color="auto"/>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 method</w:t>
            </w:r>
          </w:p>
        </w:tc>
        <w:tc>
          <w:tcPr>
            <w:tcW w:w="1080" w:type="dxa"/>
            <w:tcBorders>
              <w:top w:val="nil"/>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953</w:t>
            </w:r>
            <w:r w:rsidRPr="000E5D59">
              <w:rPr>
                <w:rFonts w:ascii="Arial" w:eastAsia="Times New Roman" w:hAnsi="Arial" w:cs="Arial"/>
                <w:sz w:val="20"/>
                <w:szCs w:val="20"/>
              </w:rPr>
              <w:br/>
              <w:t>15.59</w:t>
            </w:r>
          </w:p>
        </w:tc>
        <w:tc>
          <w:tcPr>
            <w:tcW w:w="1620" w:type="dxa"/>
            <w:tcBorders>
              <w:top w:val="nil"/>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381</w:t>
            </w:r>
            <w:r w:rsidRPr="000E5D59">
              <w:rPr>
                <w:rFonts w:ascii="Arial" w:eastAsia="Times New Roman" w:hAnsi="Arial" w:cs="Arial"/>
                <w:sz w:val="20"/>
                <w:szCs w:val="20"/>
              </w:rPr>
              <w:br/>
              <w:t>11.82</w:t>
            </w:r>
          </w:p>
        </w:tc>
        <w:tc>
          <w:tcPr>
            <w:tcW w:w="153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554</w:t>
            </w:r>
            <w:r w:rsidRPr="000E5D59">
              <w:rPr>
                <w:rFonts w:ascii="Arial" w:eastAsia="Times New Roman" w:hAnsi="Arial" w:cs="Arial"/>
                <w:sz w:val="20"/>
                <w:szCs w:val="20"/>
              </w:rPr>
              <w:br/>
              <w:t>19.84</w:t>
            </w:r>
          </w:p>
        </w:tc>
        <w:tc>
          <w:tcPr>
            <w:tcW w:w="126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 methods</w:t>
            </w:r>
          </w:p>
        </w:tc>
        <w:tc>
          <w:tcPr>
            <w:tcW w:w="1080" w:type="dxa"/>
            <w:tcBorders>
              <w:top w:val="nil"/>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1619</w:t>
            </w:r>
            <w:r w:rsidRPr="000E5D59">
              <w:rPr>
                <w:rFonts w:ascii="Arial" w:eastAsia="Times New Roman" w:hAnsi="Arial" w:cs="Arial"/>
                <w:sz w:val="20"/>
                <w:szCs w:val="20"/>
              </w:rPr>
              <w:br/>
              <w:t>26.49</w:t>
            </w:r>
          </w:p>
        </w:tc>
        <w:tc>
          <w:tcPr>
            <w:tcW w:w="1620" w:type="dxa"/>
            <w:tcBorders>
              <w:top w:val="nil"/>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724</w:t>
            </w:r>
            <w:r w:rsidRPr="000E5D59">
              <w:rPr>
                <w:rFonts w:ascii="Arial" w:eastAsia="Times New Roman" w:hAnsi="Arial" w:cs="Arial"/>
                <w:sz w:val="20"/>
                <w:szCs w:val="20"/>
              </w:rPr>
              <w:br/>
              <w:t>22.46</w:t>
            </w:r>
          </w:p>
        </w:tc>
        <w:tc>
          <w:tcPr>
            <w:tcW w:w="153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858</w:t>
            </w:r>
            <w:r w:rsidRPr="000E5D59">
              <w:rPr>
                <w:rFonts w:ascii="Arial" w:eastAsia="Times New Roman" w:hAnsi="Arial" w:cs="Arial"/>
                <w:sz w:val="20"/>
                <w:szCs w:val="20"/>
              </w:rPr>
              <w:br/>
              <w:t>30.72</w:t>
            </w:r>
          </w:p>
        </w:tc>
        <w:tc>
          <w:tcPr>
            <w:tcW w:w="126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 methods</w:t>
            </w:r>
          </w:p>
        </w:tc>
        <w:tc>
          <w:tcPr>
            <w:tcW w:w="1080" w:type="dxa"/>
            <w:tcBorders>
              <w:top w:val="nil"/>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1598</w:t>
            </w:r>
            <w:r w:rsidRPr="000E5D59">
              <w:rPr>
                <w:rFonts w:ascii="Arial" w:eastAsia="Times New Roman" w:hAnsi="Arial" w:cs="Arial"/>
                <w:sz w:val="20"/>
                <w:szCs w:val="20"/>
              </w:rPr>
              <w:br/>
              <w:t>26.15</w:t>
            </w:r>
          </w:p>
        </w:tc>
        <w:tc>
          <w:tcPr>
            <w:tcW w:w="1620" w:type="dxa"/>
            <w:tcBorders>
              <w:top w:val="nil"/>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861</w:t>
            </w:r>
            <w:r w:rsidRPr="000E5D59">
              <w:rPr>
                <w:rFonts w:ascii="Arial" w:eastAsia="Times New Roman" w:hAnsi="Arial" w:cs="Arial"/>
                <w:sz w:val="20"/>
                <w:szCs w:val="20"/>
              </w:rPr>
              <w:br/>
              <w:t>26.71</w:t>
            </w:r>
          </w:p>
        </w:tc>
        <w:tc>
          <w:tcPr>
            <w:tcW w:w="153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721</w:t>
            </w:r>
            <w:r w:rsidRPr="000E5D59">
              <w:rPr>
                <w:rFonts w:ascii="Arial" w:eastAsia="Times New Roman" w:hAnsi="Arial" w:cs="Arial"/>
                <w:sz w:val="20"/>
                <w:szCs w:val="20"/>
              </w:rPr>
              <w:br/>
              <w:t>25.81</w:t>
            </w:r>
          </w:p>
        </w:tc>
        <w:tc>
          <w:tcPr>
            <w:tcW w:w="126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 methods</w:t>
            </w:r>
          </w:p>
        </w:tc>
        <w:tc>
          <w:tcPr>
            <w:tcW w:w="1080" w:type="dxa"/>
            <w:tcBorders>
              <w:top w:val="nil"/>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1028</w:t>
            </w:r>
            <w:r w:rsidRPr="000E5D59">
              <w:rPr>
                <w:rFonts w:ascii="Arial" w:eastAsia="Times New Roman" w:hAnsi="Arial" w:cs="Arial"/>
                <w:sz w:val="20"/>
                <w:szCs w:val="20"/>
              </w:rPr>
              <w:br/>
              <w:t>16.82</w:t>
            </w:r>
          </w:p>
        </w:tc>
        <w:tc>
          <w:tcPr>
            <w:tcW w:w="1620" w:type="dxa"/>
            <w:tcBorders>
              <w:top w:val="nil"/>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632</w:t>
            </w:r>
            <w:r w:rsidRPr="000E5D59">
              <w:rPr>
                <w:rFonts w:ascii="Arial" w:eastAsia="Times New Roman" w:hAnsi="Arial" w:cs="Arial"/>
                <w:sz w:val="20"/>
                <w:szCs w:val="20"/>
              </w:rPr>
              <w:br/>
              <w:t>19.60</w:t>
            </w:r>
          </w:p>
        </w:tc>
        <w:tc>
          <w:tcPr>
            <w:tcW w:w="153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381</w:t>
            </w:r>
            <w:r w:rsidRPr="000E5D59">
              <w:rPr>
                <w:rFonts w:ascii="Arial" w:eastAsia="Times New Roman" w:hAnsi="Arial" w:cs="Arial"/>
                <w:sz w:val="20"/>
                <w:szCs w:val="20"/>
              </w:rPr>
              <w:br/>
              <w:t>13.64</w:t>
            </w:r>
          </w:p>
        </w:tc>
        <w:tc>
          <w:tcPr>
            <w:tcW w:w="126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 methods</w:t>
            </w:r>
          </w:p>
        </w:tc>
        <w:tc>
          <w:tcPr>
            <w:tcW w:w="1080" w:type="dxa"/>
            <w:tcBorders>
              <w:top w:val="nil"/>
              <w:left w:val="single" w:sz="4"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839</w:t>
            </w:r>
            <w:r w:rsidRPr="000E5D59">
              <w:rPr>
                <w:rFonts w:ascii="Arial" w:eastAsia="Times New Roman" w:hAnsi="Arial" w:cs="Arial"/>
                <w:sz w:val="20"/>
                <w:szCs w:val="20"/>
              </w:rPr>
              <w:br/>
              <w:t>13.73</w:t>
            </w:r>
          </w:p>
        </w:tc>
        <w:tc>
          <w:tcPr>
            <w:tcW w:w="1620" w:type="dxa"/>
            <w:tcBorders>
              <w:top w:val="nil"/>
              <w:left w:val="thickThinSmallGap" w:sz="2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592</w:t>
            </w:r>
            <w:r w:rsidRPr="000E5D59">
              <w:rPr>
                <w:rFonts w:ascii="Arial" w:eastAsia="Times New Roman" w:hAnsi="Arial" w:cs="Arial"/>
                <w:sz w:val="20"/>
                <w:szCs w:val="20"/>
              </w:rPr>
              <w:br/>
              <w:t>18.36</w:t>
            </w:r>
          </w:p>
        </w:tc>
        <w:tc>
          <w:tcPr>
            <w:tcW w:w="1530" w:type="dxa"/>
            <w:tcBorders>
              <w:top w:val="nil"/>
              <w:left w:val="single" w:sz="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242</w:t>
            </w:r>
            <w:r w:rsidRPr="000E5D59">
              <w:rPr>
                <w:rFonts w:ascii="Arial" w:eastAsia="Times New Roman" w:hAnsi="Arial" w:cs="Arial"/>
                <w:sz w:val="20"/>
                <w:szCs w:val="20"/>
              </w:rPr>
              <w:br/>
              <w:t>8.66</w:t>
            </w:r>
          </w:p>
        </w:tc>
        <w:tc>
          <w:tcPr>
            <w:tcW w:w="1260" w:type="dxa"/>
            <w:tcBorders>
              <w:top w:val="nil"/>
              <w:left w:val="single" w:sz="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single" w:sz="4" w:space="0" w:color="auto"/>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Typical marijuana / product use</w:t>
            </w:r>
          </w:p>
        </w:tc>
        <w:tc>
          <w:tcPr>
            <w:tcW w:w="1080" w:type="dxa"/>
            <w:tcBorders>
              <w:top w:val="single" w:sz="4" w:space="0" w:color="auto"/>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6081</w:t>
            </w:r>
          </w:p>
        </w:tc>
        <w:tc>
          <w:tcPr>
            <w:tcW w:w="1620" w:type="dxa"/>
            <w:tcBorders>
              <w:top w:val="single" w:sz="4" w:space="0" w:color="auto"/>
              <w:left w:val="thickThinSmallGap" w:sz="2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sz w:val="20"/>
                <w:szCs w:val="20"/>
              </w:rPr>
              <w:t>Higher in THC</w:t>
            </w:r>
          </w:p>
        </w:tc>
        <w:tc>
          <w:tcPr>
            <w:tcW w:w="108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2760</w:t>
            </w:r>
            <w:r w:rsidRPr="000E5D59">
              <w:rPr>
                <w:rFonts w:ascii="Arial" w:eastAsia="Times New Roman" w:hAnsi="Arial" w:cs="Arial"/>
                <w:sz w:val="20"/>
                <w:szCs w:val="20"/>
              </w:rPr>
              <w:br/>
              <w:t>45.39</w:t>
            </w:r>
          </w:p>
        </w:tc>
        <w:tc>
          <w:tcPr>
            <w:tcW w:w="1620" w:type="dxa"/>
            <w:tcBorders>
              <w:top w:val="nil"/>
              <w:left w:val="thickThinSmallGap" w:sz="24" w:space="0" w:color="auto"/>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1594</w:t>
            </w:r>
            <w:r w:rsidRPr="000E5D59">
              <w:rPr>
                <w:rFonts w:ascii="Arial" w:eastAsia="Times New Roman" w:hAnsi="Arial" w:cs="Arial"/>
                <w:sz w:val="20"/>
                <w:szCs w:val="20"/>
              </w:rPr>
              <w:br/>
              <w:t>49.67</w:t>
            </w:r>
          </w:p>
        </w:tc>
        <w:tc>
          <w:tcPr>
            <w:tcW w:w="153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1123</w:t>
            </w:r>
            <w:r w:rsidRPr="000E5D59">
              <w:rPr>
                <w:rFonts w:ascii="Arial" w:eastAsia="Times New Roman" w:hAnsi="Arial" w:cs="Arial"/>
                <w:sz w:val="20"/>
                <w:szCs w:val="20"/>
              </w:rPr>
              <w:br/>
              <w:t>40.42</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Higher in CBD</w:t>
            </w:r>
          </w:p>
        </w:tc>
        <w:tc>
          <w:tcPr>
            <w:tcW w:w="108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844</w:t>
            </w:r>
            <w:r w:rsidRPr="000E5D59">
              <w:rPr>
                <w:rFonts w:ascii="Arial" w:eastAsia="Times New Roman" w:hAnsi="Arial" w:cs="Arial"/>
                <w:sz w:val="20"/>
                <w:szCs w:val="20"/>
              </w:rPr>
              <w:br/>
              <w:t>13.88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365</w:t>
            </w:r>
            <w:r w:rsidRPr="000E5D59">
              <w:rPr>
                <w:rFonts w:ascii="Arial" w:eastAsia="Times New Roman" w:hAnsi="Arial" w:cs="Arial"/>
                <w:sz w:val="20"/>
                <w:szCs w:val="20"/>
              </w:rPr>
              <w:br/>
              <w:t>11.37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463</w:t>
            </w:r>
            <w:r w:rsidRPr="000E5D59">
              <w:rPr>
                <w:rFonts w:ascii="Arial" w:eastAsia="Times New Roman" w:hAnsi="Arial" w:cs="Arial"/>
                <w:sz w:val="20"/>
                <w:szCs w:val="20"/>
              </w:rPr>
              <w:br/>
              <w:t>16.67</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Contain somewhat equal amounts of THC and CBD</w:t>
            </w:r>
          </w:p>
        </w:tc>
        <w:tc>
          <w:tcPr>
            <w:tcW w:w="108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2063</w:t>
            </w:r>
            <w:r w:rsidRPr="000E5D59">
              <w:rPr>
                <w:rFonts w:ascii="Arial" w:eastAsia="Times New Roman" w:hAnsi="Arial" w:cs="Arial"/>
                <w:sz w:val="20"/>
                <w:szCs w:val="20"/>
              </w:rPr>
              <w:br/>
              <w:t>33.93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1100</w:t>
            </w:r>
            <w:r w:rsidRPr="000E5D59">
              <w:rPr>
                <w:rFonts w:ascii="Arial" w:eastAsia="Times New Roman" w:hAnsi="Arial" w:cs="Arial"/>
                <w:sz w:val="20"/>
                <w:szCs w:val="20"/>
              </w:rPr>
              <w:br/>
              <w:t>34.28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935</w:t>
            </w:r>
            <w:r w:rsidRPr="000E5D59">
              <w:rPr>
                <w:rFonts w:ascii="Arial" w:eastAsia="Times New Roman" w:hAnsi="Arial" w:cs="Arial"/>
                <w:sz w:val="20"/>
                <w:szCs w:val="20"/>
              </w:rPr>
              <w:br/>
              <w:t>33.66</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 / not sure</w:t>
            </w:r>
          </w:p>
        </w:tc>
        <w:tc>
          <w:tcPr>
            <w:tcW w:w="108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414</w:t>
            </w:r>
            <w:r w:rsidRPr="000E5D59">
              <w:rPr>
                <w:rFonts w:ascii="Arial" w:eastAsia="Times New Roman" w:hAnsi="Arial" w:cs="Arial"/>
                <w:sz w:val="20"/>
                <w:szCs w:val="20"/>
              </w:rPr>
              <w:br/>
              <w:t>6.81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150</w:t>
            </w:r>
            <w:r w:rsidRPr="000E5D59">
              <w:rPr>
                <w:rFonts w:ascii="Arial" w:eastAsia="Times New Roman" w:hAnsi="Arial" w:cs="Arial"/>
                <w:sz w:val="20"/>
                <w:szCs w:val="20"/>
              </w:rPr>
              <w:br/>
              <w:t>4.67</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257</w:t>
            </w:r>
            <w:r w:rsidRPr="000E5D59">
              <w:rPr>
                <w:rFonts w:ascii="Arial" w:eastAsia="Times New Roman" w:hAnsi="Arial" w:cs="Arial"/>
                <w:sz w:val="20"/>
                <w:szCs w:val="20"/>
              </w:rPr>
              <w:br/>
              <w:t>9.25</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(Continued) Table 5B: DPH Patient Survey Methods of Administration by Age Group (Among 6,111 Respondents who </w:t>
      </w:r>
      <w:r w:rsidR="000941B7">
        <w:rPr>
          <w:rFonts w:ascii="Arial" w:eastAsia="Calibri" w:hAnsi="Arial" w:cs="Arial"/>
          <w:b/>
          <w:sz w:val="24"/>
          <w:szCs w:val="24"/>
        </w:rPr>
        <w:t>Used Marijuana in Past 30 Days)</w:t>
      </w:r>
    </w:p>
    <w:tbl>
      <w:tblPr>
        <w:tblW w:w="0" w:type="auto"/>
        <w:tblInd w:w="93" w:type="dxa"/>
        <w:tblLook w:val="04A0" w:firstRow="1" w:lastRow="0" w:firstColumn="1" w:lastColumn="0" w:noHBand="0" w:noVBand="1"/>
        <w:tblCaption w:val="Continued: DPH Patient Survey Methods of Administration by Age Group (Among 6,111 Respondents who Used Marijuana in Past 30 Days)"/>
        <w:tblDescription w:val="This table is a continuation of the table from the previous page (the complete table did not fit on a single page). &#10;The table summarizes methods of use compared between age groups of 50 years or younger and 51 years or older. More respondents aged 51 or older reported using 1 or 2 methods, while more younger respondents reported using 4 or 5+ methods. More respondents under the age of 51 reported using products higher in THC, while more older respondents reported using products higher in CBD or not knowing. More respondents under age 51 reported smoking dried flower, using vaporized dried flower, vaporized concentrate, dabbed marijuana products, edible marijuana products, and drinkable marijuana products.&#10;"/>
      </w:tblPr>
      <w:tblGrid>
        <w:gridCol w:w="3975"/>
        <w:gridCol w:w="1080"/>
        <w:gridCol w:w="1620"/>
        <w:gridCol w:w="1530"/>
        <w:gridCol w:w="1260"/>
      </w:tblGrid>
      <w:tr w:rsidR="000E5D59" w:rsidRPr="000E5D59" w:rsidTr="00784755">
        <w:trPr>
          <w:trHeight w:val="20"/>
        </w:trPr>
        <w:tc>
          <w:tcPr>
            <w:tcW w:w="397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Total</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bCs/>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bCs/>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397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(N=3224)</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(N=2793)</w:t>
            </w:r>
          </w:p>
        </w:tc>
        <w:tc>
          <w:tcPr>
            <w:tcW w:w="126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397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Method of administration used (one time or more) in the past 30 days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Smoked dried flower</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3921</w:t>
            </w:r>
            <w:r w:rsidRPr="000E5D59">
              <w:rPr>
                <w:rFonts w:ascii="Arial" w:eastAsia="Times New Roman" w:hAnsi="Arial" w:cs="Arial"/>
                <w:sz w:val="20"/>
                <w:szCs w:val="20"/>
              </w:rPr>
              <w:br/>
              <w:t>65.12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2296</w:t>
            </w:r>
            <w:r w:rsidRPr="000E5D59">
              <w:rPr>
                <w:rFonts w:ascii="Arial" w:eastAsia="Times New Roman" w:hAnsi="Arial" w:cs="Arial"/>
                <w:sz w:val="20"/>
                <w:szCs w:val="20"/>
              </w:rPr>
              <w:br/>
              <w:t>72.22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1573</w:t>
            </w:r>
            <w:r w:rsidRPr="000E5D59">
              <w:rPr>
                <w:rFonts w:ascii="Arial" w:eastAsia="Times New Roman" w:hAnsi="Arial" w:cs="Arial"/>
                <w:sz w:val="20"/>
                <w:szCs w:val="20"/>
              </w:rPr>
              <w:br/>
              <w:t>57.24</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Vaporized dried flower</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1704</w:t>
            </w:r>
            <w:r w:rsidRPr="000E5D59">
              <w:rPr>
                <w:rFonts w:ascii="Arial" w:eastAsia="Times New Roman" w:hAnsi="Arial" w:cs="Arial"/>
                <w:sz w:val="20"/>
                <w:szCs w:val="20"/>
              </w:rPr>
              <w:br/>
              <w:t>28.30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975</w:t>
            </w:r>
            <w:r w:rsidRPr="000E5D59">
              <w:rPr>
                <w:rFonts w:ascii="Arial" w:eastAsia="Times New Roman" w:hAnsi="Arial" w:cs="Arial"/>
                <w:sz w:val="20"/>
                <w:szCs w:val="20"/>
              </w:rPr>
              <w:br/>
              <w:t>30.67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706</w:t>
            </w:r>
            <w:r w:rsidRPr="000E5D59">
              <w:rPr>
                <w:rFonts w:ascii="Arial" w:eastAsia="Times New Roman" w:hAnsi="Arial" w:cs="Arial"/>
                <w:sz w:val="20"/>
                <w:szCs w:val="20"/>
              </w:rPr>
              <w:br/>
              <w:t>25.69</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Vaporized concentrated (cartridge/vape oil)</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3751</w:t>
            </w:r>
            <w:r w:rsidRPr="000E5D59">
              <w:rPr>
                <w:rFonts w:ascii="Arial" w:eastAsia="Times New Roman" w:hAnsi="Arial" w:cs="Arial"/>
                <w:sz w:val="20"/>
                <w:szCs w:val="20"/>
              </w:rPr>
              <w:br/>
              <w:t>62.30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2174</w:t>
            </w:r>
            <w:r w:rsidRPr="000E5D59">
              <w:rPr>
                <w:rFonts w:ascii="Arial" w:eastAsia="Times New Roman" w:hAnsi="Arial" w:cs="Arial"/>
                <w:sz w:val="20"/>
                <w:szCs w:val="20"/>
              </w:rPr>
              <w:br/>
              <w:t>68.39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1523</w:t>
            </w:r>
            <w:r w:rsidRPr="000E5D59">
              <w:rPr>
                <w:rFonts w:ascii="Arial" w:eastAsia="Times New Roman" w:hAnsi="Arial" w:cs="Arial"/>
                <w:sz w:val="20"/>
                <w:szCs w:val="20"/>
              </w:rPr>
              <w:br/>
              <w:t>55.42</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Dabbed marijuana products (butane hash oil, wax, shatter, etc.)</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984</w:t>
            </w:r>
            <w:r w:rsidRPr="000E5D59">
              <w:rPr>
                <w:rFonts w:ascii="Arial" w:eastAsia="Times New Roman" w:hAnsi="Arial" w:cs="Arial"/>
                <w:sz w:val="20"/>
                <w:szCs w:val="20"/>
              </w:rPr>
              <w:br/>
              <w:t>16.34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727</w:t>
            </w:r>
            <w:r w:rsidRPr="000E5D59">
              <w:rPr>
                <w:rFonts w:ascii="Arial" w:eastAsia="Times New Roman" w:hAnsi="Arial" w:cs="Arial"/>
                <w:sz w:val="20"/>
                <w:szCs w:val="20"/>
              </w:rPr>
              <w:br/>
              <w:t>22.87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250</w:t>
            </w:r>
            <w:r w:rsidRPr="000E5D59">
              <w:rPr>
                <w:rFonts w:ascii="Arial" w:eastAsia="Times New Roman" w:hAnsi="Arial" w:cs="Arial"/>
                <w:sz w:val="20"/>
                <w:szCs w:val="20"/>
              </w:rPr>
              <w:br/>
              <w:t>9.10</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Ate marijuana products (brownies, cakes, cookies, etc.)</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3074</w:t>
            </w:r>
            <w:r w:rsidRPr="000E5D59">
              <w:rPr>
                <w:rFonts w:ascii="Arial" w:eastAsia="Times New Roman" w:hAnsi="Arial" w:cs="Arial"/>
                <w:sz w:val="20"/>
                <w:szCs w:val="20"/>
              </w:rPr>
              <w:br/>
              <w:t>51.05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1878</w:t>
            </w:r>
            <w:r w:rsidRPr="000E5D59">
              <w:rPr>
                <w:rFonts w:ascii="Arial" w:eastAsia="Times New Roman" w:hAnsi="Arial" w:cs="Arial"/>
                <w:sz w:val="20"/>
                <w:szCs w:val="20"/>
              </w:rPr>
              <w:br/>
              <w:t>59.08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1166</w:t>
            </w:r>
            <w:r w:rsidRPr="000E5D59">
              <w:rPr>
                <w:rFonts w:ascii="Arial" w:eastAsia="Times New Roman" w:hAnsi="Arial" w:cs="Arial"/>
                <w:sz w:val="20"/>
                <w:szCs w:val="20"/>
              </w:rPr>
              <w:br/>
              <w:t>42.43</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Drank marijuana infused products (tea, cola, alcohol, etc.)</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285</w:t>
            </w:r>
            <w:r w:rsidRPr="000E5D59">
              <w:rPr>
                <w:rFonts w:ascii="Arial" w:eastAsia="Times New Roman" w:hAnsi="Arial" w:cs="Arial"/>
                <w:sz w:val="20"/>
                <w:szCs w:val="20"/>
              </w:rPr>
              <w:br/>
              <w:t>4.73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203</w:t>
            </w:r>
            <w:r w:rsidRPr="000E5D59">
              <w:rPr>
                <w:rFonts w:ascii="Arial" w:eastAsia="Times New Roman" w:hAnsi="Arial" w:cs="Arial"/>
                <w:sz w:val="20"/>
                <w:szCs w:val="20"/>
              </w:rPr>
              <w:br/>
              <w:t>6.39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w:t>
            </w:r>
            <w:r w:rsidRPr="000E5D59">
              <w:rPr>
                <w:rFonts w:ascii="Arial" w:eastAsia="Times New Roman" w:hAnsi="Arial" w:cs="Arial"/>
                <w:sz w:val="20"/>
                <w:szCs w:val="20"/>
              </w:rPr>
              <w:br/>
              <w:t>2.87</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Used sublingual (under the tongue) or orally administered uptake products (dissolvable strips, sublingual sprays, oil, tinctures, medicated lozenges, etc.)</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1413</w:t>
            </w:r>
            <w:r w:rsidRPr="000E5D59">
              <w:rPr>
                <w:rFonts w:ascii="Arial" w:eastAsia="Times New Roman" w:hAnsi="Arial" w:cs="Arial"/>
                <w:sz w:val="20"/>
                <w:szCs w:val="20"/>
              </w:rPr>
              <w:br/>
              <w:t>23.47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692</w:t>
            </w:r>
            <w:r w:rsidRPr="000E5D59">
              <w:rPr>
                <w:rFonts w:ascii="Arial" w:eastAsia="Times New Roman" w:hAnsi="Arial" w:cs="Arial"/>
                <w:sz w:val="20"/>
                <w:szCs w:val="20"/>
              </w:rPr>
              <w:br/>
              <w:t>21.77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708</w:t>
            </w:r>
            <w:r w:rsidRPr="000E5D59">
              <w:rPr>
                <w:rFonts w:ascii="Arial" w:eastAsia="Times New Roman" w:hAnsi="Arial" w:cs="Arial"/>
                <w:sz w:val="20"/>
                <w:szCs w:val="20"/>
              </w:rPr>
              <w:br/>
              <w:t>25.76</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Used oral capsules/tablets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651</w:t>
            </w:r>
            <w:r w:rsidRPr="000E5D59">
              <w:rPr>
                <w:rFonts w:ascii="Arial" w:eastAsia="Times New Roman" w:hAnsi="Arial" w:cs="Arial"/>
                <w:sz w:val="20"/>
                <w:szCs w:val="20"/>
              </w:rPr>
              <w:br/>
              <w:t>10.81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357</w:t>
            </w:r>
            <w:r w:rsidRPr="000E5D59">
              <w:rPr>
                <w:rFonts w:ascii="Arial" w:eastAsia="Times New Roman" w:hAnsi="Arial" w:cs="Arial"/>
                <w:sz w:val="20"/>
                <w:szCs w:val="20"/>
              </w:rPr>
              <w:br/>
              <w:t>11.23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285</w:t>
            </w:r>
            <w:r w:rsidRPr="000E5D59">
              <w:rPr>
                <w:rFonts w:ascii="Arial" w:eastAsia="Times New Roman" w:hAnsi="Arial" w:cs="Arial"/>
                <w:sz w:val="20"/>
                <w:szCs w:val="20"/>
              </w:rPr>
              <w:br/>
              <w:t>10.37</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Applied topical cannabis oil, ointment, lotion, cream, slave, etc. to skin</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1600</w:t>
            </w:r>
            <w:r w:rsidRPr="000E5D59">
              <w:rPr>
                <w:rFonts w:ascii="Arial" w:eastAsia="Times New Roman" w:hAnsi="Arial" w:cs="Arial"/>
                <w:sz w:val="20"/>
                <w:szCs w:val="20"/>
              </w:rPr>
              <w:br/>
              <w:t>26.57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803</w:t>
            </w:r>
            <w:r w:rsidRPr="000E5D59">
              <w:rPr>
                <w:rFonts w:ascii="Arial" w:eastAsia="Times New Roman" w:hAnsi="Arial" w:cs="Arial"/>
                <w:sz w:val="20"/>
                <w:szCs w:val="20"/>
              </w:rPr>
              <w:br/>
              <w:t>25.26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770</w:t>
            </w:r>
            <w:r w:rsidRPr="000E5D59">
              <w:rPr>
                <w:rFonts w:ascii="Arial" w:eastAsia="Times New Roman" w:hAnsi="Arial" w:cs="Arial"/>
                <w:sz w:val="20"/>
                <w:szCs w:val="20"/>
              </w:rPr>
              <w:br/>
              <w:t>28.02</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Used rectal/vaginal cannabis suppositories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75</w:t>
            </w:r>
            <w:r w:rsidRPr="000E5D59">
              <w:rPr>
                <w:rFonts w:ascii="Arial" w:eastAsia="Times New Roman" w:hAnsi="Arial" w:cs="Arial"/>
                <w:sz w:val="20"/>
                <w:szCs w:val="20"/>
              </w:rPr>
              <w:br/>
              <w:t>1.25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w:t>
            </w:r>
            <w:r w:rsidRPr="000E5D59">
              <w:rPr>
                <w:rFonts w:ascii="Arial" w:eastAsia="Times New Roman" w:hAnsi="Arial" w:cs="Arial"/>
                <w:sz w:val="20"/>
                <w:szCs w:val="20"/>
              </w:rPr>
              <w:br/>
              <w:t>1.51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w:t>
            </w:r>
            <w:r w:rsidRPr="000E5D59">
              <w:rPr>
                <w:rFonts w:ascii="Arial" w:eastAsia="Times New Roman" w:hAnsi="Arial" w:cs="Arial"/>
                <w:sz w:val="20"/>
                <w:szCs w:val="20"/>
              </w:rPr>
              <w:br/>
              <w:t>0.95</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397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Other</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96</w:t>
            </w:r>
            <w:r w:rsidRPr="000E5D59">
              <w:rPr>
                <w:rFonts w:ascii="Arial" w:eastAsia="Times New Roman" w:hAnsi="Arial" w:cs="Arial"/>
                <w:sz w:val="20"/>
                <w:szCs w:val="20"/>
              </w:rPr>
              <w:br/>
              <w:t>1.59</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w:t>
            </w:r>
            <w:r w:rsidRPr="000E5D59">
              <w:rPr>
                <w:rFonts w:ascii="Arial" w:eastAsia="Times New Roman" w:hAnsi="Arial" w:cs="Arial"/>
                <w:sz w:val="20"/>
                <w:szCs w:val="20"/>
              </w:rPr>
              <w:br/>
              <w:t>1.42</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w:t>
            </w:r>
            <w:r w:rsidRPr="000E5D59">
              <w:rPr>
                <w:rFonts w:ascii="Arial" w:eastAsia="Times New Roman" w:hAnsi="Arial" w:cs="Arial"/>
                <w:sz w:val="20"/>
                <w:szCs w:val="20"/>
              </w:rPr>
              <w:br/>
              <w:t>1.78</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w:t>
            </w:r>
            <w:r w:rsidRPr="000E5D59">
              <w:rPr>
                <w:rFonts w:ascii="Arial" w:eastAsia="Times New Roman" w:hAnsi="Arial" w:cs="Arial"/>
                <w:i/>
                <w:iCs/>
                <w:sz w:val="20"/>
                <w:szCs w:val="20"/>
              </w:rPr>
              <w:t xml:space="preserve"> Percentages sum to more than 100% because respondents could choose more than one option</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bCs/>
          <w:sz w:val="24"/>
          <w:szCs w:val="24"/>
        </w:rPr>
        <w:lastRenderedPageBreak/>
        <w:t xml:space="preserve">Table 5C: DPH Patient Survey Methods of Administration by Education </w:t>
      </w:r>
      <w:r w:rsidRPr="000E5D59">
        <w:rPr>
          <w:rFonts w:ascii="Arial" w:eastAsia="Calibri" w:hAnsi="Arial" w:cs="Arial"/>
          <w:b/>
          <w:sz w:val="24"/>
          <w:szCs w:val="24"/>
        </w:rPr>
        <w:t xml:space="preserve">(Among 6,111 Respondents who </w:t>
      </w:r>
      <w:r w:rsidR="000941B7">
        <w:rPr>
          <w:rFonts w:ascii="Arial" w:eastAsia="Calibri" w:hAnsi="Arial" w:cs="Arial"/>
          <w:b/>
          <w:sz w:val="24"/>
          <w:szCs w:val="24"/>
        </w:rPr>
        <w:t>Used Marijuana in Past 30 Days)</w:t>
      </w:r>
    </w:p>
    <w:tbl>
      <w:tblPr>
        <w:tblW w:w="9465" w:type="dxa"/>
        <w:tblInd w:w="93" w:type="dxa"/>
        <w:tblLayout w:type="fixed"/>
        <w:tblLook w:val="04A0" w:firstRow="1" w:lastRow="0" w:firstColumn="1" w:lastColumn="0" w:noHBand="0" w:noVBand="1"/>
        <w:tblCaption w:val="DPH Patient Survey Methods of Administration by Education (Among 6,111 Respondents who Used Marijuana in Past 30 Days)"/>
        <w:tblDescription w:val="The table summarizes method os use comparisons between respondents with less than a bachelor's dree versus respondents with a bachelor's degree or higher. More respondents without a Bachelor’s degree reported using 4 or more methods. A slightly higher proportion of respondents without a Bachelor’s degree reported using products higher in THC or containing equal amounts of THC and CBD, while a slightly higher proportion of respondent with a Bachelor’s degree reported using products higher in CBD. More respondents without a Bachelor’s degree than with a degree reported smoking dried flower and using dabbed marijuana products.&#10;"/>
      </w:tblPr>
      <w:tblGrid>
        <w:gridCol w:w="3975"/>
        <w:gridCol w:w="1080"/>
        <w:gridCol w:w="1620"/>
        <w:gridCol w:w="1530"/>
        <w:gridCol w:w="1260"/>
      </w:tblGrid>
      <w:tr w:rsidR="000E5D59" w:rsidRPr="000E5D59" w:rsidTr="00784755">
        <w:trPr>
          <w:trHeight w:val="144"/>
        </w:trPr>
        <w:tc>
          <w:tcPr>
            <w:tcW w:w="397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Total</w:t>
            </w:r>
          </w:p>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N</w:t>
            </w:r>
          </w:p>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144"/>
        </w:trPr>
        <w:tc>
          <w:tcPr>
            <w:tcW w:w="397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(N=2871)</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(N=3223)</w:t>
            </w:r>
          </w:p>
        </w:tc>
        <w:tc>
          <w:tcPr>
            <w:tcW w:w="126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144"/>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Number of administration methods used in the past 30 days</w:t>
            </w:r>
          </w:p>
        </w:tc>
        <w:tc>
          <w:tcPr>
            <w:tcW w:w="108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thickThinSmallGap" w:sz="2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144"/>
        </w:trPr>
        <w:tc>
          <w:tcPr>
            <w:tcW w:w="3975" w:type="dxa"/>
            <w:tcBorders>
              <w:top w:val="single" w:sz="4" w:space="0" w:color="auto"/>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methods</w:t>
            </w:r>
          </w:p>
        </w:tc>
        <w:tc>
          <w:tcPr>
            <w:tcW w:w="1080" w:type="dxa"/>
            <w:tcBorders>
              <w:top w:val="single" w:sz="4" w:space="0" w:color="auto"/>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w:t>
            </w:r>
            <w:r w:rsidRPr="000E5D59">
              <w:rPr>
                <w:rFonts w:ascii="Arial" w:eastAsia="Times New Roman" w:hAnsi="Arial" w:cs="Arial"/>
                <w:sz w:val="20"/>
                <w:szCs w:val="20"/>
              </w:rPr>
              <w:br/>
              <w:t>1.21</w:t>
            </w:r>
          </w:p>
        </w:tc>
        <w:tc>
          <w:tcPr>
            <w:tcW w:w="1620" w:type="dxa"/>
            <w:tcBorders>
              <w:top w:val="single" w:sz="4" w:space="0" w:color="auto"/>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w:t>
            </w:r>
            <w:r w:rsidRPr="000E5D59">
              <w:rPr>
                <w:rFonts w:ascii="Arial" w:eastAsia="Times New Roman" w:hAnsi="Arial" w:cs="Arial"/>
                <w:sz w:val="20"/>
                <w:szCs w:val="20"/>
              </w:rPr>
              <w:br/>
              <w:t>1.53</w:t>
            </w:r>
          </w:p>
        </w:tc>
        <w:tc>
          <w:tcPr>
            <w:tcW w:w="1530" w:type="dxa"/>
            <w:tcBorders>
              <w:top w:val="single" w:sz="4" w:space="0" w:color="auto"/>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w:t>
            </w:r>
            <w:r w:rsidRPr="000E5D59">
              <w:rPr>
                <w:rFonts w:ascii="Arial" w:eastAsia="Times New Roman" w:hAnsi="Arial" w:cs="Arial"/>
                <w:sz w:val="20"/>
                <w:szCs w:val="20"/>
              </w:rPr>
              <w:br/>
              <w:t>0.93</w:t>
            </w:r>
          </w:p>
        </w:tc>
        <w:tc>
          <w:tcPr>
            <w:tcW w:w="1260" w:type="dxa"/>
            <w:tcBorders>
              <w:top w:val="single" w:sz="4" w:space="0" w:color="auto"/>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44"/>
        </w:trPr>
        <w:tc>
          <w:tcPr>
            <w:tcW w:w="3975" w:type="dxa"/>
            <w:tcBorders>
              <w:top w:val="nil"/>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 method</w:t>
            </w:r>
          </w:p>
        </w:tc>
        <w:tc>
          <w:tcPr>
            <w:tcW w:w="1080" w:type="dxa"/>
            <w:tcBorders>
              <w:top w:val="nil"/>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953</w:t>
            </w:r>
            <w:r w:rsidRPr="000E5D59">
              <w:rPr>
                <w:rFonts w:ascii="Arial" w:eastAsia="Times New Roman" w:hAnsi="Arial" w:cs="Arial"/>
                <w:sz w:val="20"/>
                <w:szCs w:val="20"/>
              </w:rPr>
              <w:br/>
              <w:t>15.59</w:t>
            </w:r>
          </w:p>
        </w:tc>
        <w:tc>
          <w:tcPr>
            <w:tcW w:w="1620" w:type="dxa"/>
            <w:tcBorders>
              <w:top w:val="nil"/>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447</w:t>
            </w:r>
            <w:r w:rsidRPr="000E5D59">
              <w:rPr>
                <w:rFonts w:ascii="Arial" w:eastAsia="Times New Roman" w:hAnsi="Arial" w:cs="Arial"/>
                <w:sz w:val="20"/>
                <w:szCs w:val="20"/>
              </w:rPr>
              <w:br/>
              <w:t>15.57</w:t>
            </w:r>
          </w:p>
        </w:tc>
        <w:tc>
          <w:tcPr>
            <w:tcW w:w="153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502</w:t>
            </w:r>
            <w:r w:rsidRPr="000E5D59">
              <w:rPr>
                <w:rFonts w:ascii="Arial" w:eastAsia="Times New Roman" w:hAnsi="Arial" w:cs="Arial"/>
                <w:sz w:val="20"/>
                <w:szCs w:val="20"/>
              </w:rPr>
              <w:br/>
              <w:t>15.58</w:t>
            </w:r>
          </w:p>
        </w:tc>
        <w:tc>
          <w:tcPr>
            <w:tcW w:w="126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44"/>
        </w:trPr>
        <w:tc>
          <w:tcPr>
            <w:tcW w:w="3975" w:type="dxa"/>
            <w:tcBorders>
              <w:top w:val="nil"/>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 methods</w:t>
            </w:r>
          </w:p>
        </w:tc>
        <w:tc>
          <w:tcPr>
            <w:tcW w:w="1080" w:type="dxa"/>
            <w:tcBorders>
              <w:top w:val="nil"/>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1619</w:t>
            </w:r>
            <w:r w:rsidRPr="000E5D59">
              <w:rPr>
                <w:rFonts w:ascii="Arial" w:eastAsia="Times New Roman" w:hAnsi="Arial" w:cs="Arial"/>
                <w:sz w:val="20"/>
                <w:szCs w:val="20"/>
              </w:rPr>
              <w:br/>
              <w:t>26.49</w:t>
            </w:r>
          </w:p>
        </w:tc>
        <w:tc>
          <w:tcPr>
            <w:tcW w:w="1620" w:type="dxa"/>
            <w:tcBorders>
              <w:top w:val="nil"/>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721</w:t>
            </w:r>
            <w:r w:rsidRPr="000E5D59">
              <w:rPr>
                <w:rFonts w:ascii="Arial" w:eastAsia="Times New Roman" w:hAnsi="Arial" w:cs="Arial"/>
                <w:sz w:val="20"/>
                <w:szCs w:val="20"/>
              </w:rPr>
              <w:br/>
              <w:t>25.11</w:t>
            </w:r>
          </w:p>
        </w:tc>
        <w:tc>
          <w:tcPr>
            <w:tcW w:w="153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892</w:t>
            </w:r>
            <w:r w:rsidRPr="000E5D59">
              <w:rPr>
                <w:rFonts w:ascii="Arial" w:eastAsia="Times New Roman" w:hAnsi="Arial" w:cs="Arial"/>
                <w:sz w:val="20"/>
                <w:szCs w:val="20"/>
              </w:rPr>
              <w:br/>
              <w:t>27.68</w:t>
            </w:r>
          </w:p>
        </w:tc>
        <w:tc>
          <w:tcPr>
            <w:tcW w:w="126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44"/>
        </w:trPr>
        <w:tc>
          <w:tcPr>
            <w:tcW w:w="3975" w:type="dxa"/>
            <w:tcBorders>
              <w:top w:val="nil"/>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 methods</w:t>
            </w:r>
          </w:p>
        </w:tc>
        <w:tc>
          <w:tcPr>
            <w:tcW w:w="1080" w:type="dxa"/>
            <w:tcBorders>
              <w:top w:val="nil"/>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1598</w:t>
            </w:r>
            <w:r w:rsidRPr="000E5D59">
              <w:rPr>
                <w:rFonts w:ascii="Arial" w:eastAsia="Times New Roman" w:hAnsi="Arial" w:cs="Arial"/>
                <w:sz w:val="20"/>
                <w:szCs w:val="20"/>
              </w:rPr>
              <w:br/>
              <w:t>26.15</w:t>
            </w:r>
          </w:p>
        </w:tc>
        <w:tc>
          <w:tcPr>
            <w:tcW w:w="1620" w:type="dxa"/>
            <w:tcBorders>
              <w:top w:val="nil"/>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679</w:t>
            </w:r>
            <w:r w:rsidRPr="000E5D59">
              <w:rPr>
                <w:rFonts w:ascii="Arial" w:eastAsia="Times New Roman" w:hAnsi="Arial" w:cs="Arial"/>
                <w:sz w:val="20"/>
                <w:szCs w:val="20"/>
              </w:rPr>
              <w:br/>
              <w:t>23.65</w:t>
            </w:r>
          </w:p>
        </w:tc>
        <w:tc>
          <w:tcPr>
            <w:tcW w:w="153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917</w:t>
            </w:r>
            <w:r w:rsidRPr="000E5D59">
              <w:rPr>
                <w:rFonts w:ascii="Arial" w:eastAsia="Times New Roman" w:hAnsi="Arial" w:cs="Arial"/>
                <w:sz w:val="20"/>
                <w:szCs w:val="20"/>
              </w:rPr>
              <w:br/>
              <w:t>28.45</w:t>
            </w:r>
          </w:p>
        </w:tc>
        <w:tc>
          <w:tcPr>
            <w:tcW w:w="126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44"/>
        </w:trPr>
        <w:tc>
          <w:tcPr>
            <w:tcW w:w="3975" w:type="dxa"/>
            <w:tcBorders>
              <w:top w:val="nil"/>
              <w:left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 methods</w:t>
            </w:r>
          </w:p>
        </w:tc>
        <w:tc>
          <w:tcPr>
            <w:tcW w:w="1080" w:type="dxa"/>
            <w:tcBorders>
              <w:top w:val="nil"/>
              <w:left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1028</w:t>
            </w:r>
            <w:r w:rsidRPr="000E5D59">
              <w:rPr>
                <w:rFonts w:ascii="Arial" w:eastAsia="Times New Roman" w:hAnsi="Arial" w:cs="Arial"/>
                <w:sz w:val="20"/>
                <w:szCs w:val="20"/>
              </w:rPr>
              <w:br/>
              <w:t>16.82</w:t>
            </w:r>
          </w:p>
        </w:tc>
        <w:tc>
          <w:tcPr>
            <w:tcW w:w="1620" w:type="dxa"/>
            <w:tcBorders>
              <w:top w:val="nil"/>
              <w:left w:val="thickThinSmallGap" w:sz="2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521</w:t>
            </w:r>
            <w:r w:rsidRPr="000E5D59">
              <w:rPr>
                <w:rFonts w:ascii="Arial" w:eastAsia="Times New Roman" w:hAnsi="Arial" w:cs="Arial"/>
                <w:sz w:val="20"/>
                <w:szCs w:val="20"/>
              </w:rPr>
              <w:br/>
              <w:t>18.15</w:t>
            </w:r>
          </w:p>
        </w:tc>
        <w:tc>
          <w:tcPr>
            <w:tcW w:w="153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503</w:t>
            </w:r>
            <w:r w:rsidRPr="000E5D59">
              <w:rPr>
                <w:rFonts w:ascii="Arial" w:eastAsia="Times New Roman" w:hAnsi="Arial" w:cs="Arial"/>
                <w:sz w:val="20"/>
                <w:szCs w:val="20"/>
              </w:rPr>
              <w:br/>
              <w:t>15.61</w:t>
            </w:r>
          </w:p>
        </w:tc>
        <w:tc>
          <w:tcPr>
            <w:tcW w:w="1260" w:type="dxa"/>
            <w:tcBorders>
              <w:top w:val="nil"/>
              <w:left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44"/>
        </w:trPr>
        <w:tc>
          <w:tcPr>
            <w:tcW w:w="3975" w:type="dxa"/>
            <w:tcBorders>
              <w:top w:val="nil"/>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 methods</w:t>
            </w:r>
          </w:p>
        </w:tc>
        <w:tc>
          <w:tcPr>
            <w:tcW w:w="1080" w:type="dxa"/>
            <w:tcBorders>
              <w:top w:val="nil"/>
              <w:left w:val="single" w:sz="4"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839</w:t>
            </w:r>
            <w:r w:rsidRPr="000E5D59">
              <w:rPr>
                <w:rFonts w:ascii="Arial" w:eastAsia="Times New Roman" w:hAnsi="Arial" w:cs="Arial"/>
                <w:sz w:val="20"/>
                <w:szCs w:val="20"/>
              </w:rPr>
              <w:br/>
              <w:t>13.73</w:t>
            </w:r>
          </w:p>
        </w:tc>
        <w:tc>
          <w:tcPr>
            <w:tcW w:w="1620" w:type="dxa"/>
            <w:tcBorders>
              <w:top w:val="nil"/>
              <w:left w:val="thickThinSmallGap" w:sz="2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459</w:t>
            </w:r>
            <w:r w:rsidRPr="000E5D59">
              <w:rPr>
                <w:rFonts w:ascii="Arial" w:eastAsia="Times New Roman" w:hAnsi="Arial" w:cs="Arial"/>
                <w:sz w:val="20"/>
                <w:szCs w:val="20"/>
              </w:rPr>
              <w:br/>
              <w:t>15.99</w:t>
            </w:r>
          </w:p>
        </w:tc>
        <w:tc>
          <w:tcPr>
            <w:tcW w:w="1530" w:type="dxa"/>
            <w:tcBorders>
              <w:top w:val="nil"/>
              <w:left w:val="single" w:sz="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379</w:t>
            </w:r>
            <w:r w:rsidRPr="000E5D59">
              <w:rPr>
                <w:rFonts w:ascii="Arial" w:eastAsia="Times New Roman" w:hAnsi="Arial" w:cs="Arial"/>
                <w:sz w:val="20"/>
                <w:szCs w:val="20"/>
              </w:rPr>
              <w:br/>
              <w:t>11.76</w:t>
            </w:r>
          </w:p>
        </w:tc>
        <w:tc>
          <w:tcPr>
            <w:tcW w:w="1260" w:type="dxa"/>
            <w:tcBorders>
              <w:top w:val="nil"/>
              <w:left w:val="single" w:sz="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44"/>
        </w:trPr>
        <w:tc>
          <w:tcPr>
            <w:tcW w:w="3975" w:type="dxa"/>
            <w:tcBorders>
              <w:top w:val="single" w:sz="4" w:space="0" w:color="auto"/>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Typical marijuana / product use</w:t>
            </w:r>
          </w:p>
        </w:tc>
        <w:tc>
          <w:tcPr>
            <w:tcW w:w="1080" w:type="dxa"/>
            <w:tcBorders>
              <w:top w:val="single" w:sz="4" w:space="0" w:color="auto"/>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6081</w:t>
            </w:r>
          </w:p>
        </w:tc>
        <w:tc>
          <w:tcPr>
            <w:tcW w:w="1620" w:type="dxa"/>
            <w:tcBorders>
              <w:top w:val="single" w:sz="4" w:space="0" w:color="auto"/>
              <w:left w:val="thickThinSmallGap" w:sz="24" w:space="0" w:color="auto"/>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144"/>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sz w:val="20"/>
                <w:szCs w:val="20"/>
              </w:rPr>
              <w:t>Higher in THC</w:t>
            </w:r>
          </w:p>
        </w:tc>
        <w:tc>
          <w:tcPr>
            <w:tcW w:w="108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2760</w:t>
            </w:r>
            <w:r w:rsidRPr="000E5D59">
              <w:rPr>
                <w:rFonts w:ascii="Arial" w:eastAsia="Times New Roman" w:hAnsi="Arial" w:cs="Arial"/>
                <w:sz w:val="20"/>
                <w:szCs w:val="20"/>
              </w:rPr>
              <w:br/>
              <w:t>45.39</w:t>
            </w:r>
          </w:p>
        </w:tc>
        <w:tc>
          <w:tcPr>
            <w:tcW w:w="1620" w:type="dxa"/>
            <w:tcBorders>
              <w:top w:val="nil"/>
              <w:left w:val="thickThinSmallGap" w:sz="24" w:space="0" w:color="auto"/>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1323</w:t>
            </w:r>
            <w:r w:rsidRPr="000E5D59">
              <w:rPr>
                <w:rFonts w:ascii="Arial" w:eastAsia="Times New Roman" w:hAnsi="Arial" w:cs="Arial"/>
                <w:sz w:val="20"/>
                <w:szCs w:val="20"/>
              </w:rPr>
              <w:br/>
              <w:t>46.36</w:t>
            </w:r>
          </w:p>
        </w:tc>
        <w:tc>
          <w:tcPr>
            <w:tcW w:w="153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1433</w:t>
            </w:r>
            <w:r w:rsidRPr="000E5D59">
              <w:rPr>
                <w:rFonts w:ascii="Arial" w:eastAsia="Times New Roman" w:hAnsi="Arial" w:cs="Arial"/>
                <w:sz w:val="20"/>
                <w:szCs w:val="20"/>
              </w:rPr>
              <w:br/>
              <w:t>44.64</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44"/>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Higher in CBD</w:t>
            </w:r>
          </w:p>
        </w:tc>
        <w:tc>
          <w:tcPr>
            <w:tcW w:w="108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844</w:t>
            </w:r>
            <w:r w:rsidRPr="000E5D59">
              <w:rPr>
                <w:rFonts w:ascii="Arial" w:eastAsia="Times New Roman" w:hAnsi="Arial" w:cs="Arial"/>
                <w:sz w:val="20"/>
                <w:szCs w:val="20"/>
              </w:rPr>
              <w:br/>
              <w:t>13.88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351</w:t>
            </w:r>
            <w:r w:rsidRPr="000E5D59">
              <w:rPr>
                <w:rFonts w:ascii="Arial" w:eastAsia="Times New Roman" w:hAnsi="Arial" w:cs="Arial"/>
                <w:sz w:val="20"/>
                <w:szCs w:val="20"/>
              </w:rPr>
              <w:br/>
              <w:t>12.30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488</w:t>
            </w:r>
            <w:r w:rsidRPr="000E5D59">
              <w:rPr>
                <w:rFonts w:ascii="Arial" w:eastAsia="Times New Roman" w:hAnsi="Arial" w:cs="Arial"/>
                <w:sz w:val="20"/>
                <w:szCs w:val="20"/>
              </w:rPr>
              <w:br/>
              <w:t>15.20</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44"/>
        </w:trPr>
        <w:tc>
          <w:tcPr>
            <w:tcW w:w="397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Contain somewhat equal amounts of THC and CBD</w:t>
            </w:r>
          </w:p>
        </w:tc>
        <w:tc>
          <w:tcPr>
            <w:tcW w:w="108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2063</w:t>
            </w:r>
            <w:r w:rsidRPr="000E5D59">
              <w:rPr>
                <w:rFonts w:ascii="Arial" w:eastAsia="Times New Roman" w:hAnsi="Arial" w:cs="Arial"/>
                <w:sz w:val="20"/>
                <w:szCs w:val="20"/>
              </w:rPr>
              <w:br/>
              <w:t>33.93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1005</w:t>
            </w:r>
            <w:r w:rsidRPr="000E5D59">
              <w:rPr>
                <w:rFonts w:ascii="Arial" w:eastAsia="Times New Roman" w:hAnsi="Arial" w:cs="Arial"/>
                <w:sz w:val="20"/>
                <w:szCs w:val="20"/>
              </w:rPr>
              <w:br/>
              <w:t>35.21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1053</w:t>
            </w:r>
            <w:r w:rsidRPr="000E5D59">
              <w:rPr>
                <w:rFonts w:ascii="Arial" w:eastAsia="Times New Roman" w:hAnsi="Arial" w:cs="Arial"/>
                <w:sz w:val="20"/>
                <w:szCs w:val="20"/>
              </w:rPr>
              <w:br/>
              <w:t>32.80</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44"/>
        </w:trPr>
        <w:tc>
          <w:tcPr>
            <w:tcW w:w="397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 / not sure</w:t>
            </w:r>
          </w:p>
        </w:tc>
        <w:tc>
          <w:tcPr>
            <w:tcW w:w="108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414</w:t>
            </w:r>
            <w:r w:rsidRPr="000E5D59">
              <w:rPr>
                <w:rFonts w:ascii="Arial" w:eastAsia="Times New Roman" w:hAnsi="Arial" w:cs="Arial"/>
                <w:sz w:val="20"/>
                <w:szCs w:val="20"/>
              </w:rPr>
              <w:br/>
              <w:t>6.81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175</w:t>
            </w:r>
            <w:r w:rsidRPr="000E5D59">
              <w:rPr>
                <w:rFonts w:ascii="Arial" w:eastAsia="Times New Roman" w:hAnsi="Arial" w:cs="Arial"/>
                <w:sz w:val="20"/>
                <w:szCs w:val="20"/>
              </w:rPr>
              <w:br/>
              <w:t>6.13</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236</w:t>
            </w:r>
            <w:r w:rsidRPr="000E5D59">
              <w:rPr>
                <w:rFonts w:ascii="Arial" w:eastAsia="Times New Roman" w:hAnsi="Arial" w:cs="Arial"/>
                <w:sz w:val="20"/>
                <w:szCs w:val="20"/>
              </w:rPr>
              <w:br/>
              <w:t>7.35</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44"/>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5C: DPH Patient Survey Methods of Administration by Education (Among 6,111 Respondents who </w:t>
      </w:r>
      <w:r w:rsidR="000941B7">
        <w:rPr>
          <w:rFonts w:ascii="Arial" w:eastAsia="Calibri" w:hAnsi="Arial" w:cs="Arial"/>
          <w:b/>
          <w:sz w:val="24"/>
          <w:szCs w:val="24"/>
        </w:rPr>
        <w:t>Used Marijuana in Past 30 Days)</w:t>
      </w:r>
    </w:p>
    <w:tbl>
      <w:tblPr>
        <w:tblW w:w="0" w:type="auto"/>
        <w:tblInd w:w="93" w:type="dxa"/>
        <w:tblLook w:val="04A0" w:firstRow="1" w:lastRow="0" w:firstColumn="1" w:lastColumn="0" w:noHBand="0" w:noVBand="1"/>
        <w:tblCaption w:val="Continued: DPH Patient Survey Methods of Administration by Education (Among 6,111 Respondents who Used Marijuana in Past 30 Days)"/>
        <w:tblDescription w:val="This table is a continuation of the table from the previous page (the complete table did not fit on a single page). &#10;The table summarizes method os use comparisons between respondents with less than a bachelor's dree versus respondents with a bachelor's degree or higher. More respondents without a Bachelor’s degree reported using 4 or more methods. A slightly higher proportion of respondents without a Bachelor’s degree reported using products higher in THC or containing equal amounts of THC and CBD, while a slightly higher proportion of respondent with a Bachelor’s degree reported using products higher in CBD. More respondents without a Bachelor’s degree than with a degree reported smoking dried flower and using dabbed marijuana products."/>
      </w:tblPr>
      <w:tblGrid>
        <w:gridCol w:w="3975"/>
        <w:gridCol w:w="1080"/>
        <w:gridCol w:w="1620"/>
        <w:gridCol w:w="1530"/>
        <w:gridCol w:w="1260"/>
      </w:tblGrid>
      <w:tr w:rsidR="000E5D59" w:rsidRPr="000E5D59" w:rsidTr="00784755">
        <w:trPr>
          <w:trHeight w:val="20"/>
        </w:trPr>
        <w:tc>
          <w:tcPr>
            <w:tcW w:w="397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Total</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bCs/>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bCs/>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397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(N=2871)</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(N=3223)</w:t>
            </w:r>
          </w:p>
        </w:tc>
        <w:tc>
          <w:tcPr>
            <w:tcW w:w="126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397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Method of administration used (one time or more) in the past 30 days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Smoked dried flower</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3921</w:t>
            </w:r>
            <w:r w:rsidRPr="000E5D59">
              <w:rPr>
                <w:rFonts w:ascii="Arial" w:eastAsia="Times New Roman" w:hAnsi="Arial" w:cs="Arial"/>
                <w:sz w:val="20"/>
                <w:szCs w:val="20"/>
              </w:rPr>
              <w:br/>
              <w:t>65.12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2052</w:t>
            </w:r>
            <w:r w:rsidRPr="000E5D59">
              <w:rPr>
                <w:rFonts w:ascii="Arial" w:eastAsia="Times New Roman" w:hAnsi="Arial" w:cs="Arial"/>
                <w:sz w:val="20"/>
                <w:szCs w:val="20"/>
              </w:rPr>
              <w:br/>
              <w:t>72.36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1861</w:t>
            </w:r>
            <w:r w:rsidRPr="000E5D59">
              <w:rPr>
                <w:rFonts w:ascii="Arial" w:eastAsia="Times New Roman" w:hAnsi="Arial" w:cs="Arial"/>
                <w:sz w:val="20"/>
                <w:szCs w:val="20"/>
              </w:rPr>
              <w:br/>
              <w:t>58.74</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Vaporized dried flower</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1704</w:t>
            </w:r>
            <w:r w:rsidRPr="000E5D59">
              <w:rPr>
                <w:rFonts w:ascii="Arial" w:eastAsia="Times New Roman" w:hAnsi="Arial" w:cs="Arial"/>
                <w:sz w:val="20"/>
                <w:szCs w:val="20"/>
              </w:rPr>
              <w:br/>
              <w:t>28.30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742</w:t>
            </w:r>
            <w:r w:rsidRPr="000E5D59">
              <w:rPr>
                <w:rFonts w:ascii="Arial" w:eastAsia="Times New Roman" w:hAnsi="Arial" w:cs="Arial"/>
                <w:sz w:val="20"/>
                <w:szCs w:val="20"/>
              </w:rPr>
              <w:br/>
              <w:t>26.16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956</w:t>
            </w:r>
            <w:r w:rsidRPr="000E5D59">
              <w:rPr>
                <w:rFonts w:ascii="Arial" w:eastAsia="Times New Roman" w:hAnsi="Arial" w:cs="Arial"/>
                <w:sz w:val="20"/>
                <w:szCs w:val="20"/>
              </w:rPr>
              <w:br/>
              <w:t>30.18</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Vaporized concentrated (cartridge/vape oil)</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3751</w:t>
            </w:r>
            <w:r w:rsidRPr="000E5D59">
              <w:rPr>
                <w:rFonts w:ascii="Arial" w:eastAsia="Times New Roman" w:hAnsi="Arial" w:cs="Arial"/>
                <w:sz w:val="20"/>
                <w:szCs w:val="20"/>
              </w:rPr>
              <w:br/>
              <w:t>62.30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1816</w:t>
            </w:r>
            <w:r w:rsidRPr="000E5D59">
              <w:rPr>
                <w:rFonts w:ascii="Arial" w:eastAsia="Times New Roman" w:hAnsi="Arial" w:cs="Arial"/>
                <w:sz w:val="20"/>
                <w:szCs w:val="20"/>
              </w:rPr>
              <w:br/>
              <w:t>64.03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1925</w:t>
            </w:r>
            <w:r w:rsidRPr="000E5D59">
              <w:rPr>
                <w:rFonts w:ascii="Arial" w:eastAsia="Times New Roman" w:hAnsi="Arial" w:cs="Arial"/>
                <w:sz w:val="20"/>
                <w:szCs w:val="20"/>
              </w:rPr>
              <w:br/>
              <w:t>60.76</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Dabbed marijuana products (butane hash oil, wax, shatter, etc.)</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984</w:t>
            </w:r>
            <w:r w:rsidRPr="000E5D59">
              <w:rPr>
                <w:rFonts w:ascii="Arial" w:eastAsia="Times New Roman" w:hAnsi="Arial" w:cs="Arial"/>
                <w:sz w:val="20"/>
                <w:szCs w:val="20"/>
              </w:rPr>
              <w:br/>
              <w:t>16.34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595</w:t>
            </w:r>
            <w:r w:rsidRPr="000E5D59">
              <w:rPr>
                <w:rFonts w:ascii="Arial" w:eastAsia="Times New Roman" w:hAnsi="Arial" w:cs="Arial"/>
                <w:sz w:val="20"/>
                <w:szCs w:val="20"/>
              </w:rPr>
              <w:br/>
              <w:t>20.98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389</w:t>
            </w:r>
            <w:r w:rsidRPr="000E5D59">
              <w:rPr>
                <w:rFonts w:ascii="Arial" w:eastAsia="Times New Roman" w:hAnsi="Arial" w:cs="Arial"/>
                <w:sz w:val="20"/>
                <w:szCs w:val="20"/>
              </w:rPr>
              <w:br/>
              <w:t>12.28</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Ate marijuana products (brownies, cakes, cookies, etc.)</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3074</w:t>
            </w:r>
            <w:r w:rsidRPr="000E5D59">
              <w:rPr>
                <w:rFonts w:ascii="Arial" w:eastAsia="Times New Roman" w:hAnsi="Arial" w:cs="Arial"/>
                <w:sz w:val="20"/>
                <w:szCs w:val="20"/>
              </w:rPr>
              <w:br/>
              <w:t>51.05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1452</w:t>
            </w:r>
            <w:r w:rsidRPr="000E5D59">
              <w:rPr>
                <w:rFonts w:ascii="Arial" w:eastAsia="Times New Roman" w:hAnsi="Arial" w:cs="Arial"/>
                <w:sz w:val="20"/>
                <w:szCs w:val="20"/>
              </w:rPr>
              <w:br/>
              <w:t>51.20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1615</w:t>
            </w:r>
            <w:r w:rsidRPr="000E5D59">
              <w:rPr>
                <w:rFonts w:ascii="Arial" w:eastAsia="Times New Roman" w:hAnsi="Arial" w:cs="Arial"/>
                <w:sz w:val="20"/>
                <w:szCs w:val="20"/>
              </w:rPr>
              <w:br/>
              <w:t>50.98</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Drank marijuana infused products (tea, cola, alcohol, etc.)</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285</w:t>
            </w:r>
            <w:r w:rsidRPr="000E5D59">
              <w:rPr>
                <w:rFonts w:ascii="Arial" w:eastAsia="Times New Roman" w:hAnsi="Arial" w:cs="Arial"/>
                <w:sz w:val="20"/>
                <w:szCs w:val="20"/>
              </w:rPr>
              <w:br/>
              <w:t>4.73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w:t>
            </w:r>
            <w:r w:rsidRPr="000E5D59">
              <w:rPr>
                <w:rFonts w:ascii="Arial" w:eastAsia="Times New Roman" w:hAnsi="Arial" w:cs="Arial"/>
                <w:sz w:val="20"/>
                <w:szCs w:val="20"/>
              </w:rPr>
              <w:br/>
              <w:t>5.64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125</w:t>
            </w:r>
            <w:r w:rsidRPr="000E5D59">
              <w:rPr>
                <w:rFonts w:ascii="Arial" w:eastAsia="Times New Roman" w:hAnsi="Arial" w:cs="Arial"/>
                <w:sz w:val="20"/>
                <w:szCs w:val="20"/>
              </w:rPr>
              <w:br/>
              <w:t>3.95</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Used sublingual (under the tongue) or orally administered uptake products (dissolvable strips, sublingual sprays, oil, tinctures, medicated lozenges, etc.)</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1413</w:t>
            </w:r>
            <w:r w:rsidRPr="000E5D59">
              <w:rPr>
                <w:rFonts w:ascii="Arial" w:eastAsia="Times New Roman" w:hAnsi="Arial" w:cs="Arial"/>
                <w:sz w:val="20"/>
                <w:szCs w:val="20"/>
              </w:rPr>
              <w:br/>
              <w:t>23.47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613</w:t>
            </w:r>
            <w:r w:rsidRPr="000E5D59">
              <w:rPr>
                <w:rFonts w:ascii="Arial" w:eastAsia="Times New Roman" w:hAnsi="Arial" w:cs="Arial"/>
                <w:sz w:val="20"/>
                <w:szCs w:val="20"/>
              </w:rPr>
              <w:br/>
              <w:t>21.61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796</w:t>
            </w:r>
            <w:r w:rsidRPr="000E5D59">
              <w:rPr>
                <w:rFonts w:ascii="Arial" w:eastAsia="Times New Roman" w:hAnsi="Arial" w:cs="Arial"/>
                <w:sz w:val="20"/>
                <w:szCs w:val="20"/>
              </w:rPr>
              <w:br/>
              <w:t>25.13</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Used oral capsules/tablets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651</w:t>
            </w:r>
            <w:r w:rsidRPr="000E5D59">
              <w:rPr>
                <w:rFonts w:ascii="Arial" w:eastAsia="Times New Roman" w:hAnsi="Arial" w:cs="Arial"/>
                <w:sz w:val="20"/>
                <w:szCs w:val="20"/>
              </w:rPr>
              <w:br/>
              <w:t>10.81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277</w:t>
            </w:r>
            <w:r w:rsidRPr="000E5D59">
              <w:rPr>
                <w:rFonts w:ascii="Arial" w:eastAsia="Times New Roman" w:hAnsi="Arial" w:cs="Arial"/>
                <w:sz w:val="20"/>
                <w:szCs w:val="20"/>
              </w:rPr>
              <w:br/>
              <w:t>9.77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373</w:t>
            </w:r>
            <w:r w:rsidRPr="000E5D59">
              <w:rPr>
                <w:rFonts w:ascii="Arial" w:eastAsia="Times New Roman" w:hAnsi="Arial" w:cs="Arial"/>
                <w:sz w:val="20"/>
                <w:szCs w:val="20"/>
              </w:rPr>
              <w:br/>
              <w:t>11.77</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Applied topical cannabis oil, ointment, lotion, cream, slave, etc. to skin</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1600</w:t>
            </w:r>
            <w:r w:rsidRPr="000E5D59">
              <w:rPr>
                <w:rFonts w:ascii="Arial" w:eastAsia="Times New Roman" w:hAnsi="Arial" w:cs="Arial"/>
                <w:sz w:val="20"/>
                <w:szCs w:val="20"/>
              </w:rPr>
              <w:br/>
              <w:t>26.57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761</w:t>
            </w:r>
            <w:r w:rsidRPr="000E5D59">
              <w:rPr>
                <w:rFonts w:ascii="Arial" w:eastAsia="Times New Roman" w:hAnsi="Arial" w:cs="Arial"/>
                <w:sz w:val="20"/>
                <w:szCs w:val="20"/>
              </w:rPr>
              <w:br/>
              <w:t>26.83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835</w:t>
            </w:r>
            <w:r w:rsidRPr="000E5D59">
              <w:rPr>
                <w:rFonts w:ascii="Arial" w:eastAsia="Times New Roman" w:hAnsi="Arial" w:cs="Arial"/>
                <w:sz w:val="20"/>
                <w:szCs w:val="20"/>
              </w:rPr>
              <w:br/>
              <w:t>26.36</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397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Used rectal/vaginal cannabis suppositories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75</w:t>
            </w:r>
            <w:r w:rsidRPr="000E5D59">
              <w:rPr>
                <w:rFonts w:ascii="Arial" w:eastAsia="Times New Roman" w:hAnsi="Arial" w:cs="Arial"/>
                <w:sz w:val="20"/>
                <w:szCs w:val="20"/>
              </w:rPr>
              <w:br/>
              <w:t>1.25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w:t>
            </w:r>
            <w:r w:rsidRPr="000E5D59">
              <w:rPr>
                <w:rFonts w:ascii="Arial" w:eastAsia="Times New Roman" w:hAnsi="Arial" w:cs="Arial"/>
                <w:sz w:val="20"/>
                <w:szCs w:val="20"/>
              </w:rPr>
              <w:br/>
              <w:t>1.20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w:t>
            </w:r>
            <w:r w:rsidRPr="000E5D59">
              <w:rPr>
                <w:rFonts w:ascii="Arial" w:eastAsia="Times New Roman" w:hAnsi="Arial" w:cs="Arial"/>
                <w:sz w:val="20"/>
                <w:szCs w:val="20"/>
              </w:rPr>
              <w:br/>
              <w:t>1.29</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397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Other</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96</w:t>
            </w:r>
            <w:r w:rsidRPr="000E5D59">
              <w:rPr>
                <w:rFonts w:ascii="Arial" w:eastAsia="Times New Roman" w:hAnsi="Arial" w:cs="Arial"/>
                <w:sz w:val="20"/>
                <w:szCs w:val="20"/>
              </w:rPr>
              <w:br/>
              <w:t>1.59</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w:t>
            </w:r>
            <w:r w:rsidRPr="000E5D59">
              <w:rPr>
                <w:rFonts w:ascii="Arial" w:eastAsia="Times New Roman" w:hAnsi="Arial" w:cs="Arial"/>
                <w:sz w:val="20"/>
                <w:szCs w:val="20"/>
              </w:rPr>
              <w:br/>
              <w:t>1.76</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w:t>
            </w:r>
            <w:r w:rsidRPr="000E5D59">
              <w:rPr>
                <w:rFonts w:ascii="Arial" w:eastAsia="Times New Roman" w:hAnsi="Arial" w:cs="Arial"/>
                <w:sz w:val="20"/>
                <w:szCs w:val="20"/>
              </w:rPr>
              <w:br/>
              <w:t>1.45</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94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w:t>
            </w:r>
            <w:r w:rsidRPr="000E5D59">
              <w:rPr>
                <w:rFonts w:ascii="Arial" w:eastAsia="Times New Roman" w:hAnsi="Arial" w:cs="Arial"/>
                <w:i/>
                <w:iCs/>
                <w:sz w:val="20"/>
                <w:szCs w:val="20"/>
              </w:rPr>
              <w:t xml:space="preserve"> Percentages sum to more than 100% because respondents could choose more than one option</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pPr>
    </w:p>
    <w:p w:rsidR="000E5D59" w:rsidRPr="004030DE" w:rsidRDefault="000E5D59" w:rsidP="00AC40A7">
      <w:pPr>
        <w:pStyle w:val="Heading3"/>
      </w:pPr>
      <w:bookmarkStart w:id="215" w:name="_Toc11765950"/>
      <w:bookmarkStart w:id="216" w:name="_Toc11766605"/>
      <w:r w:rsidRPr="004030DE">
        <w:t>Smoking Dried Flower</w:t>
      </w:r>
      <w:bookmarkEnd w:id="215"/>
      <w:bookmarkEnd w:id="216"/>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Tables 6A, 6B, and 6C</w:t>
      </w:r>
      <w:r w:rsidRPr="000E5D59">
        <w:rPr>
          <w:rFonts w:ascii="Arial" w:eastAsia="Calibri" w:hAnsi="Arial" w:cs="Arial"/>
          <w:sz w:val="24"/>
          <w:szCs w:val="24"/>
        </w:rPr>
        <w:t xml:space="preserve"> summarize results of survey responses pertaining to smoking dried flower, with comparisons by gender, age group, and educational attainment, respectively. 65% of respondents who reported using marijuana or marijuana products in the past 30 days reported using smoked dried flower in a joint, bong, pipe, blunt, etc. the past 30 days. Smoking dried flower was significantly higher among respondents under age 51 compared to older respondents (72% vs. 57%) and respondents without a Bachelor’s degree compared to respondents with at least a Bachelor’s degree (72% vs. 59%).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Thirty-one percent of respondents who reported smoking dried flower in the past 30 days reported smoking dried flower multiple times per day, while 21% reported smoking dried flower less than once per week. A significantly larger proportion of respondents without a Bachelor’s degree than with a degree reported smoking dried flower multiple times per day (37% vs. 24%), while a larger proportion of respondents with a Bachelor’s </w:t>
      </w:r>
      <w:r w:rsidRPr="000E5D59">
        <w:rPr>
          <w:rFonts w:ascii="Arial" w:eastAsia="Calibri" w:hAnsi="Arial" w:cs="Arial"/>
          <w:sz w:val="24"/>
          <w:szCs w:val="24"/>
        </w:rPr>
        <w:lastRenderedPageBreak/>
        <w:t>degree than without reported smoking dried flower less than once per week (25% vs. 17%) and more than once per week (but not as much as once per day) (34% vs. 27%).</w:t>
      </w:r>
      <w:r w:rsidRPr="000E5D59">
        <w:rPr>
          <w:rFonts w:ascii="Arial" w:eastAsia="Calibri" w:hAnsi="Arial" w:cs="Arial"/>
          <w:sz w:val="24"/>
          <w:szCs w:val="24"/>
        </w:rPr>
        <w:tab/>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Thirty-seven percent of respondents who reported smoking dried flower in the past 30 days reported using less than 1/8 oz. of dried flower in the past 30 days, 30% reported using between 1/8 and 1/2 oz., 22% reported using between 1/2 and 1 oz., and 6% reported using more than one oz. A larger proportion of male respondents than female reported using more than 1 oz. (8% vs. 4%), while a larger proportion of female respondents than male reported using no more than 1/8 oz. (42% vs. 33%) or an unknown amount (8% vs. 4%). A larger proportion of respondents less than 51 years old than older respondents reported using between 1/2 and 1 oz. (23% vs. 20%) and more than one oz. (7% vs. 5%), while a larger proportion of respondents older than 50 reported using up to 1/8 oz. (41% vs 34%) or between 1/8 and 1/4 oz. (15% vs. 13%). A larger proportion of respondents without a Bachelor’s degree than with a degree reported using between 1/4 and 1/2 oz. (17% vs. 14%), 1/2 and 1 oz. (26% vs. 17%), and more than one oz. (8% vs. 4%). A larger proportion of respondents with a Bachelor’s degree reported using up to 1/8 oz. (46% vs. 29%) and between 1/8 and 1/4 oz. (16% vs. 13%).</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0E5D59" w:rsidRPr="000E5D59" w:rsidRDefault="000E5D59" w:rsidP="006057BE">
      <w:pPr>
        <w:spacing w:after="0" w:line="240" w:lineRule="auto"/>
        <w:rPr>
          <w:rFonts w:ascii="Arial" w:eastAsia="Calibri" w:hAnsi="Arial" w:cs="Arial"/>
          <w:b/>
          <w:bCs/>
          <w:sz w:val="24"/>
          <w:szCs w:val="24"/>
        </w:rPr>
      </w:pPr>
    </w:p>
    <w:p w:rsidR="00FF2F11" w:rsidRDefault="00FF2F11" w:rsidP="006057BE">
      <w:pPr>
        <w:spacing w:after="0" w:line="240" w:lineRule="auto"/>
        <w:rPr>
          <w:rFonts w:ascii="Arial" w:eastAsia="Calibri" w:hAnsi="Arial" w:cs="Arial"/>
          <w:b/>
          <w:bCs/>
          <w:sz w:val="24"/>
          <w:szCs w:val="24"/>
        </w:rPr>
      </w:pPr>
    </w:p>
    <w:p w:rsidR="00FF2F11" w:rsidRDefault="00FF2F11" w:rsidP="006057BE">
      <w:pPr>
        <w:spacing w:after="0" w:line="240" w:lineRule="auto"/>
        <w:rPr>
          <w:rFonts w:ascii="Arial" w:eastAsia="Calibri" w:hAnsi="Arial" w:cs="Arial"/>
          <w:b/>
          <w:bCs/>
          <w:sz w:val="24"/>
          <w:szCs w:val="24"/>
        </w:r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bCs/>
          <w:sz w:val="24"/>
          <w:szCs w:val="24"/>
        </w:rPr>
        <w:lastRenderedPageBreak/>
        <w:t>Table 6A:</w:t>
      </w:r>
      <w:r w:rsidRPr="000E5D59">
        <w:rPr>
          <w:rFonts w:ascii="Calibri" w:eastAsia="Calibri" w:hAnsi="Calibri" w:cs="Times New Roman"/>
        </w:rPr>
        <w:t xml:space="preserve"> </w:t>
      </w:r>
      <w:r w:rsidRPr="000E5D59">
        <w:rPr>
          <w:rFonts w:ascii="Arial" w:eastAsia="Calibri" w:hAnsi="Arial" w:cs="Arial"/>
          <w:b/>
          <w:bCs/>
          <w:sz w:val="24"/>
          <w:szCs w:val="24"/>
        </w:rPr>
        <w:t>DPH Patient Survey Smoked Dried Flower by Gender</w:t>
      </w:r>
      <w:r w:rsidRPr="000E5D59">
        <w:rPr>
          <w:rFonts w:ascii="Arial" w:eastAsia="Calibri" w:hAnsi="Arial" w:cs="Arial"/>
          <w:b/>
          <w:sz w:val="24"/>
          <w:szCs w:val="24"/>
        </w:rPr>
        <w:t xml:space="preserve"> (Among 6,111 Respondents who Used Mariju</w:t>
      </w:r>
      <w:r w:rsidR="000941B7">
        <w:rPr>
          <w:rFonts w:ascii="Arial" w:eastAsia="Calibri" w:hAnsi="Arial" w:cs="Arial"/>
          <w:b/>
          <w:sz w:val="24"/>
          <w:szCs w:val="24"/>
        </w:rPr>
        <w:t>ana in Past 30 Days)</w:t>
      </w:r>
    </w:p>
    <w:tbl>
      <w:tblPr>
        <w:tblW w:w="9555" w:type="dxa"/>
        <w:tblInd w:w="93" w:type="dxa"/>
        <w:tblLook w:val="04A0" w:firstRow="1" w:lastRow="0" w:firstColumn="1" w:lastColumn="0" w:noHBand="0" w:noVBand="1"/>
        <w:tblCaption w:val="DPH Patient Survey Smoked Dried Flower by Gender (Among 6,111 Respondents who Used Marijuana in Past 30 Days)"/>
      </w:tblPr>
      <w:tblGrid>
        <w:gridCol w:w="4065"/>
        <w:gridCol w:w="1080"/>
        <w:gridCol w:w="1620"/>
        <w:gridCol w:w="1530"/>
        <w:gridCol w:w="1260"/>
      </w:tblGrid>
      <w:tr w:rsidR="000E5D59" w:rsidRPr="000E5D59" w:rsidTr="00784755">
        <w:trPr>
          <w:trHeight w:val="20"/>
        </w:trPr>
        <w:tc>
          <w:tcPr>
            <w:tcW w:w="406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single" w:sz="8" w:space="0" w:color="000000"/>
              <w:right w:val="thickThinSmallGap" w:sz="24" w:space="0" w:color="auto"/>
            </w:tcBorders>
            <w:shd w:val="clear" w:color="auto" w:fill="auto"/>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06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(N=3251)</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(N=2672)</w:t>
            </w:r>
          </w:p>
        </w:tc>
        <w:tc>
          <w:tcPr>
            <w:tcW w:w="126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Smoked dried flower in the past 30 days</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2100</w:t>
            </w:r>
            <w:r w:rsidRPr="000E5D59">
              <w:rPr>
                <w:rFonts w:ascii="Arial" w:eastAsia="Times New Roman" w:hAnsi="Arial" w:cs="Arial"/>
                <w:sz w:val="20"/>
                <w:szCs w:val="20"/>
              </w:rPr>
              <w:br/>
              <w:t>34.88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1066</w:t>
            </w:r>
            <w:r w:rsidRPr="000E5D59">
              <w:rPr>
                <w:rFonts w:ascii="Arial" w:eastAsia="Times New Roman" w:hAnsi="Arial" w:cs="Arial"/>
                <w:sz w:val="20"/>
                <w:szCs w:val="20"/>
              </w:rPr>
              <w:br/>
              <w:t>32.79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1005</w:t>
            </w:r>
            <w:r w:rsidRPr="000E5D59">
              <w:rPr>
                <w:rFonts w:ascii="Arial" w:eastAsia="Times New Roman" w:hAnsi="Arial" w:cs="Arial"/>
                <w:sz w:val="20"/>
                <w:szCs w:val="20"/>
              </w:rPr>
              <w:br/>
              <w:t>37.61</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3921</w:t>
            </w:r>
            <w:r w:rsidRPr="000E5D59">
              <w:rPr>
                <w:rFonts w:ascii="Arial" w:eastAsia="Times New Roman" w:hAnsi="Arial" w:cs="Arial"/>
                <w:sz w:val="20"/>
                <w:szCs w:val="20"/>
              </w:rPr>
              <w:br/>
              <w:t>65.12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2185</w:t>
            </w:r>
            <w:r w:rsidRPr="000E5D59">
              <w:rPr>
                <w:rFonts w:ascii="Arial" w:eastAsia="Times New Roman" w:hAnsi="Arial" w:cs="Arial"/>
                <w:sz w:val="20"/>
                <w:szCs w:val="20"/>
              </w:rPr>
              <w:br/>
              <w:t>67.21</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1667</w:t>
            </w:r>
            <w:r w:rsidRPr="000E5D59">
              <w:rPr>
                <w:rFonts w:ascii="Arial" w:eastAsia="Times New Roman" w:hAnsi="Arial" w:cs="Arial"/>
                <w:sz w:val="20"/>
                <w:szCs w:val="20"/>
              </w:rPr>
              <w:br/>
              <w:t>62.39</w:t>
            </w:r>
          </w:p>
        </w:tc>
        <w:tc>
          <w:tcPr>
            <w:tcW w:w="126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smoking dried flower in a joint, bong, pipe, blunt, etc.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3804</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802</w:t>
            </w:r>
            <w:r w:rsidRPr="000E5D59">
              <w:rPr>
                <w:rFonts w:ascii="Arial" w:eastAsia="Times New Roman" w:hAnsi="Arial" w:cs="Arial"/>
                <w:sz w:val="20"/>
                <w:szCs w:val="20"/>
              </w:rPr>
              <w:br/>
              <w:t>21.08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404</w:t>
            </w:r>
            <w:r w:rsidRPr="000E5D59">
              <w:rPr>
                <w:rFonts w:ascii="Arial" w:eastAsia="Times New Roman" w:hAnsi="Arial" w:cs="Arial"/>
                <w:sz w:val="20"/>
                <w:szCs w:val="20"/>
              </w:rPr>
              <w:br/>
              <w:t>19.13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386</w:t>
            </w:r>
            <w:r w:rsidRPr="000E5D59">
              <w:rPr>
                <w:rFonts w:ascii="Arial" w:eastAsia="Times New Roman" w:hAnsi="Arial" w:cs="Arial"/>
                <w:sz w:val="20"/>
                <w:szCs w:val="20"/>
              </w:rPr>
              <w:br/>
              <w:t>23.75</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1142</w:t>
            </w:r>
            <w:r w:rsidRPr="000E5D59">
              <w:rPr>
                <w:rFonts w:ascii="Arial" w:eastAsia="Times New Roman" w:hAnsi="Arial" w:cs="Arial"/>
                <w:sz w:val="20"/>
                <w:szCs w:val="20"/>
              </w:rPr>
              <w:br/>
              <w:t>30.02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645</w:t>
            </w:r>
            <w:r w:rsidRPr="000E5D59">
              <w:rPr>
                <w:rFonts w:ascii="Arial" w:eastAsia="Times New Roman" w:hAnsi="Arial" w:cs="Arial"/>
                <w:sz w:val="20"/>
                <w:szCs w:val="20"/>
              </w:rPr>
              <w:br/>
              <w:t>30.54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475</w:t>
            </w:r>
            <w:r w:rsidRPr="000E5D59">
              <w:rPr>
                <w:rFonts w:ascii="Arial" w:eastAsia="Times New Roman" w:hAnsi="Arial" w:cs="Arial"/>
                <w:sz w:val="20"/>
                <w:szCs w:val="20"/>
              </w:rPr>
              <w:br/>
              <w:t>29.23</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693</w:t>
            </w:r>
            <w:r w:rsidRPr="000E5D59">
              <w:rPr>
                <w:rFonts w:ascii="Arial" w:eastAsia="Times New Roman" w:hAnsi="Arial" w:cs="Arial"/>
                <w:sz w:val="20"/>
                <w:szCs w:val="20"/>
              </w:rPr>
              <w:br/>
              <w:t>18.22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390</w:t>
            </w:r>
            <w:r w:rsidRPr="000E5D59">
              <w:rPr>
                <w:rFonts w:ascii="Arial" w:eastAsia="Times New Roman" w:hAnsi="Arial" w:cs="Arial"/>
                <w:sz w:val="20"/>
                <w:szCs w:val="20"/>
              </w:rPr>
              <w:br/>
              <w:t>18.47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295</w:t>
            </w:r>
            <w:r w:rsidRPr="000E5D59">
              <w:rPr>
                <w:rFonts w:ascii="Arial" w:eastAsia="Times New Roman" w:hAnsi="Arial" w:cs="Arial"/>
                <w:sz w:val="20"/>
                <w:szCs w:val="20"/>
              </w:rPr>
              <w:br/>
              <w:t>18.15</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1167</w:t>
            </w:r>
            <w:r w:rsidRPr="000E5D59">
              <w:rPr>
                <w:rFonts w:ascii="Arial" w:eastAsia="Times New Roman" w:hAnsi="Arial" w:cs="Arial"/>
                <w:sz w:val="20"/>
                <w:szCs w:val="20"/>
              </w:rPr>
              <w:br/>
              <w:t>30.68</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673</w:t>
            </w:r>
            <w:r w:rsidRPr="000E5D59">
              <w:rPr>
                <w:rFonts w:ascii="Arial" w:eastAsia="Times New Roman" w:hAnsi="Arial" w:cs="Arial"/>
                <w:sz w:val="20"/>
                <w:szCs w:val="20"/>
              </w:rPr>
              <w:br/>
              <w:t>31.87</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469</w:t>
            </w:r>
            <w:r w:rsidRPr="000E5D59">
              <w:rPr>
                <w:rFonts w:ascii="Arial" w:eastAsia="Times New Roman" w:hAnsi="Arial" w:cs="Arial"/>
                <w:sz w:val="20"/>
                <w:szCs w:val="20"/>
              </w:rPr>
              <w:br/>
              <w:t>28.86</w:t>
            </w:r>
          </w:p>
        </w:tc>
        <w:tc>
          <w:tcPr>
            <w:tcW w:w="126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Total amount of dried flower smoked over past 30 days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3827</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Calibri" w:hAnsi="Arial" w:cs="Arial"/>
                <w:sz w:val="20"/>
                <w:szCs w:val="20"/>
              </w:rPr>
            </w:pPr>
            <w:r w:rsidRPr="000E5D59">
              <w:rPr>
                <w:rFonts w:ascii="Arial" w:eastAsia="Calibri" w:hAnsi="Arial" w:cs="Arial"/>
                <w:sz w:val="20"/>
                <w:szCs w:val="20"/>
              </w:rPr>
              <w:t xml:space="preserve">0 to 1/8 ounce </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1411</w:t>
            </w:r>
            <w:r w:rsidRPr="000E5D59">
              <w:rPr>
                <w:rFonts w:ascii="Arial" w:eastAsia="Times New Roman" w:hAnsi="Arial" w:cs="Arial"/>
                <w:sz w:val="20"/>
                <w:szCs w:val="20"/>
              </w:rPr>
              <w:br/>
              <w:t>36.87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702</w:t>
            </w:r>
            <w:r w:rsidRPr="000E5D59">
              <w:rPr>
                <w:rFonts w:ascii="Arial" w:eastAsia="Times New Roman" w:hAnsi="Arial" w:cs="Arial"/>
                <w:sz w:val="20"/>
                <w:szCs w:val="20"/>
              </w:rPr>
              <w:br/>
              <w:t>32.93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686</w:t>
            </w:r>
            <w:r w:rsidRPr="000E5D59">
              <w:rPr>
                <w:rFonts w:ascii="Arial" w:eastAsia="Times New Roman" w:hAnsi="Arial" w:cs="Arial"/>
                <w:sz w:val="20"/>
                <w:szCs w:val="20"/>
              </w:rPr>
              <w:br/>
              <w:t>42.11</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 to 1/4 ounce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537</w:t>
            </w:r>
            <w:r w:rsidRPr="000E5D59">
              <w:rPr>
                <w:rFonts w:ascii="Arial" w:eastAsia="Times New Roman" w:hAnsi="Arial" w:cs="Arial"/>
                <w:sz w:val="20"/>
                <w:szCs w:val="20"/>
              </w:rPr>
              <w:br/>
              <w:t>14.03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316</w:t>
            </w:r>
            <w:r w:rsidRPr="000E5D59">
              <w:rPr>
                <w:rFonts w:ascii="Arial" w:eastAsia="Times New Roman" w:hAnsi="Arial" w:cs="Arial"/>
                <w:sz w:val="20"/>
                <w:szCs w:val="20"/>
              </w:rPr>
              <w:br/>
              <w:t>14.82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212</w:t>
            </w:r>
            <w:r w:rsidRPr="000E5D59">
              <w:rPr>
                <w:rFonts w:ascii="Arial" w:eastAsia="Times New Roman" w:hAnsi="Arial" w:cs="Arial"/>
                <w:sz w:val="20"/>
                <w:szCs w:val="20"/>
              </w:rPr>
              <w:br/>
              <w:t>13.01</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 to 1/2 ounce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596</w:t>
            </w:r>
            <w:r w:rsidRPr="000E5D59">
              <w:rPr>
                <w:rFonts w:ascii="Arial" w:eastAsia="Times New Roman" w:hAnsi="Arial" w:cs="Arial"/>
                <w:sz w:val="20"/>
                <w:szCs w:val="20"/>
              </w:rPr>
              <w:br/>
              <w:t>15.57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343</w:t>
            </w:r>
            <w:r w:rsidRPr="000E5D59">
              <w:rPr>
                <w:rFonts w:ascii="Arial" w:eastAsia="Times New Roman" w:hAnsi="Arial" w:cs="Arial"/>
                <w:sz w:val="20"/>
                <w:szCs w:val="20"/>
              </w:rPr>
              <w:br/>
              <w:t>16.09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242</w:t>
            </w:r>
            <w:r w:rsidRPr="000E5D59">
              <w:rPr>
                <w:rFonts w:ascii="Arial" w:eastAsia="Times New Roman" w:hAnsi="Arial" w:cs="Arial"/>
                <w:sz w:val="20"/>
                <w:szCs w:val="20"/>
              </w:rPr>
              <w:br/>
              <w:t>14.86</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 to 1 ounce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835</w:t>
            </w:r>
            <w:r w:rsidRPr="000E5D59">
              <w:rPr>
                <w:rFonts w:ascii="Arial" w:eastAsia="Times New Roman" w:hAnsi="Arial" w:cs="Arial"/>
                <w:sz w:val="20"/>
                <w:szCs w:val="20"/>
              </w:rPr>
              <w:br/>
              <w:t>21.82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521</w:t>
            </w:r>
            <w:r w:rsidRPr="000E5D59">
              <w:rPr>
                <w:rFonts w:ascii="Arial" w:eastAsia="Times New Roman" w:hAnsi="Arial" w:cs="Arial"/>
                <w:sz w:val="20"/>
                <w:szCs w:val="20"/>
              </w:rPr>
              <w:br/>
              <w:t>24.44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303</w:t>
            </w:r>
            <w:r w:rsidRPr="000E5D59">
              <w:rPr>
                <w:rFonts w:ascii="Arial" w:eastAsia="Times New Roman" w:hAnsi="Arial" w:cs="Arial"/>
                <w:sz w:val="20"/>
                <w:szCs w:val="20"/>
              </w:rPr>
              <w:br/>
              <w:t>18.60</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1 ounce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228</w:t>
            </w:r>
            <w:r w:rsidRPr="000E5D59">
              <w:rPr>
                <w:rFonts w:ascii="Arial" w:eastAsia="Times New Roman" w:hAnsi="Arial" w:cs="Arial"/>
                <w:sz w:val="20"/>
                <w:szCs w:val="20"/>
              </w:rPr>
              <w:br/>
              <w:t>5.96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162</w:t>
            </w:r>
            <w:r w:rsidRPr="000E5D59">
              <w:rPr>
                <w:rFonts w:ascii="Arial" w:eastAsia="Times New Roman" w:hAnsi="Arial" w:cs="Arial"/>
                <w:sz w:val="20"/>
                <w:szCs w:val="20"/>
              </w:rPr>
              <w:br/>
              <w:t>7.60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w:t>
            </w:r>
            <w:r w:rsidRPr="000E5D59">
              <w:rPr>
                <w:rFonts w:ascii="Arial" w:eastAsia="Times New Roman" w:hAnsi="Arial" w:cs="Arial"/>
                <w:sz w:val="20"/>
                <w:szCs w:val="20"/>
              </w:rPr>
              <w:br/>
              <w:t>3.81</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220</w:t>
            </w:r>
            <w:r w:rsidRPr="000E5D59">
              <w:rPr>
                <w:rFonts w:ascii="Arial" w:eastAsia="Times New Roman" w:hAnsi="Arial" w:cs="Arial"/>
                <w:sz w:val="20"/>
                <w:szCs w:val="20"/>
              </w:rPr>
              <w:br/>
              <w:t>5.75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88</w:t>
            </w:r>
            <w:r w:rsidRPr="000E5D59">
              <w:rPr>
                <w:rFonts w:ascii="Arial" w:eastAsia="Times New Roman" w:hAnsi="Arial" w:cs="Arial"/>
                <w:sz w:val="20"/>
                <w:szCs w:val="20"/>
              </w:rPr>
              <w:br/>
              <w:t>4.13</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124</w:t>
            </w:r>
            <w:r w:rsidRPr="000E5D59">
              <w:rPr>
                <w:rFonts w:ascii="Arial" w:eastAsia="Times New Roman" w:hAnsi="Arial" w:cs="Arial"/>
                <w:sz w:val="20"/>
                <w:szCs w:val="20"/>
              </w:rPr>
              <w:br/>
              <w:t>7.61</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smoking dried flower in past 30 days</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6B: DPH Patient Survey Smoked Dried Flower by Age Group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Smoked Dried Flower by Age Group (Among 6,111 Respondents who Used Marijuana in Past 30 Days)"/>
      </w:tblPr>
      <w:tblGrid>
        <w:gridCol w:w="4065"/>
        <w:gridCol w:w="1080"/>
        <w:gridCol w:w="1620"/>
        <w:gridCol w:w="1530"/>
        <w:gridCol w:w="1260"/>
      </w:tblGrid>
      <w:tr w:rsidR="000E5D59" w:rsidRPr="000E5D59" w:rsidTr="00784755">
        <w:trPr>
          <w:trHeight w:val="20"/>
        </w:trPr>
        <w:tc>
          <w:tcPr>
            <w:tcW w:w="406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single" w:sz="8" w:space="0" w:color="000000"/>
              <w:right w:val="thickThinSmallGap" w:sz="24" w:space="0" w:color="auto"/>
            </w:tcBorders>
            <w:shd w:val="clear" w:color="auto" w:fill="auto"/>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06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(N=3179)</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(N=2748)</w:t>
            </w:r>
          </w:p>
        </w:tc>
        <w:tc>
          <w:tcPr>
            <w:tcW w:w="126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Smoked dried flower in the past 30 days</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2100</w:t>
            </w:r>
            <w:r w:rsidRPr="000E5D59">
              <w:rPr>
                <w:rFonts w:ascii="Arial" w:eastAsia="Times New Roman" w:hAnsi="Arial" w:cs="Arial"/>
                <w:sz w:val="20"/>
                <w:szCs w:val="20"/>
              </w:rPr>
              <w:br/>
              <w:t>34.88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883</w:t>
            </w:r>
            <w:r w:rsidRPr="000E5D59">
              <w:rPr>
                <w:rFonts w:ascii="Arial" w:eastAsia="Times New Roman" w:hAnsi="Arial" w:cs="Arial"/>
                <w:sz w:val="20"/>
                <w:szCs w:val="20"/>
              </w:rPr>
              <w:br/>
              <w:t>27.78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1175</w:t>
            </w:r>
            <w:r w:rsidRPr="000E5D59">
              <w:rPr>
                <w:rFonts w:ascii="Arial" w:eastAsia="Times New Roman" w:hAnsi="Arial" w:cs="Arial"/>
                <w:sz w:val="20"/>
                <w:szCs w:val="20"/>
              </w:rPr>
              <w:br/>
              <w:t>42.76</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3921</w:t>
            </w:r>
            <w:r w:rsidRPr="000E5D59">
              <w:rPr>
                <w:rFonts w:ascii="Arial" w:eastAsia="Times New Roman" w:hAnsi="Arial" w:cs="Arial"/>
                <w:sz w:val="20"/>
                <w:szCs w:val="20"/>
              </w:rPr>
              <w:br/>
              <w:t>65.12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2296</w:t>
            </w:r>
            <w:r w:rsidRPr="000E5D59">
              <w:rPr>
                <w:rFonts w:ascii="Arial" w:eastAsia="Times New Roman" w:hAnsi="Arial" w:cs="Arial"/>
                <w:sz w:val="20"/>
                <w:szCs w:val="20"/>
              </w:rPr>
              <w:br/>
              <w:t>72.22</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1573</w:t>
            </w:r>
            <w:r w:rsidRPr="000E5D59">
              <w:rPr>
                <w:rFonts w:ascii="Arial" w:eastAsia="Times New Roman" w:hAnsi="Arial" w:cs="Arial"/>
                <w:sz w:val="20"/>
                <w:szCs w:val="20"/>
              </w:rPr>
              <w:br/>
              <w:t>57.24</w:t>
            </w:r>
          </w:p>
        </w:tc>
        <w:tc>
          <w:tcPr>
            <w:tcW w:w="126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smoking dried flower in a joint, bong, pipe, blunt, etc.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3804</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802</w:t>
            </w:r>
            <w:r w:rsidRPr="000E5D59">
              <w:rPr>
                <w:rFonts w:ascii="Arial" w:eastAsia="Times New Roman" w:hAnsi="Arial" w:cs="Arial"/>
                <w:sz w:val="20"/>
                <w:szCs w:val="20"/>
              </w:rPr>
              <w:br/>
              <w:t>21.08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490</w:t>
            </w:r>
            <w:r w:rsidRPr="000E5D59">
              <w:rPr>
                <w:rFonts w:ascii="Arial" w:eastAsia="Times New Roman" w:hAnsi="Arial" w:cs="Arial"/>
                <w:sz w:val="20"/>
                <w:szCs w:val="20"/>
              </w:rPr>
              <w:br/>
              <w:t>22.00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303</w:t>
            </w:r>
            <w:r w:rsidRPr="000E5D59">
              <w:rPr>
                <w:rFonts w:ascii="Arial" w:eastAsia="Times New Roman" w:hAnsi="Arial" w:cs="Arial"/>
                <w:sz w:val="20"/>
                <w:szCs w:val="20"/>
              </w:rPr>
              <w:br/>
              <w:t>19.86</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1142</w:t>
            </w:r>
            <w:r w:rsidRPr="000E5D59">
              <w:rPr>
                <w:rFonts w:ascii="Arial" w:eastAsia="Times New Roman" w:hAnsi="Arial" w:cs="Arial"/>
                <w:sz w:val="20"/>
                <w:szCs w:val="20"/>
              </w:rPr>
              <w:br/>
              <w:t>30.02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648</w:t>
            </w:r>
            <w:r w:rsidRPr="000E5D59">
              <w:rPr>
                <w:rFonts w:ascii="Arial" w:eastAsia="Times New Roman" w:hAnsi="Arial" w:cs="Arial"/>
                <w:sz w:val="20"/>
                <w:szCs w:val="20"/>
              </w:rPr>
              <w:br/>
              <w:t>29.10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479</w:t>
            </w:r>
            <w:r w:rsidRPr="000E5D59">
              <w:rPr>
                <w:rFonts w:ascii="Arial" w:eastAsia="Times New Roman" w:hAnsi="Arial" w:cs="Arial"/>
                <w:sz w:val="20"/>
                <w:szCs w:val="20"/>
              </w:rPr>
              <w:br/>
              <w:t>31.39</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693</w:t>
            </w:r>
            <w:r w:rsidRPr="000E5D59">
              <w:rPr>
                <w:rFonts w:ascii="Arial" w:eastAsia="Times New Roman" w:hAnsi="Arial" w:cs="Arial"/>
                <w:sz w:val="20"/>
                <w:szCs w:val="20"/>
              </w:rPr>
              <w:br/>
              <w:t>18.22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382</w:t>
            </w:r>
            <w:r w:rsidRPr="000E5D59">
              <w:rPr>
                <w:rFonts w:ascii="Arial" w:eastAsia="Times New Roman" w:hAnsi="Arial" w:cs="Arial"/>
                <w:sz w:val="20"/>
                <w:szCs w:val="20"/>
              </w:rPr>
              <w:br/>
              <w:t>17.15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301</w:t>
            </w:r>
            <w:r w:rsidRPr="000E5D59">
              <w:rPr>
                <w:rFonts w:ascii="Arial" w:eastAsia="Times New Roman" w:hAnsi="Arial" w:cs="Arial"/>
                <w:sz w:val="20"/>
                <w:szCs w:val="20"/>
              </w:rPr>
              <w:br/>
              <w:t>19.72</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1167</w:t>
            </w:r>
            <w:r w:rsidRPr="000E5D59">
              <w:rPr>
                <w:rFonts w:ascii="Arial" w:eastAsia="Times New Roman" w:hAnsi="Arial" w:cs="Arial"/>
                <w:sz w:val="20"/>
                <w:szCs w:val="20"/>
              </w:rPr>
              <w:br/>
              <w:t>30.68</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707</w:t>
            </w:r>
            <w:r w:rsidRPr="000E5D59">
              <w:rPr>
                <w:rFonts w:ascii="Arial" w:eastAsia="Times New Roman" w:hAnsi="Arial" w:cs="Arial"/>
                <w:sz w:val="20"/>
                <w:szCs w:val="20"/>
              </w:rPr>
              <w:br/>
              <w:t>31.75</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443</w:t>
            </w:r>
            <w:r w:rsidRPr="000E5D59">
              <w:rPr>
                <w:rFonts w:ascii="Arial" w:eastAsia="Times New Roman" w:hAnsi="Arial" w:cs="Arial"/>
                <w:sz w:val="20"/>
                <w:szCs w:val="20"/>
              </w:rPr>
              <w:br/>
              <w:t>29.03</w:t>
            </w:r>
          </w:p>
        </w:tc>
        <w:tc>
          <w:tcPr>
            <w:tcW w:w="126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Total amount of dried flower smoked over past 30 days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3827</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Calibri" w:hAnsi="Arial" w:cs="Arial"/>
                <w:sz w:val="20"/>
                <w:szCs w:val="20"/>
              </w:rPr>
            </w:pPr>
            <w:r w:rsidRPr="000E5D59">
              <w:rPr>
                <w:rFonts w:ascii="Arial" w:eastAsia="Calibri" w:hAnsi="Arial" w:cs="Arial"/>
                <w:sz w:val="20"/>
                <w:szCs w:val="20"/>
              </w:rPr>
              <w:t xml:space="preserve">0 to 1/8 ounce </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1411</w:t>
            </w:r>
            <w:r w:rsidRPr="000E5D59">
              <w:rPr>
                <w:rFonts w:ascii="Arial" w:eastAsia="Times New Roman" w:hAnsi="Arial" w:cs="Arial"/>
                <w:sz w:val="20"/>
                <w:szCs w:val="20"/>
              </w:rPr>
              <w:br/>
              <w:t>36.87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766</w:t>
            </w:r>
            <w:r w:rsidRPr="000E5D59">
              <w:rPr>
                <w:rFonts w:ascii="Arial" w:eastAsia="Times New Roman" w:hAnsi="Arial" w:cs="Arial"/>
                <w:sz w:val="20"/>
                <w:szCs w:val="20"/>
              </w:rPr>
              <w:br/>
              <w:t>34.15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631</w:t>
            </w:r>
            <w:r w:rsidRPr="000E5D59">
              <w:rPr>
                <w:rFonts w:ascii="Arial" w:eastAsia="Times New Roman" w:hAnsi="Arial" w:cs="Arial"/>
                <w:sz w:val="20"/>
                <w:szCs w:val="20"/>
              </w:rPr>
              <w:br/>
              <w:t>41.11</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 to 1/4 ounce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537</w:t>
            </w:r>
            <w:r w:rsidRPr="000E5D59">
              <w:rPr>
                <w:rFonts w:ascii="Arial" w:eastAsia="Times New Roman" w:hAnsi="Arial" w:cs="Arial"/>
                <w:sz w:val="20"/>
                <w:szCs w:val="20"/>
              </w:rPr>
              <w:br/>
              <w:t>14.03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295</w:t>
            </w:r>
            <w:r w:rsidRPr="000E5D59">
              <w:rPr>
                <w:rFonts w:ascii="Arial" w:eastAsia="Times New Roman" w:hAnsi="Arial" w:cs="Arial"/>
                <w:sz w:val="20"/>
                <w:szCs w:val="20"/>
              </w:rPr>
              <w:br/>
              <w:t>13.15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235</w:t>
            </w:r>
            <w:r w:rsidRPr="000E5D59">
              <w:rPr>
                <w:rFonts w:ascii="Arial" w:eastAsia="Times New Roman" w:hAnsi="Arial" w:cs="Arial"/>
                <w:sz w:val="20"/>
                <w:szCs w:val="20"/>
              </w:rPr>
              <w:br/>
              <w:t>15.31</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 to 1/2 ounce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596</w:t>
            </w:r>
            <w:r w:rsidRPr="000E5D59">
              <w:rPr>
                <w:rFonts w:ascii="Arial" w:eastAsia="Times New Roman" w:hAnsi="Arial" w:cs="Arial"/>
                <w:sz w:val="20"/>
                <w:szCs w:val="20"/>
              </w:rPr>
              <w:br/>
              <w:t>15.57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362</w:t>
            </w:r>
            <w:r w:rsidRPr="000E5D59">
              <w:rPr>
                <w:rFonts w:ascii="Arial" w:eastAsia="Times New Roman" w:hAnsi="Arial" w:cs="Arial"/>
                <w:sz w:val="20"/>
                <w:szCs w:val="20"/>
              </w:rPr>
              <w:br/>
              <w:t>16.14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223</w:t>
            </w:r>
            <w:r w:rsidRPr="000E5D59">
              <w:rPr>
                <w:rFonts w:ascii="Arial" w:eastAsia="Times New Roman" w:hAnsi="Arial" w:cs="Arial"/>
                <w:sz w:val="20"/>
                <w:szCs w:val="20"/>
              </w:rPr>
              <w:br/>
              <w:t>14.53</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 to 1 ounce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835</w:t>
            </w:r>
            <w:r w:rsidRPr="000E5D59">
              <w:rPr>
                <w:rFonts w:ascii="Arial" w:eastAsia="Times New Roman" w:hAnsi="Arial" w:cs="Arial"/>
                <w:sz w:val="20"/>
                <w:szCs w:val="20"/>
              </w:rPr>
              <w:br/>
              <w:t>21.82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521</w:t>
            </w:r>
            <w:r w:rsidRPr="000E5D59">
              <w:rPr>
                <w:rFonts w:ascii="Arial" w:eastAsia="Times New Roman" w:hAnsi="Arial" w:cs="Arial"/>
                <w:sz w:val="20"/>
                <w:szCs w:val="20"/>
              </w:rPr>
              <w:br/>
              <w:t>23.23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300</w:t>
            </w:r>
            <w:r w:rsidRPr="000E5D59">
              <w:rPr>
                <w:rFonts w:ascii="Arial" w:eastAsia="Times New Roman" w:hAnsi="Arial" w:cs="Arial"/>
                <w:sz w:val="20"/>
                <w:szCs w:val="20"/>
              </w:rPr>
              <w:br/>
              <w:t>19.54</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1 ounce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228</w:t>
            </w:r>
            <w:r w:rsidRPr="000E5D59">
              <w:rPr>
                <w:rFonts w:ascii="Arial" w:eastAsia="Times New Roman" w:hAnsi="Arial" w:cs="Arial"/>
                <w:sz w:val="20"/>
                <w:szCs w:val="20"/>
              </w:rPr>
              <w:br/>
              <w:t>5.96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158</w:t>
            </w:r>
            <w:r w:rsidRPr="000E5D59">
              <w:rPr>
                <w:rFonts w:ascii="Arial" w:eastAsia="Times New Roman" w:hAnsi="Arial" w:cs="Arial"/>
                <w:sz w:val="20"/>
                <w:szCs w:val="20"/>
              </w:rPr>
              <w:br/>
              <w:t>7.04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69</w:t>
            </w:r>
            <w:r w:rsidRPr="000E5D59">
              <w:rPr>
                <w:rFonts w:ascii="Arial" w:eastAsia="Times New Roman" w:hAnsi="Arial" w:cs="Arial"/>
                <w:sz w:val="20"/>
                <w:szCs w:val="20"/>
              </w:rPr>
              <w:br/>
              <w:t>4.50</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220</w:t>
            </w:r>
            <w:r w:rsidRPr="000E5D59">
              <w:rPr>
                <w:rFonts w:ascii="Arial" w:eastAsia="Times New Roman" w:hAnsi="Arial" w:cs="Arial"/>
                <w:sz w:val="20"/>
                <w:szCs w:val="20"/>
              </w:rPr>
              <w:br/>
              <w:t>5.75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141</w:t>
            </w:r>
            <w:r w:rsidRPr="000E5D59">
              <w:rPr>
                <w:rFonts w:ascii="Arial" w:eastAsia="Times New Roman" w:hAnsi="Arial" w:cs="Arial"/>
                <w:sz w:val="20"/>
                <w:szCs w:val="20"/>
              </w:rPr>
              <w:br/>
              <w:t>6.29</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77</w:t>
            </w:r>
            <w:r w:rsidRPr="000E5D59">
              <w:rPr>
                <w:rFonts w:ascii="Arial" w:eastAsia="Times New Roman" w:hAnsi="Arial" w:cs="Arial"/>
                <w:sz w:val="20"/>
                <w:szCs w:val="20"/>
              </w:rPr>
              <w:br/>
              <w:t>5.02</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smoking dried flower in past 30 days</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6C: DPH Patient Survey Smoked Dried Flower by Education (Among 6,111 Respondents who Used </w:t>
      </w:r>
      <w:r w:rsidR="000941B7">
        <w:rPr>
          <w:rFonts w:ascii="Arial" w:eastAsia="Calibri" w:hAnsi="Arial" w:cs="Arial"/>
          <w:b/>
          <w:sz w:val="24"/>
          <w:szCs w:val="24"/>
        </w:rPr>
        <w:t>Marijuana in Past 30 Days)</w:t>
      </w:r>
    </w:p>
    <w:tbl>
      <w:tblPr>
        <w:tblW w:w="9555" w:type="dxa"/>
        <w:tblInd w:w="93" w:type="dxa"/>
        <w:tblLook w:val="04A0" w:firstRow="1" w:lastRow="0" w:firstColumn="1" w:lastColumn="0" w:noHBand="0" w:noVBand="1"/>
        <w:tblCaption w:val="Table 6C: DPH Patient Survey Smoked Dried Flower by Education (Among 6,111 Respondents who Used Marijuana in Past 30 Days)"/>
      </w:tblPr>
      <w:tblGrid>
        <w:gridCol w:w="4065"/>
        <w:gridCol w:w="1080"/>
        <w:gridCol w:w="1620"/>
        <w:gridCol w:w="1530"/>
        <w:gridCol w:w="1260"/>
      </w:tblGrid>
      <w:tr w:rsidR="000E5D59" w:rsidRPr="000E5D59" w:rsidTr="00784755">
        <w:trPr>
          <w:trHeight w:val="20"/>
        </w:trPr>
        <w:tc>
          <w:tcPr>
            <w:tcW w:w="406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single" w:sz="8" w:space="0" w:color="000000"/>
              <w:right w:val="thickThinSmallGap" w:sz="24" w:space="0" w:color="auto"/>
            </w:tcBorders>
            <w:shd w:val="clear" w:color="auto" w:fill="auto"/>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06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(N=2836)</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(N=3168)</w:t>
            </w:r>
          </w:p>
        </w:tc>
        <w:tc>
          <w:tcPr>
            <w:tcW w:w="126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Smoked dried flower in the past 30 days</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2100</w:t>
            </w:r>
            <w:r w:rsidRPr="000E5D59">
              <w:rPr>
                <w:rFonts w:ascii="Arial" w:eastAsia="Times New Roman" w:hAnsi="Arial" w:cs="Arial"/>
                <w:sz w:val="20"/>
                <w:szCs w:val="20"/>
              </w:rPr>
              <w:br/>
              <w:t>34.88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784</w:t>
            </w:r>
            <w:r w:rsidRPr="000E5D59">
              <w:rPr>
                <w:rFonts w:ascii="Arial" w:eastAsia="Times New Roman" w:hAnsi="Arial" w:cs="Arial"/>
                <w:sz w:val="20"/>
                <w:szCs w:val="20"/>
              </w:rPr>
              <w:br/>
              <w:t>27.64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1307</w:t>
            </w:r>
            <w:r w:rsidRPr="000E5D59">
              <w:rPr>
                <w:rFonts w:ascii="Arial" w:eastAsia="Times New Roman" w:hAnsi="Arial" w:cs="Arial"/>
                <w:sz w:val="20"/>
                <w:szCs w:val="20"/>
              </w:rPr>
              <w:br/>
              <w:t>41.26</w:t>
            </w:r>
          </w:p>
        </w:tc>
        <w:tc>
          <w:tcPr>
            <w:tcW w:w="126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3921</w:t>
            </w:r>
            <w:r w:rsidRPr="000E5D59">
              <w:rPr>
                <w:rFonts w:ascii="Arial" w:eastAsia="Times New Roman" w:hAnsi="Arial" w:cs="Arial"/>
                <w:sz w:val="20"/>
                <w:szCs w:val="20"/>
              </w:rPr>
              <w:br/>
              <w:t>65.12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2052</w:t>
            </w:r>
            <w:r w:rsidRPr="000E5D59">
              <w:rPr>
                <w:rFonts w:ascii="Arial" w:eastAsia="Times New Roman" w:hAnsi="Arial" w:cs="Arial"/>
                <w:sz w:val="20"/>
                <w:szCs w:val="20"/>
              </w:rPr>
              <w:br/>
              <w:t>72.36</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1861</w:t>
            </w:r>
            <w:r w:rsidRPr="000E5D59">
              <w:rPr>
                <w:rFonts w:ascii="Arial" w:eastAsia="Times New Roman" w:hAnsi="Arial" w:cs="Arial"/>
                <w:sz w:val="20"/>
                <w:szCs w:val="20"/>
              </w:rPr>
              <w:br/>
              <w:t>58.74</w:t>
            </w:r>
          </w:p>
        </w:tc>
        <w:tc>
          <w:tcPr>
            <w:tcW w:w="126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smoking dried flower in a joint, bong, pipe, blunt, etc.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3804</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802</w:t>
            </w:r>
            <w:r w:rsidRPr="000E5D59">
              <w:rPr>
                <w:rFonts w:ascii="Arial" w:eastAsia="Times New Roman" w:hAnsi="Arial" w:cs="Arial"/>
                <w:sz w:val="20"/>
                <w:szCs w:val="20"/>
              </w:rPr>
              <w:br/>
              <w:t>21.08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339</w:t>
            </w:r>
            <w:r w:rsidRPr="000E5D59">
              <w:rPr>
                <w:rFonts w:ascii="Arial" w:eastAsia="Times New Roman" w:hAnsi="Arial" w:cs="Arial"/>
                <w:sz w:val="20"/>
                <w:szCs w:val="20"/>
              </w:rPr>
              <w:br/>
              <w:t>17.14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461</w:t>
            </w:r>
            <w:r w:rsidRPr="000E5D59">
              <w:rPr>
                <w:rFonts w:ascii="Arial" w:eastAsia="Times New Roman" w:hAnsi="Arial" w:cs="Arial"/>
                <w:sz w:val="20"/>
                <w:szCs w:val="20"/>
              </w:rPr>
              <w:br/>
              <w:t>25.36</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1142</w:t>
            </w:r>
            <w:r w:rsidRPr="000E5D59">
              <w:rPr>
                <w:rFonts w:ascii="Arial" w:eastAsia="Times New Roman" w:hAnsi="Arial" w:cs="Arial"/>
                <w:sz w:val="20"/>
                <w:szCs w:val="20"/>
              </w:rPr>
              <w:br/>
              <w:t>30.02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526</w:t>
            </w:r>
            <w:r w:rsidRPr="000E5D59">
              <w:rPr>
                <w:rFonts w:ascii="Arial" w:eastAsia="Times New Roman" w:hAnsi="Arial" w:cs="Arial"/>
                <w:sz w:val="20"/>
                <w:szCs w:val="20"/>
              </w:rPr>
              <w:br/>
              <w:t>26.59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613</w:t>
            </w:r>
            <w:r w:rsidRPr="000E5D59">
              <w:rPr>
                <w:rFonts w:ascii="Arial" w:eastAsia="Times New Roman" w:hAnsi="Arial" w:cs="Arial"/>
                <w:sz w:val="20"/>
                <w:szCs w:val="20"/>
              </w:rPr>
              <w:br/>
              <w:t>33.72</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693</w:t>
            </w:r>
            <w:r w:rsidRPr="000E5D59">
              <w:rPr>
                <w:rFonts w:ascii="Arial" w:eastAsia="Times New Roman" w:hAnsi="Arial" w:cs="Arial"/>
                <w:sz w:val="20"/>
                <w:szCs w:val="20"/>
              </w:rPr>
              <w:br/>
              <w:t>18.22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383</w:t>
            </w:r>
            <w:r w:rsidRPr="000E5D59">
              <w:rPr>
                <w:rFonts w:ascii="Arial" w:eastAsia="Times New Roman" w:hAnsi="Arial" w:cs="Arial"/>
                <w:sz w:val="20"/>
                <w:szCs w:val="20"/>
              </w:rPr>
              <w:br/>
              <w:t>19.36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310</w:t>
            </w:r>
            <w:r w:rsidRPr="000E5D59">
              <w:rPr>
                <w:rFonts w:ascii="Arial" w:eastAsia="Times New Roman" w:hAnsi="Arial" w:cs="Arial"/>
                <w:sz w:val="20"/>
                <w:szCs w:val="20"/>
              </w:rPr>
              <w:br/>
              <w:t>17.05</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1167</w:t>
            </w:r>
            <w:r w:rsidRPr="000E5D59">
              <w:rPr>
                <w:rFonts w:ascii="Arial" w:eastAsia="Times New Roman" w:hAnsi="Arial" w:cs="Arial"/>
                <w:sz w:val="20"/>
                <w:szCs w:val="20"/>
              </w:rPr>
              <w:br/>
              <w:t>30.68</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730</w:t>
            </w:r>
            <w:r w:rsidRPr="000E5D59">
              <w:rPr>
                <w:rFonts w:ascii="Arial" w:eastAsia="Times New Roman" w:hAnsi="Arial" w:cs="Arial"/>
                <w:sz w:val="20"/>
                <w:szCs w:val="20"/>
              </w:rPr>
              <w:br/>
              <w:t>36.91</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434</w:t>
            </w:r>
            <w:r w:rsidRPr="000E5D59">
              <w:rPr>
                <w:rFonts w:ascii="Arial" w:eastAsia="Times New Roman" w:hAnsi="Arial" w:cs="Arial"/>
                <w:sz w:val="20"/>
                <w:szCs w:val="20"/>
              </w:rPr>
              <w:br/>
              <w:t>23.87</w:t>
            </w:r>
          </w:p>
        </w:tc>
        <w:tc>
          <w:tcPr>
            <w:tcW w:w="126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Total amount of dried flower smoked over past 30 days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3827</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Calibri" w:hAnsi="Arial" w:cs="Arial"/>
                <w:sz w:val="20"/>
                <w:szCs w:val="20"/>
              </w:rPr>
            </w:pPr>
            <w:r w:rsidRPr="000E5D59">
              <w:rPr>
                <w:rFonts w:ascii="Arial" w:eastAsia="Calibri" w:hAnsi="Arial" w:cs="Arial"/>
                <w:sz w:val="20"/>
                <w:szCs w:val="20"/>
              </w:rPr>
              <w:t xml:space="preserve">0 to 1/8 ounce </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1411</w:t>
            </w:r>
            <w:r w:rsidRPr="000E5D59">
              <w:rPr>
                <w:rFonts w:ascii="Arial" w:eastAsia="Times New Roman" w:hAnsi="Arial" w:cs="Arial"/>
                <w:sz w:val="20"/>
                <w:szCs w:val="20"/>
              </w:rPr>
              <w:br/>
              <w:t>36.87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572</w:t>
            </w:r>
            <w:r w:rsidRPr="000E5D59">
              <w:rPr>
                <w:rFonts w:ascii="Arial" w:eastAsia="Times New Roman" w:hAnsi="Arial" w:cs="Arial"/>
                <w:sz w:val="20"/>
                <w:szCs w:val="20"/>
              </w:rPr>
              <w:br/>
              <w:t>28.66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835</w:t>
            </w:r>
            <w:r w:rsidRPr="000E5D59">
              <w:rPr>
                <w:rFonts w:ascii="Arial" w:eastAsia="Times New Roman" w:hAnsi="Arial" w:cs="Arial"/>
                <w:sz w:val="20"/>
                <w:szCs w:val="20"/>
              </w:rPr>
              <w:br/>
              <w:t>45.80</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 to 1/4 ounce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537</w:t>
            </w:r>
            <w:r w:rsidRPr="000E5D59">
              <w:rPr>
                <w:rFonts w:ascii="Arial" w:eastAsia="Times New Roman" w:hAnsi="Arial" w:cs="Arial"/>
                <w:sz w:val="20"/>
                <w:szCs w:val="20"/>
              </w:rPr>
              <w:br/>
              <w:t>14.03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250</w:t>
            </w:r>
            <w:r w:rsidRPr="000E5D59">
              <w:rPr>
                <w:rFonts w:ascii="Arial" w:eastAsia="Times New Roman" w:hAnsi="Arial" w:cs="Arial"/>
                <w:sz w:val="20"/>
                <w:szCs w:val="20"/>
              </w:rPr>
              <w:br/>
              <w:t>12.53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285</w:t>
            </w:r>
            <w:r w:rsidRPr="000E5D59">
              <w:rPr>
                <w:rFonts w:ascii="Arial" w:eastAsia="Times New Roman" w:hAnsi="Arial" w:cs="Arial"/>
                <w:sz w:val="20"/>
                <w:szCs w:val="20"/>
              </w:rPr>
              <w:br/>
              <w:t>15.63</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 to 1/2 ounce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596</w:t>
            </w:r>
            <w:r w:rsidRPr="000E5D59">
              <w:rPr>
                <w:rFonts w:ascii="Arial" w:eastAsia="Times New Roman" w:hAnsi="Arial" w:cs="Arial"/>
                <w:sz w:val="20"/>
                <w:szCs w:val="20"/>
              </w:rPr>
              <w:br/>
              <w:t>15.57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347</w:t>
            </w:r>
            <w:r w:rsidRPr="000E5D59">
              <w:rPr>
                <w:rFonts w:ascii="Arial" w:eastAsia="Times New Roman" w:hAnsi="Arial" w:cs="Arial"/>
                <w:sz w:val="20"/>
                <w:szCs w:val="20"/>
              </w:rPr>
              <w:br/>
              <w:t>17.38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249</w:t>
            </w:r>
            <w:r w:rsidRPr="000E5D59">
              <w:rPr>
                <w:rFonts w:ascii="Arial" w:eastAsia="Times New Roman" w:hAnsi="Arial" w:cs="Arial"/>
                <w:sz w:val="20"/>
                <w:szCs w:val="20"/>
              </w:rPr>
              <w:br/>
              <w:t>13.66</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 to 1 ounce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835</w:t>
            </w:r>
            <w:r w:rsidRPr="000E5D59">
              <w:rPr>
                <w:rFonts w:ascii="Arial" w:eastAsia="Times New Roman" w:hAnsi="Arial" w:cs="Arial"/>
                <w:sz w:val="20"/>
                <w:szCs w:val="20"/>
              </w:rPr>
              <w:br/>
              <w:t>21.82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528</w:t>
            </w:r>
            <w:r w:rsidRPr="000E5D59">
              <w:rPr>
                <w:rFonts w:ascii="Arial" w:eastAsia="Times New Roman" w:hAnsi="Arial" w:cs="Arial"/>
                <w:sz w:val="20"/>
                <w:szCs w:val="20"/>
              </w:rPr>
              <w:br/>
              <w:t>26.45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307</w:t>
            </w:r>
            <w:r w:rsidRPr="000E5D59">
              <w:rPr>
                <w:rFonts w:ascii="Arial" w:eastAsia="Times New Roman" w:hAnsi="Arial" w:cs="Arial"/>
                <w:sz w:val="20"/>
                <w:szCs w:val="20"/>
              </w:rPr>
              <w:br/>
              <w:t>16.84</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1 ounce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228</w:t>
            </w:r>
            <w:r w:rsidRPr="000E5D59">
              <w:rPr>
                <w:rFonts w:ascii="Arial" w:eastAsia="Times New Roman" w:hAnsi="Arial" w:cs="Arial"/>
                <w:sz w:val="20"/>
                <w:szCs w:val="20"/>
              </w:rPr>
              <w:br/>
              <w:t>5.96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163</w:t>
            </w:r>
            <w:r w:rsidRPr="000E5D59">
              <w:rPr>
                <w:rFonts w:ascii="Arial" w:eastAsia="Times New Roman" w:hAnsi="Arial" w:cs="Arial"/>
                <w:sz w:val="20"/>
                <w:szCs w:val="20"/>
              </w:rPr>
              <w:br/>
              <w:t>8.17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w:t>
            </w:r>
            <w:r w:rsidRPr="000E5D59">
              <w:rPr>
                <w:rFonts w:ascii="Arial" w:eastAsia="Times New Roman" w:hAnsi="Arial" w:cs="Arial"/>
                <w:sz w:val="20"/>
                <w:szCs w:val="20"/>
              </w:rPr>
              <w:br/>
              <w:t>3.57</w:t>
            </w:r>
          </w:p>
        </w:tc>
        <w:tc>
          <w:tcPr>
            <w:tcW w:w="126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220</w:t>
            </w:r>
            <w:r w:rsidRPr="000E5D59">
              <w:rPr>
                <w:rFonts w:ascii="Arial" w:eastAsia="Times New Roman" w:hAnsi="Arial" w:cs="Arial"/>
                <w:sz w:val="20"/>
                <w:szCs w:val="20"/>
              </w:rPr>
              <w:br/>
              <w:t>5.75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136</w:t>
            </w:r>
            <w:r w:rsidRPr="000E5D59">
              <w:rPr>
                <w:rFonts w:ascii="Arial" w:eastAsia="Times New Roman" w:hAnsi="Arial" w:cs="Arial"/>
                <w:sz w:val="20"/>
                <w:szCs w:val="20"/>
              </w:rPr>
              <w:br/>
              <w:t>6.81</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82</w:t>
            </w:r>
            <w:r w:rsidRPr="000E5D59">
              <w:rPr>
                <w:rFonts w:ascii="Arial" w:eastAsia="Times New Roman" w:hAnsi="Arial" w:cs="Arial"/>
                <w:sz w:val="20"/>
                <w:szCs w:val="20"/>
              </w:rPr>
              <w:br/>
              <w:t>4.50</w:t>
            </w:r>
          </w:p>
        </w:tc>
        <w:tc>
          <w:tcPr>
            <w:tcW w:w="126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smoking dried flower in past 30 days</w:t>
            </w:r>
            <w:r w:rsidRPr="000E5D59">
              <w:rPr>
                <w:rFonts w:ascii="Arial" w:eastAsia="Times New Roman" w:hAnsi="Arial" w:cs="Arial"/>
                <w:i/>
                <w:iCs/>
                <w:sz w:val="20"/>
                <w:szCs w:val="20"/>
              </w:rPr>
              <w:br/>
              <w:t>*p&lt;0.05; **p&lt;0.01; ***p&lt;0.001; ****p&lt;0.0001; ns=not significant</w:t>
            </w:r>
          </w:p>
        </w:tc>
      </w:tr>
    </w:tbl>
    <w:p w:rsidR="00AC40A7" w:rsidRDefault="00AC40A7" w:rsidP="00AC40A7">
      <w:pPr>
        <w:pStyle w:val="BodyText"/>
      </w:pPr>
    </w:p>
    <w:p w:rsidR="000E5D59" w:rsidRPr="000E5D59" w:rsidRDefault="000E5D59" w:rsidP="00AC40A7">
      <w:pPr>
        <w:pStyle w:val="Heading3"/>
      </w:pPr>
      <w:bookmarkStart w:id="217" w:name="_Toc11765951"/>
      <w:bookmarkStart w:id="218" w:name="_Toc11766606"/>
      <w:r w:rsidRPr="000E5D59">
        <w:t>Vaporized Marijuana Concentrate</w:t>
      </w:r>
      <w:bookmarkEnd w:id="217"/>
      <w:bookmarkEnd w:id="218"/>
    </w:p>
    <w:p w:rsidR="008976A8" w:rsidRDefault="008976A8"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Tables 8A, 8B, and 8C</w:t>
      </w:r>
      <w:r w:rsidRPr="000E5D59">
        <w:rPr>
          <w:rFonts w:ascii="Arial" w:eastAsia="Calibri" w:hAnsi="Arial" w:cs="Arial"/>
          <w:sz w:val="24"/>
          <w:szCs w:val="24"/>
        </w:rPr>
        <w:t xml:space="preserve"> summarize results of survey responses pertaining to using vaporized marijuana concentrated, with comparisons by gender, age group, and educational attainment, respectively. 62% of respondents who reported using marijuana or marijuana products at least once in the past 30 days reported using vaporized marijuana concentrate in the past 30 days. Vaporized marijuana concentrate use was significantly higher among respondents under age 51 compared to older respondents (68% vs. 55%).</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Thirty-six percent of respondents who reported using vaporized marijuana concentrate in the past 30 days reported using vaporized marijuana concentrate at least once per day, while 26% reported using vaporized marijuana concentrate less than once per week. A larger proportion of respondents without a Bachelor’s degree than with a </w:t>
      </w:r>
      <w:r w:rsidRPr="000E5D59">
        <w:rPr>
          <w:rFonts w:ascii="Arial" w:eastAsia="Calibri" w:hAnsi="Arial" w:cs="Arial"/>
          <w:sz w:val="24"/>
          <w:szCs w:val="24"/>
        </w:rPr>
        <w:lastRenderedPageBreak/>
        <w:t>degree reported using vaporized marijuana concentrate multiple times per day (25% vs. 19%) and once per day (16% vs. 13%), while a larger proportion of respondents with a Bachelor’s degree than without reported using vaporized marijuana concentrate less than once per week (27% vs. 24%) and more than once per week (but not as much as once per day) (41% vs. 34%).</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All respondents who reported using vaporized marijuana concentrate in the past 30 days were asked to indicate the amount of THC administered using vaporized marijuana concentrate over the past 30 days. The amount of THC reported by respondents should be interpreted with caution, as almost half of all respondents did not know how much THC they administered using vaporized marijuana concentrate. However, 40% of respondents reported administering between 1 and 150 mg of THC in the past 30 days using vaporized marijuana concentrate. A larger proportion of male respondents than female reported administering between 1 and 150 mg of THC (41% vs. 38%), while a larger proportion of female respondents than male reported that they did not know how much THC they administered using vaporized marijuana concentrate (51% vs. 42%). A larger proportion of respondents over the age of 50 than younger respondents reported that they did not know how much THC they administered using vaporized marijuana concentrate (50% vs. 43%).</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r w:rsidRPr="000E5D59">
        <w:rPr>
          <w:rFonts w:ascii="Arial" w:eastAsia="Calibri" w:hAnsi="Arial" w:cs="Arial"/>
          <w:sz w:val="24"/>
          <w:szCs w:val="24"/>
        </w:rPr>
        <w:t>All respondents who reported using vaporize marijuana concentrate in the past 30 days were asked to indicate the amount of CBD administered using vaporized marijuana concentrate over the past 30 days. The amount of CBD reported by respondents should be interpreted with caution, as more than 2 in 5 respondents did not know how much CBD they administered using vaporized marijuana concentrate. However, 38% of respondents reported administering between 1 and 150 mg of CBD in the past 30 days using vaporized marijuana concentrate. A larger proportion of male respondents than female reported administering between 1 and 150 mg of CBD (39% vs. 36%), while a larger proportion of female respondents than male reported that they did not know how much CBD they administered using vaporized marijuana concentrate (49% vs. 40%). A larger proportion of respondents over the age of 50 than younger respondents reported that they did not know how much CBD they administered using vaporized marijuana concentrate (48% vs. 41%), as did a larger proportion of respondents with a Bachelor’s degree than without  a degree (45% vs. 42%).</w:t>
      </w:r>
    </w:p>
    <w:p w:rsidR="008976A8"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Table 8A: DPH Patient Survey Vaporized Marijuana Concentrate by Gender (Among 6,111 Respondents who Used Marijuana in Past 30 Days)</w:t>
      </w:r>
    </w:p>
    <w:tbl>
      <w:tblPr>
        <w:tblW w:w="9555" w:type="dxa"/>
        <w:tblInd w:w="93" w:type="dxa"/>
        <w:tblLook w:val="04A0" w:firstRow="1" w:lastRow="0" w:firstColumn="1" w:lastColumn="0" w:noHBand="0" w:noVBand="1"/>
        <w:tblCaption w:val="DPH Patient Survey Vaporized Marijuana Concentrate by Gender (Among 6,111 Respondents who Used Marijuana in Past 30 Days)"/>
      </w:tblPr>
      <w:tblGrid>
        <w:gridCol w:w="4065"/>
        <w:gridCol w:w="1080"/>
        <w:gridCol w:w="1620"/>
        <w:gridCol w:w="1620"/>
        <w:gridCol w:w="1170"/>
      </w:tblGrid>
      <w:tr w:rsidR="000E5D59" w:rsidRPr="000E5D59" w:rsidTr="00784755">
        <w:trPr>
          <w:trHeight w:val="20"/>
        </w:trPr>
        <w:tc>
          <w:tcPr>
            <w:tcW w:w="406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06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(N=3251)</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(N=2672)</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A26D70">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Used vaporized marijuana</w:t>
            </w:r>
            <w:r w:rsidR="00A26D70">
              <w:rPr>
                <w:rFonts w:ascii="Arial" w:eastAsia="Times New Roman" w:hAnsi="Arial" w:cs="Arial"/>
                <w:b/>
                <w:bCs/>
                <w:sz w:val="20"/>
                <w:szCs w:val="20"/>
              </w:rPr>
              <w:t xml:space="preserve"> concentrate in past </w:t>
            </w:r>
            <w:r w:rsidRPr="000E5D59">
              <w:rPr>
                <w:rFonts w:ascii="Arial" w:eastAsia="Times New Roman" w:hAnsi="Arial" w:cs="Arial"/>
                <w:b/>
                <w:bCs/>
                <w:sz w:val="20"/>
                <w:szCs w:val="20"/>
              </w:rPr>
              <w:t xml:space="preserve">30 days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2270</w:t>
            </w:r>
            <w:r w:rsidRPr="000E5D59">
              <w:rPr>
                <w:rFonts w:ascii="Arial" w:eastAsia="Times New Roman" w:hAnsi="Arial" w:cs="Arial"/>
                <w:sz w:val="20"/>
                <w:szCs w:val="20"/>
              </w:rPr>
              <w:br/>
              <w:t>37.70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1211</w:t>
            </w:r>
            <w:r w:rsidRPr="000E5D59">
              <w:rPr>
                <w:rFonts w:ascii="Arial" w:eastAsia="Times New Roman" w:hAnsi="Arial" w:cs="Arial"/>
                <w:sz w:val="20"/>
                <w:szCs w:val="20"/>
              </w:rPr>
              <w:br/>
              <w:t>37.25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1025</w:t>
            </w:r>
            <w:r w:rsidRPr="000E5D59">
              <w:rPr>
                <w:rFonts w:ascii="Arial" w:eastAsia="Times New Roman" w:hAnsi="Arial" w:cs="Arial"/>
                <w:sz w:val="20"/>
                <w:szCs w:val="20"/>
              </w:rPr>
              <w:br/>
              <w:t>38.36</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3751</w:t>
            </w:r>
            <w:r w:rsidRPr="000E5D59">
              <w:rPr>
                <w:rFonts w:ascii="Arial" w:eastAsia="Times New Roman" w:hAnsi="Arial" w:cs="Arial"/>
                <w:sz w:val="20"/>
                <w:szCs w:val="20"/>
              </w:rPr>
              <w:br/>
              <w:t>62.30</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2040</w:t>
            </w:r>
            <w:r w:rsidRPr="000E5D59">
              <w:rPr>
                <w:rFonts w:ascii="Arial" w:eastAsia="Times New Roman" w:hAnsi="Arial" w:cs="Arial"/>
                <w:sz w:val="20"/>
                <w:szCs w:val="20"/>
              </w:rPr>
              <w:br/>
              <w:t>62.75</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1647</w:t>
            </w:r>
            <w:r w:rsidRPr="000E5D59">
              <w:rPr>
                <w:rFonts w:ascii="Arial" w:eastAsia="Times New Roman" w:hAnsi="Arial" w:cs="Arial"/>
                <w:sz w:val="20"/>
                <w:szCs w:val="20"/>
              </w:rPr>
              <w:br/>
              <w:t>61.64</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A26D70" w:rsidP="006057BE">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Frequency of using vaporized marijuana concentrate </w:t>
            </w:r>
            <w:r w:rsidR="000E5D59" w:rsidRPr="000E5D59">
              <w:rPr>
                <w:rFonts w:ascii="Arial" w:eastAsia="Times New Roman" w:hAnsi="Arial" w:cs="Arial"/>
                <w:b/>
                <w:bCs/>
                <w:sz w:val="20"/>
                <w:szCs w:val="20"/>
              </w:rPr>
              <w:t>†</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3551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909</w:t>
            </w:r>
            <w:r w:rsidRPr="000E5D59">
              <w:rPr>
                <w:rFonts w:ascii="Arial" w:eastAsia="Times New Roman" w:hAnsi="Arial" w:cs="Arial"/>
                <w:sz w:val="20"/>
                <w:szCs w:val="20"/>
              </w:rPr>
              <w:br/>
              <w:t>25.60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500</w:t>
            </w:r>
            <w:r w:rsidRPr="000E5D59">
              <w:rPr>
                <w:rFonts w:ascii="Arial" w:eastAsia="Times New Roman" w:hAnsi="Arial" w:cs="Arial"/>
                <w:sz w:val="20"/>
                <w:szCs w:val="20"/>
              </w:rPr>
              <w:br/>
              <w:t>25.75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397</w:t>
            </w:r>
            <w:r w:rsidRPr="000E5D59">
              <w:rPr>
                <w:rFonts w:ascii="Arial" w:eastAsia="Times New Roman" w:hAnsi="Arial" w:cs="Arial"/>
                <w:sz w:val="20"/>
                <w:szCs w:val="20"/>
              </w:rPr>
              <w:br/>
              <w:t>25.61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1346</w:t>
            </w:r>
            <w:r w:rsidRPr="000E5D59">
              <w:rPr>
                <w:rFonts w:ascii="Arial" w:eastAsia="Times New Roman" w:hAnsi="Arial" w:cs="Arial"/>
                <w:sz w:val="20"/>
                <w:szCs w:val="20"/>
              </w:rPr>
              <w:br/>
              <w:t>37.90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770</w:t>
            </w:r>
            <w:r w:rsidRPr="000E5D59">
              <w:rPr>
                <w:rFonts w:ascii="Arial" w:eastAsia="Times New Roman" w:hAnsi="Arial" w:cs="Arial"/>
                <w:sz w:val="20"/>
                <w:szCs w:val="20"/>
              </w:rPr>
              <w:br/>
              <w:t>39.65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556</w:t>
            </w:r>
            <w:r w:rsidRPr="000E5D59">
              <w:rPr>
                <w:rFonts w:ascii="Arial" w:eastAsia="Times New Roman" w:hAnsi="Arial" w:cs="Arial"/>
                <w:sz w:val="20"/>
                <w:szCs w:val="20"/>
              </w:rPr>
              <w:br/>
              <w:t>35.87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505</w:t>
            </w:r>
            <w:r w:rsidRPr="000E5D59">
              <w:rPr>
                <w:rFonts w:ascii="Arial" w:eastAsia="Times New Roman" w:hAnsi="Arial" w:cs="Arial"/>
                <w:sz w:val="20"/>
                <w:szCs w:val="20"/>
              </w:rPr>
              <w:br/>
              <w:t>14.22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261</w:t>
            </w:r>
            <w:r w:rsidRPr="000E5D59">
              <w:rPr>
                <w:rFonts w:ascii="Arial" w:eastAsia="Times New Roman" w:hAnsi="Arial" w:cs="Arial"/>
                <w:sz w:val="20"/>
                <w:szCs w:val="20"/>
              </w:rPr>
              <w:br/>
              <w:t>13.44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234</w:t>
            </w:r>
            <w:r w:rsidRPr="000E5D59">
              <w:rPr>
                <w:rFonts w:ascii="Arial" w:eastAsia="Times New Roman" w:hAnsi="Arial" w:cs="Arial"/>
                <w:sz w:val="20"/>
                <w:szCs w:val="20"/>
              </w:rPr>
              <w:br/>
              <w:t>15.10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791</w:t>
            </w:r>
            <w:r w:rsidRPr="000E5D59">
              <w:rPr>
                <w:rFonts w:ascii="Arial" w:eastAsia="Times New Roman" w:hAnsi="Arial" w:cs="Arial"/>
                <w:sz w:val="20"/>
                <w:szCs w:val="20"/>
              </w:rPr>
              <w:br/>
              <w:t>22.28</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411</w:t>
            </w:r>
            <w:r w:rsidRPr="000E5D59">
              <w:rPr>
                <w:rFonts w:ascii="Arial" w:eastAsia="Times New Roman" w:hAnsi="Arial" w:cs="Arial"/>
                <w:sz w:val="20"/>
                <w:szCs w:val="20"/>
              </w:rPr>
              <w:br/>
              <w:t>21.16</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363</w:t>
            </w:r>
            <w:r w:rsidRPr="000E5D59">
              <w:rPr>
                <w:rFonts w:ascii="Arial" w:eastAsia="Times New Roman" w:hAnsi="Arial" w:cs="Arial"/>
                <w:sz w:val="20"/>
                <w:szCs w:val="20"/>
              </w:rPr>
              <w:br/>
              <w:t>23.42</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3661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w:t>
            </w:r>
            <w:r w:rsidRPr="000E5D59">
              <w:rPr>
                <w:rFonts w:ascii="Arial" w:eastAsia="Times New Roman" w:hAnsi="Arial" w:cs="Arial"/>
                <w:sz w:val="20"/>
                <w:szCs w:val="20"/>
              </w:rPr>
              <w:br/>
              <w:t>1.58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w:t>
            </w:r>
            <w:r w:rsidRPr="000E5D59">
              <w:rPr>
                <w:rFonts w:ascii="Arial" w:eastAsia="Times New Roman" w:hAnsi="Arial" w:cs="Arial"/>
                <w:sz w:val="20"/>
                <w:szCs w:val="20"/>
              </w:rPr>
              <w:br/>
              <w:t>1.06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w:t>
            </w:r>
            <w:r w:rsidRPr="000E5D59">
              <w:rPr>
                <w:rFonts w:ascii="Arial" w:eastAsia="Times New Roman" w:hAnsi="Arial" w:cs="Arial"/>
                <w:sz w:val="20"/>
                <w:szCs w:val="20"/>
              </w:rPr>
              <w:br/>
              <w:t>2.30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1447</w:t>
            </w:r>
            <w:r w:rsidRPr="000E5D59">
              <w:rPr>
                <w:rFonts w:ascii="Arial" w:eastAsia="Times New Roman" w:hAnsi="Arial" w:cs="Arial"/>
                <w:sz w:val="20"/>
                <w:szCs w:val="20"/>
              </w:rPr>
              <w:br/>
              <w:t>39.52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818</w:t>
            </w:r>
            <w:r w:rsidRPr="000E5D59">
              <w:rPr>
                <w:rFonts w:ascii="Arial" w:eastAsia="Times New Roman" w:hAnsi="Arial" w:cs="Arial"/>
                <w:sz w:val="20"/>
                <w:szCs w:val="20"/>
              </w:rPr>
              <w:br/>
              <w:t>41.15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607</w:t>
            </w:r>
            <w:r w:rsidRPr="000E5D59">
              <w:rPr>
                <w:rFonts w:ascii="Arial" w:eastAsia="Times New Roman" w:hAnsi="Arial" w:cs="Arial"/>
                <w:sz w:val="20"/>
                <w:szCs w:val="20"/>
              </w:rPr>
              <w:br/>
              <w:t>37.66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288</w:t>
            </w:r>
            <w:r w:rsidRPr="000E5D59">
              <w:rPr>
                <w:rFonts w:ascii="Arial" w:eastAsia="Times New Roman" w:hAnsi="Arial" w:cs="Arial"/>
                <w:sz w:val="20"/>
                <w:szCs w:val="20"/>
              </w:rPr>
              <w:br/>
              <w:t>7.87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194</w:t>
            </w:r>
            <w:r w:rsidRPr="000E5D59">
              <w:rPr>
                <w:rFonts w:ascii="Arial" w:eastAsia="Times New Roman" w:hAnsi="Arial" w:cs="Arial"/>
                <w:sz w:val="20"/>
                <w:szCs w:val="20"/>
              </w:rPr>
              <w:br/>
              <w:t>9.76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90</w:t>
            </w:r>
            <w:r w:rsidRPr="000E5D59">
              <w:rPr>
                <w:rFonts w:ascii="Arial" w:eastAsia="Times New Roman" w:hAnsi="Arial" w:cs="Arial"/>
                <w:sz w:val="20"/>
                <w:szCs w:val="20"/>
              </w:rPr>
              <w:br/>
              <w:t>5.58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182</w:t>
            </w:r>
            <w:r w:rsidRPr="000E5D59">
              <w:rPr>
                <w:rFonts w:ascii="Arial" w:eastAsia="Times New Roman" w:hAnsi="Arial" w:cs="Arial"/>
                <w:sz w:val="20"/>
                <w:szCs w:val="20"/>
              </w:rPr>
              <w:br/>
              <w:t>4.97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123</w:t>
            </w:r>
            <w:r w:rsidRPr="000E5D59">
              <w:rPr>
                <w:rFonts w:ascii="Arial" w:eastAsia="Times New Roman" w:hAnsi="Arial" w:cs="Arial"/>
                <w:sz w:val="20"/>
                <w:szCs w:val="20"/>
              </w:rPr>
              <w:br/>
              <w:t>6.19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w:t>
            </w:r>
            <w:r w:rsidRPr="000E5D59">
              <w:rPr>
                <w:rFonts w:ascii="Arial" w:eastAsia="Times New Roman" w:hAnsi="Arial" w:cs="Arial"/>
                <w:sz w:val="20"/>
                <w:szCs w:val="20"/>
              </w:rPr>
              <w:br/>
              <w:t>3.29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1686</w:t>
            </w:r>
            <w:r w:rsidRPr="000E5D59">
              <w:rPr>
                <w:rFonts w:ascii="Arial" w:eastAsia="Times New Roman" w:hAnsi="Arial" w:cs="Arial"/>
                <w:sz w:val="20"/>
                <w:szCs w:val="20"/>
              </w:rPr>
              <w:br/>
              <w:t>46.05</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832</w:t>
            </w:r>
            <w:r w:rsidRPr="000E5D59">
              <w:rPr>
                <w:rFonts w:ascii="Arial" w:eastAsia="Times New Roman" w:hAnsi="Arial" w:cs="Arial"/>
                <w:sz w:val="20"/>
                <w:szCs w:val="20"/>
              </w:rPr>
              <w:br/>
              <w:t>41.85</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825</w:t>
            </w:r>
            <w:r w:rsidRPr="000E5D59">
              <w:rPr>
                <w:rFonts w:ascii="Arial" w:eastAsia="Times New Roman" w:hAnsi="Arial" w:cs="Arial"/>
                <w:sz w:val="20"/>
                <w:szCs w:val="20"/>
              </w:rPr>
              <w:br/>
              <w:t>51.18</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3635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428</w:t>
            </w:r>
            <w:r w:rsidRPr="000E5D59">
              <w:rPr>
                <w:rFonts w:ascii="Arial" w:eastAsia="Times New Roman" w:hAnsi="Arial" w:cs="Arial"/>
                <w:sz w:val="20"/>
                <w:szCs w:val="20"/>
              </w:rPr>
              <w:br/>
              <w:t>11.77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265</w:t>
            </w:r>
            <w:r w:rsidRPr="000E5D59">
              <w:rPr>
                <w:rFonts w:ascii="Arial" w:eastAsia="Times New Roman" w:hAnsi="Arial" w:cs="Arial"/>
                <w:sz w:val="20"/>
                <w:szCs w:val="20"/>
              </w:rPr>
              <w:br/>
              <w:t>13.47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159</w:t>
            </w:r>
            <w:r w:rsidRPr="000E5D59">
              <w:rPr>
                <w:rFonts w:ascii="Arial" w:eastAsia="Times New Roman" w:hAnsi="Arial" w:cs="Arial"/>
                <w:sz w:val="20"/>
                <w:szCs w:val="20"/>
              </w:rPr>
              <w:br/>
              <w:t>9.89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1368</w:t>
            </w:r>
            <w:r w:rsidRPr="000E5D59">
              <w:rPr>
                <w:rFonts w:ascii="Arial" w:eastAsia="Times New Roman" w:hAnsi="Arial" w:cs="Arial"/>
                <w:sz w:val="20"/>
                <w:szCs w:val="20"/>
              </w:rPr>
              <w:br/>
              <w:t>37.63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764</w:t>
            </w:r>
            <w:r w:rsidRPr="000E5D59">
              <w:rPr>
                <w:rFonts w:ascii="Arial" w:eastAsia="Times New Roman" w:hAnsi="Arial" w:cs="Arial"/>
                <w:sz w:val="20"/>
                <w:szCs w:val="20"/>
              </w:rPr>
              <w:br/>
              <w:t>38.82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581</w:t>
            </w:r>
            <w:r w:rsidRPr="000E5D59">
              <w:rPr>
                <w:rFonts w:ascii="Arial" w:eastAsia="Times New Roman" w:hAnsi="Arial" w:cs="Arial"/>
                <w:sz w:val="20"/>
                <w:szCs w:val="20"/>
              </w:rPr>
              <w:br/>
              <w:t>36.15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198</w:t>
            </w:r>
            <w:r w:rsidRPr="000E5D59">
              <w:rPr>
                <w:rFonts w:ascii="Arial" w:eastAsia="Times New Roman" w:hAnsi="Arial" w:cs="Arial"/>
                <w:sz w:val="20"/>
                <w:szCs w:val="20"/>
              </w:rPr>
              <w:br/>
              <w:t>5.45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116</w:t>
            </w:r>
            <w:r w:rsidRPr="000E5D59">
              <w:rPr>
                <w:rFonts w:ascii="Arial" w:eastAsia="Times New Roman" w:hAnsi="Arial" w:cs="Arial"/>
                <w:sz w:val="20"/>
                <w:szCs w:val="20"/>
              </w:rPr>
              <w:br/>
              <w:t>5.89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76</w:t>
            </w:r>
            <w:r w:rsidRPr="000E5D59">
              <w:rPr>
                <w:rFonts w:ascii="Arial" w:eastAsia="Times New Roman" w:hAnsi="Arial" w:cs="Arial"/>
                <w:sz w:val="20"/>
                <w:szCs w:val="20"/>
              </w:rPr>
              <w:br/>
              <w:t>4.73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w:t>
            </w:r>
            <w:r w:rsidRPr="000E5D59">
              <w:rPr>
                <w:rFonts w:ascii="Arial" w:eastAsia="Times New Roman" w:hAnsi="Arial" w:cs="Arial"/>
                <w:sz w:val="20"/>
                <w:szCs w:val="20"/>
              </w:rPr>
              <w:br/>
              <w:t>1.07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w:t>
            </w:r>
            <w:r w:rsidRPr="000E5D59">
              <w:rPr>
                <w:rFonts w:ascii="Arial" w:eastAsia="Times New Roman" w:hAnsi="Arial" w:cs="Arial"/>
                <w:sz w:val="20"/>
                <w:szCs w:val="20"/>
              </w:rPr>
              <w:br/>
              <w:t>1.42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w:t>
            </w:r>
            <w:r w:rsidRPr="000E5D59">
              <w:rPr>
                <w:rFonts w:ascii="Arial" w:eastAsia="Times New Roman" w:hAnsi="Arial" w:cs="Arial"/>
                <w:sz w:val="20"/>
                <w:szCs w:val="20"/>
              </w:rPr>
              <w:br/>
              <w:t>0.68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1602</w:t>
            </w:r>
            <w:r w:rsidRPr="000E5D59">
              <w:rPr>
                <w:rFonts w:ascii="Arial" w:eastAsia="Times New Roman" w:hAnsi="Arial" w:cs="Arial"/>
                <w:sz w:val="20"/>
                <w:szCs w:val="20"/>
              </w:rPr>
              <w:br/>
              <w:t>44.07</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795</w:t>
            </w:r>
            <w:r w:rsidRPr="000E5D59">
              <w:rPr>
                <w:rFonts w:ascii="Arial" w:eastAsia="Times New Roman" w:hAnsi="Arial" w:cs="Arial"/>
                <w:sz w:val="20"/>
                <w:szCs w:val="20"/>
              </w:rPr>
              <w:br/>
              <w:t>40.40</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780</w:t>
            </w:r>
            <w:r w:rsidRPr="000E5D59">
              <w:rPr>
                <w:rFonts w:ascii="Arial" w:eastAsia="Times New Roman" w:hAnsi="Arial" w:cs="Arial"/>
                <w:sz w:val="20"/>
                <w:szCs w:val="20"/>
              </w:rPr>
              <w:br/>
              <w:t>48.54</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4030DE">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r w:rsidR="004030DE" w:rsidRPr="000E5D59" w:rsidTr="004030DE">
        <w:trPr>
          <w:trHeight w:val="20"/>
        </w:trPr>
        <w:tc>
          <w:tcPr>
            <w:tcW w:w="9555" w:type="dxa"/>
            <w:gridSpan w:val="5"/>
            <w:tcBorders>
              <w:top w:val="single" w:sz="4" w:space="0" w:color="auto"/>
            </w:tcBorders>
            <w:shd w:val="clear" w:color="auto" w:fill="auto"/>
            <w:vAlign w:val="center"/>
          </w:tcPr>
          <w:p w:rsidR="004030DE" w:rsidRDefault="004030DE" w:rsidP="006057BE">
            <w:pPr>
              <w:spacing w:after="0" w:line="240" w:lineRule="auto"/>
              <w:rPr>
                <w:rFonts w:ascii="Arial" w:eastAsia="Calibri" w:hAnsi="Arial" w:cs="Arial"/>
                <w:b/>
                <w:bCs/>
                <w:sz w:val="20"/>
                <w:szCs w:val="20"/>
              </w:rPr>
            </w:pPr>
          </w:p>
          <w:p w:rsidR="004030DE" w:rsidRDefault="004030DE" w:rsidP="006057BE">
            <w:pPr>
              <w:spacing w:after="0" w:line="240" w:lineRule="auto"/>
              <w:rPr>
                <w:rFonts w:ascii="Arial" w:eastAsia="Calibri" w:hAnsi="Arial" w:cs="Arial"/>
                <w:b/>
                <w:bCs/>
                <w:sz w:val="20"/>
                <w:szCs w:val="20"/>
              </w:rPr>
            </w:pPr>
          </w:p>
          <w:p w:rsidR="004030DE" w:rsidRDefault="004030DE" w:rsidP="006057BE">
            <w:pPr>
              <w:spacing w:after="0" w:line="240" w:lineRule="auto"/>
              <w:rPr>
                <w:rFonts w:ascii="Arial" w:eastAsia="Calibri" w:hAnsi="Arial" w:cs="Arial"/>
                <w:b/>
                <w:bCs/>
                <w:sz w:val="20"/>
                <w:szCs w:val="20"/>
              </w:rPr>
            </w:pPr>
          </w:p>
          <w:p w:rsidR="004030DE" w:rsidRDefault="004030DE" w:rsidP="006057BE">
            <w:pPr>
              <w:spacing w:after="0" w:line="240" w:lineRule="auto"/>
              <w:rPr>
                <w:rFonts w:ascii="Arial" w:eastAsia="Calibri" w:hAnsi="Arial" w:cs="Arial"/>
                <w:b/>
                <w:bCs/>
                <w:sz w:val="20"/>
                <w:szCs w:val="20"/>
              </w:rPr>
            </w:pPr>
          </w:p>
          <w:p w:rsidR="004030DE" w:rsidRDefault="004030DE" w:rsidP="006057BE">
            <w:pPr>
              <w:spacing w:after="0" w:line="240" w:lineRule="auto"/>
              <w:rPr>
                <w:rFonts w:ascii="Arial" w:eastAsia="Calibri" w:hAnsi="Arial" w:cs="Arial"/>
                <w:b/>
                <w:bCs/>
                <w:sz w:val="20"/>
                <w:szCs w:val="20"/>
              </w:rPr>
            </w:pPr>
          </w:p>
          <w:p w:rsidR="004030DE" w:rsidRDefault="004030DE" w:rsidP="006057BE">
            <w:pPr>
              <w:spacing w:after="0" w:line="240" w:lineRule="auto"/>
              <w:rPr>
                <w:rFonts w:ascii="Arial" w:eastAsia="Calibri" w:hAnsi="Arial" w:cs="Arial"/>
                <w:b/>
                <w:bCs/>
                <w:sz w:val="20"/>
                <w:szCs w:val="20"/>
              </w:rPr>
            </w:pPr>
          </w:p>
          <w:p w:rsidR="004030DE" w:rsidRDefault="004030DE" w:rsidP="006057BE">
            <w:pPr>
              <w:spacing w:after="0" w:line="240" w:lineRule="auto"/>
              <w:rPr>
                <w:rFonts w:ascii="Arial" w:eastAsia="Calibri" w:hAnsi="Arial" w:cs="Arial"/>
                <w:b/>
                <w:bCs/>
                <w:sz w:val="20"/>
                <w:szCs w:val="20"/>
              </w:rPr>
            </w:pPr>
          </w:p>
          <w:p w:rsidR="004030DE" w:rsidRPr="000E5D59" w:rsidRDefault="004030DE" w:rsidP="006057BE">
            <w:pPr>
              <w:spacing w:after="0" w:line="240" w:lineRule="auto"/>
              <w:rPr>
                <w:rFonts w:ascii="Arial" w:eastAsia="Calibri" w:hAnsi="Arial" w:cs="Arial"/>
                <w:b/>
                <w:bCs/>
                <w:sz w:val="20"/>
                <w:szCs w:val="20"/>
              </w:rPr>
            </w:pPr>
          </w:p>
        </w:tc>
      </w:tr>
      <w:tr w:rsidR="000E5D59" w:rsidRPr="000E5D59" w:rsidTr="004030DE">
        <w:trPr>
          <w:trHeight w:val="20"/>
        </w:trPr>
        <w:tc>
          <w:tcPr>
            <w:tcW w:w="9555" w:type="dxa"/>
            <w:gridSpan w:val="5"/>
            <w:tcBorders>
              <w:bottom w:val="single" w:sz="8" w:space="0" w:color="000000"/>
            </w:tcBorders>
            <w:shd w:val="clear" w:color="auto" w:fill="auto"/>
            <w:vAlign w:val="center"/>
          </w:tcPr>
          <w:p w:rsidR="000E5D59" w:rsidRPr="000E5D59" w:rsidRDefault="000E5D59" w:rsidP="004030DE">
            <w:pPr>
              <w:spacing w:after="0" w:line="240" w:lineRule="auto"/>
              <w:rPr>
                <w:rFonts w:ascii="Arial" w:eastAsia="Times New Roman" w:hAnsi="Arial" w:cs="Arial"/>
                <w:b/>
                <w:bCs/>
                <w:sz w:val="20"/>
                <w:szCs w:val="20"/>
              </w:rPr>
            </w:pPr>
            <w:r w:rsidRPr="004030DE">
              <w:rPr>
                <w:rFonts w:ascii="Arial" w:eastAsia="Calibri" w:hAnsi="Arial" w:cs="Arial"/>
                <w:b/>
                <w:bCs/>
                <w:sz w:val="24"/>
                <w:szCs w:val="20"/>
              </w:rPr>
              <w:lastRenderedPageBreak/>
              <w:t xml:space="preserve">Table 8B: 2018 Marijuana Survey Results - </w:t>
            </w:r>
            <w:r w:rsidR="004030DE" w:rsidRPr="000E5D59">
              <w:rPr>
                <w:rFonts w:ascii="Arial" w:eastAsia="Calibri" w:hAnsi="Arial" w:cs="Arial"/>
                <w:b/>
                <w:sz w:val="24"/>
                <w:szCs w:val="24"/>
              </w:rPr>
              <w:t xml:space="preserve">Vaporized Marijuana Concentrate by </w:t>
            </w:r>
            <w:r w:rsidR="004030DE">
              <w:rPr>
                <w:rFonts w:ascii="Arial" w:eastAsia="Calibri" w:hAnsi="Arial" w:cs="Arial"/>
                <w:b/>
                <w:bCs/>
                <w:sz w:val="24"/>
                <w:szCs w:val="20"/>
              </w:rPr>
              <w:t>Age Group</w:t>
            </w:r>
            <w:r w:rsidRPr="004030DE">
              <w:rPr>
                <w:rFonts w:ascii="Arial" w:eastAsia="Times New Roman" w:hAnsi="Arial" w:cs="Arial"/>
                <w:b/>
                <w:bCs/>
                <w:sz w:val="24"/>
                <w:szCs w:val="20"/>
              </w:rPr>
              <w:t xml:space="preserve"> </w:t>
            </w:r>
            <w:r w:rsidRPr="004030DE">
              <w:rPr>
                <w:rFonts w:ascii="Arial" w:eastAsia="Times New Roman" w:hAnsi="Arial" w:cs="Arial"/>
                <w:bCs/>
                <w:i/>
                <w:sz w:val="24"/>
                <w:szCs w:val="20"/>
              </w:rPr>
              <w:t>(Among 6111 respondents indicating marijuana use in past 30 days)</w:t>
            </w:r>
          </w:p>
        </w:tc>
      </w:tr>
      <w:tr w:rsidR="000E5D59" w:rsidRPr="000E5D59" w:rsidTr="00784755">
        <w:trPr>
          <w:trHeight w:val="20"/>
        </w:trPr>
        <w:tc>
          <w:tcPr>
            <w:tcW w:w="4065" w:type="dxa"/>
            <w:vMerge w:val="restart"/>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8"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06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(N=3179)</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(N=2748)</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Used vaporized marijuana </w:t>
            </w:r>
            <w:r w:rsidR="00A26D70">
              <w:rPr>
                <w:rFonts w:ascii="Arial" w:eastAsia="Times New Roman" w:hAnsi="Arial" w:cs="Arial"/>
                <w:b/>
                <w:bCs/>
                <w:sz w:val="20"/>
                <w:szCs w:val="20"/>
              </w:rPr>
              <w:t xml:space="preserve">concentrate in past </w:t>
            </w:r>
            <w:r w:rsidR="00A26D70" w:rsidRPr="000E5D59">
              <w:rPr>
                <w:rFonts w:ascii="Arial" w:eastAsia="Times New Roman" w:hAnsi="Arial" w:cs="Arial"/>
                <w:b/>
                <w:bCs/>
                <w:sz w:val="20"/>
                <w:szCs w:val="20"/>
              </w:rPr>
              <w:t>30 days</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2270</w:t>
            </w:r>
            <w:r w:rsidRPr="000E5D59">
              <w:rPr>
                <w:rFonts w:ascii="Arial" w:eastAsia="Times New Roman" w:hAnsi="Arial" w:cs="Arial"/>
                <w:sz w:val="20"/>
                <w:szCs w:val="20"/>
              </w:rPr>
              <w:br/>
              <w:t>37.70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1005</w:t>
            </w:r>
            <w:r w:rsidRPr="000E5D59">
              <w:rPr>
                <w:rFonts w:ascii="Arial" w:eastAsia="Times New Roman" w:hAnsi="Arial" w:cs="Arial"/>
                <w:sz w:val="20"/>
                <w:szCs w:val="20"/>
              </w:rPr>
              <w:br/>
              <w:t>31.61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1225</w:t>
            </w:r>
            <w:r w:rsidRPr="000E5D59">
              <w:rPr>
                <w:rFonts w:ascii="Arial" w:eastAsia="Times New Roman" w:hAnsi="Arial" w:cs="Arial"/>
                <w:sz w:val="20"/>
                <w:szCs w:val="20"/>
              </w:rPr>
              <w:br/>
              <w:t>44.58</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3751</w:t>
            </w:r>
            <w:r w:rsidRPr="000E5D59">
              <w:rPr>
                <w:rFonts w:ascii="Arial" w:eastAsia="Times New Roman" w:hAnsi="Arial" w:cs="Arial"/>
                <w:sz w:val="20"/>
                <w:szCs w:val="20"/>
              </w:rPr>
              <w:br/>
              <w:t>62.30</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2174</w:t>
            </w:r>
            <w:r w:rsidRPr="000E5D59">
              <w:rPr>
                <w:rFonts w:ascii="Arial" w:eastAsia="Times New Roman" w:hAnsi="Arial" w:cs="Arial"/>
                <w:sz w:val="20"/>
                <w:szCs w:val="20"/>
              </w:rPr>
              <w:br/>
              <w:t>68.39</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1523</w:t>
            </w:r>
            <w:r w:rsidRPr="000E5D59">
              <w:rPr>
                <w:rFonts w:ascii="Arial" w:eastAsia="Times New Roman" w:hAnsi="Arial" w:cs="Arial"/>
                <w:sz w:val="20"/>
                <w:szCs w:val="20"/>
              </w:rPr>
              <w:br/>
              <w:t>55.42</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A26D70" w:rsidP="006057BE">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Frequency of using vaporized marijuana concentrate </w:t>
            </w:r>
            <w:r w:rsidRPr="000E5D59">
              <w:rPr>
                <w:rFonts w:ascii="Arial" w:eastAsia="Times New Roman" w:hAnsi="Arial" w:cs="Arial"/>
                <w:b/>
                <w:bCs/>
                <w:sz w:val="20"/>
                <w:szCs w:val="20"/>
              </w:rPr>
              <w:t>†</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3551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909</w:t>
            </w:r>
            <w:r w:rsidRPr="000E5D59">
              <w:rPr>
                <w:rFonts w:ascii="Arial" w:eastAsia="Times New Roman" w:hAnsi="Arial" w:cs="Arial"/>
                <w:sz w:val="20"/>
                <w:szCs w:val="20"/>
              </w:rPr>
              <w:br/>
              <w:t>25.60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543</w:t>
            </w:r>
            <w:r w:rsidRPr="000E5D59">
              <w:rPr>
                <w:rFonts w:ascii="Arial" w:eastAsia="Times New Roman" w:hAnsi="Arial" w:cs="Arial"/>
                <w:sz w:val="20"/>
                <w:szCs w:val="20"/>
              </w:rPr>
              <w:br/>
              <w:t>26.36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351</w:t>
            </w:r>
            <w:r w:rsidRPr="000E5D59">
              <w:rPr>
                <w:rFonts w:ascii="Arial" w:eastAsia="Times New Roman" w:hAnsi="Arial" w:cs="Arial"/>
                <w:sz w:val="20"/>
                <w:szCs w:val="20"/>
              </w:rPr>
              <w:br/>
              <w:t>24.32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1346</w:t>
            </w:r>
            <w:r w:rsidRPr="000E5D59">
              <w:rPr>
                <w:rFonts w:ascii="Arial" w:eastAsia="Times New Roman" w:hAnsi="Arial" w:cs="Arial"/>
                <w:sz w:val="20"/>
                <w:szCs w:val="20"/>
              </w:rPr>
              <w:br/>
              <w:t>37.90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770</w:t>
            </w:r>
            <w:r w:rsidRPr="000E5D59">
              <w:rPr>
                <w:rFonts w:ascii="Arial" w:eastAsia="Times New Roman" w:hAnsi="Arial" w:cs="Arial"/>
                <w:sz w:val="20"/>
                <w:szCs w:val="20"/>
              </w:rPr>
              <w:br/>
              <w:t>37.38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559</w:t>
            </w:r>
            <w:r w:rsidRPr="000E5D59">
              <w:rPr>
                <w:rFonts w:ascii="Arial" w:eastAsia="Times New Roman" w:hAnsi="Arial" w:cs="Arial"/>
                <w:sz w:val="20"/>
                <w:szCs w:val="20"/>
              </w:rPr>
              <w:br/>
              <w:t>38.74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505</w:t>
            </w:r>
            <w:r w:rsidRPr="000E5D59">
              <w:rPr>
                <w:rFonts w:ascii="Arial" w:eastAsia="Times New Roman" w:hAnsi="Arial" w:cs="Arial"/>
                <w:sz w:val="20"/>
                <w:szCs w:val="20"/>
              </w:rPr>
              <w:br/>
              <w:t>14.22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269</w:t>
            </w:r>
            <w:r w:rsidRPr="000E5D59">
              <w:rPr>
                <w:rFonts w:ascii="Arial" w:eastAsia="Times New Roman" w:hAnsi="Arial" w:cs="Arial"/>
                <w:sz w:val="20"/>
                <w:szCs w:val="20"/>
              </w:rPr>
              <w:br/>
              <w:t>13.06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230</w:t>
            </w:r>
            <w:r w:rsidRPr="000E5D59">
              <w:rPr>
                <w:rFonts w:ascii="Arial" w:eastAsia="Times New Roman" w:hAnsi="Arial" w:cs="Arial"/>
                <w:sz w:val="20"/>
                <w:szCs w:val="20"/>
              </w:rPr>
              <w:br/>
              <w:t>15.94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791</w:t>
            </w:r>
            <w:r w:rsidRPr="000E5D59">
              <w:rPr>
                <w:rFonts w:ascii="Arial" w:eastAsia="Times New Roman" w:hAnsi="Arial" w:cs="Arial"/>
                <w:sz w:val="20"/>
                <w:szCs w:val="20"/>
              </w:rPr>
              <w:br/>
              <w:t>22.28</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478</w:t>
            </w:r>
            <w:r w:rsidRPr="000E5D59">
              <w:rPr>
                <w:rFonts w:ascii="Arial" w:eastAsia="Times New Roman" w:hAnsi="Arial" w:cs="Arial"/>
                <w:sz w:val="20"/>
                <w:szCs w:val="20"/>
              </w:rPr>
              <w:br/>
              <w:t>23.20</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303</w:t>
            </w:r>
            <w:r w:rsidRPr="000E5D59">
              <w:rPr>
                <w:rFonts w:ascii="Arial" w:eastAsia="Times New Roman" w:hAnsi="Arial" w:cs="Arial"/>
                <w:sz w:val="20"/>
                <w:szCs w:val="20"/>
              </w:rPr>
              <w:br/>
              <w:t>21.00</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3661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w:t>
            </w:r>
            <w:r w:rsidRPr="000E5D59">
              <w:rPr>
                <w:rFonts w:ascii="Arial" w:eastAsia="Times New Roman" w:hAnsi="Arial" w:cs="Arial"/>
                <w:sz w:val="20"/>
                <w:szCs w:val="20"/>
              </w:rPr>
              <w:br/>
              <w:t>1.58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w:t>
            </w:r>
            <w:r w:rsidRPr="000E5D59">
              <w:rPr>
                <w:rFonts w:ascii="Arial" w:eastAsia="Times New Roman" w:hAnsi="Arial" w:cs="Arial"/>
                <w:sz w:val="20"/>
                <w:szCs w:val="20"/>
              </w:rPr>
              <w:br/>
              <w:t>1.27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w:t>
            </w:r>
            <w:r w:rsidRPr="000E5D59">
              <w:rPr>
                <w:rFonts w:ascii="Arial" w:eastAsia="Times New Roman" w:hAnsi="Arial" w:cs="Arial"/>
                <w:sz w:val="20"/>
                <w:szCs w:val="20"/>
              </w:rPr>
              <w:br/>
              <w:t>2.02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1447</w:t>
            </w:r>
            <w:r w:rsidRPr="000E5D59">
              <w:rPr>
                <w:rFonts w:ascii="Arial" w:eastAsia="Times New Roman" w:hAnsi="Arial" w:cs="Arial"/>
                <w:sz w:val="20"/>
                <w:szCs w:val="20"/>
              </w:rPr>
              <w:br/>
              <w:t>39.52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839</w:t>
            </w:r>
            <w:r w:rsidRPr="000E5D59">
              <w:rPr>
                <w:rFonts w:ascii="Arial" w:eastAsia="Times New Roman" w:hAnsi="Arial" w:cs="Arial"/>
                <w:sz w:val="20"/>
                <w:szCs w:val="20"/>
              </w:rPr>
              <w:br/>
              <w:t>39.56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588</w:t>
            </w:r>
            <w:r w:rsidRPr="000E5D59">
              <w:rPr>
                <w:rFonts w:ascii="Arial" w:eastAsia="Times New Roman" w:hAnsi="Arial" w:cs="Arial"/>
                <w:sz w:val="20"/>
                <w:szCs w:val="20"/>
              </w:rPr>
              <w:br/>
              <w:t>39.54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288</w:t>
            </w:r>
            <w:r w:rsidRPr="000E5D59">
              <w:rPr>
                <w:rFonts w:ascii="Arial" w:eastAsia="Times New Roman" w:hAnsi="Arial" w:cs="Arial"/>
                <w:sz w:val="20"/>
                <w:szCs w:val="20"/>
              </w:rPr>
              <w:br/>
              <w:t>7.87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198</w:t>
            </w:r>
            <w:r w:rsidRPr="000E5D59">
              <w:rPr>
                <w:rFonts w:ascii="Arial" w:eastAsia="Times New Roman" w:hAnsi="Arial" w:cs="Arial"/>
                <w:sz w:val="20"/>
                <w:szCs w:val="20"/>
              </w:rPr>
              <w:br/>
              <w:t>9.34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88</w:t>
            </w:r>
            <w:r w:rsidRPr="000E5D59">
              <w:rPr>
                <w:rFonts w:ascii="Arial" w:eastAsia="Times New Roman" w:hAnsi="Arial" w:cs="Arial"/>
                <w:sz w:val="20"/>
                <w:szCs w:val="20"/>
              </w:rPr>
              <w:br/>
              <w:t>5.92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182</w:t>
            </w:r>
            <w:r w:rsidRPr="000E5D59">
              <w:rPr>
                <w:rFonts w:ascii="Arial" w:eastAsia="Times New Roman" w:hAnsi="Arial" w:cs="Arial"/>
                <w:sz w:val="20"/>
                <w:szCs w:val="20"/>
              </w:rPr>
              <w:br/>
              <w:t>4.97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143</w:t>
            </w:r>
            <w:r w:rsidRPr="000E5D59">
              <w:rPr>
                <w:rFonts w:ascii="Arial" w:eastAsia="Times New Roman" w:hAnsi="Arial" w:cs="Arial"/>
                <w:sz w:val="20"/>
                <w:szCs w:val="20"/>
              </w:rPr>
              <w:br/>
              <w:t>6.74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w:t>
            </w:r>
            <w:r w:rsidRPr="000E5D59">
              <w:rPr>
                <w:rFonts w:ascii="Arial" w:eastAsia="Times New Roman" w:hAnsi="Arial" w:cs="Arial"/>
                <w:sz w:val="20"/>
                <w:szCs w:val="20"/>
              </w:rPr>
              <w:br/>
              <w:t>2.42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1686</w:t>
            </w:r>
            <w:r w:rsidRPr="000E5D59">
              <w:rPr>
                <w:rFonts w:ascii="Arial" w:eastAsia="Times New Roman" w:hAnsi="Arial" w:cs="Arial"/>
                <w:sz w:val="20"/>
                <w:szCs w:val="20"/>
              </w:rPr>
              <w:br/>
              <w:t>46.05</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914</w:t>
            </w:r>
            <w:r w:rsidRPr="000E5D59">
              <w:rPr>
                <w:rFonts w:ascii="Arial" w:eastAsia="Times New Roman" w:hAnsi="Arial" w:cs="Arial"/>
                <w:sz w:val="20"/>
                <w:szCs w:val="20"/>
              </w:rPr>
              <w:br/>
              <w:t>43.09</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745</w:t>
            </w:r>
            <w:r w:rsidRPr="000E5D59">
              <w:rPr>
                <w:rFonts w:ascii="Arial" w:eastAsia="Times New Roman" w:hAnsi="Arial" w:cs="Arial"/>
                <w:sz w:val="20"/>
                <w:szCs w:val="20"/>
              </w:rPr>
              <w:br/>
              <w:t>50.10</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3635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428</w:t>
            </w:r>
            <w:r w:rsidRPr="000E5D59">
              <w:rPr>
                <w:rFonts w:ascii="Arial" w:eastAsia="Times New Roman" w:hAnsi="Arial" w:cs="Arial"/>
                <w:sz w:val="20"/>
                <w:szCs w:val="20"/>
              </w:rPr>
              <w:br/>
              <w:t>11.77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258</w:t>
            </w:r>
            <w:r w:rsidRPr="000E5D59">
              <w:rPr>
                <w:rFonts w:ascii="Arial" w:eastAsia="Times New Roman" w:hAnsi="Arial" w:cs="Arial"/>
                <w:sz w:val="20"/>
                <w:szCs w:val="20"/>
              </w:rPr>
              <w:br/>
              <w:t>12.22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w:t>
            </w:r>
            <w:r w:rsidRPr="000E5D59">
              <w:rPr>
                <w:rFonts w:ascii="Arial" w:eastAsia="Times New Roman" w:hAnsi="Arial" w:cs="Arial"/>
                <w:sz w:val="20"/>
                <w:szCs w:val="20"/>
              </w:rPr>
              <w:br/>
              <w:t>10.88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1368</w:t>
            </w:r>
            <w:r w:rsidRPr="000E5D59">
              <w:rPr>
                <w:rFonts w:ascii="Arial" w:eastAsia="Times New Roman" w:hAnsi="Arial" w:cs="Arial"/>
                <w:sz w:val="20"/>
                <w:szCs w:val="20"/>
              </w:rPr>
              <w:br/>
              <w:t>37.63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814</w:t>
            </w:r>
            <w:r w:rsidRPr="000E5D59">
              <w:rPr>
                <w:rFonts w:ascii="Arial" w:eastAsia="Times New Roman" w:hAnsi="Arial" w:cs="Arial"/>
                <w:sz w:val="20"/>
                <w:szCs w:val="20"/>
              </w:rPr>
              <w:br/>
              <w:t>38.56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536</w:t>
            </w:r>
            <w:r w:rsidRPr="000E5D59">
              <w:rPr>
                <w:rFonts w:ascii="Arial" w:eastAsia="Times New Roman" w:hAnsi="Arial" w:cs="Arial"/>
                <w:sz w:val="20"/>
                <w:szCs w:val="20"/>
              </w:rPr>
              <w:br/>
              <w:t>36.44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198</w:t>
            </w:r>
            <w:r w:rsidRPr="000E5D59">
              <w:rPr>
                <w:rFonts w:ascii="Arial" w:eastAsia="Times New Roman" w:hAnsi="Arial" w:cs="Arial"/>
                <w:sz w:val="20"/>
                <w:szCs w:val="20"/>
              </w:rPr>
              <w:br/>
              <w:t>5.45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137</w:t>
            </w:r>
            <w:r w:rsidRPr="000E5D59">
              <w:rPr>
                <w:rFonts w:ascii="Arial" w:eastAsia="Times New Roman" w:hAnsi="Arial" w:cs="Arial"/>
                <w:sz w:val="20"/>
                <w:szCs w:val="20"/>
              </w:rPr>
              <w:br/>
              <w:t>6.49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w:t>
            </w:r>
            <w:r w:rsidRPr="000E5D59">
              <w:rPr>
                <w:rFonts w:ascii="Arial" w:eastAsia="Times New Roman" w:hAnsi="Arial" w:cs="Arial"/>
                <w:sz w:val="20"/>
                <w:szCs w:val="20"/>
              </w:rPr>
              <w:br/>
              <w:t>4.01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w:t>
            </w:r>
            <w:r w:rsidRPr="000E5D59">
              <w:rPr>
                <w:rFonts w:ascii="Arial" w:eastAsia="Times New Roman" w:hAnsi="Arial" w:cs="Arial"/>
                <w:sz w:val="20"/>
                <w:szCs w:val="20"/>
              </w:rPr>
              <w:br/>
              <w:t>1.07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w:t>
            </w:r>
            <w:r w:rsidRPr="000E5D59">
              <w:rPr>
                <w:rFonts w:ascii="Arial" w:eastAsia="Times New Roman" w:hAnsi="Arial" w:cs="Arial"/>
                <w:sz w:val="20"/>
                <w:szCs w:val="20"/>
              </w:rPr>
              <w:br/>
              <w:t>1.52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0.48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1602</w:t>
            </w:r>
            <w:r w:rsidRPr="000E5D59">
              <w:rPr>
                <w:rFonts w:ascii="Arial" w:eastAsia="Times New Roman" w:hAnsi="Arial" w:cs="Arial"/>
                <w:sz w:val="20"/>
                <w:szCs w:val="20"/>
              </w:rPr>
              <w:br/>
              <w:t>44.07</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870</w:t>
            </w:r>
            <w:r w:rsidRPr="000E5D59">
              <w:rPr>
                <w:rFonts w:ascii="Arial" w:eastAsia="Times New Roman" w:hAnsi="Arial" w:cs="Arial"/>
                <w:sz w:val="20"/>
                <w:szCs w:val="20"/>
              </w:rPr>
              <w:br/>
              <w:t>41.21</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709</w:t>
            </w:r>
            <w:r w:rsidRPr="000E5D59">
              <w:rPr>
                <w:rFonts w:ascii="Arial" w:eastAsia="Times New Roman" w:hAnsi="Arial" w:cs="Arial"/>
                <w:sz w:val="20"/>
                <w:szCs w:val="20"/>
              </w:rPr>
              <w:br/>
              <w:t>48.20</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4030DE">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r w:rsidR="004030DE" w:rsidRPr="000E5D59" w:rsidTr="004030DE">
        <w:trPr>
          <w:trHeight w:val="20"/>
        </w:trPr>
        <w:tc>
          <w:tcPr>
            <w:tcW w:w="9555" w:type="dxa"/>
            <w:gridSpan w:val="5"/>
            <w:tcBorders>
              <w:top w:val="single" w:sz="4" w:space="0" w:color="auto"/>
            </w:tcBorders>
            <w:shd w:val="clear" w:color="auto" w:fill="auto"/>
            <w:vAlign w:val="center"/>
          </w:tcPr>
          <w:p w:rsidR="004030DE" w:rsidRDefault="004030DE" w:rsidP="006057BE">
            <w:pPr>
              <w:spacing w:after="0" w:line="240" w:lineRule="auto"/>
              <w:rPr>
                <w:rFonts w:ascii="Arial" w:eastAsia="Calibri" w:hAnsi="Arial" w:cs="Arial"/>
                <w:b/>
                <w:bCs/>
                <w:sz w:val="20"/>
                <w:szCs w:val="20"/>
              </w:rPr>
            </w:pPr>
          </w:p>
          <w:p w:rsidR="004030DE" w:rsidRDefault="004030DE" w:rsidP="006057BE">
            <w:pPr>
              <w:spacing w:after="0" w:line="240" w:lineRule="auto"/>
              <w:rPr>
                <w:rFonts w:ascii="Arial" w:eastAsia="Calibri" w:hAnsi="Arial" w:cs="Arial"/>
                <w:b/>
                <w:bCs/>
                <w:sz w:val="20"/>
                <w:szCs w:val="20"/>
              </w:rPr>
            </w:pPr>
          </w:p>
          <w:p w:rsidR="004030DE" w:rsidRDefault="004030DE" w:rsidP="006057BE">
            <w:pPr>
              <w:spacing w:after="0" w:line="240" w:lineRule="auto"/>
              <w:rPr>
                <w:rFonts w:ascii="Arial" w:eastAsia="Calibri" w:hAnsi="Arial" w:cs="Arial"/>
                <w:b/>
                <w:bCs/>
                <w:sz w:val="20"/>
                <w:szCs w:val="20"/>
              </w:rPr>
            </w:pPr>
          </w:p>
          <w:p w:rsidR="004030DE" w:rsidRDefault="004030DE" w:rsidP="006057BE">
            <w:pPr>
              <w:spacing w:after="0" w:line="240" w:lineRule="auto"/>
              <w:rPr>
                <w:rFonts w:ascii="Arial" w:eastAsia="Calibri" w:hAnsi="Arial" w:cs="Arial"/>
                <w:b/>
                <w:bCs/>
                <w:sz w:val="20"/>
                <w:szCs w:val="20"/>
              </w:rPr>
            </w:pPr>
          </w:p>
          <w:p w:rsidR="004030DE" w:rsidRDefault="004030DE" w:rsidP="006057BE">
            <w:pPr>
              <w:spacing w:after="0" w:line="240" w:lineRule="auto"/>
              <w:rPr>
                <w:rFonts w:ascii="Arial" w:eastAsia="Calibri" w:hAnsi="Arial" w:cs="Arial"/>
                <w:b/>
                <w:bCs/>
                <w:sz w:val="20"/>
                <w:szCs w:val="20"/>
              </w:rPr>
            </w:pPr>
          </w:p>
          <w:p w:rsidR="004030DE" w:rsidRDefault="004030DE" w:rsidP="006057BE">
            <w:pPr>
              <w:spacing w:after="0" w:line="240" w:lineRule="auto"/>
              <w:rPr>
                <w:rFonts w:ascii="Arial" w:eastAsia="Calibri" w:hAnsi="Arial" w:cs="Arial"/>
                <w:b/>
                <w:bCs/>
                <w:sz w:val="20"/>
                <w:szCs w:val="20"/>
              </w:rPr>
            </w:pPr>
          </w:p>
          <w:p w:rsidR="004030DE" w:rsidRDefault="004030DE" w:rsidP="006057BE">
            <w:pPr>
              <w:spacing w:after="0" w:line="240" w:lineRule="auto"/>
              <w:rPr>
                <w:rFonts w:ascii="Arial" w:eastAsia="Calibri" w:hAnsi="Arial" w:cs="Arial"/>
                <w:b/>
                <w:bCs/>
                <w:sz w:val="20"/>
                <w:szCs w:val="20"/>
              </w:rPr>
            </w:pPr>
          </w:p>
          <w:p w:rsidR="004030DE" w:rsidRPr="000E5D59" w:rsidRDefault="004030DE" w:rsidP="006057BE">
            <w:pPr>
              <w:spacing w:after="0" w:line="240" w:lineRule="auto"/>
              <w:rPr>
                <w:rFonts w:ascii="Arial" w:eastAsia="Calibri" w:hAnsi="Arial" w:cs="Arial"/>
                <w:b/>
                <w:bCs/>
                <w:sz w:val="20"/>
                <w:szCs w:val="20"/>
              </w:rPr>
            </w:pPr>
          </w:p>
        </w:tc>
      </w:tr>
      <w:tr w:rsidR="000E5D59" w:rsidRPr="000E5D59" w:rsidTr="004030DE">
        <w:trPr>
          <w:trHeight w:val="20"/>
        </w:trPr>
        <w:tc>
          <w:tcPr>
            <w:tcW w:w="9555" w:type="dxa"/>
            <w:gridSpan w:val="5"/>
            <w:tcBorders>
              <w:bottom w:val="single" w:sz="4" w:space="0" w:color="auto"/>
            </w:tcBorders>
            <w:shd w:val="clear" w:color="auto" w:fill="auto"/>
            <w:vAlign w:val="center"/>
          </w:tcPr>
          <w:p w:rsidR="000E5D59" w:rsidRPr="004030DE" w:rsidRDefault="000E5D59" w:rsidP="004030DE">
            <w:pPr>
              <w:spacing w:after="0" w:line="240" w:lineRule="auto"/>
              <w:rPr>
                <w:rFonts w:ascii="Arial" w:eastAsia="Times New Roman" w:hAnsi="Arial" w:cs="Arial"/>
                <w:b/>
                <w:bCs/>
                <w:sz w:val="24"/>
                <w:szCs w:val="24"/>
              </w:rPr>
            </w:pPr>
            <w:r w:rsidRPr="004030DE">
              <w:rPr>
                <w:rFonts w:ascii="Arial" w:eastAsia="Calibri" w:hAnsi="Arial" w:cs="Arial"/>
                <w:b/>
                <w:bCs/>
                <w:sz w:val="24"/>
                <w:szCs w:val="24"/>
              </w:rPr>
              <w:lastRenderedPageBreak/>
              <w:t xml:space="preserve">Table 8C: 2018 Marijuana Survey Results - </w:t>
            </w:r>
            <w:r w:rsidR="004030DE" w:rsidRPr="000E5D59">
              <w:rPr>
                <w:rFonts w:ascii="Arial" w:eastAsia="Calibri" w:hAnsi="Arial" w:cs="Arial"/>
                <w:b/>
                <w:sz w:val="24"/>
                <w:szCs w:val="24"/>
              </w:rPr>
              <w:t xml:space="preserve">Vaporized Marijuana Concentrate by </w:t>
            </w:r>
            <w:r w:rsidRPr="004030DE">
              <w:rPr>
                <w:rFonts w:ascii="Arial" w:eastAsia="Calibri" w:hAnsi="Arial" w:cs="Arial"/>
                <w:b/>
                <w:bCs/>
                <w:sz w:val="24"/>
                <w:szCs w:val="24"/>
              </w:rPr>
              <w:t>E</w:t>
            </w:r>
            <w:r w:rsidR="004030DE">
              <w:rPr>
                <w:rFonts w:ascii="Arial" w:eastAsia="Calibri" w:hAnsi="Arial" w:cs="Arial"/>
                <w:b/>
                <w:bCs/>
                <w:sz w:val="24"/>
                <w:szCs w:val="24"/>
              </w:rPr>
              <w:t>ducation</w:t>
            </w:r>
            <w:r w:rsidRPr="004030DE">
              <w:rPr>
                <w:rFonts w:ascii="Arial" w:eastAsia="Times New Roman" w:hAnsi="Arial" w:cs="Arial"/>
                <w:b/>
                <w:bCs/>
                <w:sz w:val="24"/>
                <w:szCs w:val="24"/>
              </w:rPr>
              <w:t xml:space="preserve"> </w:t>
            </w:r>
            <w:r w:rsidRPr="004030DE">
              <w:rPr>
                <w:rFonts w:ascii="Arial" w:eastAsia="Times New Roman" w:hAnsi="Arial" w:cs="Arial"/>
                <w:bCs/>
                <w:i/>
                <w:sz w:val="24"/>
                <w:szCs w:val="24"/>
              </w:rPr>
              <w:t>(Among 6111 respondents indicating marijuana use in past 30 days)</w:t>
            </w:r>
          </w:p>
        </w:tc>
      </w:tr>
      <w:tr w:rsidR="000E5D59" w:rsidRPr="000E5D59" w:rsidTr="00784755">
        <w:trPr>
          <w:trHeight w:val="20"/>
        </w:trPr>
        <w:tc>
          <w:tcPr>
            <w:tcW w:w="4065" w:type="dxa"/>
            <w:vMerge w:val="restart"/>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8"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06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(N=2836)</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(N=3168)</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Used vaporized marijuana </w:t>
            </w:r>
            <w:r w:rsidR="00A26D70">
              <w:rPr>
                <w:rFonts w:ascii="Arial" w:eastAsia="Times New Roman" w:hAnsi="Arial" w:cs="Arial"/>
                <w:b/>
                <w:bCs/>
                <w:sz w:val="20"/>
                <w:szCs w:val="20"/>
              </w:rPr>
              <w:t xml:space="preserve">concentrate in past </w:t>
            </w:r>
            <w:r w:rsidR="00A26D70" w:rsidRPr="000E5D59">
              <w:rPr>
                <w:rFonts w:ascii="Arial" w:eastAsia="Times New Roman" w:hAnsi="Arial" w:cs="Arial"/>
                <w:b/>
                <w:bCs/>
                <w:sz w:val="20"/>
                <w:szCs w:val="20"/>
              </w:rPr>
              <w:t>30 days</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2270</w:t>
            </w:r>
            <w:r w:rsidRPr="000E5D59">
              <w:rPr>
                <w:rFonts w:ascii="Arial" w:eastAsia="Times New Roman" w:hAnsi="Arial" w:cs="Arial"/>
                <w:sz w:val="20"/>
                <w:szCs w:val="20"/>
              </w:rPr>
              <w:br/>
              <w:t>37.70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1020</w:t>
            </w:r>
            <w:r w:rsidRPr="000E5D59">
              <w:rPr>
                <w:rFonts w:ascii="Arial" w:eastAsia="Times New Roman" w:hAnsi="Arial" w:cs="Arial"/>
                <w:sz w:val="20"/>
                <w:szCs w:val="20"/>
              </w:rPr>
              <w:br/>
              <w:t>35.97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1243</w:t>
            </w:r>
            <w:r w:rsidRPr="000E5D59">
              <w:rPr>
                <w:rFonts w:ascii="Arial" w:eastAsia="Times New Roman" w:hAnsi="Arial" w:cs="Arial"/>
                <w:sz w:val="20"/>
                <w:szCs w:val="20"/>
              </w:rPr>
              <w:br/>
              <w:t>39.24</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3751</w:t>
            </w:r>
            <w:r w:rsidRPr="000E5D59">
              <w:rPr>
                <w:rFonts w:ascii="Arial" w:eastAsia="Times New Roman" w:hAnsi="Arial" w:cs="Arial"/>
                <w:sz w:val="20"/>
                <w:szCs w:val="20"/>
              </w:rPr>
              <w:br/>
              <w:t>62.30</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1816</w:t>
            </w:r>
            <w:r w:rsidRPr="000E5D59">
              <w:rPr>
                <w:rFonts w:ascii="Arial" w:eastAsia="Times New Roman" w:hAnsi="Arial" w:cs="Arial"/>
                <w:sz w:val="20"/>
                <w:szCs w:val="20"/>
              </w:rPr>
              <w:br/>
              <w:t>64.03</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1925</w:t>
            </w:r>
            <w:r w:rsidRPr="000E5D59">
              <w:rPr>
                <w:rFonts w:ascii="Arial" w:eastAsia="Times New Roman" w:hAnsi="Arial" w:cs="Arial"/>
                <w:sz w:val="20"/>
                <w:szCs w:val="20"/>
              </w:rPr>
              <w:br/>
              <w:t>60.76</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A26D70" w:rsidP="006057BE">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Frequency of using vaporized marijuana concentrate </w:t>
            </w:r>
            <w:r w:rsidRPr="000E5D59">
              <w:rPr>
                <w:rFonts w:ascii="Arial" w:eastAsia="Times New Roman" w:hAnsi="Arial" w:cs="Arial"/>
                <w:b/>
                <w:bCs/>
                <w:sz w:val="20"/>
                <w:szCs w:val="20"/>
              </w:rPr>
              <w:t>†</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3551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909</w:t>
            </w:r>
            <w:r w:rsidRPr="000E5D59">
              <w:rPr>
                <w:rFonts w:ascii="Arial" w:eastAsia="Times New Roman" w:hAnsi="Arial" w:cs="Arial"/>
                <w:sz w:val="20"/>
                <w:szCs w:val="20"/>
              </w:rPr>
              <w:br/>
              <w:t>25.60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412</w:t>
            </w:r>
            <w:r w:rsidRPr="000E5D59">
              <w:rPr>
                <w:rFonts w:ascii="Arial" w:eastAsia="Times New Roman" w:hAnsi="Arial" w:cs="Arial"/>
                <w:sz w:val="20"/>
                <w:szCs w:val="20"/>
              </w:rPr>
              <w:br/>
              <w:t>24.36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495</w:t>
            </w:r>
            <w:r w:rsidRPr="000E5D59">
              <w:rPr>
                <w:rFonts w:ascii="Arial" w:eastAsia="Times New Roman" w:hAnsi="Arial" w:cs="Arial"/>
                <w:sz w:val="20"/>
                <w:szCs w:val="20"/>
              </w:rPr>
              <w:br/>
              <w:t>26.73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1346</w:t>
            </w:r>
            <w:r w:rsidRPr="000E5D59">
              <w:rPr>
                <w:rFonts w:ascii="Arial" w:eastAsia="Times New Roman" w:hAnsi="Arial" w:cs="Arial"/>
                <w:sz w:val="20"/>
                <w:szCs w:val="20"/>
              </w:rPr>
              <w:br/>
              <w:t>37.90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582</w:t>
            </w:r>
            <w:r w:rsidRPr="000E5D59">
              <w:rPr>
                <w:rFonts w:ascii="Arial" w:eastAsia="Times New Roman" w:hAnsi="Arial" w:cs="Arial"/>
                <w:sz w:val="20"/>
                <w:szCs w:val="20"/>
              </w:rPr>
              <w:br/>
              <w:t>34.42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763</w:t>
            </w:r>
            <w:r w:rsidRPr="000E5D59">
              <w:rPr>
                <w:rFonts w:ascii="Arial" w:eastAsia="Times New Roman" w:hAnsi="Arial" w:cs="Arial"/>
                <w:sz w:val="20"/>
                <w:szCs w:val="20"/>
              </w:rPr>
              <w:br/>
              <w:t>41.20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505</w:t>
            </w:r>
            <w:r w:rsidRPr="000E5D59">
              <w:rPr>
                <w:rFonts w:ascii="Arial" w:eastAsia="Times New Roman" w:hAnsi="Arial" w:cs="Arial"/>
                <w:sz w:val="20"/>
                <w:szCs w:val="20"/>
              </w:rPr>
              <w:br/>
              <w:t>14.22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266</w:t>
            </w:r>
            <w:r w:rsidRPr="000E5D59">
              <w:rPr>
                <w:rFonts w:ascii="Arial" w:eastAsia="Times New Roman" w:hAnsi="Arial" w:cs="Arial"/>
                <w:sz w:val="20"/>
                <w:szCs w:val="20"/>
              </w:rPr>
              <w:br/>
              <w:t>15.73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238</w:t>
            </w:r>
            <w:r w:rsidRPr="000E5D59">
              <w:rPr>
                <w:rFonts w:ascii="Arial" w:eastAsia="Times New Roman" w:hAnsi="Arial" w:cs="Arial"/>
                <w:sz w:val="20"/>
                <w:szCs w:val="20"/>
              </w:rPr>
              <w:br/>
              <w:t>12.85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791</w:t>
            </w:r>
            <w:r w:rsidRPr="000E5D59">
              <w:rPr>
                <w:rFonts w:ascii="Arial" w:eastAsia="Times New Roman" w:hAnsi="Arial" w:cs="Arial"/>
                <w:sz w:val="20"/>
                <w:szCs w:val="20"/>
              </w:rPr>
              <w:br/>
              <w:t>22.28</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431</w:t>
            </w:r>
            <w:r w:rsidRPr="000E5D59">
              <w:rPr>
                <w:rFonts w:ascii="Arial" w:eastAsia="Times New Roman" w:hAnsi="Arial" w:cs="Arial"/>
                <w:sz w:val="20"/>
                <w:szCs w:val="20"/>
              </w:rPr>
              <w:br/>
              <w:t>25.49</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356</w:t>
            </w:r>
            <w:r w:rsidRPr="000E5D59">
              <w:rPr>
                <w:rFonts w:ascii="Arial" w:eastAsia="Times New Roman" w:hAnsi="Arial" w:cs="Arial"/>
                <w:sz w:val="20"/>
                <w:szCs w:val="20"/>
              </w:rPr>
              <w:br/>
              <w:t>19.22</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3661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w:t>
            </w:r>
            <w:r w:rsidRPr="000E5D59">
              <w:rPr>
                <w:rFonts w:ascii="Arial" w:eastAsia="Times New Roman" w:hAnsi="Arial" w:cs="Arial"/>
                <w:sz w:val="20"/>
                <w:szCs w:val="20"/>
              </w:rPr>
              <w:br/>
              <w:t>1.58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w:t>
            </w:r>
            <w:r w:rsidRPr="000E5D59">
              <w:rPr>
                <w:rFonts w:ascii="Arial" w:eastAsia="Times New Roman" w:hAnsi="Arial" w:cs="Arial"/>
                <w:sz w:val="20"/>
                <w:szCs w:val="20"/>
              </w:rPr>
              <w:br/>
              <w:t>1.19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w:t>
            </w:r>
            <w:r w:rsidRPr="000E5D59">
              <w:rPr>
                <w:rFonts w:ascii="Arial" w:eastAsia="Times New Roman" w:hAnsi="Arial" w:cs="Arial"/>
                <w:sz w:val="20"/>
                <w:szCs w:val="20"/>
              </w:rPr>
              <w:br/>
              <w:t>1.96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1447</w:t>
            </w:r>
            <w:r w:rsidRPr="000E5D59">
              <w:rPr>
                <w:rFonts w:ascii="Arial" w:eastAsia="Times New Roman" w:hAnsi="Arial" w:cs="Arial"/>
                <w:sz w:val="20"/>
                <w:szCs w:val="20"/>
              </w:rPr>
              <w:br/>
              <w:t>39.52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689</w:t>
            </w:r>
            <w:r w:rsidRPr="000E5D59">
              <w:rPr>
                <w:rFonts w:ascii="Arial" w:eastAsia="Times New Roman" w:hAnsi="Arial" w:cs="Arial"/>
                <w:sz w:val="20"/>
                <w:szCs w:val="20"/>
              </w:rPr>
              <w:br/>
              <w:t>39.04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756</w:t>
            </w:r>
            <w:r w:rsidRPr="000E5D59">
              <w:rPr>
                <w:rFonts w:ascii="Arial" w:eastAsia="Times New Roman" w:hAnsi="Arial" w:cs="Arial"/>
                <w:sz w:val="20"/>
                <w:szCs w:val="20"/>
              </w:rPr>
              <w:br/>
              <w:t>40.06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288</w:t>
            </w:r>
            <w:r w:rsidRPr="000E5D59">
              <w:rPr>
                <w:rFonts w:ascii="Arial" w:eastAsia="Times New Roman" w:hAnsi="Arial" w:cs="Arial"/>
                <w:sz w:val="20"/>
                <w:szCs w:val="20"/>
              </w:rPr>
              <w:br/>
              <w:t>7.87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152</w:t>
            </w:r>
            <w:r w:rsidRPr="000E5D59">
              <w:rPr>
                <w:rFonts w:ascii="Arial" w:eastAsia="Times New Roman" w:hAnsi="Arial" w:cs="Arial"/>
                <w:sz w:val="20"/>
                <w:szCs w:val="20"/>
              </w:rPr>
              <w:br/>
              <w:t>8.61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136</w:t>
            </w:r>
            <w:r w:rsidRPr="000E5D59">
              <w:rPr>
                <w:rFonts w:ascii="Arial" w:eastAsia="Times New Roman" w:hAnsi="Arial" w:cs="Arial"/>
                <w:sz w:val="20"/>
                <w:szCs w:val="20"/>
              </w:rPr>
              <w:br/>
              <w:t>7.21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182</w:t>
            </w:r>
            <w:r w:rsidRPr="000E5D59">
              <w:rPr>
                <w:rFonts w:ascii="Arial" w:eastAsia="Times New Roman" w:hAnsi="Arial" w:cs="Arial"/>
                <w:sz w:val="20"/>
                <w:szCs w:val="20"/>
              </w:rPr>
              <w:br/>
              <w:t>4.97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109</w:t>
            </w:r>
            <w:r w:rsidRPr="000E5D59">
              <w:rPr>
                <w:rFonts w:ascii="Arial" w:eastAsia="Times New Roman" w:hAnsi="Arial" w:cs="Arial"/>
                <w:sz w:val="20"/>
                <w:szCs w:val="20"/>
              </w:rPr>
              <w:br/>
              <w:t>6.18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73</w:t>
            </w:r>
            <w:r w:rsidRPr="000E5D59">
              <w:rPr>
                <w:rFonts w:ascii="Arial" w:eastAsia="Times New Roman" w:hAnsi="Arial" w:cs="Arial"/>
                <w:sz w:val="20"/>
                <w:szCs w:val="20"/>
              </w:rPr>
              <w:br/>
              <w:t>3.87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1686</w:t>
            </w:r>
            <w:r w:rsidRPr="000E5D59">
              <w:rPr>
                <w:rFonts w:ascii="Arial" w:eastAsia="Times New Roman" w:hAnsi="Arial" w:cs="Arial"/>
                <w:sz w:val="20"/>
                <w:szCs w:val="20"/>
              </w:rPr>
              <w:br/>
              <w:t>46.05</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794</w:t>
            </w:r>
            <w:r w:rsidRPr="000E5D59">
              <w:rPr>
                <w:rFonts w:ascii="Arial" w:eastAsia="Times New Roman" w:hAnsi="Arial" w:cs="Arial"/>
                <w:sz w:val="20"/>
                <w:szCs w:val="20"/>
              </w:rPr>
              <w:br/>
              <w:t>44.99</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885</w:t>
            </w:r>
            <w:r w:rsidRPr="000E5D59">
              <w:rPr>
                <w:rFonts w:ascii="Arial" w:eastAsia="Times New Roman" w:hAnsi="Arial" w:cs="Arial"/>
                <w:sz w:val="20"/>
                <w:szCs w:val="20"/>
              </w:rPr>
              <w:br/>
              <w:t>46.90</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3635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428</w:t>
            </w:r>
            <w:r w:rsidRPr="000E5D59">
              <w:rPr>
                <w:rFonts w:ascii="Arial" w:eastAsia="Times New Roman" w:hAnsi="Arial" w:cs="Arial"/>
                <w:sz w:val="20"/>
                <w:szCs w:val="20"/>
              </w:rPr>
              <w:br/>
              <w:t>11.77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204</w:t>
            </w:r>
            <w:r w:rsidRPr="000E5D59">
              <w:rPr>
                <w:rFonts w:ascii="Arial" w:eastAsia="Times New Roman" w:hAnsi="Arial" w:cs="Arial"/>
                <w:sz w:val="20"/>
                <w:szCs w:val="20"/>
              </w:rPr>
              <w:br/>
              <w:t>11.63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224</w:t>
            </w:r>
            <w:r w:rsidRPr="000E5D59">
              <w:rPr>
                <w:rFonts w:ascii="Arial" w:eastAsia="Times New Roman" w:hAnsi="Arial" w:cs="Arial"/>
                <w:sz w:val="20"/>
                <w:szCs w:val="20"/>
              </w:rPr>
              <w:br/>
              <w:t>11.97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1368</w:t>
            </w:r>
            <w:r w:rsidRPr="000E5D59">
              <w:rPr>
                <w:rFonts w:ascii="Arial" w:eastAsia="Times New Roman" w:hAnsi="Arial" w:cs="Arial"/>
                <w:sz w:val="20"/>
                <w:szCs w:val="20"/>
              </w:rPr>
              <w:br/>
              <w:t>37.63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655</w:t>
            </w:r>
            <w:r w:rsidRPr="000E5D59">
              <w:rPr>
                <w:rFonts w:ascii="Arial" w:eastAsia="Times New Roman" w:hAnsi="Arial" w:cs="Arial"/>
                <w:sz w:val="20"/>
                <w:szCs w:val="20"/>
              </w:rPr>
              <w:br/>
              <w:t>37.34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711</w:t>
            </w:r>
            <w:r w:rsidRPr="000E5D59">
              <w:rPr>
                <w:rFonts w:ascii="Arial" w:eastAsia="Times New Roman" w:hAnsi="Arial" w:cs="Arial"/>
                <w:sz w:val="20"/>
                <w:szCs w:val="20"/>
              </w:rPr>
              <w:br/>
              <w:t>37.98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198</w:t>
            </w:r>
            <w:r w:rsidRPr="000E5D59">
              <w:rPr>
                <w:rFonts w:ascii="Arial" w:eastAsia="Times New Roman" w:hAnsi="Arial" w:cs="Arial"/>
                <w:sz w:val="20"/>
                <w:szCs w:val="20"/>
              </w:rPr>
              <w:br/>
              <w:t>5.45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123</w:t>
            </w:r>
            <w:r w:rsidRPr="000E5D59">
              <w:rPr>
                <w:rFonts w:ascii="Arial" w:eastAsia="Times New Roman" w:hAnsi="Arial" w:cs="Arial"/>
                <w:sz w:val="20"/>
                <w:szCs w:val="20"/>
              </w:rPr>
              <w:br/>
              <w:t>7.01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75</w:t>
            </w:r>
            <w:r w:rsidRPr="000E5D59">
              <w:rPr>
                <w:rFonts w:ascii="Arial" w:eastAsia="Times New Roman" w:hAnsi="Arial" w:cs="Arial"/>
                <w:sz w:val="20"/>
                <w:szCs w:val="20"/>
              </w:rPr>
              <w:br/>
              <w:t>4.01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w:t>
            </w:r>
            <w:r w:rsidRPr="000E5D59">
              <w:rPr>
                <w:rFonts w:ascii="Arial" w:eastAsia="Times New Roman" w:hAnsi="Arial" w:cs="Arial"/>
                <w:sz w:val="20"/>
                <w:szCs w:val="20"/>
              </w:rPr>
              <w:br/>
              <w:t>1.07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w:t>
            </w:r>
            <w:r w:rsidRPr="000E5D59">
              <w:rPr>
                <w:rFonts w:ascii="Arial" w:eastAsia="Times New Roman" w:hAnsi="Arial" w:cs="Arial"/>
                <w:sz w:val="20"/>
                <w:szCs w:val="20"/>
              </w:rPr>
              <w:br/>
              <w:t>1.60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w:t>
            </w:r>
            <w:r w:rsidRPr="000E5D59">
              <w:rPr>
                <w:rFonts w:ascii="Arial" w:eastAsia="Times New Roman" w:hAnsi="Arial" w:cs="Arial"/>
                <w:sz w:val="20"/>
                <w:szCs w:val="20"/>
              </w:rPr>
              <w:br/>
              <w:t>0.59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1602</w:t>
            </w:r>
            <w:r w:rsidRPr="000E5D59">
              <w:rPr>
                <w:rFonts w:ascii="Arial" w:eastAsia="Times New Roman" w:hAnsi="Arial" w:cs="Arial"/>
                <w:sz w:val="20"/>
                <w:szCs w:val="20"/>
              </w:rPr>
              <w:br/>
              <w:t>44.07</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744</w:t>
            </w:r>
            <w:r w:rsidRPr="000E5D59">
              <w:rPr>
                <w:rFonts w:ascii="Arial" w:eastAsia="Times New Roman" w:hAnsi="Arial" w:cs="Arial"/>
                <w:sz w:val="20"/>
                <w:szCs w:val="20"/>
              </w:rPr>
              <w:br/>
              <w:t>42.42</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851</w:t>
            </w:r>
            <w:r w:rsidRPr="000E5D59">
              <w:rPr>
                <w:rFonts w:ascii="Arial" w:eastAsia="Times New Roman" w:hAnsi="Arial" w:cs="Arial"/>
                <w:sz w:val="20"/>
                <w:szCs w:val="20"/>
              </w:rPr>
              <w:br/>
              <w:t>45.46</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286B34" w:rsidRDefault="00286B34" w:rsidP="00AC40A7">
      <w:pPr>
        <w:pStyle w:val="BodyText"/>
      </w:pPr>
    </w:p>
    <w:p w:rsidR="000E5D59" w:rsidRPr="000E5D59" w:rsidRDefault="000E5D59" w:rsidP="00AC40A7">
      <w:pPr>
        <w:pStyle w:val="Heading3"/>
      </w:pPr>
      <w:bookmarkStart w:id="219" w:name="_Toc11765952"/>
      <w:bookmarkStart w:id="220" w:name="_Toc11766607"/>
      <w:r w:rsidRPr="000E5D59">
        <w:t>Dabbed Marijuana Products</w:t>
      </w:r>
      <w:bookmarkEnd w:id="219"/>
      <w:bookmarkEnd w:id="220"/>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Tables 9A, 9B, and 9C</w:t>
      </w:r>
      <w:r w:rsidRPr="000E5D59">
        <w:rPr>
          <w:rFonts w:ascii="Arial" w:eastAsia="Calibri" w:hAnsi="Arial" w:cs="Arial"/>
          <w:sz w:val="24"/>
          <w:szCs w:val="24"/>
        </w:rPr>
        <w:t xml:space="preserve"> summarize results of survey responses pertaining to dabbing marijuana products, with comparisons by gender, age group, and educational attainment, respectively. 16% of respondents who indicated using marijuana or marijuana products at least once in the past 30 days reported using dabbed marijuana </w:t>
      </w:r>
      <w:r w:rsidRPr="000E5D59">
        <w:rPr>
          <w:rFonts w:ascii="Arial" w:eastAsia="Calibri" w:hAnsi="Arial" w:cs="Arial"/>
          <w:sz w:val="24"/>
          <w:szCs w:val="24"/>
        </w:rPr>
        <w:lastRenderedPageBreak/>
        <w:t xml:space="preserve">products in the past 30 days. Dabbing was significantly higher among male respondents compared to female (19% vs. 12%), respondents under age 51 compared to older respondents (23% vs. 9%), and respondents without a Bachelor’s degree compared to respondents with a degree (21% vs. 12%).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Twenty-eighty percent of respondents who reported dabbing marijuana products in the past 30 days reported dabbing marijuana products at least once per day, while 45% reported dabbing less than once per week. There were no significant differences in reported dabbing by gender, age, or education.</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All respondents who reported dabbing marijuana products in the past 30 days were asked to indicate the amount of THC administered by dabbing marijuana products over the past 30 days. The amount of THC reported by respondents should be interpreted with caution, as more than 2 in 5 respondents did not know how much THC they administered through dabbing marijuana products. However, 39% of respondents reported administering between 1 and 150 mg of THC in the past 30 days by dabbing marijuana products. A larger proportion of respondents over the age of 50 than younger respondents reported that they did not know how much THC they administered using vaporized marijuana concentrate (47% vs. 41%).</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respondents who reported dabbing marijuana products in the past 30 days were asked to indicate the amount of CBD administered by dabbing marijuana products over the past 30 days. The amount of CBD reported by respondents should be interpreted with caution, as approximately 2 in 5 respondents did not know how much CBD they administered through dabbing marijuana products. However, 35% of respondents reported administering between 1 and 150 mg of CBD in the past 30 days by dabbing. </w:t>
      </w:r>
    </w:p>
    <w:p w:rsidR="000E5D59" w:rsidRPr="000E5D59" w:rsidRDefault="000E5D59" w:rsidP="006057BE">
      <w:pPr>
        <w:spacing w:after="0" w:line="240" w:lineRule="auto"/>
        <w:rPr>
          <w:rFonts w:ascii="Arial" w:eastAsia="Calibri" w:hAnsi="Arial" w:cs="Arial"/>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AC40A7" w:rsidRDefault="00AC40A7"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b/>
          <w:sz w:val="24"/>
          <w:szCs w:val="24"/>
        </w:rPr>
        <w:lastRenderedPageBreak/>
        <w:t>Table 9A: DPH Patient Survey Dabbing Marijuana Products by Gender (Among 6,111 Respondents who Used Marijuana in Past 30 Days)</w:t>
      </w:r>
    </w:p>
    <w:tbl>
      <w:tblPr>
        <w:tblW w:w="9555" w:type="dxa"/>
        <w:tblInd w:w="93" w:type="dxa"/>
        <w:tblLook w:val="04A0" w:firstRow="1" w:lastRow="0" w:firstColumn="1" w:lastColumn="0" w:noHBand="0" w:noVBand="1"/>
        <w:tblCaption w:val="DPH Patient Survey Dabbing Marijuana Products by Gender (Among 6,111 Respondents who Used Marijuana in Past 30 Days)"/>
      </w:tblPr>
      <w:tblGrid>
        <w:gridCol w:w="4065"/>
        <w:gridCol w:w="1080"/>
        <w:gridCol w:w="1620"/>
        <w:gridCol w:w="1620"/>
        <w:gridCol w:w="1170"/>
      </w:tblGrid>
      <w:tr w:rsidR="000E5D59" w:rsidRPr="000E5D59" w:rsidTr="00784755">
        <w:trPr>
          <w:trHeight w:val="20"/>
        </w:trPr>
        <w:tc>
          <w:tcPr>
            <w:tcW w:w="406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286B34">
        <w:trPr>
          <w:trHeight w:val="547"/>
        </w:trPr>
        <w:tc>
          <w:tcPr>
            <w:tcW w:w="406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(N=3251)</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(N=2672)</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Dabbed marijuana products in the past 30 days</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5037</w:t>
            </w:r>
            <w:r w:rsidRPr="000E5D59">
              <w:rPr>
                <w:rFonts w:ascii="Arial" w:eastAsia="Times New Roman" w:hAnsi="Arial" w:cs="Arial"/>
                <w:sz w:val="20"/>
                <w:szCs w:val="20"/>
              </w:rPr>
              <w:br/>
              <w:t>83.66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2619</w:t>
            </w:r>
            <w:r w:rsidRPr="000E5D59">
              <w:rPr>
                <w:rFonts w:ascii="Arial" w:eastAsia="Times New Roman" w:hAnsi="Arial" w:cs="Arial"/>
                <w:sz w:val="20"/>
                <w:szCs w:val="20"/>
              </w:rPr>
              <w:br/>
              <w:t>80.56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2346</w:t>
            </w:r>
            <w:r w:rsidRPr="000E5D59">
              <w:rPr>
                <w:rFonts w:ascii="Arial" w:eastAsia="Times New Roman" w:hAnsi="Arial" w:cs="Arial"/>
                <w:sz w:val="20"/>
                <w:szCs w:val="20"/>
              </w:rPr>
              <w:br/>
              <w:t>87.80</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984</w:t>
            </w:r>
            <w:r w:rsidRPr="000E5D59">
              <w:rPr>
                <w:rFonts w:ascii="Arial" w:eastAsia="Times New Roman" w:hAnsi="Arial" w:cs="Arial"/>
                <w:sz w:val="20"/>
                <w:szCs w:val="20"/>
              </w:rPr>
              <w:br/>
              <w:t>16.34</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632</w:t>
            </w:r>
            <w:r w:rsidRPr="000E5D59">
              <w:rPr>
                <w:rFonts w:ascii="Arial" w:eastAsia="Times New Roman" w:hAnsi="Arial" w:cs="Arial"/>
                <w:sz w:val="20"/>
                <w:szCs w:val="20"/>
              </w:rPr>
              <w:br/>
              <w:t>19.44</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326</w:t>
            </w:r>
            <w:r w:rsidRPr="000E5D59">
              <w:rPr>
                <w:rFonts w:ascii="Arial" w:eastAsia="Times New Roman" w:hAnsi="Arial" w:cs="Arial"/>
                <w:sz w:val="20"/>
                <w:szCs w:val="20"/>
              </w:rPr>
              <w:br/>
              <w:t>12.20</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286B34">
        <w:trPr>
          <w:trHeight w:val="342"/>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dabbing marijuana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911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408</w:t>
            </w:r>
            <w:r w:rsidRPr="000E5D59">
              <w:rPr>
                <w:rFonts w:ascii="Arial" w:eastAsia="Times New Roman" w:hAnsi="Arial" w:cs="Arial"/>
                <w:sz w:val="20"/>
                <w:szCs w:val="20"/>
              </w:rPr>
              <w:br/>
              <w:t>44.79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259</w:t>
            </w:r>
            <w:r w:rsidRPr="000E5D59">
              <w:rPr>
                <w:rFonts w:ascii="Arial" w:eastAsia="Times New Roman" w:hAnsi="Arial" w:cs="Arial"/>
                <w:sz w:val="20"/>
                <w:szCs w:val="20"/>
              </w:rPr>
              <w:br/>
              <w:t>44.43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139</w:t>
            </w:r>
            <w:r w:rsidRPr="000E5D59">
              <w:rPr>
                <w:rFonts w:ascii="Arial" w:eastAsia="Times New Roman" w:hAnsi="Arial" w:cs="Arial"/>
                <w:sz w:val="20"/>
                <w:szCs w:val="20"/>
              </w:rPr>
              <w:br/>
              <w:t>45.57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247</w:t>
            </w:r>
            <w:r w:rsidRPr="000E5D59">
              <w:rPr>
                <w:rFonts w:ascii="Arial" w:eastAsia="Times New Roman" w:hAnsi="Arial" w:cs="Arial"/>
                <w:sz w:val="20"/>
                <w:szCs w:val="20"/>
              </w:rPr>
              <w:br/>
              <w:t>27.11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156</w:t>
            </w:r>
            <w:r w:rsidRPr="000E5D59">
              <w:rPr>
                <w:rFonts w:ascii="Arial" w:eastAsia="Times New Roman" w:hAnsi="Arial" w:cs="Arial"/>
                <w:sz w:val="20"/>
                <w:szCs w:val="20"/>
              </w:rPr>
              <w:br/>
              <w:t>26.76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86</w:t>
            </w:r>
            <w:r w:rsidRPr="000E5D59">
              <w:rPr>
                <w:rFonts w:ascii="Arial" w:eastAsia="Times New Roman" w:hAnsi="Arial" w:cs="Arial"/>
                <w:sz w:val="20"/>
                <w:szCs w:val="20"/>
              </w:rPr>
              <w:br/>
              <w:t>28.20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84</w:t>
            </w:r>
            <w:r w:rsidRPr="000E5D59">
              <w:rPr>
                <w:rFonts w:ascii="Arial" w:eastAsia="Times New Roman" w:hAnsi="Arial" w:cs="Arial"/>
                <w:sz w:val="20"/>
                <w:szCs w:val="20"/>
              </w:rPr>
              <w:br/>
              <w:t>9.22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w:t>
            </w:r>
            <w:r w:rsidRPr="000E5D59">
              <w:rPr>
                <w:rFonts w:ascii="Arial" w:eastAsia="Times New Roman" w:hAnsi="Arial" w:cs="Arial"/>
                <w:sz w:val="20"/>
                <w:szCs w:val="20"/>
              </w:rPr>
              <w:br/>
              <w:t>9.95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w:t>
            </w:r>
            <w:r w:rsidRPr="000E5D59">
              <w:rPr>
                <w:rFonts w:ascii="Arial" w:eastAsia="Times New Roman" w:hAnsi="Arial" w:cs="Arial"/>
                <w:sz w:val="20"/>
                <w:szCs w:val="20"/>
              </w:rPr>
              <w:br/>
              <w:t>7.54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286B34">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172</w:t>
            </w:r>
            <w:r w:rsidRPr="000E5D59">
              <w:rPr>
                <w:rFonts w:ascii="Arial" w:eastAsia="Times New Roman" w:hAnsi="Arial" w:cs="Arial"/>
                <w:sz w:val="20"/>
                <w:szCs w:val="20"/>
              </w:rPr>
              <w:br/>
              <w:t>18.88</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110</w:t>
            </w:r>
            <w:r w:rsidRPr="000E5D59">
              <w:rPr>
                <w:rFonts w:ascii="Arial" w:eastAsia="Times New Roman" w:hAnsi="Arial" w:cs="Arial"/>
                <w:sz w:val="20"/>
                <w:szCs w:val="20"/>
              </w:rPr>
              <w:br/>
              <w:t>18.87</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w:t>
            </w:r>
            <w:r w:rsidRPr="000E5D59">
              <w:rPr>
                <w:rFonts w:ascii="Arial" w:eastAsia="Times New Roman" w:hAnsi="Arial" w:cs="Arial"/>
                <w:sz w:val="20"/>
                <w:szCs w:val="20"/>
              </w:rPr>
              <w:br/>
              <w:t>18.69</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286B34">
        <w:trPr>
          <w:trHeight w:val="20"/>
        </w:trPr>
        <w:tc>
          <w:tcPr>
            <w:tcW w:w="4065" w:type="dxa"/>
            <w:tcBorders>
              <w:top w:val="double" w:sz="6" w:space="0" w:color="auto"/>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1080" w:type="dxa"/>
            <w:tcBorders>
              <w:top w:val="double" w:sz="6" w:space="0" w:color="auto"/>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952</w:t>
            </w:r>
          </w:p>
        </w:tc>
        <w:tc>
          <w:tcPr>
            <w:tcW w:w="1620" w:type="dxa"/>
            <w:tcBorders>
              <w:top w:val="double" w:sz="6" w:space="0" w:color="auto"/>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double" w:sz="6" w:space="0" w:color="auto"/>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double" w:sz="6" w:space="0" w:color="auto"/>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1.79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w:t>
            </w:r>
            <w:r w:rsidRPr="000E5D59">
              <w:rPr>
                <w:rFonts w:ascii="Arial" w:eastAsia="Times New Roman" w:hAnsi="Arial" w:cs="Arial"/>
                <w:sz w:val="20"/>
                <w:szCs w:val="20"/>
              </w:rPr>
              <w:br/>
              <w:t>1.80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1.89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374</w:t>
            </w:r>
            <w:r w:rsidRPr="000E5D59">
              <w:rPr>
                <w:rFonts w:ascii="Arial" w:eastAsia="Times New Roman" w:hAnsi="Arial" w:cs="Arial"/>
                <w:sz w:val="20"/>
                <w:szCs w:val="20"/>
              </w:rPr>
              <w:br/>
              <w:t>39.29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230</w:t>
            </w:r>
            <w:r w:rsidRPr="000E5D59">
              <w:rPr>
                <w:rFonts w:ascii="Arial" w:eastAsia="Times New Roman" w:hAnsi="Arial" w:cs="Arial"/>
                <w:sz w:val="20"/>
                <w:szCs w:val="20"/>
              </w:rPr>
              <w:br/>
              <w:t>37.70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133</w:t>
            </w:r>
            <w:r w:rsidRPr="000E5D59">
              <w:rPr>
                <w:rFonts w:ascii="Arial" w:eastAsia="Times New Roman" w:hAnsi="Arial" w:cs="Arial"/>
                <w:sz w:val="20"/>
                <w:szCs w:val="20"/>
              </w:rPr>
              <w:br/>
              <w:t>41.82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105</w:t>
            </w:r>
            <w:r w:rsidRPr="000E5D59">
              <w:rPr>
                <w:rFonts w:ascii="Arial" w:eastAsia="Times New Roman" w:hAnsi="Arial" w:cs="Arial"/>
                <w:sz w:val="20"/>
                <w:szCs w:val="20"/>
              </w:rPr>
              <w:br/>
              <w:t>11.03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80</w:t>
            </w:r>
            <w:r w:rsidRPr="000E5D59">
              <w:rPr>
                <w:rFonts w:ascii="Arial" w:eastAsia="Times New Roman" w:hAnsi="Arial" w:cs="Arial"/>
                <w:sz w:val="20"/>
                <w:szCs w:val="20"/>
              </w:rPr>
              <w:br/>
              <w:t>13.11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w:t>
            </w:r>
            <w:r w:rsidRPr="000E5D59">
              <w:rPr>
                <w:rFonts w:ascii="Arial" w:eastAsia="Times New Roman" w:hAnsi="Arial" w:cs="Arial"/>
                <w:sz w:val="20"/>
                <w:szCs w:val="20"/>
              </w:rPr>
              <w:br/>
              <w:t>6.92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w:t>
            </w:r>
            <w:r w:rsidRPr="000E5D59">
              <w:rPr>
                <w:rFonts w:ascii="Arial" w:eastAsia="Times New Roman" w:hAnsi="Arial" w:cs="Arial"/>
                <w:sz w:val="20"/>
                <w:szCs w:val="20"/>
              </w:rPr>
              <w:br/>
              <w:t>5.36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w:t>
            </w:r>
            <w:r w:rsidRPr="000E5D59">
              <w:rPr>
                <w:rFonts w:ascii="Arial" w:eastAsia="Times New Roman" w:hAnsi="Arial" w:cs="Arial"/>
                <w:sz w:val="20"/>
                <w:szCs w:val="20"/>
              </w:rPr>
              <w:br/>
              <w:t>6.56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3.14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405</w:t>
            </w:r>
            <w:r w:rsidRPr="000E5D59">
              <w:rPr>
                <w:rFonts w:ascii="Arial" w:eastAsia="Times New Roman" w:hAnsi="Arial" w:cs="Arial"/>
                <w:sz w:val="20"/>
                <w:szCs w:val="20"/>
              </w:rPr>
              <w:br/>
              <w:t>42.54</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249</w:t>
            </w:r>
            <w:r w:rsidRPr="000E5D59">
              <w:rPr>
                <w:rFonts w:ascii="Arial" w:eastAsia="Times New Roman" w:hAnsi="Arial" w:cs="Arial"/>
                <w:sz w:val="20"/>
                <w:szCs w:val="20"/>
              </w:rPr>
              <w:br/>
              <w:t>40.82</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147</w:t>
            </w:r>
            <w:r w:rsidRPr="000E5D59">
              <w:rPr>
                <w:rFonts w:ascii="Arial" w:eastAsia="Times New Roman" w:hAnsi="Arial" w:cs="Arial"/>
                <w:sz w:val="20"/>
                <w:szCs w:val="20"/>
              </w:rPr>
              <w:br/>
              <w:t>46.23</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165</w:t>
            </w:r>
            <w:r w:rsidRPr="000E5D59">
              <w:rPr>
                <w:rFonts w:ascii="Arial" w:eastAsia="Times New Roman" w:hAnsi="Arial" w:cs="Arial"/>
                <w:sz w:val="20"/>
                <w:szCs w:val="20"/>
              </w:rPr>
              <w:br/>
              <w:t>17.35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107</w:t>
            </w:r>
            <w:r w:rsidRPr="000E5D59">
              <w:rPr>
                <w:rFonts w:ascii="Arial" w:eastAsia="Times New Roman" w:hAnsi="Arial" w:cs="Arial"/>
                <w:sz w:val="20"/>
                <w:szCs w:val="20"/>
              </w:rPr>
              <w:br/>
              <w:t>17.60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w:t>
            </w:r>
            <w:r w:rsidRPr="000E5D59">
              <w:rPr>
                <w:rFonts w:ascii="Arial" w:eastAsia="Times New Roman" w:hAnsi="Arial" w:cs="Arial"/>
                <w:sz w:val="20"/>
                <w:szCs w:val="20"/>
              </w:rPr>
              <w:br/>
              <w:t>16.93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334</w:t>
            </w:r>
            <w:r w:rsidRPr="000E5D59">
              <w:rPr>
                <w:rFonts w:ascii="Arial" w:eastAsia="Times New Roman" w:hAnsi="Arial" w:cs="Arial"/>
                <w:sz w:val="20"/>
                <w:szCs w:val="20"/>
              </w:rPr>
              <w:br/>
              <w:t>35.12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214</w:t>
            </w:r>
            <w:r w:rsidRPr="000E5D59">
              <w:rPr>
                <w:rFonts w:ascii="Arial" w:eastAsia="Times New Roman" w:hAnsi="Arial" w:cs="Arial"/>
                <w:sz w:val="20"/>
                <w:szCs w:val="20"/>
              </w:rPr>
              <w:br/>
              <w:t>35.20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113</w:t>
            </w:r>
            <w:r w:rsidRPr="000E5D59">
              <w:rPr>
                <w:rFonts w:ascii="Arial" w:eastAsia="Times New Roman" w:hAnsi="Arial" w:cs="Arial"/>
                <w:sz w:val="20"/>
                <w:szCs w:val="20"/>
              </w:rPr>
              <w:br/>
              <w:t>35.42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5.89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w:t>
            </w:r>
            <w:r w:rsidRPr="000E5D59">
              <w:rPr>
                <w:rFonts w:ascii="Arial" w:eastAsia="Times New Roman" w:hAnsi="Arial" w:cs="Arial"/>
                <w:sz w:val="20"/>
                <w:szCs w:val="20"/>
              </w:rPr>
              <w:br/>
              <w:t>6.58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4.70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0.74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0.49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1.25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389</w:t>
            </w:r>
            <w:r w:rsidRPr="000E5D59">
              <w:rPr>
                <w:rFonts w:ascii="Arial" w:eastAsia="Times New Roman" w:hAnsi="Arial" w:cs="Arial"/>
                <w:sz w:val="20"/>
                <w:szCs w:val="20"/>
              </w:rPr>
              <w:br/>
              <w:t>40.90</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244</w:t>
            </w:r>
            <w:r w:rsidRPr="000E5D59">
              <w:rPr>
                <w:rFonts w:ascii="Arial" w:eastAsia="Times New Roman" w:hAnsi="Arial" w:cs="Arial"/>
                <w:sz w:val="20"/>
                <w:szCs w:val="20"/>
              </w:rPr>
              <w:br/>
              <w:t>40.13</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133</w:t>
            </w:r>
            <w:r w:rsidRPr="000E5D59">
              <w:rPr>
                <w:rFonts w:ascii="Arial" w:eastAsia="Times New Roman" w:hAnsi="Arial" w:cs="Arial"/>
                <w:sz w:val="20"/>
                <w:szCs w:val="20"/>
              </w:rPr>
              <w:br/>
              <w:t>41.69</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286B34" w:rsidRDefault="00286B34" w:rsidP="006057BE">
      <w:pPr>
        <w:spacing w:after="0" w:line="240" w:lineRule="auto"/>
        <w:rPr>
          <w:rFonts w:ascii="Arial" w:eastAsia="Calibri" w:hAnsi="Arial" w:cs="Arial"/>
          <w:b/>
          <w:sz w:val="24"/>
          <w:szCs w:val="24"/>
        </w:rPr>
      </w:pPr>
    </w:p>
    <w:p w:rsidR="000941B7"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9B: DPH Patient Survey Dabbing Marijuana Products by Age Group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Dabbing Marijuana Products by Age Group (Among 6,111 Respondents who Used Marijuana in Past 30 Days)"/>
      </w:tblPr>
      <w:tblGrid>
        <w:gridCol w:w="4065"/>
        <w:gridCol w:w="1080"/>
        <w:gridCol w:w="1620"/>
        <w:gridCol w:w="1620"/>
        <w:gridCol w:w="1170"/>
      </w:tblGrid>
      <w:tr w:rsidR="000E5D59" w:rsidRPr="000E5D59" w:rsidTr="00784755">
        <w:trPr>
          <w:trHeight w:val="20"/>
        </w:trPr>
        <w:tc>
          <w:tcPr>
            <w:tcW w:w="406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06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(N=3179)</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(N=2748)</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Dabbed marijuana products in the past 30 days</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5037</w:t>
            </w:r>
            <w:r w:rsidRPr="000E5D59">
              <w:rPr>
                <w:rFonts w:ascii="Arial" w:eastAsia="Times New Roman" w:hAnsi="Arial" w:cs="Arial"/>
                <w:sz w:val="20"/>
                <w:szCs w:val="20"/>
              </w:rPr>
              <w:br/>
              <w:t>83.66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2452</w:t>
            </w:r>
            <w:r w:rsidRPr="000E5D59">
              <w:rPr>
                <w:rFonts w:ascii="Arial" w:eastAsia="Times New Roman" w:hAnsi="Arial" w:cs="Arial"/>
                <w:sz w:val="20"/>
                <w:szCs w:val="20"/>
              </w:rPr>
              <w:br/>
              <w:t>77.13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2498</w:t>
            </w:r>
            <w:r w:rsidRPr="000E5D59">
              <w:rPr>
                <w:rFonts w:ascii="Arial" w:eastAsia="Times New Roman" w:hAnsi="Arial" w:cs="Arial"/>
                <w:sz w:val="20"/>
                <w:szCs w:val="20"/>
              </w:rPr>
              <w:br/>
              <w:t>90.90</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984</w:t>
            </w:r>
            <w:r w:rsidRPr="000E5D59">
              <w:rPr>
                <w:rFonts w:ascii="Arial" w:eastAsia="Times New Roman" w:hAnsi="Arial" w:cs="Arial"/>
                <w:sz w:val="20"/>
                <w:szCs w:val="20"/>
              </w:rPr>
              <w:br/>
              <w:t>16.34</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727</w:t>
            </w:r>
            <w:r w:rsidRPr="000E5D59">
              <w:rPr>
                <w:rFonts w:ascii="Arial" w:eastAsia="Times New Roman" w:hAnsi="Arial" w:cs="Arial"/>
                <w:sz w:val="20"/>
                <w:szCs w:val="20"/>
              </w:rPr>
              <w:br/>
              <w:t>22.87</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250</w:t>
            </w:r>
            <w:r w:rsidRPr="000E5D59">
              <w:rPr>
                <w:rFonts w:ascii="Arial" w:eastAsia="Times New Roman" w:hAnsi="Arial" w:cs="Arial"/>
                <w:sz w:val="20"/>
                <w:szCs w:val="20"/>
              </w:rPr>
              <w:br/>
              <w:t>9.10</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dabbing marijuana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911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408</w:t>
            </w:r>
            <w:r w:rsidRPr="000E5D59">
              <w:rPr>
                <w:rFonts w:ascii="Arial" w:eastAsia="Times New Roman" w:hAnsi="Arial" w:cs="Arial"/>
                <w:sz w:val="20"/>
                <w:szCs w:val="20"/>
              </w:rPr>
              <w:br/>
              <w:t>44.79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299</w:t>
            </w:r>
            <w:r w:rsidRPr="000E5D59">
              <w:rPr>
                <w:rFonts w:ascii="Arial" w:eastAsia="Times New Roman" w:hAnsi="Arial" w:cs="Arial"/>
                <w:sz w:val="20"/>
                <w:szCs w:val="20"/>
              </w:rPr>
              <w:br/>
              <w:t>43.78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107</w:t>
            </w:r>
            <w:r w:rsidRPr="000E5D59">
              <w:rPr>
                <w:rFonts w:ascii="Arial" w:eastAsia="Times New Roman" w:hAnsi="Arial" w:cs="Arial"/>
                <w:sz w:val="20"/>
                <w:szCs w:val="20"/>
              </w:rPr>
              <w:br/>
              <w:t>48.20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247</w:t>
            </w:r>
            <w:r w:rsidRPr="000E5D59">
              <w:rPr>
                <w:rFonts w:ascii="Arial" w:eastAsia="Times New Roman" w:hAnsi="Arial" w:cs="Arial"/>
                <w:sz w:val="20"/>
                <w:szCs w:val="20"/>
              </w:rPr>
              <w:br/>
              <w:t>27.11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181</w:t>
            </w:r>
            <w:r w:rsidRPr="000E5D59">
              <w:rPr>
                <w:rFonts w:ascii="Arial" w:eastAsia="Times New Roman" w:hAnsi="Arial" w:cs="Arial"/>
                <w:sz w:val="20"/>
                <w:szCs w:val="20"/>
              </w:rPr>
              <w:br/>
              <w:t>26.50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w:t>
            </w:r>
            <w:r w:rsidRPr="000E5D59">
              <w:rPr>
                <w:rFonts w:ascii="Arial" w:eastAsia="Times New Roman" w:hAnsi="Arial" w:cs="Arial"/>
                <w:sz w:val="20"/>
                <w:szCs w:val="20"/>
              </w:rPr>
              <w:br/>
              <w:t>28.38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84</w:t>
            </w:r>
            <w:r w:rsidRPr="000E5D59">
              <w:rPr>
                <w:rFonts w:ascii="Arial" w:eastAsia="Times New Roman" w:hAnsi="Arial" w:cs="Arial"/>
                <w:sz w:val="20"/>
                <w:szCs w:val="20"/>
              </w:rPr>
              <w:br/>
              <w:t>9.22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67</w:t>
            </w:r>
            <w:r w:rsidRPr="000E5D59">
              <w:rPr>
                <w:rFonts w:ascii="Arial" w:eastAsia="Times New Roman" w:hAnsi="Arial" w:cs="Arial"/>
                <w:sz w:val="20"/>
                <w:szCs w:val="20"/>
              </w:rPr>
              <w:br/>
              <w:t>9.81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7.66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172</w:t>
            </w:r>
            <w:r w:rsidRPr="000E5D59">
              <w:rPr>
                <w:rFonts w:ascii="Arial" w:eastAsia="Times New Roman" w:hAnsi="Arial" w:cs="Arial"/>
                <w:sz w:val="20"/>
                <w:szCs w:val="20"/>
              </w:rPr>
              <w:br/>
              <w:t>18.88</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136</w:t>
            </w:r>
            <w:r w:rsidRPr="000E5D59">
              <w:rPr>
                <w:rFonts w:ascii="Arial" w:eastAsia="Times New Roman" w:hAnsi="Arial" w:cs="Arial"/>
                <w:sz w:val="20"/>
                <w:szCs w:val="20"/>
              </w:rPr>
              <w:br/>
              <w:t>19.91</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w:t>
            </w:r>
            <w:r w:rsidRPr="000E5D59">
              <w:rPr>
                <w:rFonts w:ascii="Arial" w:eastAsia="Times New Roman" w:hAnsi="Arial" w:cs="Arial"/>
                <w:sz w:val="20"/>
                <w:szCs w:val="20"/>
              </w:rPr>
              <w:br/>
              <w:t>15.77</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1.79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0.99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4.15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374</w:t>
            </w:r>
            <w:r w:rsidRPr="000E5D59">
              <w:rPr>
                <w:rFonts w:ascii="Arial" w:eastAsia="Times New Roman" w:hAnsi="Arial" w:cs="Arial"/>
                <w:sz w:val="20"/>
                <w:szCs w:val="20"/>
              </w:rPr>
              <w:br/>
              <w:t>39.29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273</w:t>
            </w:r>
            <w:r w:rsidRPr="000E5D59">
              <w:rPr>
                <w:rFonts w:ascii="Arial" w:eastAsia="Times New Roman" w:hAnsi="Arial" w:cs="Arial"/>
                <w:sz w:val="20"/>
                <w:szCs w:val="20"/>
              </w:rPr>
              <w:br/>
              <w:t>38.78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101</w:t>
            </w:r>
            <w:r w:rsidRPr="000E5D59">
              <w:rPr>
                <w:rFonts w:ascii="Arial" w:eastAsia="Times New Roman" w:hAnsi="Arial" w:cs="Arial"/>
                <w:sz w:val="20"/>
                <w:szCs w:val="20"/>
              </w:rPr>
              <w:br/>
              <w:t>41.91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105</w:t>
            </w:r>
            <w:r w:rsidRPr="000E5D59">
              <w:rPr>
                <w:rFonts w:ascii="Arial" w:eastAsia="Times New Roman" w:hAnsi="Arial" w:cs="Arial"/>
                <w:sz w:val="20"/>
                <w:szCs w:val="20"/>
              </w:rPr>
              <w:br/>
              <w:t>11.03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93</w:t>
            </w:r>
            <w:r w:rsidRPr="000E5D59">
              <w:rPr>
                <w:rFonts w:ascii="Arial" w:eastAsia="Times New Roman" w:hAnsi="Arial" w:cs="Arial"/>
                <w:sz w:val="20"/>
                <w:szCs w:val="20"/>
              </w:rPr>
              <w:br/>
              <w:t>13.21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4.15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w:t>
            </w:r>
            <w:r w:rsidRPr="000E5D59">
              <w:rPr>
                <w:rFonts w:ascii="Arial" w:eastAsia="Times New Roman" w:hAnsi="Arial" w:cs="Arial"/>
                <w:sz w:val="20"/>
                <w:szCs w:val="20"/>
              </w:rPr>
              <w:br/>
              <w:t>5.36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w:t>
            </w:r>
            <w:r w:rsidRPr="000E5D59">
              <w:rPr>
                <w:rFonts w:ascii="Arial" w:eastAsia="Times New Roman" w:hAnsi="Arial" w:cs="Arial"/>
                <w:sz w:val="20"/>
                <w:szCs w:val="20"/>
              </w:rPr>
              <w:br/>
              <w:t>6.25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2.49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405</w:t>
            </w:r>
            <w:r w:rsidRPr="000E5D59">
              <w:rPr>
                <w:rFonts w:ascii="Arial" w:eastAsia="Times New Roman" w:hAnsi="Arial" w:cs="Arial"/>
                <w:sz w:val="20"/>
                <w:szCs w:val="20"/>
              </w:rPr>
              <w:br/>
              <w:t>42.54</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287</w:t>
            </w:r>
            <w:r w:rsidRPr="000E5D59">
              <w:rPr>
                <w:rFonts w:ascii="Arial" w:eastAsia="Times New Roman" w:hAnsi="Arial" w:cs="Arial"/>
                <w:sz w:val="20"/>
                <w:szCs w:val="20"/>
              </w:rPr>
              <w:br/>
              <w:t>40.77</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114</w:t>
            </w:r>
            <w:r w:rsidRPr="000E5D59">
              <w:rPr>
                <w:rFonts w:ascii="Arial" w:eastAsia="Times New Roman" w:hAnsi="Arial" w:cs="Arial"/>
                <w:sz w:val="20"/>
                <w:szCs w:val="20"/>
              </w:rPr>
              <w:br/>
              <w:t>47.30</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165</w:t>
            </w:r>
            <w:r w:rsidRPr="000E5D59">
              <w:rPr>
                <w:rFonts w:ascii="Arial" w:eastAsia="Times New Roman" w:hAnsi="Arial" w:cs="Arial"/>
                <w:sz w:val="20"/>
                <w:szCs w:val="20"/>
              </w:rPr>
              <w:br/>
              <w:t>17.35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122</w:t>
            </w:r>
            <w:r w:rsidRPr="000E5D59">
              <w:rPr>
                <w:rFonts w:ascii="Arial" w:eastAsia="Times New Roman" w:hAnsi="Arial" w:cs="Arial"/>
                <w:sz w:val="20"/>
                <w:szCs w:val="20"/>
              </w:rPr>
              <w:br/>
              <w:t>17.38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w:t>
            </w:r>
            <w:r w:rsidRPr="000E5D59">
              <w:rPr>
                <w:rFonts w:ascii="Arial" w:eastAsia="Times New Roman" w:hAnsi="Arial" w:cs="Arial"/>
                <w:sz w:val="20"/>
                <w:szCs w:val="20"/>
              </w:rPr>
              <w:br/>
              <w:t>16.94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334</w:t>
            </w:r>
            <w:r w:rsidRPr="000E5D59">
              <w:rPr>
                <w:rFonts w:ascii="Arial" w:eastAsia="Times New Roman" w:hAnsi="Arial" w:cs="Arial"/>
                <w:sz w:val="20"/>
                <w:szCs w:val="20"/>
              </w:rPr>
              <w:br/>
              <w:t>35.12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244</w:t>
            </w:r>
            <w:r w:rsidRPr="000E5D59">
              <w:rPr>
                <w:rFonts w:ascii="Arial" w:eastAsia="Times New Roman" w:hAnsi="Arial" w:cs="Arial"/>
                <w:sz w:val="20"/>
                <w:szCs w:val="20"/>
              </w:rPr>
              <w:br/>
              <w:t>34.76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87</w:t>
            </w:r>
            <w:r w:rsidRPr="000E5D59">
              <w:rPr>
                <w:rFonts w:ascii="Arial" w:eastAsia="Times New Roman" w:hAnsi="Arial" w:cs="Arial"/>
                <w:sz w:val="20"/>
                <w:szCs w:val="20"/>
              </w:rPr>
              <w:br/>
              <w:t>35.95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5.89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w:t>
            </w:r>
            <w:r w:rsidRPr="000E5D59">
              <w:rPr>
                <w:rFonts w:ascii="Arial" w:eastAsia="Times New Roman" w:hAnsi="Arial" w:cs="Arial"/>
                <w:sz w:val="20"/>
                <w:szCs w:val="20"/>
              </w:rPr>
              <w:br/>
              <w:t>7.26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2.07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0.74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1.00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06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389</w:t>
            </w:r>
            <w:r w:rsidRPr="000E5D59">
              <w:rPr>
                <w:rFonts w:ascii="Arial" w:eastAsia="Times New Roman" w:hAnsi="Arial" w:cs="Arial"/>
                <w:sz w:val="20"/>
                <w:szCs w:val="20"/>
              </w:rPr>
              <w:br/>
              <w:t>40.90</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278</w:t>
            </w:r>
            <w:r w:rsidRPr="000E5D59">
              <w:rPr>
                <w:rFonts w:ascii="Arial" w:eastAsia="Times New Roman" w:hAnsi="Arial" w:cs="Arial"/>
                <w:sz w:val="20"/>
                <w:szCs w:val="20"/>
              </w:rPr>
              <w:br/>
              <w:t>39.60</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109</w:t>
            </w:r>
            <w:r w:rsidRPr="000E5D59">
              <w:rPr>
                <w:rFonts w:ascii="Arial" w:eastAsia="Times New Roman" w:hAnsi="Arial" w:cs="Arial"/>
                <w:sz w:val="20"/>
                <w:szCs w:val="20"/>
              </w:rPr>
              <w:br/>
              <w:t>45.04</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9C: DPH Patient Survey Dabbing Marijuana Products by Education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Dabbing Marijuana Products by Education (Among 6,111 Respondents who Used Marijuana in Past 30 Days)"/>
      </w:tblPr>
      <w:tblGrid>
        <w:gridCol w:w="4245"/>
        <w:gridCol w:w="900"/>
        <w:gridCol w:w="1620"/>
        <w:gridCol w:w="1620"/>
        <w:gridCol w:w="1170"/>
      </w:tblGrid>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Calibri" w:hAnsi="Arial" w:cs="Arial"/>
                <w:b/>
                <w:bCs/>
                <w:sz w:val="20"/>
                <w:szCs w:val="20"/>
              </w:rPr>
              <w:t>Table 9C: 2018 Marijuana Survey Results - DABBING MARIJUANA PRODUCTS</w:t>
            </w:r>
            <w:r w:rsidRPr="000E5D59">
              <w:rPr>
                <w:rFonts w:ascii="Arial" w:eastAsia="Times New Roman" w:hAnsi="Arial" w:cs="Arial"/>
                <w:b/>
                <w:bCs/>
                <w:sz w:val="20"/>
                <w:szCs w:val="20"/>
              </w:rPr>
              <w:t xml:space="preserve"> </w:t>
            </w:r>
            <w:r w:rsidRPr="000E5D59">
              <w:rPr>
                <w:rFonts w:ascii="Arial" w:eastAsia="Calibri" w:hAnsi="Arial" w:cs="Arial"/>
                <w:b/>
                <w:bCs/>
                <w:sz w:val="20"/>
                <w:szCs w:val="20"/>
              </w:rPr>
              <w:t xml:space="preserve">by EDUCATION </w:t>
            </w:r>
            <w:r w:rsidRPr="000E5D59">
              <w:rPr>
                <w:rFonts w:ascii="Arial" w:eastAsia="Times New Roman" w:hAnsi="Arial" w:cs="Arial"/>
                <w:bCs/>
                <w:i/>
                <w:sz w:val="20"/>
                <w:szCs w:val="20"/>
              </w:rPr>
              <w:t>(Among 6111 respondents indicating marijuana use in past 30 days)</w:t>
            </w:r>
          </w:p>
        </w:tc>
      </w:tr>
      <w:tr w:rsidR="000E5D59" w:rsidRPr="000E5D59" w:rsidTr="00784755">
        <w:trPr>
          <w:trHeight w:val="20"/>
        </w:trPr>
        <w:tc>
          <w:tcPr>
            <w:tcW w:w="4245" w:type="dxa"/>
            <w:vMerge w:val="restart"/>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8"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(N=2836)</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(N=3168)</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Dabbed marijuana products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5037</w:t>
            </w:r>
            <w:r w:rsidRPr="000E5D59">
              <w:rPr>
                <w:rFonts w:ascii="Arial" w:eastAsia="Times New Roman" w:hAnsi="Arial" w:cs="Arial"/>
                <w:sz w:val="20"/>
                <w:szCs w:val="20"/>
              </w:rPr>
              <w:br/>
              <w:t>83.66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2241</w:t>
            </w:r>
            <w:r w:rsidRPr="000E5D59">
              <w:rPr>
                <w:rFonts w:ascii="Arial" w:eastAsia="Times New Roman" w:hAnsi="Arial" w:cs="Arial"/>
                <w:sz w:val="20"/>
                <w:szCs w:val="20"/>
              </w:rPr>
              <w:br/>
              <w:t>79.02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2779</w:t>
            </w:r>
            <w:r w:rsidRPr="000E5D59">
              <w:rPr>
                <w:rFonts w:ascii="Arial" w:eastAsia="Times New Roman" w:hAnsi="Arial" w:cs="Arial"/>
                <w:sz w:val="20"/>
                <w:szCs w:val="20"/>
              </w:rPr>
              <w:br/>
              <w:t>87.72</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984</w:t>
            </w:r>
            <w:r w:rsidRPr="000E5D59">
              <w:rPr>
                <w:rFonts w:ascii="Arial" w:eastAsia="Times New Roman" w:hAnsi="Arial" w:cs="Arial"/>
                <w:sz w:val="20"/>
                <w:szCs w:val="20"/>
              </w:rPr>
              <w:br/>
              <w:t>16.34</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595</w:t>
            </w:r>
            <w:r w:rsidRPr="000E5D59">
              <w:rPr>
                <w:rFonts w:ascii="Arial" w:eastAsia="Times New Roman" w:hAnsi="Arial" w:cs="Arial"/>
                <w:sz w:val="20"/>
                <w:szCs w:val="20"/>
              </w:rPr>
              <w:br/>
              <w:t>20.98</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389</w:t>
            </w:r>
            <w:r w:rsidRPr="000E5D59">
              <w:rPr>
                <w:rFonts w:ascii="Arial" w:eastAsia="Times New Roman" w:hAnsi="Arial" w:cs="Arial"/>
                <w:sz w:val="20"/>
                <w:szCs w:val="20"/>
              </w:rPr>
              <w:br/>
              <w:t>12.28</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dabbing marijuana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911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408</w:t>
            </w:r>
            <w:r w:rsidRPr="000E5D59">
              <w:rPr>
                <w:rFonts w:ascii="Arial" w:eastAsia="Times New Roman" w:hAnsi="Arial" w:cs="Arial"/>
                <w:sz w:val="20"/>
                <w:szCs w:val="20"/>
              </w:rPr>
              <w:br/>
              <w:t>44.79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237</w:t>
            </w:r>
            <w:r w:rsidRPr="000E5D59">
              <w:rPr>
                <w:rFonts w:ascii="Arial" w:eastAsia="Times New Roman" w:hAnsi="Arial" w:cs="Arial"/>
                <w:sz w:val="20"/>
                <w:szCs w:val="20"/>
              </w:rPr>
              <w:br/>
              <w:t>43.25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171</w:t>
            </w:r>
            <w:r w:rsidRPr="000E5D59">
              <w:rPr>
                <w:rFonts w:ascii="Arial" w:eastAsia="Times New Roman" w:hAnsi="Arial" w:cs="Arial"/>
                <w:sz w:val="20"/>
                <w:szCs w:val="20"/>
              </w:rPr>
              <w:br/>
              <w:t>47.11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247</w:t>
            </w:r>
            <w:r w:rsidRPr="000E5D59">
              <w:rPr>
                <w:rFonts w:ascii="Arial" w:eastAsia="Times New Roman" w:hAnsi="Arial" w:cs="Arial"/>
                <w:sz w:val="20"/>
                <w:szCs w:val="20"/>
              </w:rPr>
              <w:br/>
              <w:t>27.11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145</w:t>
            </w:r>
            <w:r w:rsidRPr="000E5D59">
              <w:rPr>
                <w:rFonts w:ascii="Arial" w:eastAsia="Times New Roman" w:hAnsi="Arial" w:cs="Arial"/>
                <w:sz w:val="20"/>
                <w:szCs w:val="20"/>
              </w:rPr>
              <w:br/>
              <w:t>26.46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102</w:t>
            </w:r>
            <w:r w:rsidRPr="000E5D59">
              <w:rPr>
                <w:rFonts w:ascii="Arial" w:eastAsia="Times New Roman" w:hAnsi="Arial" w:cs="Arial"/>
                <w:sz w:val="20"/>
                <w:szCs w:val="20"/>
              </w:rPr>
              <w:br/>
              <w:t>28.10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84</w:t>
            </w:r>
            <w:r w:rsidRPr="000E5D59">
              <w:rPr>
                <w:rFonts w:ascii="Arial" w:eastAsia="Times New Roman" w:hAnsi="Arial" w:cs="Arial"/>
                <w:sz w:val="20"/>
                <w:szCs w:val="20"/>
              </w:rPr>
              <w:br/>
              <w:t>9.22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w:t>
            </w:r>
            <w:r w:rsidRPr="000E5D59">
              <w:rPr>
                <w:rFonts w:ascii="Arial" w:eastAsia="Times New Roman" w:hAnsi="Arial" w:cs="Arial"/>
                <w:sz w:val="20"/>
                <w:szCs w:val="20"/>
              </w:rPr>
              <w:br/>
              <w:t>9.31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w:t>
            </w:r>
            <w:r w:rsidRPr="000E5D59">
              <w:rPr>
                <w:rFonts w:ascii="Arial" w:eastAsia="Times New Roman" w:hAnsi="Arial" w:cs="Arial"/>
                <w:sz w:val="20"/>
                <w:szCs w:val="20"/>
              </w:rPr>
              <w:br/>
              <w:t>9.09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172</w:t>
            </w:r>
            <w:r w:rsidRPr="000E5D59">
              <w:rPr>
                <w:rFonts w:ascii="Arial" w:eastAsia="Times New Roman" w:hAnsi="Arial" w:cs="Arial"/>
                <w:sz w:val="20"/>
                <w:szCs w:val="20"/>
              </w:rPr>
              <w:br/>
              <w:t>18.88</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115</w:t>
            </w:r>
            <w:r w:rsidRPr="000E5D59">
              <w:rPr>
                <w:rFonts w:ascii="Arial" w:eastAsia="Times New Roman" w:hAnsi="Arial" w:cs="Arial"/>
                <w:sz w:val="20"/>
                <w:szCs w:val="20"/>
              </w:rPr>
              <w:br/>
              <w:t>20.99</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w:t>
            </w:r>
            <w:r w:rsidRPr="000E5D59">
              <w:rPr>
                <w:rFonts w:ascii="Arial" w:eastAsia="Times New Roman" w:hAnsi="Arial" w:cs="Arial"/>
                <w:sz w:val="20"/>
                <w:szCs w:val="20"/>
              </w:rPr>
              <w:br/>
              <w:t>15.70</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1.79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1.74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1.85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374</w:t>
            </w:r>
            <w:r w:rsidRPr="000E5D59">
              <w:rPr>
                <w:rFonts w:ascii="Arial" w:eastAsia="Times New Roman" w:hAnsi="Arial" w:cs="Arial"/>
                <w:sz w:val="20"/>
                <w:szCs w:val="20"/>
              </w:rPr>
              <w:br/>
              <w:t>39.29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229</w:t>
            </w:r>
            <w:r w:rsidRPr="000E5D59">
              <w:rPr>
                <w:rFonts w:ascii="Arial" w:eastAsia="Times New Roman" w:hAnsi="Arial" w:cs="Arial"/>
                <w:sz w:val="20"/>
                <w:szCs w:val="20"/>
              </w:rPr>
              <w:br/>
              <w:t>39.90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145</w:t>
            </w:r>
            <w:r w:rsidRPr="000E5D59">
              <w:rPr>
                <w:rFonts w:ascii="Arial" w:eastAsia="Times New Roman" w:hAnsi="Arial" w:cs="Arial"/>
                <w:sz w:val="20"/>
                <w:szCs w:val="20"/>
              </w:rPr>
              <w:br/>
              <w:t>38.36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105</w:t>
            </w:r>
            <w:r w:rsidRPr="000E5D59">
              <w:rPr>
                <w:rFonts w:ascii="Arial" w:eastAsia="Times New Roman" w:hAnsi="Arial" w:cs="Arial"/>
                <w:sz w:val="20"/>
                <w:szCs w:val="20"/>
              </w:rPr>
              <w:br/>
              <w:t>11.03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68</w:t>
            </w:r>
            <w:r w:rsidRPr="000E5D59">
              <w:rPr>
                <w:rFonts w:ascii="Arial" w:eastAsia="Times New Roman" w:hAnsi="Arial" w:cs="Arial"/>
                <w:sz w:val="20"/>
                <w:szCs w:val="20"/>
              </w:rPr>
              <w:br/>
              <w:t>11.85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w:t>
            </w:r>
            <w:r w:rsidRPr="000E5D59">
              <w:rPr>
                <w:rFonts w:ascii="Arial" w:eastAsia="Times New Roman" w:hAnsi="Arial" w:cs="Arial"/>
                <w:sz w:val="20"/>
                <w:szCs w:val="20"/>
              </w:rPr>
              <w:br/>
              <w:t>9.79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w:t>
            </w:r>
            <w:r w:rsidRPr="000E5D59">
              <w:rPr>
                <w:rFonts w:ascii="Arial" w:eastAsia="Times New Roman" w:hAnsi="Arial" w:cs="Arial"/>
                <w:sz w:val="20"/>
                <w:szCs w:val="20"/>
              </w:rPr>
              <w:br/>
              <w:t>5.36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w:t>
            </w:r>
            <w:r w:rsidRPr="000E5D59">
              <w:rPr>
                <w:rFonts w:ascii="Arial" w:eastAsia="Times New Roman" w:hAnsi="Arial" w:cs="Arial"/>
                <w:sz w:val="20"/>
                <w:szCs w:val="20"/>
              </w:rPr>
              <w:br/>
              <w:t>5.57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w:t>
            </w:r>
            <w:r w:rsidRPr="000E5D59">
              <w:rPr>
                <w:rFonts w:ascii="Arial" w:eastAsia="Times New Roman" w:hAnsi="Arial" w:cs="Arial"/>
                <w:sz w:val="20"/>
                <w:szCs w:val="20"/>
              </w:rPr>
              <w:br/>
              <w:t>5.03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405</w:t>
            </w:r>
            <w:r w:rsidRPr="000E5D59">
              <w:rPr>
                <w:rFonts w:ascii="Arial" w:eastAsia="Times New Roman" w:hAnsi="Arial" w:cs="Arial"/>
                <w:sz w:val="20"/>
                <w:szCs w:val="20"/>
              </w:rPr>
              <w:br/>
              <w:t>42.54</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235</w:t>
            </w:r>
            <w:r w:rsidRPr="000E5D59">
              <w:rPr>
                <w:rFonts w:ascii="Arial" w:eastAsia="Times New Roman" w:hAnsi="Arial" w:cs="Arial"/>
                <w:sz w:val="20"/>
                <w:szCs w:val="20"/>
              </w:rPr>
              <w:br/>
              <w:t>40.94</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170</w:t>
            </w:r>
            <w:r w:rsidRPr="000E5D59">
              <w:rPr>
                <w:rFonts w:ascii="Arial" w:eastAsia="Times New Roman" w:hAnsi="Arial" w:cs="Arial"/>
                <w:sz w:val="20"/>
                <w:szCs w:val="20"/>
              </w:rPr>
              <w:br/>
              <w:t>44.97</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165</w:t>
            </w:r>
            <w:r w:rsidRPr="000E5D59">
              <w:rPr>
                <w:rFonts w:ascii="Arial" w:eastAsia="Times New Roman" w:hAnsi="Arial" w:cs="Arial"/>
                <w:sz w:val="20"/>
                <w:szCs w:val="20"/>
              </w:rPr>
              <w:br/>
              <w:t>17.35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91</w:t>
            </w:r>
            <w:r w:rsidRPr="000E5D59">
              <w:rPr>
                <w:rFonts w:ascii="Arial" w:eastAsia="Times New Roman" w:hAnsi="Arial" w:cs="Arial"/>
                <w:sz w:val="20"/>
                <w:szCs w:val="20"/>
              </w:rPr>
              <w:br/>
              <w:t>15.88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w:t>
            </w:r>
            <w:r w:rsidRPr="000E5D59">
              <w:rPr>
                <w:rFonts w:ascii="Arial" w:eastAsia="Times New Roman" w:hAnsi="Arial" w:cs="Arial"/>
                <w:sz w:val="20"/>
                <w:szCs w:val="20"/>
              </w:rPr>
              <w:br/>
              <w:t>19.58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334</w:t>
            </w:r>
            <w:r w:rsidRPr="000E5D59">
              <w:rPr>
                <w:rFonts w:ascii="Arial" w:eastAsia="Times New Roman" w:hAnsi="Arial" w:cs="Arial"/>
                <w:sz w:val="20"/>
                <w:szCs w:val="20"/>
              </w:rPr>
              <w:br/>
              <w:t>35.12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210</w:t>
            </w:r>
            <w:r w:rsidRPr="000E5D59">
              <w:rPr>
                <w:rFonts w:ascii="Arial" w:eastAsia="Times New Roman" w:hAnsi="Arial" w:cs="Arial"/>
                <w:sz w:val="20"/>
                <w:szCs w:val="20"/>
              </w:rPr>
              <w:br/>
              <w:t>36.65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124</w:t>
            </w:r>
            <w:r w:rsidRPr="000E5D59">
              <w:rPr>
                <w:rFonts w:ascii="Arial" w:eastAsia="Times New Roman" w:hAnsi="Arial" w:cs="Arial"/>
                <w:sz w:val="20"/>
                <w:szCs w:val="20"/>
              </w:rPr>
              <w:br/>
              <w:t>32.80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5.89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w:t>
            </w:r>
            <w:r w:rsidRPr="000E5D59">
              <w:rPr>
                <w:rFonts w:ascii="Arial" w:eastAsia="Times New Roman" w:hAnsi="Arial" w:cs="Arial"/>
                <w:sz w:val="20"/>
                <w:szCs w:val="20"/>
              </w:rPr>
              <w:br/>
              <w:t>7.16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3.97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0.74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0.87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0.53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389</w:t>
            </w:r>
            <w:r w:rsidRPr="000E5D59">
              <w:rPr>
                <w:rFonts w:ascii="Arial" w:eastAsia="Times New Roman" w:hAnsi="Arial" w:cs="Arial"/>
                <w:sz w:val="20"/>
                <w:szCs w:val="20"/>
              </w:rPr>
              <w:br/>
              <w:t>40.90</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226</w:t>
            </w:r>
            <w:r w:rsidRPr="000E5D59">
              <w:rPr>
                <w:rFonts w:ascii="Arial" w:eastAsia="Times New Roman" w:hAnsi="Arial" w:cs="Arial"/>
                <w:sz w:val="20"/>
                <w:szCs w:val="20"/>
              </w:rPr>
              <w:br/>
              <w:t>39.44</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163</w:t>
            </w:r>
            <w:r w:rsidRPr="000E5D59">
              <w:rPr>
                <w:rFonts w:ascii="Arial" w:eastAsia="Times New Roman" w:hAnsi="Arial" w:cs="Arial"/>
                <w:sz w:val="20"/>
                <w:szCs w:val="20"/>
              </w:rPr>
              <w:br/>
              <w:t>43.12</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pPr>
    </w:p>
    <w:p w:rsidR="00ED2671" w:rsidRDefault="00ED2671" w:rsidP="00AC40A7">
      <w:pPr>
        <w:pStyle w:val="Heading3"/>
      </w:pPr>
      <w:bookmarkStart w:id="221" w:name="_Toc11765953"/>
      <w:bookmarkStart w:id="222" w:name="_Toc11766608"/>
      <w:r>
        <w:t>Edible Marijuana Products</w:t>
      </w:r>
      <w:bookmarkEnd w:id="221"/>
      <w:bookmarkEnd w:id="222"/>
      <w:r>
        <w:t xml:space="preserve"> </w:t>
      </w:r>
    </w:p>
    <w:p w:rsidR="00ED2671" w:rsidRDefault="00ED2671" w:rsidP="006057BE">
      <w:pPr>
        <w:spacing w:after="0" w:line="240" w:lineRule="auto"/>
        <w:rPr>
          <w:rFonts w:ascii="Arial" w:eastAsia="Times New Roman" w:hAnsi="Arial" w:cs="Arial"/>
          <w:b/>
          <w:bCs/>
          <w:i/>
          <w:iCs/>
          <w:sz w:val="24"/>
          <w:szCs w:val="24"/>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Tables 10A, 10B, and 10C</w:t>
      </w:r>
      <w:r w:rsidRPr="000E5D59">
        <w:rPr>
          <w:rFonts w:ascii="Arial" w:eastAsia="Calibri" w:hAnsi="Arial" w:cs="Arial"/>
          <w:sz w:val="24"/>
          <w:szCs w:val="24"/>
        </w:rPr>
        <w:t xml:space="preserve"> summarize results of survey responses pertaining to consuming edible marijuana products, with comparisons by gender, age group, and educational attainment, respectively. 51% of respondents who reported using marijuana </w:t>
      </w:r>
      <w:r w:rsidRPr="000E5D59">
        <w:rPr>
          <w:rFonts w:ascii="Arial" w:eastAsia="Calibri" w:hAnsi="Arial" w:cs="Arial"/>
          <w:sz w:val="24"/>
          <w:szCs w:val="24"/>
        </w:rPr>
        <w:lastRenderedPageBreak/>
        <w:t xml:space="preserve">at least once in the past 30 days reported using edible marijuana products in the past 30 days. A larger proportion of female respondents than male (53% vs. 49%) and respondents under age 50 than older (59% vs. 42%) reported edible marijuana use.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Twelve percent of respondents who reported using edible marijuana products in the past 30 days reported using these products at least once per day, while 61% reported using these products less than once per week. A larger proportion of respondents less than 51 years old than older respondents reported using edible marijuana products less than once per week (66% vs. 52%), while a larger proportion of older respondents than younger reported these products more than once per week (31% vs. 25%) and once per day (14% vs. 7%).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All respondents who used edible marijuana products in the past 30 days were asked to indicate the amount of THC administered by using these products over the past 30 days. The amount of THC reported by respondents should be interpreted with caution, as almost 1 in 4 respondents did not know how much THC they administered. However, 59% of respondents reported administering between 1 and 150 mg of THC in the past 30 days by through edible marijuana products. A larger proportion of male respondents than female reported administering between 150 and 300 mg of THC (13% vs. 8%), while a larger proportion of female respondents than male reported that they did not know (27% vs. 22%). A larger proportion of respondents under the age of 51 than older respondents reported administering between 150 and 300 mg of THC (12% vs. 9%), while a larger proportion of older respondents than younger reported that they did not know how much THC they administered through edible marijuana products (27% vs. 23%). A larger proportion of respondents with a Bachelor’s degree than respondents without a degree reported administering between 1 and 150 mg of THC through edible marijuana products (63% vs. 54%), while a larger proportion of respondents without a Bachelor’s degree reported that they did not know (28% vs. 22%).</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All respondents who used edible marijuana products in the past 30 days were asked to indicate the amount of CBD administered by using edible marijuana products over the past 30 days. The amount of CBD reported by respondents should be interpreted with caution, as approximately 1 in 3 respondents did not know how much CBD they administered through edible marijuana products. However, 45% of respondents reported administering between 1 and 150 mg of CBD in the past 30 days through edible marijuana products.</w:t>
      </w: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10A: DPH Patient Survey Edible Marijuana Products by Gender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Edible Marijuana Products by Gender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(N=3251)</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(N=2672)</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Used edible marijuana or marijuana products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2947</w:t>
            </w:r>
            <w:r w:rsidRPr="000E5D59">
              <w:rPr>
                <w:rFonts w:ascii="Arial" w:eastAsia="Times New Roman" w:hAnsi="Arial" w:cs="Arial"/>
                <w:sz w:val="20"/>
                <w:szCs w:val="20"/>
              </w:rPr>
              <w:br/>
              <w:t>48.95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1645</w:t>
            </w:r>
            <w:r w:rsidRPr="000E5D59">
              <w:rPr>
                <w:rFonts w:ascii="Arial" w:eastAsia="Times New Roman" w:hAnsi="Arial" w:cs="Arial"/>
                <w:sz w:val="20"/>
                <w:szCs w:val="20"/>
              </w:rPr>
              <w:br/>
              <w:t>50.60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1262</w:t>
            </w:r>
            <w:r w:rsidRPr="000E5D59">
              <w:rPr>
                <w:rFonts w:ascii="Arial" w:eastAsia="Times New Roman" w:hAnsi="Arial" w:cs="Arial"/>
                <w:sz w:val="20"/>
                <w:szCs w:val="20"/>
              </w:rPr>
              <w:br/>
              <w:t>47.23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3074</w:t>
            </w:r>
            <w:r w:rsidRPr="000E5D59">
              <w:rPr>
                <w:rFonts w:ascii="Arial" w:eastAsia="Times New Roman" w:hAnsi="Arial" w:cs="Arial"/>
                <w:sz w:val="20"/>
                <w:szCs w:val="20"/>
              </w:rPr>
              <w:br/>
              <w:t>51.05</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1606</w:t>
            </w:r>
            <w:r w:rsidRPr="000E5D59">
              <w:rPr>
                <w:rFonts w:ascii="Arial" w:eastAsia="Times New Roman" w:hAnsi="Arial" w:cs="Arial"/>
                <w:sz w:val="20"/>
                <w:szCs w:val="20"/>
              </w:rPr>
              <w:br/>
              <w:t>49.40</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1410</w:t>
            </w:r>
            <w:r w:rsidRPr="000E5D59">
              <w:rPr>
                <w:rFonts w:ascii="Arial" w:eastAsia="Times New Roman" w:hAnsi="Arial" w:cs="Arial"/>
                <w:sz w:val="20"/>
                <w:szCs w:val="20"/>
              </w:rPr>
              <w:br/>
              <w:t>52.77</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Frequency of using edible marijuana or marijuana products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2941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1781</w:t>
            </w:r>
            <w:r w:rsidRPr="000E5D59">
              <w:rPr>
                <w:rFonts w:ascii="Arial" w:eastAsia="Times New Roman" w:hAnsi="Arial" w:cs="Arial"/>
                <w:sz w:val="20"/>
                <w:szCs w:val="20"/>
              </w:rPr>
              <w:br/>
              <w:t>60.56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937</w:t>
            </w:r>
            <w:r w:rsidRPr="000E5D59">
              <w:rPr>
                <w:rFonts w:ascii="Arial" w:eastAsia="Times New Roman" w:hAnsi="Arial" w:cs="Arial"/>
                <w:sz w:val="20"/>
                <w:szCs w:val="20"/>
              </w:rPr>
              <w:br/>
              <w:t>61.24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806</w:t>
            </w:r>
            <w:r w:rsidRPr="000E5D59">
              <w:rPr>
                <w:rFonts w:ascii="Arial" w:eastAsia="Times New Roman" w:hAnsi="Arial" w:cs="Arial"/>
                <w:sz w:val="20"/>
                <w:szCs w:val="20"/>
              </w:rPr>
              <w:br/>
              <w:t>59.48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798</w:t>
            </w:r>
            <w:r w:rsidRPr="000E5D59">
              <w:rPr>
                <w:rFonts w:ascii="Arial" w:eastAsia="Times New Roman" w:hAnsi="Arial" w:cs="Arial"/>
                <w:sz w:val="20"/>
                <w:szCs w:val="20"/>
              </w:rPr>
              <w:br/>
              <w:t>27.13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431</w:t>
            </w:r>
            <w:r w:rsidRPr="000E5D59">
              <w:rPr>
                <w:rFonts w:ascii="Arial" w:eastAsia="Times New Roman" w:hAnsi="Arial" w:cs="Arial"/>
                <w:sz w:val="20"/>
                <w:szCs w:val="20"/>
              </w:rPr>
              <w:br/>
              <w:t>28.17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357</w:t>
            </w:r>
            <w:r w:rsidRPr="000E5D59">
              <w:rPr>
                <w:rFonts w:ascii="Arial" w:eastAsia="Times New Roman" w:hAnsi="Arial" w:cs="Arial"/>
                <w:sz w:val="20"/>
                <w:szCs w:val="20"/>
              </w:rPr>
              <w:br/>
              <w:t>26.35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284</w:t>
            </w:r>
            <w:r w:rsidRPr="000E5D59">
              <w:rPr>
                <w:rFonts w:ascii="Arial" w:eastAsia="Times New Roman" w:hAnsi="Arial" w:cs="Arial"/>
                <w:sz w:val="20"/>
                <w:szCs w:val="20"/>
              </w:rPr>
              <w:br/>
              <w:t>9.66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128</w:t>
            </w:r>
            <w:r w:rsidRPr="000E5D59">
              <w:rPr>
                <w:rFonts w:ascii="Arial" w:eastAsia="Times New Roman" w:hAnsi="Arial" w:cs="Arial"/>
                <w:sz w:val="20"/>
                <w:szCs w:val="20"/>
              </w:rPr>
              <w:br/>
              <w:t>8.37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151</w:t>
            </w:r>
            <w:r w:rsidRPr="000E5D59">
              <w:rPr>
                <w:rFonts w:ascii="Arial" w:eastAsia="Times New Roman" w:hAnsi="Arial" w:cs="Arial"/>
                <w:sz w:val="20"/>
                <w:szCs w:val="20"/>
              </w:rPr>
              <w:br/>
              <w:t>11.14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78</w:t>
            </w:r>
            <w:r w:rsidRPr="000E5D59">
              <w:rPr>
                <w:rFonts w:ascii="Arial" w:eastAsia="Times New Roman" w:hAnsi="Arial" w:cs="Arial"/>
                <w:sz w:val="20"/>
                <w:szCs w:val="20"/>
              </w:rPr>
              <w:br/>
              <w:t>2.65</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w:t>
            </w:r>
            <w:r w:rsidRPr="000E5D59">
              <w:rPr>
                <w:rFonts w:ascii="Arial" w:eastAsia="Times New Roman" w:hAnsi="Arial" w:cs="Arial"/>
                <w:sz w:val="20"/>
                <w:szCs w:val="20"/>
              </w:rPr>
              <w:br/>
              <w:t>2.22</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w:t>
            </w:r>
            <w:r w:rsidRPr="000E5D59">
              <w:rPr>
                <w:rFonts w:ascii="Arial" w:eastAsia="Times New Roman" w:hAnsi="Arial" w:cs="Arial"/>
                <w:sz w:val="20"/>
                <w:szCs w:val="20"/>
              </w:rPr>
              <w:br/>
              <w:t>3.03</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3000</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80</w:t>
            </w:r>
            <w:r w:rsidRPr="000E5D59">
              <w:rPr>
                <w:rFonts w:ascii="Arial" w:eastAsia="Times New Roman" w:hAnsi="Arial" w:cs="Arial"/>
                <w:sz w:val="20"/>
                <w:szCs w:val="20"/>
              </w:rPr>
              <w:br/>
              <w:t>2.67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w:t>
            </w:r>
            <w:r w:rsidRPr="000E5D59">
              <w:rPr>
                <w:rFonts w:ascii="Arial" w:eastAsia="Times New Roman" w:hAnsi="Arial" w:cs="Arial"/>
                <w:sz w:val="20"/>
                <w:szCs w:val="20"/>
              </w:rPr>
              <w:br/>
              <w:t>2.30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w:t>
            </w:r>
            <w:r w:rsidRPr="000E5D59">
              <w:rPr>
                <w:rFonts w:ascii="Arial" w:eastAsia="Times New Roman" w:hAnsi="Arial" w:cs="Arial"/>
                <w:sz w:val="20"/>
                <w:szCs w:val="20"/>
              </w:rPr>
              <w:br/>
              <w:t>3.19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1770</w:t>
            </w:r>
            <w:r w:rsidRPr="000E5D59">
              <w:rPr>
                <w:rFonts w:ascii="Arial" w:eastAsia="Times New Roman" w:hAnsi="Arial" w:cs="Arial"/>
                <w:sz w:val="20"/>
                <w:szCs w:val="20"/>
              </w:rPr>
              <w:br/>
              <w:t>59.00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918</w:t>
            </w:r>
            <w:r w:rsidRPr="000E5D59">
              <w:rPr>
                <w:rFonts w:ascii="Arial" w:eastAsia="Times New Roman" w:hAnsi="Arial" w:cs="Arial"/>
                <w:sz w:val="20"/>
                <w:szCs w:val="20"/>
              </w:rPr>
              <w:br/>
              <w:t>58.70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817</w:t>
            </w:r>
            <w:r w:rsidRPr="000E5D59">
              <w:rPr>
                <w:rFonts w:ascii="Arial" w:eastAsia="Times New Roman" w:hAnsi="Arial" w:cs="Arial"/>
                <w:sz w:val="20"/>
                <w:szCs w:val="20"/>
              </w:rPr>
              <w:br/>
              <w:t>59.20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332</w:t>
            </w:r>
            <w:r w:rsidRPr="000E5D59">
              <w:rPr>
                <w:rFonts w:ascii="Arial" w:eastAsia="Times New Roman" w:hAnsi="Arial" w:cs="Arial"/>
                <w:sz w:val="20"/>
                <w:szCs w:val="20"/>
              </w:rPr>
              <w:br/>
              <w:t>11.07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211</w:t>
            </w:r>
            <w:r w:rsidRPr="000E5D59">
              <w:rPr>
                <w:rFonts w:ascii="Arial" w:eastAsia="Times New Roman" w:hAnsi="Arial" w:cs="Arial"/>
                <w:sz w:val="20"/>
                <w:szCs w:val="20"/>
              </w:rPr>
              <w:br/>
              <w:t>13.49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112</w:t>
            </w:r>
            <w:r w:rsidRPr="000E5D59">
              <w:rPr>
                <w:rFonts w:ascii="Arial" w:eastAsia="Times New Roman" w:hAnsi="Arial" w:cs="Arial"/>
                <w:sz w:val="20"/>
                <w:szCs w:val="20"/>
              </w:rPr>
              <w:br/>
              <w:t>8.12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82</w:t>
            </w:r>
            <w:r w:rsidRPr="000E5D59">
              <w:rPr>
                <w:rFonts w:ascii="Arial" w:eastAsia="Times New Roman" w:hAnsi="Arial" w:cs="Arial"/>
                <w:sz w:val="20"/>
                <w:szCs w:val="20"/>
              </w:rPr>
              <w:br/>
              <w:t>2.73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w:t>
            </w:r>
            <w:r w:rsidRPr="000E5D59">
              <w:rPr>
                <w:rFonts w:ascii="Arial" w:eastAsia="Times New Roman" w:hAnsi="Arial" w:cs="Arial"/>
                <w:sz w:val="20"/>
                <w:szCs w:val="20"/>
              </w:rPr>
              <w:br/>
              <w:t>3.32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w:t>
            </w:r>
            <w:r w:rsidRPr="000E5D59">
              <w:rPr>
                <w:rFonts w:ascii="Arial" w:eastAsia="Times New Roman" w:hAnsi="Arial" w:cs="Arial"/>
                <w:sz w:val="20"/>
                <w:szCs w:val="20"/>
              </w:rPr>
              <w:br/>
              <w:t>2.03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736</w:t>
            </w:r>
            <w:r w:rsidRPr="000E5D59">
              <w:rPr>
                <w:rFonts w:ascii="Arial" w:eastAsia="Times New Roman" w:hAnsi="Arial" w:cs="Arial"/>
                <w:sz w:val="20"/>
                <w:szCs w:val="20"/>
              </w:rPr>
              <w:br/>
              <w:t>24.53</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347</w:t>
            </w:r>
            <w:r w:rsidRPr="000E5D59">
              <w:rPr>
                <w:rFonts w:ascii="Arial" w:eastAsia="Times New Roman" w:hAnsi="Arial" w:cs="Arial"/>
                <w:sz w:val="20"/>
                <w:szCs w:val="20"/>
              </w:rPr>
              <w:br/>
              <w:t>22.19</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379</w:t>
            </w:r>
            <w:r w:rsidRPr="000E5D59">
              <w:rPr>
                <w:rFonts w:ascii="Arial" w:eastAsia="Times New Roman" w:hAnsi="Arial" w:cs="Arial"/>
                <w:sz w:val="20"/>
                <w:szCs w:val="20"/>
              </w:rPr>
              <w:br/>
              <w:t>27.46</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2981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488</w:t>
            </w:r>
            <w:r w:rsidRPr="000E5D59">
              <w:rPr>
                <w:rFonts w:ascii="Arial" w:eastAsia="Times New Roman" w:hAnsi="Arial" w:cs="Arial"/>
                <w:sz w:val="20"/>
                <w:szCs w:val="20"/>
              </w:rPr>
              <w:br/>
              <w:t>16.37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284</w:t>
            </w:r>
            <w:r w:rsidRPr="000E5D59">
              <w:rPr>
                <w:rFonts w:ascii="Arial" w:eastAsia="Times New Roman" w:hAnsi="Arial" w:cs="Arial"/>
                <w:sz w:val="20"/>
                <w:szCs w:val="20"/>
              </w:rPr>
              <w:br/>
              <w:t>18.36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194</w:t>
            </w:r>
            <w:r w:rsidRPr="000E5D59">
              <w:rPr>
                <w:rFonts w:ascii="Arial" w:eastAsia="Times New Roman" w:hAnsi="Arial" w:cs="Arial"/>
                <w:sz w:val="20"/>
                <w:szCs w:val="20"/>
              </w:rPr>
              <w:br/>
              <w:t>14.08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1332</w:t>
            </w:r>
            <w:r w:rsidRPr="000E5D59">
              <w:rPr>
                <w:rFonts w:ascii="Arial" w:eastAsia="Times New Roman" w:hAnsi="Arial" w:cs="Arial"/>
                <w:sz w:val="20"/>
                <w:szCs w:val="20"/>
              </w:rPr>
              <w:br/>
              <w:t>44.68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688</w:t>
            </w:r>
            <w:r w:rsidRPr="000E5D59">
              <w:rPr>
                <w:rFonts w:ascii="Arial" w:eastAsia="Times New Roman" w:hAnsi="Arial" w:cs="Arial"/>
                <w:sz w:val="20"/>
                <w:szCs w:val="20"/>
              </w:rPr>
              <w:br/>
              <w:t>44.47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619</w:t>
            </w:r>
            <w:r w:rsidRPr="000E5D59">
              <w:rPr>
                <w:rFonts w:ascii="Arial" w:eastAsia="Times New Roman" w:hAnsi="Arial" w:cs="Arial"/>
                <w:sz w:val="20"/>
                <w:szCs w:val="20"/>
              </w:rPr>
              <w:br/>
              <w:t>44.92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134</w:t>
            </w:r>
            <w:r w:rsidRPr="000E5D59">
              <w:rPr>
                <w:rFonts w:ascii="Arial" w:eastAsia="Times New Roman" w:hAnsi="Arial" w:cs="Arial"/>
                <w:sz w:val="20"/>
                <w:szCs w:val="20"/>
              </w:rPr>
              <w:br/>
              <w:t>4.50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77</w:t>
            </w:r>
            <w:r w:rsidRPr="000E5D59">
              <w:rPr>
                <w:rFonts w:ascii="Arial" w:eastAsia="Times New Roman" w:hAnsi="Arial" w:cs="Arial"/>
                <w:sz w:val="20"/>
                <w:szCs w:val="20"/>
              </w:rPr>
              <w:br/>
              <w:t>4.98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w:t>
            </w:r>
            <w:r w:rsidRPr="000E5D59">
              <w:rPr>
                <w:rFonts w:ascii="Arial" w:eastAsia="Times New Roman" w:hAnsi="Arial" w:cs="Arial"/>
                <w:sz w:val="20"/>
                <w:szCs w:val="20"/>
              </w:rPr>
              <w:br/>
              <w:t>3.85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w:t>
            </w:r>
            <w:r w:rsidRPr="000E5D59">
              <w:rPr>
                <w:rFonts w:ascii="Arial" w:eastAsia="Times New Roman" w:hAnsi="Arial" w:cs="Arial"/>
                <w:sz w:val="20"/>
                <w:szCs w:val="20"/>
              </w:rPr>
              <w:br/>
              <w:t>0.94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w:t>
            </w:r>
            <w:r w:rsidRPr="000E5D59">
              <w:rPr>
                <w:rFonts w:ascii="Arial" w:eastAsia="Times New Roman" w:hAnsi="Arial" w:cs="Arial"/>
                <w:sz w:val="20"/>
                <w:szCs w:val="20"/>
              </w:rPr>
              <w:br/>
              <w:t>1.29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w:t>
            </w:r>
            <w:r w:rsidRPr="000E5D59">
              <w:rPr>
                <w:rFonts w:ascii="Arial" w:eastAsia="Times New Roman" w:hAnsi="Arial" w:cs="Arial"/>
                <w:sz w:val="20"/>
                <w:szCs w:val="20"/>
              </w:rPr>
              <w:br/>
              <w:t>0.58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999</w:t>
            </w:r>
            <w:r w:rsidRPr="000E5D59">
              <w:rPr>
                <w:rFonts w:ascii="Arial" w:eastAsia="Times New Roman" w:hAnsi="Arial" w:cs="Arial"/>
                <w:sz w:val="20"/>
                <w:szCs w:val="20"/>
              </w:rPr>
              <w:br/>
              <w:t>33.51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478</w:t>
            </w:r>
            <w:r w:rsidRPr="000E5D59">
              <w:rPr>
                <w:rFonts w:ascii="Arial" w:eastAsia="Times New Roman" w:hAnsi="Arial" w:cs="Arial"/>
                <w:sz w:val="20"/>
                <w:szCs w:val="20"/>
              </w:rPr>
              <w:br/>
              <w:t>30.90</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504</w:t>
            </w:r>
            <w:r w:rsidRPr="000E5D59">
              <w:rPr>
                <w:rFonts w:ascii="Arial" w:eastAsia="Times New Roman" w:hAnsi="Arial" w:cs="Arial"/>
                <w:sz w:val="20"/>
                <w:szCs w:val="20"/>
              </w:rPr>
              <w:br/>
              <w:t>36.57</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10B: DPH Patient Survey Edible Marijuana Products by Age Group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Edible Marijuana Products by Age Group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(N=3179)</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(N=2748)</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Used edible marijuana or marijuana products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2947</w:t>
            </w:r>
            <w:r w:rsidRPr="000E5D59">
              <w:rPr>
                <w:rFonts w:ascii="Arial" w:eastAsia="Times New Roman" w:hAnsi="Arial" w:cs="Arial"/>
                <w:sz w:val="20"/>
                <w:szCs w:val="20"/>
              </w:rPr>
              <w:br/>
              <w:t>48.95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1301</w:t>
            </w:r>
            <w:r w:rsidRPr="000E5D59">
              <w:rPr>
                <w:rFonts w:ascii="Arial" w:eastAsia="Times New Roman" w:hAnsi="Arial" w:cs="Arial"/>
                <w:sz w:val="20"/>
                <w:szCs w:val="20"/>
              </w:rPr>
              <w:br/>
              <w:t>40.92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1582</w:t>
            </w:r>
            <w:r w:rsidRPr="000E5D59">
              <w:rPr>
                <w:rFonts w:ascii="Arial" w:eastAsia="Times New Roman" w:hAnsi="Arial" w:cs="Arial"/>
                <w:sz w:val="20"/>
                <w:szCs w:val="20"/>
              </w:rPr>
              <w:br/>
              <w:t>57.57</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3074</w:t>
            </w:r>
            <w:r w:rsidRPr="000E5D59">
              <w:rPr>
                <w:rFonts w:ascii="Arial" w:eastAsia="Times New Roman" w:hAnsi="Arial" w:cs="Arial"/>
                <w:sz w:val="20"/>
                <w:szCs w:val="20"/>
              </w:rPr>
              <w:br/>
              <w:t>51.05</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1878</w:t>
            </w:r>
            <w:r w:rsidRPr="000E5D59">
              <w:rPr>
                <w:rFonts w:ascii="Arial" w:eastAsia="Times New Roman" w:hAnsi="Arial" w:cs="Arial"/>
                <w:sz w:val="20"/>
                <w:szCs w:val="20"/>
              </w:rPr>
              <w:br/>
              <w:t>59.08</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1166</w:t>
            </w:r>
            <w:r w:rsidRPr="000E5D59">
              <w:rPr>
                <w:rFonts w:ascii="Arial" w:eastAsia="Times New Roman" w:hAnsi="Arial" w:cs="Arial"/>
                <w:sz w:val="20"/>
                <w:szCs w:val="20"/>
              </w:rPr>
              <w:br/>
              <w:t>42.43</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Frequency of using edible marijuana or marijuana products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2941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1781</w:t>
            </w:r>
            <w:r w:rsidRPr="000E5D59">
              <w:rPr>
                <w:rFonts w:ascii="Arial" w:eastAsia="Times New Roman" w:hAnsi="Arial" w:cs="Arial"/>
                <w:sz w:val="20"/>
                <w:szCs w:val="20"/>
              </w:rPr>
              <w:br/>
              <w:t>60.56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1181</w:t>
            </w:r>
            <w:r w:rsidRPr="000E5D59">
              <w:rPr>
                <w:rFonts w:ascii="Arial" w:eastAsia="Times New Roman" w:hAnsi="Arial" w:cs="Arial"/>
                <w:sz w:val="20"/>
                <w:szCs w:val="20"/>
              </w:rPr>
              <w:br/>
              <w:t>65.76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584</w:t>
            </w:r>
            <w:r w:rsidRPr="000E5D59">
              <w:rPr>
                <w:rFonts w:ascii="Arial" w:eastAsia="Times New Roman" w:hAnsi="Arial" w:cs="Arial"/>
                <w:sz w:val="20"/>
                <w:szCs w:val="20"/>
              </w:rPr>
              <w:br/>
              <w:t>52.19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798</w:t>
            </w:r>
            <w:r w:rsidRPr="000E5D59">
              <w:rPr>
                <w:rFonts w:ascii="Arial" w:eastAsia="Times New Roman" w:hAnsi="Arial" w:cs="Arial"/>
                <w:sz w:val="20"/>
                <w:szCs w:val="20"/>
              </w:rPr>
              <w:br/>
              <w:t>27.13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450</w:t>
            </w:r>
            <w:r w:rsidRPr="000E5D59">
              <w:rPr>
                <w:rFonts w:ascii="Arial" w:eastAsia="Times New Roman" w:hAnsi="Arial" w:cs="Arial"/>
                <w:sz w:val="20"/>
                <w:szCs w:val="20"/>
              </w:rPr>
              <w:br/>
              <w:t>25.06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343</w:t>
            </w:r>
            <w:r w:rsidRPr="000E5D59">
              <w:rPr>
                <w:rFonts w:ascii="Arial" w:eastAsia="Times New Roman" w:hAnsi="Arial" w:cs="Arial"/>
                <w:sz w:val="20"/>
                <w:szCs w:val="20"/>
              </w:rPr>
              <w:br/>
              <w:t>30.65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284</w:t>
            </w:r>
            <w:r w:rsidRPr="000E5D59">
              <w:rPr>
                <w:rFonts w:ascii="Arial" w:eastAsia="Times New Roman" w:hAnsi="Arial" w:cs="Arial"/>
                <w:sz w:val="20"/>
                <w:szCs w:val="20"/>
              </w:rPr>
              <w:br/>
              <w:t>9.66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121</w:t>
            </w:r>
            <w:r w:rsidRPr="000E5D59">
              <w:rPr>
                <w:rFonts w:ascii="Arial" w:eastAsia="Times New Roman" w:hAnsi="Arial" w:cs="Arial"/>
                <w:sz w:val="20"/>
                <w:szCs w:val="20"/>
              </w:rPr>
              <w:br/>
              <w:t>6.74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159</w:t>
            </w:r>
            <w:r w:rsidRPr="000E5D59">
              <w:rPr>
                <w:rFonts w:ascii="Arial" w:eastAsia="Times New Roman" w:hAnsi="Arial" w:cs="Arial"/>
                <w:sz w:val="20"/>
                <w:szCs w:val="20"/>
              </w:rPr>
              <w:br/>
              <w:t>14.21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78</w:t>
            </w:r>
            <w:r w:rsidRPr="000E5D59">
              <w:rPr>
                <w:rFonts w:ascii="Arial" w:eastAsia="Times New Roman" w:hAnsi="Arial" w:cs="Arial"/>
                <w:sz w:val="20"/>
                <w:szCs w:val="20"/>
              </w:rPr>
              <w:br/>
              <w:t>2.65</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w:t>
            </w:r>
            <w:r w:rsidRPr="000E5D59">
              <w:rPr>
                <w:rFonts w:ascii="Arial" w:eastAsia="Times New Roman" w:hAnsi="Arial" w:cs="Arial"/>
                <w:sz w:val="20"/>
                <w:szCs w:val="20"/>
              </w:rPr>
              <w:br/>
              <w:t>2.45</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w:t>
            </w:r>
            <w:r w:rsidRPr="000E5D59">
              <w:rPr>
                <w:rFonts w:ascii="Arial" w:eastAsia="Times New Roman" w:hAnsi="Arial" w:cs="Arial"/>
                <w:sz w:val="20"/>
                <w:szCs w:val="20"/>
              </w:rPr>
              <w:br/>
              <w:t>2.95</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3000</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80</w:t>
            </w:r>
            <w:r w:rsidRPr="000E5D59">
              <w:rPr>
                <w:rFonts w:ascii="Arial" w:eastAsia="Times New Roman" w:hAnsi="Arial" w:cs="Arial"/>
                <w:sz w:val="20"/>
                <w:szCs w:val="20"/>
              </w:rPr>
              <w:br/>
              <w:t>2.67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w:t>
            </w:r>
            <w:r w:rsidRPr="000E5D59">
              <w:rPr>
                <w:rFonts w:ascii="Arial" w:eastAsia="Times New Roman" w:hAnsi="Arial" w:cs="Arial"/>
                <w:sz w:val="20"/>
                <w:szCs w:val="20"/>
              </w:rPr>
              <w:br/>
              <w:t>2.13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w:t>
            </w:r>
            <w:r w:rsidRPr="000E5D59">
              <w:rPr>
                <w:rFonts w:ascii="Arial" w:eastAsia="Times New Roman" w:hAnsi="Arial" w:cs="Arial"/>
                <w:sz w:val="20"/>
                <w:szCs w:val="20"/>
              </w:rPr>
              <w:br/>
              <w:t>3.41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1770</w:t>
            </w:r>
            <w:r w:rsidRPr="000E5D59">
              <w:rPr>
                <w:rFonts w:ascii="Arial" w:eastAsia="Times New Roman" w:hAnsi="Arial" w:cs="Arial"/>
                <w:sz w:val="20"/>
                <w:szCs w:val="20"/>
              </w:rPr>
              <w:br/>
              <w:t>59.00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1083</w:t>
            </w:r>
            <w:r w:rsidRPr="000E5D59">
              <w:rPr>
                <w:rFonts w:ascii="Arial" w:eastAsia="Times New Roman" w:hAnsi="Arial" w:cs="Arial"/>
                <w:sz w:val="20"/>
                <w:szCs w:val="20"/>
              </w:rPr>
              <w:br/>
              <w:t>59.28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672</w:t>
            </w:r>
            <w:r w:rsidRPr="000E5D59">
              <w:rPr>
                <w:rFonts w:ascii="Arial" w:eastAsia="Times New Roman" w:hAnsi="Arial" w:cs="Arial"/>
                <w:sz w:val="20"/>
                <w:szCs w:val="20"/>
              </w:rPr>
              <w:br/>
              <w:t>58.74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332</w:t>
            </w:r>
            <w:r w:rsidRPr="000E5D59">
              <w:rPr>
                <w:rFonts w:ascii="Arial" w:eastAsia="Times New Roman" w:hAnsi="Arial" w:cs="Arial"/>
                <w:sz w:val="20"/>
                <w:szCs w:val="20"/>
              </w:rPr>
              <w:br/>
              <w:t>11.07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222</w:t>
            </w:r>
            <w:r w:rsidRPr="000E5D59">
              <w:rPr>
                <w:rFonts w:ascii="Arial" w:eastAsia="Times New Roman" w:hAnsi="Arial" w:cs="Arial"/>
                <w:sz w:val="20"/>
                <w:szCs w:val="20"/>
              </w:rPr>
              <w:br/>
              <w:t>12.15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106</w:t>
            </w:r>
            <w:r w:rsidRPr="000E5D59">
              <w:rPr>
                <w:rFonts w:ascii="Arial" w:eastAsia="Times New Roman" w:hAnsi="Arial" w:cs="Arial"/>
                <w:sz w:val="20"/>
                <w:szCs w:val="20"/>
              </w:rPr>
              <w:br/>
              <w:t>9.27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82</w:t>
            </w:r>
            <w:r w:rsidRPr="000E5D59">
              <w:rPr>
                <w:rFonts w:ascii="Arial" w:eastAsia="Times New Roman" w:hAnsi="Arial" w:cs="Arial"/>
                <w:sz w:val="20"/>
                <w:szCs w:val="20"/>
              </w:rPr>
              <w:br/>
              <w:t>2.73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w:t>
            </w:r>
            <w:r w:rsidRPr="000E5D59">
              <w:rPr>
                <w:rFonts w:ascii="Arial" w:eastAsia="Times New Roman" w:hAnsi="Arial" w:cs="Arial"/>
                <w:sz w:val="20"/>
                <w:szCs w:val="20"/>
              </w:rPr>
              <w:br/>
              <w:t>3.56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1.49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736</w:t>
            </w:r>
            <w:r w:rsidRPr="000E5D59">
              <w:rPr>
                <w:rFonts w:ascii="Arial" w:eastAsia="Times New Roman" w:hAnsi="Arial" w:cs="Arial"/>
                <w:sz w:val="20"/>
                <w:szCs w:val="20"/>
              </w:rPr>
              <w:br/>
              <w:t>24.53</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418</w:t>
            </w:r>
            <w:r w:rsidRPr="000E5D59">
              <w:rPr>
                <w:rFonts w:ascii="Arial" w:eastAsia="Times New Roman" w:hAnsi="Arial" w:cs="Arial"/>
                <w:sz w:val="20"/>
                <w:szCs w:val="20"/>
              </w:rPr>
              <w:br/>
              <w:t>22.88</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310</w:t>
            </w:r>
            <w:r w:rsidRPr="000E5D59">
              <w:rPr>
                <w:rFonts w:ascii="Arial" w:eastAsia="Times New Roman" w:hAnsi="Arial" w:cs="Arial"/>
                <w:sz w:val="20"/>
                <w:szCs w:val="20"/>
              </w:rPr>
              <w:br/>
              <w:t>27.10</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2981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488</w:t>
            </w:r>
            <w:r w:rsidRPr="000E5D59">
              <w:rPr>
                <w:rFonts w:ascii="Arial" w:eastAsia="Times New Roman" w:hAnsi="Arial" w:cs="Arial"/>
                <w:sz w:val="20"/>
                <w:szCs w:val="20"/>
              </w:rPr>
              <w:br/>
              <w:t>16.37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325</w:t>
            </w:r>
            <w:r w:rsidRPr="000E5D59">
              <w:rPr>
                <w:rFonts w:ascii="Arial" w:eastAsia="Times New Roman" w:hAnsi="Arial" w:cs="Arial"/>
                <w:sz w:val="20"/>
                <w:szCs w:val="20"/>
              </w:rPr>
              <w:br/>
              <w:t>17.86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156</w:t>
            </w:r>
            <w:r w:rsidRPr="000E5D59">
              <w:rPr>
                <w:rFonts w:ascii="Arial" w:eastAsia="Times New Roman" w:hAnsi="Arial" w:cs="Arial"/>
                <w:sz w:val="20"/>
                <w:szCs w:val="20"/>
              </w:rPr>
              <w:br/>
              <w:t>13.78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1332</w:t>
            </w:r>
            <w:r w:rsidRPr="000E5D59">
              <w:rPr>
                <w:rFonts w:ascii="Arial" w:eastAsia="Times New Roman" w:hAnsi="Arial" w:cs="Arial"/>
                <w:sz w:val="20"/>
                <w:szCs w:val="20"/>
              </w:rPr>
              <w:br/>
              <w:t>44.68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805</w:t>
            </w:r>
            <w:r w:rsidRPr="000E5D59">
              <w:rPr>
                <w:rFonts w:ascii="Arial" w:eastAsia="Times New Roman" w:hAnsi="Arial" w:cs="Arial"/>
                <w:sz w:val="20"/>
                <w:szCs w:val="20"/>
              </w:rPr>
              <w:br/>
              <w:t>44.23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514</w:t>
            </w:r>
            <w:r w:rsidRPr="000E5D59">
              <w:rPr>
                <w:rFonts w:ascii="Arial" w:eastAsia="Times New Roman" w:hAnsi="Arial" w:cs="Arial"/>
                <w:sz w:val="20"/>
                <w:szCs w:val="20"/>
              </w:rPr>
              <w:br/>
              <w:t>45.41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134</w:t>
            </w:r>
            <w:r w:rsidRPr="000E5D59">
              <w:rPr>
                <w:rFonts w:ascii="Arial" w:eastAsia="Times New Roman" w:hAnsi="Arial" w:cs="Arial"/>
                <w:sz w:val="20"/>
                <w:szCs w:val="20"/>
              </w:rPr>
              <w:br/>
              <w:t>4.50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94</w:t>
            </w:r>
            <w:r w:rsidRPr="000E5D59">
              <w:rPr>
                <w:rFonts w:ascii="Arial" w:eastAsia="Times New Roman" w:hAnsi="Arial" w:cs="Arial"/>
                <w:sz w:val="20"/>
                <w:szCs w:val="20"/>
              </w:rPr>
              <w:br/>
              <w:t>5.16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w:t>
            </w:r>
            <w:r w:rsidRPr="000E5D59">
              <w:rPr>
                <w:rFonts w:ascii="Arial" w:eastAsia="Times New Roman" w:hAnsi="Arial" w:cs="Arial"/>
                <w:sz w:val="20"/>
                <w:szCs w:val="20"/>
              </w:rPr>
              <w:br/>
              <w:t>3.45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w:t>
            </w:r>
            <w:r w:rsidRPr="000E5D59">
              <w:rPr>
                <w:rFonts w:ascii="Arial" w:eastAsia="Times New Roman" w:hAnsi="Arial" w:cs="Arial"/>
                <w:sz w:val="20"/>
                <w:szCs w:val="20"/>
              </w:rPr>
              <w:br/>
              <w:t>0.94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w:t>
            </w:r>
            <w:r w:rsidRPr="000E5D59">
              <w:rPr>
                <w:rFonts w:ascii="Arial" w:eastAsia="Times New Roman" w:hAnsi="Arial" w:cs="Arial"/>
                <w:sz w:val="20"/>
                <w:szCs w:val="20"/>
              </w:rPr>
              <w:br/>
              <w:t>1.15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0.62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999</w:t>
            </w:r>
            <w:r w:rsidRPr="000E5D59">
              <w:rPr>
                <w:rFonts w:ascii="Arial" w:eastAsia="Times New Roman" w:hAnsi="Arial" w:cs="Arial"/>
                <w:sz w:val="20"/>
                <w:szCs w:val="20"/>
              </w:rPr>
              <w:br/>
              <w:t>33.51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575</w:t>
            </w:r>
            <w:r w:rsidRPr="000E5D59">
              <w:rPr>
                <w:rFonts w:ascii="Arial" w:eastAsia="Times New Roman" w:hAnsi="Arial" w:cs="Arial"/>
                <w:sz w:val="20"/>
                <w:szCs w:val="20"/>
              </w:rPr>
              <w:br/>
              <w:t>31.59</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416</w:t>
            </w:r>
            <w:r w:rsidRPr="000E5D59">
              <w:rPr>
                <w:rFonts w:ascii="Arial" w:eastAsia="Times New Roman" w:hAnsi="Arial" w:cs="Arial"/>
                <w:sz w:val="20"/>
                <w:szCs w:val="20"/>
              </w:rPr>
              <w:br/>
              <w:t>36.75</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10C: DPH Patient Survey Edible Marijuana Products by Education (Among 6,111 Respondents who Used Marijuana in Past </w:t>
      </w:r>
      <w:r w:rsidR="000941B7">
        <w:rPr>
          <w:rFonts w:ascii="Arial" w:eastAsia="Calibri" w:hAnsi="Arial" w:cs="Arial"/>
          <w:b/>
          <w:sz w:val="24"/>
          <w:szCs w:val="24"/>
        </w:rPr>
        <w:t>30 Days)</w:t>
      </w:r>
    </w:p>
    <w:tbl>
      <w:tblPr>
        <w:tblW w:w="9555" w:type="dxa"/>
        <w:tblInd w:w="93" w:type="dxa"/>
        <w:tblLook w:val="04A0" w:firstRow="1" w:lastRow="0" w:firstColumn="1" w:lastColumn="0" w:noHBand="0" w:noVBand="1"/>
        <w:tblCaption w:val="DPH Patient Survey Edible Marijuana Products by Education (Among 6,111 Respondents who Used Marijuana in Past 30 Days)"/>
      </w:tblPr>
      <w:tblGrid>
        <w:gridCol w:w="4245"/>
        <w:gridCol w:w="900"/>
        <w:gridCol w:w="1620"/>
        <w:gridCol w:w="1620"/>
        <w:gridCol w:w="1170"/>
      </w:tblGrid>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Calibri" w:hAnsi="Arial" w:cs="Arial"/>
                <w:b/>
                <w:bCs/>
                <w:sz w:val="20"/>
                <w:szCs w:val="20"/>
              </w:rPr>
              <w:t>Table 10C: 2018 Marijuana Survey Results - EDIBLE MARIJUANA PRODUCTS</w:t>
            </w:r>
            <w:r w:rsidRPr="000E5D59">
              <w:rPr>
                <w:rFonts w:ascii="Arial" w:eastAsia="Times New Roman" w:hAnsi="Arial" w:cs="Arial"/>
                <w:b/>
                <w:bCs/>
                <w:sz w:val="20"/>
                <w:szCs w:val="20"/>
              </w:rPr>
              <w:t xml:space="preserve"> by EDUCATION </w:t>
            </w:r>
            <w:r w:rsidRPr="000E5D59">
              <w:rPr>
                <w:rFonts w:ascii="Arial" w:eastAsia="Times New Roman" w:hAnsi="Arial" w:cs="Arial"/>
                <w:bCs/>
                <w:i/>
                <w:sz w:val="20"/>
                <w:szCs w:val="20"/>
              </w:rPr>
              <w:t>(Among 6111 respondents indicating marijuana use in past 30 days)</w:t>
            </w:r>
          </w:p>
        </w:tc>
      </w:tr>
      <w:tr w:rsidR="000E5D59" w:rsidRPr="000E5D59" w:rsidTr="00784755">
        <w:trPr>
          <w:trHeight w:val="20"/>
        </w:trPr>
        <w:tc>
          <w:tcPr>
            <w:tcW w:w="4245" w:type="dxa"/>
            <w:vMerge w:val="restart"/>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8"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(N=2836)</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(N=3168)</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Used edible marijuana or marijuana products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2947</w:t>
            </w:r>
            <w:r w:rsidRPr="000E5D59">
              <w:rPr>
                <w:rFonts w:ascii="Arial" w:eastAsia="Times New Roman" w:hAnsi="Arial" w:cs="Arial"/>
                <w:sz w:val="20"/>
                <w:szCs w:val="20"/>
              </w:rPr>
              <w:br/>
              <w:t>48.95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1384</w:t>
            </w:r>
            <w:r w:rsidRPr="000E5D59">
              <w:rPr>
                <w:rFonts w:ascii="Arial" w:eastAsia="Times New Roman" w:hAnsi="Arial" w:cs="Arial"/>
                <w:sz w:val="20"/>
                <w:szCs w:val="20"/>
              </w:rPr>
              <w:br/>
              <w:t>48.80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1553</w:t>
            </w:r>
            <w:r w:rsidRPr="000E5D59">
              <w:rPr>
                <w:rFonts w:ascii="Arial" w:eastAsia="Times New Roman" w:hAnsi="Arial" w:cs="Arial"/>
                <w:sz w:val="20"/>
                <w:szCs w:val="20"/>
              </w:rPr>
              <w:br/>
              <w:t>49.02</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3074</w:t>
            </w:r>
            <w:r w:rsidRPr="000E5D59">
              <w:rPr>
                <w:rFonts w:ascii="Arial" w:eastAsia="Times New Roman" w:hAnsi="Arial" w:cs="Arial"/>
                <w:sz w:val="20"/>
                <w:szCs w:val="20"/>
              </w:rPr>
              <w:br/>
              <w:t>51.05</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1452</w:t>
            </w:r>
            <w:r w:rsidRPr="000E5D59">
              <w:rPr>
                <w:rFonts w:ascii="Arial" w:eastAsia="Times New Roman" w:hAnsi="Arial" w:cs="Arial"/>
                <w:sz w:val="20"/>
                <w:szCs w:val="20"/>
              </w:rPr>
              <w:br/>
              <w:t>51.20</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1615</w:t>
            </w:r>
            <w:r w:rsidRPr="000E5D59">
              <w:rPr>
                <w:rFonts w:ascii="Arial" w:eastAsia="Times New Roman" w:hAnsi="Arial" w:cs="Arial"/>
                <w:sz w:val="20"/>
                <w:szCs w:val="20"/>
              </w:rPr>
              <w:br/>
              <w:t>50.98</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Frequency of using edible marijuana or marijuana products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2941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1781</w:t>
            </w:r>
            <w:r w:rsidRPr="000E5D59">
              <w:rPr>
                <w:rFonts w:ascii="Arial" w:eastAsia="Times New Roman" w:hAnsi="Arial" w:cs="Arial"/>
                <w:sz w:val="20"/>
                <w:szCs w:val="20"/>
              </w:rPr>
              <w:br/>
              <w:t>60.56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845</w:t>
            </w:r>
            <w:r w:rsidRPr="000E5D59">
              <w:rPr>
                <w:rFonts w:ascii="Arial" w:eastAsia="Times New Roman" w:hAnsi="Arial" w:cs="Arial"/>
                <w:sz w:val="20"/>
                <w:szCs w:val="20"/>
              </w:rPr>
              <w:br/>
              <w:t>61.19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930</w:t>
            </w:r>
            <w:r w:rsidRPr="000E5D59">
              <w:rPr>
                <w:rFonts w:ascii="Arial" w:eastAsia="Times New Roman" w:hAnsi="Arial" w:cs="Arial"/>
                <w:sz w:val="20"/>
                <w:szCs w:val="20"/>
              </w:rPr>
              <w:br/>
              <w:t>59.88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798</w:t>
            </w:r>
            <w:r w:rsidRPr="000E5D59">
              <w:rPr>
                <w:rFonts w:ascii="Arial" w:eastAsia="Times New Roman" w:hAnsi="Arial" w:cs="Arial"/>
                <w:sz w:val="20"/>
                <w:szCs w:val="20"/>
              </w:rPr>
              <w:br/>
              <w:t>27.13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357</w:t>
            </w:r>
            <w:r w:rsidRPr="000E5D59">
              <w:rPr>
                <w:rFonts w:ascii="Arial" w:eastAsia="Times New Roman" w:hAnsi="Arial" w:cs="Arial"/>
                <w:sz w:val="20"/>
                <w:szCs w:val="20"/>
              </w:rPr>
              <w:br/>
              <w:t>25.85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441</w:t>
            </w:r>
            <w:r w:rsidRPr="000E5D59">
              <w:rPr>
                <w:rFonts w:ascii="Arial" w:eastAsia="Times New Roman" w:hAnsi="Arial" w:cs="Arial"/>
                <w:sz w:val="20"/>
                <w:szCs w:val="20"/>
              </w:rPr>
              <w:br/>
              <w:t>28.40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284</w:t>
            </w:r>
            <w:r w:rsidRPr="000E5D59">
              <w:rPr>
                <w:rFonts w:ascii="Arial" w:eastAsia="Times New Roman" w:hAnsi="Arial" w:cs="Arial"/>
                <w:sz w:val="20"/>
                <w:szCs w:val="20"/>
              </w:rPr>
              <w:br/>
              <w:t>9.66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129</w:t>
            </w:r>
            <w:r w:rsidRPr="000E5D59">
              <w:rPr>
                <w:rFonts w:ascii="Arial" w:eastAsia="Times New Roman" w:hAnsi="Arial" w:cs="Arial"/>
                <w:sz w:val="20"/>
                <w:szCs w:val="20"/>
              </w:rPr>
              <w:br/>
              <w:t>9.34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155</w:t>
            </w:r>
            <w:r w:rsidRPr="000E5D59">
              <w:rPr>
                <w:rFonts w:ascii="Arial" w:eastAsia="Times New Roman" w:hAnsi="Arial" w:cs="Arial"/>
                <w:sz w:val="20"/>
                <w:szCs w:val="20"/>
              </w:rPr>
              <w:br/>
              <w:t>9.98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78</w:t>
            </w:r>
            <w:r w:rsidRPr="000E5D59">
              <w:rPr>
                <w:rFonts w:ascii="Arial" w:eastAsia="Times New Roman" w:hAnsi="Arial" w:cs="Arial"/>
                <w:sz w:val="20"/>
                <w:szCs w:val="20"/>
              </w:rPr>
              <w:br/>
              <w:t>2.65</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w:t>
            </w:r>
            <w:r w:rsidRPr="000E5D59">
              <w:rPr>
                <w:rFonts w:ascii="Arial" w:eastAsia="Times New Roman" w:hAnsi="Arial" w:cs="Arial"/>
                <w:sz w:val="20"/>
                <w:szCs w:val="20"/>
              </w:rPr>
              <w:br/>
              <w:t>3.62</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w:t>
            </w:r>
            <w:r w:rsidRPr="000E5D59">
              <w:rPr>
                <w:rFonts w:ascii="Arial" w:eastAsia="Times New Roman" w:hAnsi="Arial" w:cs="Arial"/>
                <w:sz w:val="20"/>
                <w:szCs w:val="20"/>
              </w:rPr>
              <w:br/>
              <w:t>1.74</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3000</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80</w:t>
            </w:r>
            <w:r w:rsidRPr="000E5D59">
              <w:rPr>
                <w:rFonts w:ascii="Arial" w:eastAsia="Times New Roman" w:hAnsi="Arial" w:cs="Arial"/>
                <w:sz w:val="20"/>
                <w:szCs w:val="20"/>
              </w:rPr>
              <w:br/>
              <w:t>2.67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w:t>
            </w:r>
            <w:r w:rsidRPr="000E5D59">
              <w:rPr>
                <w:rFonts w:ascii="Arial" w:eastAsia="Times New Roman" w:hAnsi="Arial" w:cs="Arial"/>
                <w:sz w:val="20"/>
                <w:szCs w:val="20"/>
              </w:rPr>
              <w:br/>
              <w:t>3.04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w:t>
            </w:r>
            <w:r w:rsidRPr="000E5D59">
              <w:rPr>
                <w:rFonts w:ascii="Arial" w:eastAsia="Times New Roman" w:hAnsi="Arial" w:cs="Arial"/>
                <w:sz w:val="20"/>
                <w:szCs w:val="20"/>
              </w:rPr>
              <w:br/>
              <w:t>2.35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1770</w:t>
            </w:r>
            <w:r w:rsidRPr="000E5D59">
              <w:rPr>
                <w:rFonts w:ascii="Arial" w:eastAsia="Times New Roman" w:hAnsi="Arial" w:cs="Arial"/>
                <w:sz w:val="20"/>
                <w:szCs w:val="20"/>
              </w:rPr>
              <w:br/>
              <w:t>59.00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767</w:t>
            </w:r>
            <w:r w:rsidRPr="000E5D59">
              <w:rPr>
                <w:rFonts w:ascii="Arial" w:eastAsia="Times New Roman" w:hAnsi="Arial" w:cs="Arial"/>
                <w:sz w:val="20"/>
                <w:szCs w:val="20"/>
              </w:rPr>
              <w:br/>
              <w:t>54.17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1001</w:t>
            </w:r>
            <w:r w:rsidRPr="000E5D59">
              <w:rPr>
                <w:rFonts w:ascii="Arial" w:eastAsia="Times New Roman" w:hAnsi="Arial" w:cs="Arial"/>
                <w:sz w:val="20"/>
                <w:szCs w:val="20"/>
              </w:rPr>
              <w:br/>
              <w:t>63.47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332</w:t>
            </w:r>
            <w:r w:rsidRPr="000E5D59">
              <w:rPr>
                <w:rFonts w:ascii="Arial" w:eastAsia="Times New Roman" w:hAnsi="Arial" w:cs="Arial"/>
                <w:sz w:val="20"/>
                <w:szCs w:val="20"/>
              </w:rPr>
              <w:br/>
              <w:t>11.07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171</w:t>
            </w:r>
            <w:r w:rsidRPr="000E5D59">
              <w:rPr>
                <w:rFonts w:ascii="Arial" w:eastAsia="Times New Roman" w:hAnsi="Arial" w:cs="Arial"/>
                <w:sz w:val="20"/>
                <w:szCs w:val="20"/>
              </w:rPr>
              <w:br/>
              <w:t>12.08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161</w:t>
            </w:r>
            <w:r w:rsidRPr="000E5D59">
              <w:rPr>
                <w:rFonts w:ascii="Arial" w:eastAsia="Times New Roman" w:hAnsi="Arial" w:cs="Arial"/>
                <w:sz w:val="20"/>
                <w:szCs w:val="20"/>
              </w:rPr>
              <w:br/>
              <w:t>10.21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82</w:t>
            </w:r>
            <w:r w:rsidRPr="000E5D59">
              <w:rPr>
                <w:rFonts w:ascii="Arial" w:eastAsia="Times New Roman" w:hAnsi="Arial" w:cs="Arial"/>
                <w:sz w:val="20"/>
                <w:szCs w:val="20"/>
              </w:rPr>
              <w:br/>
              <w:t>2.73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w:t>
            </w:r>
            <w:r w:rsidRPr="000E5D59">
              <w:rPr>
                <w:rFonts w:ascii="Arial" w:eastAsia="Times New Roman" w:hAnsi="Arial" w:cs="Arial"/>
                <w:sz w:val="20"/>
                <w:szCs w:val="20"/>
              </w:rPr>
              <w:br/>
              <w:t>3.18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w:t>
            </w:r>
            <w:r w:rsidRPr="000E5D59">
              <w:rPr>
                <w:rFonts w:ascii="Arial" w:eastAsia="Times New Roman" w:hAnsi="Arial" w:cs="Arial"/>
                <w:sz w:val="20"/>
                <w:szCs w:val="20"/>
              </w:rPr>
              <w:br/>
              <w:t>2.35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736</w:t>
            </w:r>
            <w:r w:rsidRPr="000E5D59">
              <w:rPr>
                <w:rFonts w:ascii="Arial" w:eastAsia="Times New Roman" w:hAnsi="Arial" w:cs="Arial"/>
                <w:sz w:val="20"/>
                <w:szCs w:val="20"/>
              </w:rPr>
              <w:br/>
              <w:t>24.53</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390</w:t>
            </w:r>
            <w:r w:rsidRPr="000E5D59">
              <w:rPr>
                <w:rFonts w:ascii="Arial" w:eastAsia="Times New Roman" w:hAnsi="Arial" w:cs="Arial"/>
                <w:sz w:val="20"/>
                <w:szCs w:val="20"/>
              </w:rPr>
              <w:br/>
              <w:t>27.54</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341</w:t>
            </w:r>
            <w:r w:rsidRPr="000E5D59">
              <w:rPr>
                <w:rFonts w:ascii="Arial" w:eastAsia="Times New Roman" w:hAnsi="Arial" w:cs="Arial"/>
                <w:sz w:val="20"/>
                <w:szCs w:val="20"/>
              </w:rPr>
              <w:br/>
              <w:t>21.62</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2981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488</w:t>
            </w:r>
            <w:r w:rsidRPr="000E5D59">
              <w:rPr>
                <w:rFonts w:ascii="Arial" w:eastAsia="Times New Roman" w:hAnsi="Arial" w:cs="Arial"/>
                <w:sz w:val="20"/>
                <w:szCs w:val="20"/>
              </w:rPr>
              <w:br/>
              <w:t>16.37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210</w:t>
            </w:r>
            <w:r w:rsidRPr="000E5D59">
              <w:rPr>
                <w:rFonts w:ascii="Arial" w:eastAsia="Times New Roman" w:hAnsi="Arial" w:cs="Arial"/>
                <w:sz w:val="20"/>
                <w:szCs w:val="20"/>
              </w:rPr>
              <w:br/>
              <w:t>14.91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277</w:t>
            </w:r>
            <w:r w:rsidRPr="000E5D59">
              <w:rPr>
                <w:rFonts w:ascii="Arial" w:eastAsia="Times New Roman" w:hAnsi="Arial" w:cs="Arial"/>
                <w:sz w:val="20"/>
                <w:szCs w:val="20"/>
              </w:rPr>
              <w:br/>
              <w:t>17.69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1332</w:t>
            </w:r>
            <w:r w:rsidRPr="000E5D59">
              <w:rPr>
                <w:rFonts w:ascii="Arial" w:eastAsia="Times New Roman" w:hAnsi="Arial" w:cs="Arial"/>
                <w:sz w:val="20"/>
                <w:szCs w:val="20"/>
              </w:rPr>
              <w:br/>
              <w:t>44.68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629</w:t>
            </w:r>
            <w:r w:rsidRPr="000E5D59">
              <w:rPr>
                <w:rFonts w:ascii="Arial" w:eastAsia="Times New Roman" w:hAnsi="Arial" w:cs="Arial"/>
                <w:sz w:val="20"/>
                <w:szCs w:val="20"/>
              </w:rPr>
              <w:br/>
              <w:t>44.67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701</w:t>
            </w:r>
            <w:r w:rsidRPr="000E5D59">
              <w:rPr>
                <w:rFonts w:ascii="Arial" w:eastAsia="Times New Roman" w:hAnsi="Arial" w:cs="Arial"/>
                <w:sz w:val="20"/>
                <w:szCs w:val="20"/>
              </w:rPr>
              <w:br/>
              <w:t>44.76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134</w:t>
            </w:r>
            <w:r w:rsidRPr="000E5D59">
              <w:rPr>
                <w:rFonts w:ascii="Arial" w:eastAsia="Times New Roman" w:hAnsi="Arial" w:cs="Arial"/>
                <w:sz w:val="20"/>
                <w:szCs w:val="20"/>
              </w:rPr>
              <w:br/>
              <w:t>4.50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w:t>
            </w:r>
            <w:r w:rsidRPr="000E5D59">
              <w:rPr>
                <w:rFonts w:ascii="Arial" w:eastAsia="Times New Roman" w:hAnsi="Arial" w:cs="Arial"/>
                <w:sz w:val="20"/>
                <w:szCs w:val="20"/>
              </w:rPr>
              <w:br/>
              <w:t>5.26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w:t>
            </w:r>
            <w:r w:rsidRPr="000E5D59">
              <w:rPr>
                <w:rFonts w:ascii="Arial" w:eastAsia="Times New Roman" w:hAnsi="Arial" w:cs="Arial"/>
                <w:sz w:val="20"/>
                <w:szCs w:val="20"/>
              </w:rPr>
              <w:br/>
              <w:t>3.83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w:t>
            </w:r>
            <w:r w:rsidRPr="000E5D59">
              <w:rPr>
                <w:rFonts w:ascii="Arial" w:eastAsia="Times New Roman" w:hAnsi="Arial" w:cs="Arial"/>
                <w:sz w:val="20"/>
                <w:szCs w:val="20"/>
              </w:rPr>
              <w:br/>
              <w:t>0.94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w:t>
            </w:r>
            <w:r w:rsidRPr="000E5D59">
              <w:rPr>
                <w:rFonts w:ascii="Arial" w:eastAsia="Times New Roman" w:hAnsi="Arial" w:cs="Arial"/>
                <w:sz w:val="20"/>
                <w:szCs w:val="20"/>
              </w:rPr>
              <w:br/>
              <w:t>1.28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0.64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999</w:t>
            </w:r>
            <w:r w:rsidRPr="000E5D59">
              <w:rPr>
                <w:rFonts w:ascii="Arial" w:eastAsia="Times New Roman" w:hAnsi="Arial" w:cs="Arial"/>
                <w:sz w:val="20"/>
                <w:szCs w:val="20"/>
              </w:rPr>
              <w:br/>
              <w:t>33.51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477</w:t>
            </w:r>
            <w:r w:rsidRPr="000E5D59">
              <w:rPr>
                <w:rFonts w:ascii="Arial" w:eastAsia="Times New Roman" w:hAnsi="Arial" w:cs="Arial"/>
                <w:sz w:val="20"/>
                <w:szCs w:val="20"/>
              </w:rPr>
              <w:br/>
              <w:t>33.88</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518</w:t>
            </w:r>
            <w:r w:rsidRPr="000E5D59">
              <w:rPr>
                <w:rFonts w:ascii="Arial" w:eastAsia="Times New Roman" w:hAnsi="Arial" w:cs="Arial"/>
                <w:sz w:val="20"/>
                <w:szCs w:val="20"/>
              </w:rPr>
              <w:br/>
              <w:t>33.08</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8976A8" w:rsidRDefault="008976A8" w:rsidP="00AC40A7">
      <w:pPr>
        <w:pStyle w:val="BodyText"/>
      </w:pPr>
    </w:p>
    <w:p w:rsidR="00FF2F11" w:rsidRDefault="00FF2F11" w:rsidP="00AC40A7">
      <w:pPr>
        <w:pStyle w:val="BodyText"/>
      </w:pPr>
    </w:p>
    <w:p w:rsidR="00ED2671" w:rsidRDefault="00ED2671" w:rsidP="006057BE">
      <w:pPr>
        <w:spacing w:after="0" w:line="240" w:lineRule="auto"/>
        <w:rPr>
          <w:rFonts w:ascii="Calibri" w:eastAsia="Calibri" w:hAnsi="Calibri" w:cs="Times New Roman"/>
          <w:lang w:eastAsia="x-none"/>
        </w:rPr>
      </w:pPr>
    </w:p>
    <w:p w:rsidR="00ED2671" w:rsidRDefault="00ED2671" w:rsidP="006057BE">
      <w:pPr>
        <w:spacing w:after="0" w:line="240" w:lineRule="auto"/>
        <w:rPr>
          <w:rFonts w:ascii="Calibri" w:eastAsia="Calibri" w:hAnsi="Calibri" w:cs="Times New Roman"/>
          <w:lang w:eastAsia="x-none"/>
        </w:rPr>
      </w:pPr>
    </w:p>
    <w:p w:rsidR="00FF2F11" w:rsidRPr="00AC40A7" w:rsidRDefault="00FF2F11" w:rsidP="00AC40A7">
      <w:pPr>
        <w:pStyle w:val="Heading3"/>
      </w:pPr>
      <w:bookmarkStart w:id="223" w:name="_Toc11765954"/>
      <w:bookmarkStart w:id="224" w:name="_Toc11766609"/>
      <w:r w:rsidRPr="00AC40A7">
        <w:lastRenderedPageBreak/>
        <w:t>Drinkable Marijuana Products</w:t>
      </w:r>
      <w:bookmarkEnd w:id="223"/>
      <w:bookmarkEnd w:id="224"/>
      <w:r w:rsidRPr="00AC40A7">
        <w:t xml:space="preserve"> </w:t>
      </w:r>
    </w:p>
    <w:p w:rsidR="00FF2F11" w:rsidRPr="00FF2F11" w:rsidRDefault="00FF2F11"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Tables 11A, 11B, and 11C</w:t>
      </w:r>
      <w:r w:rsidRPr="000E5D59">
        <w:rPr>
          <w:rFonts w:ascii="Arial" w:eastAsia="Calibri" w:hAnsi="Arial" w:cs="Arial"/>
          <w:sz w:val="24"/>
          <w:szCs w:val="24"/>
        </w:rPr>
        <w:t xml:space="preserve"> summarize results of survey responses pertaining to consuming drinkable marijuana products, with comparisons by gender, age group, and educational attainment, respectively. 5% of respondents who reported using marijuana or marijuana products at least once in the past 30 days reported using drinkable marijuana products in the past 30 days. Consuming drinkable marijuana products was significantly higher among respondents under age 51 compared to older respondents (6% vs. 3%) and respondents without a Bachelor’s degree compared to respondents with a degree (6% vs. 4%).</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Nine percent of respondents who reported drinking marijuana products in the past 30 days reported drinking marijuana products at least once per day, while 81% reported drinking marijuana products less than once per week.  </w:t>
      </w: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respondents who reported drinking marijuana products in the past 30 days were asked to indicate the amount of THC administered by drinking marijuana products over the past 30 days. The amount of THC reported by respondents should be interpreted with caution, as almost 1 in 5 respondents did not know how much THC they administered through drinking marijuana products. However, 60% of respondents reported administering between 1 and 150 mg of THC in the past 30 days by drinking marijuana products.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All respondents who reported drinking marijuana products in the past 30 days were asked to indicate the amount of CBD administered by drinking marijuana products over the past 30 days. The amount of CBD reported by respondents should be interpreted with caution, as approximately 1 in 4 respondents did not know how much CBD they administered through drinking marijuana products. However, 43% of respondents reported administering between 1 and 150 mg of CBD in the past 30 days through edible marijuana products. There were no significant differences in the amount of CBD administered by drinking marijuana products by gender, age, or education.</w:t>
      </w: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11A: DPH Patient Drinking Marijuana Products by Gender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Drinking Marijuana Products by Gender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(N=3251)</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(N=2672)</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Drank marijuana infused products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5736</w:t>
            </w:r>
            <w:r w:rsidRPr="000E5D59">
              <w:rPr>
                <w:rFonts w:ascii="Arial" w:eastAsia="Times New Roman" w:hAnsi="Arial" w:cs="Arial"/>
                <w:sz w:val="20"/>
                <w:szCs w:val="20"/>
              </w:rPr>
              <w:br/>
              <w:t>95.27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3086</w:t>
            </w:r>
            <w:r w:rsidRPr="000E5D59">
              <w:rPr>
                <w:rFonts w:ascii="Arial" w:eastAsia="Times New Roman" w:hAnsi="Arial" w:cs="Arial"/>
                <w:sz w:val="20"/>
                <w:szCs w:val="20"/>
              </w:rPr>
              <w:br/>
              <w:t>94.92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2558</w:t>
            </w:r>
            <w:r w:rsidRPr="000E5D59">
              <w:rPr>
                <w:rFonts w:ascii="Arial" w:eastAsia="Times New Roman" w:hAnsi="Arial" w:cs="Arial"/>
                <w:sz w:val="20"/>
                <w:szCs w:val="20"/>
              </w:rPr>
              <w:br/>
              <w:t>95.73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285</w:t>
            </w:r>
            <w:r w:rsidRPr="000E5D59">
              <w:rPr>
                <w:rFonts w:ascii="Arial" w:eastAsia="Times New Roman" w:hAnsi="Arial" w:cs="Arial"/>
                <w:sz w:val="20"/>
                <w:szCs w:val="20"/>
              </w:rPr>
              <w:br/>
              <w:t>4.73</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165</w:t>
            </w:r>
            <w:r w:rsidRPr="000E5D59">
              <w:rPr>
                <w:rFonts w:ascii="Arial" w:eastAsia="Times New Roman" w:hAnsi="Arial" w:cs="Arial"/>
                <w:sz w:val="20"/>
                <w:szCs w:val="20"/>
              </w:rPr>
              <w:br/>
              <w:t>5.08</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114</w:t>
            </w:r>
            <w:r w:rsidRPr="000E5D59">
              <w:rPr>
                <w:rFonts w:ascii="Arial" w:eastAsia="Times New Roman" w:hAnsi="Arial" w:cs="Arial"/>
                <w:sz w:val="20"/>
                <w:szCs w:val="20"/>
              </w:rPr>
              <w:br/>
              <w:t>4.27</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drinking marijuana infused products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209</w:t>
            </w:r>
            <w:r w:rsidRPr="000E5D59">
              <w:rPr>
                <w:rFonts w:ascii="Arial" w:eastAsia="Times New Roman" w:hAnsi="Arial" w:cs="Arial"/>
                <w:sz w:val="20"/>
                <w:szCs w:val="20"/>
              </w:rPr>
              <w:br/>
              <w:t>81.01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117</w:t>
            </w:r>
            <w:r w:rsidRPr="000E5D59">
              <w:rPr>
                <w:rFonts w:ascii="Arial" w:eastAsia="Times New Roman" w:hAnsi="Arial" w:cs="Arial"/>
                <w:sz w:val="20"/>
                <w:szCs w:val="20"/>
              </w:rPr>
              <w:br/>
              <w:t>80.14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86</w:t>
            </w:r>
            <w:r w:rsidRPr="000E5D59">
              <w:rPr>
                <w:rFonts w:ascii="Arial" w:eastAsia="Times New Roman" w:hAnsi="Arial" w:cs="Arial"/>
                <w:sz w:val="20"/>
                <w:szCs w:val="20"/>
              </w:rPr>
              <w:br/>
              <w:t>81.13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w:t>
            </w:r>
            <w:r w:rsidRPr="000E5D59">
              <w:rPr>
                <w:rFonts w:ascii="Arial" w:eastAsia="Times New Roman" w:hAnsi="Arial" w:cs="Arial"/>
                <w:sz w:val="20"/>
                <w:szCs w:val="20"/>
              </w:rPr>
              <w:br/>
              <w:t>10.08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w:t>
            </w:r>
            <w:r w:rsidRPr="000E5D59">
              <w:rPr>
                <w:rFonts w:ascii="Arial" w:eastAsia="Times New Roman" w:hAnsi="Arial" w:cs="Arial"/>
                <w:sz w:val="20"/>
                <w:szCs w:val="20"/>
              </w:rPr>
              <w:br/>
              <w:t>10.96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9.43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5.81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4.11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w:t>
            </w:r>
            <w:r w:rsidRPr="000E5D59">
              <w:rPr>
                <w:rFonts w:ascii="Arial" w:eastAsia="Times New Roman" w:hAnsi="Arial" w:cs="Arial"/>
                <w:sz w:val="20"/>
                <w:szCs w:val="20"/>
              </w:rPr>
              <w:br/>
              <w:t>8.49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w:t>
            </w:r>
            <w:r w:rsidRPr="000E5D59">
              <w:rPr>
                <w:rFonts w:ascii="Arial" w:eastAsia="Times New Roman" w:hAnsi="Arial" w:cs="Arial"/>
                <w:sz w:val="20"/>
                <w:szCs w:val="20"/>
              </w:rPr>
              <w:br/>
              <w:t>3.10</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4.79</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0.94</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277</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w:t>
            </w:r>
            <w:r w:rsidRPr="000E5D59">
              <w:rPr>
                <w:rFonts w:ascii="Arial" w:eastAsia="Times New Roman" w:hAnsi="Arial" w:cs="Arial"/>
                <w:sz w:val="20"/>
                <w:szCs w:val="20"/>
              </w:rPr>
              <w:br/>
              <w:t>9.03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w:t>
            </w:r>
            <w:r w:rsidRPr="000E5D59">
              <w:rPr>
                <w:rFonts w:ascii="Arial" w:eastAsia="Times New Roman" w:hAnsi="Arial" w:cs="Arial"/>
                <w:sz w:val="20"/>
                <w:szCs w:val="20"/>
              </w:rPr>
              <w:br/>
              <w:t>8.75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w:t>
            </w:r>
            <w:r w:rsidRPr="000E5D59">
              <w:rPr>
                <w:rFonts w:ascii="Arial" w:eastAsia="Times New Roman" w:hAnsi="Arial" w:cs="Arial"/>
                <w:sz w:val="20"/>
                <w:szCs w:val="20"/>
              </w:rPr>
              <w:br/>
              <w:t>9.91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166</w:t>
            </w:r>
            <w:r w:rsidRPr="000E5D59">
              <w:rPr>
                <w:rFonts w:ascii="Arial" w:eastAsia="Times New Roman" w:hAnsi="Arial" w:cs="Arial"/>
                <w:sz w:val="20"/>
                <w:szCs w:val="20"/>
              </w:rPr>
              <w:br/>
              <w:t>59.93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93</w:t>
            </w:r>
            <w:r w:rsidRPr="000E5D59">
              <w:rPr>
                <w:rFonts w:ascii="Arial" w:eastAsia="Times New Roman" w:hAnsi="Arial" w:cs="Arial"/>
                <w:sz w:val="20"/>
                <w:szCs w:val="20"/>
              </w:rPr>
              <w:br/>
              <w:t>58.13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67</w:t>
            </w:r>
            <w:r w:rsidRPr="000E5D59">
              <w:rPr>
                <w:rFonts w:ascii="Arial" w:eastAsia="Times New Roman" w:hAnsi="Arial" w:cs="Arial"/>
                <w:sz w:val="20"/>
                <w:szCs w:val="20"/>
              </w:rPr>
              <w:br/>
              <w:t>60.36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w:t>
            </w:r>
            <w:r w:rsidRPr="000E5D59">
              <w:rPr>
                <w:rFonts w:ascii="Arial" w:eastAsia="Times New Roman" w:hAnsi="Arial" w:cs="Arial"/>
                <w:sz w:val="20"/>
                <w:szCs w:val="20"/>
              </w:rPr>
              <w:br/>
              <w:t>9.39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w:t>
            </w:r>
            <w:r w:rsidRPr="000E5D59">
              <w:rPr>
                <w:rFonts w:ascii="Arial" w:eastAsia="Times New Roman" w:hAnsi="Arial" w:cs="Arial"/>
                <w:sz w:val="20"/>
                <w:szCs w:val="20"/>
              </w:rPr>
              <w:br/>
              <w:t>8.75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w:t>
            </w:r>
            <w:r w:rsidRPr="000E5D59">
              <w:rPr>
                <w:rFonts w:ascii="Arial" w:eastAsia="Times New Roman" w:hAnsi="Arial" w:cs="Arial"/>
                <w:sz w:val="20"/>
                <w:szCs w:val="20"/>
              </w:rPr>
              <w:br/>
              <w:t>10.81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1.44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1.88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0.90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20.22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w:t>
            </w:r>
            <w:r w:rsidRPr="000E5D59">
              <w:rPr>
                <w:rFonts w:ascii="Arial" w:eastAsia="Times New Roman" w:hAnsi="Arial" w:cs="Arial"/>
                <w:sz w:val="20"/>
                <w:szCs w:val="20"/>
              </w:rPr>
              <w:br/>
              <w:t>22.50</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w:t>
            </w:r>
            <w:r w:rsidRPr="000E5D59">
              <w:rPr>
                <w:rFonts w:ascii="Arial" w:eastAsia="Times New Roman" w:hAnsi="Arial" w:cs="Arial"/>
                <w:sz w:val="20"/>
                <w:szCs w:val="20"/>
              </w:rPr>
              <w:br/>
              <w:t>18.02</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w:t>
            </w:r>
            <w:r w:rsidRPr="000E5D59">
              <w:rPr>
                <w:rFonts w:ascii="Arial" w:eastAsia="Times New Roman" w:hAnsi="Arial" w:cs="Arial"/>
                <w:sz w:val="20"/>
                <w:szCs w:val="20"/>
              </w:rPr>
              <w:br/>
              <w:t>25.82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w:t>
            </w:r>
            <w:r w:rsidRPr="000E5D59">
              <w:rPr>
                <w:rFonts w:ascii="Arial" w:eastAsia="Times New Roman" w:hAnsi="Arial" w:cs="Arial"/>
                <w:sz w:val="20"/>
                <w:szCs w:val="20"/>
              </w:rPr>
              <w:br/>
              <w:t>28.13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w:t>
            </w:r>
            <w:r w:rsidRPr="000E5D59">
              <w:rPr>
                <w:rFonts w:ascii="Arial" w:eastAsia="Times New Roman" w:hAnsi="Arial" w:cs="Arial"/>
                <w:sz w:val="20"/>
                <w:szCs w:val="20"/>
              </w:rPr>
              <w:br/>
              <w:t>22.94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119</w:t>
            </w:r>
            <w:r w:rsidRPr="000E5D59">
              <w:rPr>
                <w:rFonts w:ascii="Arial" w:eastAsia="Times New Roman" w:hAnsi="Arial" w:cs="Arial"/>
                <w:sz w:val="20"/>
                <w:szCs w:val="20"/>
              </w:rPr>
              <w:br/>
              <w:t>43.27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w:t>
            </w:r>
            <w:r w:rsidRPr="000E5D59">
              <w:rPr>
                <w:rFonts w:ascii="Arial" w:eastAsia="Times New Roman" w:hAnsi="Arial" w:cs="Arial"/>
                <w:sz w:val="20"/>
                <w:szCs w:val="20"/>
              </w:rPr>
              <w:br/>
              <w:t>38.75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w:t>
            </w:r>
            <w:r w:rsidRPr="000E5D59">
              <w:rPr>
                <w:rFonts w:ascii="Arial" w:eastAsia="Times New Roman" w:hAnsi="Arial" w:cs="Arial"/>
                <w:sz w:val="20"/>
                <w:szCs w:val="20"/>
              </w:rPr>
              <w:br/>
              <w:t>48.62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w:t>
            </w:r>
            <w:r w:rsidRPr="000E5D59">
              <w:rPr>
                <w:rFonts w:ascii="Arial" w:eastAsia="Times New Roman" w:hAnsi="Arial" w:cs="Arial"/>
                <w:sz w:val="20"/>
                <w:szCs w:val="20"/>
              </w:rPr>
              <w:br/>
              <w:t>4.36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3.75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5.50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0.73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1.25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w:t>
            </w:r>
            <w:r w:rsidRPr="000E5D59">
              <w:rPr>
                <w:rFonts w:ascii="Arial" w:eastAsia="Times New Roman" w:hAnsi="Arial" w:cs="Arial"/>
                <w:sz w:val="20"/>
                <w:szCs w:val="20"/>
              </w:rPr>
              <w:br/>
              <w:t>25.82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w:t>
            </w:r>
            <w:r w:rsidRPr="000E5D59">
              <w:rPr>
                <w:rFonts w:ascii="Arial" w:eastAsia="Times New Roman" w:hAnsi="Arial" w:cs="Arial"/>
                <w:sz w:val="20"/>
                <w:szCs w:val="20"/>
              </w:rPr>
              <w:br/>
              <w:t>28.13</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w:t>
            </w:r>
            <w:r w:rsidRPr="000E5D59">
              <w:rPr>
                <w:rFonts w:ascii="Arial" w:eastAsia="Times New Roman" w:hAnsi="Arial" w:cs="Arial"/>
                <w:sz w:val="20"/>
                <w:szCs w:val="20"/>
              </w:rPr>
              <w:br/>
              <w:t>22.94</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941B7" w:rsidRDefault="000941B7" w:rsidP="006057BE">
      <w:pPr>
        <w:spacing w:after="0" w:line="240" w:lineRule="auto"/>
        <w:rPr>
          <w:rFonts w:ascii="Arial" w:eastAsia="Calibri" w:hAnsi="Arial" w:cs="Arial"/>
          <w:b/>
          <w:sz w:val="24"/>
          <w:szCs w:val="24"/>
        </w:rPr>
      </w:pPr>
    </w:p>
    <w:p w:rsidR="000941B7" w:rsidRDefault="000941B7" w:rsidP="006057BE">
      <w:pPr>
        <w:spacing w:after="0" w:line="240" w:lineRule="auto"/>
        <w:rPr>
          <w:rFonts w:ascii="Arial" w:eastAsia="Calibri" w:hAnsi="Arial" w:cs="Arial"/>
          <w:b/>
          <w:sz w:val="24"/>
          <w:szCs w:val="24"/>
        </w:r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11B: DPH Patient Drinking Marijuana Products by Age Group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Drinking Marijuana Products by Age Group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(N=3179)</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(N=2748)</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Drank marijuana infused products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5736</w:t>
            </w:r>
            <w:r w:rsidRPr="000E5D59">
              <w:rPr>
                <w:rFonts w:ascii="Arial" w:eastAsia="Times New Roman" w:hAnsi="Arial" w:cs="Arial"/>
                <w:sz w:val="20"/>
                <w:szCs w:val="20"/>
              </w:rPr>
              <w:br/>
              <w:t>95.27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2976</w:t>
            </w:r>
            <w:r w:rsidRPr="000E5D59">
              <w:rPr>
                <w:rFonts w:ascii="Arial" w:eastAsia="Times New Roman" w:hAnsi="Arial" w:cs="Arial"/>
                <w:sz w:val="20"/>
                <w:szCs w:val="20"/>
              </w:rPr>
              <w:br/>
              <w:t>93.61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2669</w:t>
            </w:r>
            <w:r w:rsidRPr="000E5D59">
              <w:rPr>
                <w:rFonts w:ascii="Arial" w:eastAsia="Times New Roman" w:hAnsi="Arial" w:cs="Arial"/>
                <w:sz w:val="20"/>
                <w:szCs w:val="20"/>
              </w:rPr>
              <w:br/>
              <w:t>97.13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285</w:t>
            </w:r>
            <w:r w:rsidRPr="000E5D59">
              <w:rPr>
                <w:rFonts w:ascii="Arial" w:eastAsia="Times New Roman" w:hAnsi="Arial" w:cs="Arial"/>
                <w:sz w:val="20"/>
                <w:szCs w:val="20"/>
              </w:rPr>
              <w:br/>
              <w:t>4.73</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203</w:t>
            </w:r>
            <w:r w:rsidRPr="000E5D59">
              <w:rPr>
                <w:rFonts w:ascii="Arial" w:eastAsia="Times New Roman" w:hAnsi="Arial" w:cs="Arial"/>
                <w:sz w:val="20"/>
                <w:szCs w:val="20"/>
              </w:rPr>
              <w:br/>
              <w:t>6.39</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w:t>
            </w:r>
            <w:r w:rsidRPr="000E5D59">
              <w:rPr>
                <w:rFonts w:ascii="Arial" w:eastAsia="Times New Roman" w:hAnsi="Arial" w:cs="Arial"/>
                <w:sz w:val="20"/>
                <w:szCs w:val="20"/>
              </w:rPr>
              <w:br/>
              <w:t>2.87</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drinking marijuana infused products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209</w:t>
            </w:r>
            <w:r w:rsidRPr="000E5D59">
              <w:rPr>
                <w:rFonts w:ascii="Arial" w:eastAsia="Times New Roman" w:hAnsi="Arial" w:cs="Arial"/>
                <w:sz w:val="20"/>
                <w:szCs w:val="20"/>
              </w:rPr>
              <w:br/>
              <w:t>81.01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158</w:t>
            </w:r>
            <w:r w:rsidRPr="000E5D59">
              <w:rPr>
                <w:rFonts w:ascii="Arial" w:eastAsia="Times New Roman" w:hAnsi="Arial" w:cs="Arial"/>
                <w:sz w:val="20"/>
                <w:szCs w:val="20"/>
              </w:rPr>
              <w:br/>
              <w:t>85.87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w:t>
            </w:r>
            <w:r w:rsidRPr="000E5D59">
              <w:rPr>
                <w:rFonts w:ascii="Arial" w:eastAsia="Times New Roman" w:hAnsi="Arial" w:cs="Arial"/>
                <w:sz w:val="20"/>
                <w:szCs w:val="20"/>
              </w:rPr>
              <w:br/>
              <w:t>69.01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w:t>
            </w:r>
            <w:r w:rsidRPr="000E5D59">
              <w:rPr>
                <w:rFonts w:ascii="Arial" w:eastAsia="Times New Roman" w:hAnsi="Arial" w:cs="Arial"/>
                <w:sz w:val="20"/>
                <w:szCs w:val="20"/>
              </w:rPr>
              <w:br/>
              <w:t>10.08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9.24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w:t>
            </w:r>
            <w:r w:rsidRPr="000E5D59">
              <w:rPr>
                <w:rFonts w:ascii="Arial" w:eastAsia="Times New Roman" w:hAnsi="Arial" w:cs="Arial"/>
                <w:sz w:val="20"/>
                <w:szCs w:val="20"/>
              </w:rPr>
              <w:br/>
              <w:t>12.68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5.81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2.72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14.08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w:t>
            </w:r>
            <w:r w:rsidRPr="000E5D59">
              <w:rPr>
                <w:rFonts w:ascii="Arial" w:eastAsia="Times New Roman" w:hAnsi="Arial" w:cs="Arial"/>
                <w:sz w:val="20"/>
                <w:szCs w:val="20"/>
              </w:rPr>
              <w:br/>
              <w:t>3.10</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2.17</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4.23</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277</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w:t>
            </w:r>
            <w:r w:rsidRPr="000E5D59">
              <w:rPr>
                <w:rFonts w:ascii="Arial" w:eastAsia="Times New Roman" w:hAnsi="Arial" w:cs="Arial"/>
                <w:sz w:val="20"/>
                <w:szCs w:val="20"/>
              </w:rPr>
              <w:br/>
              <w:t>9.03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8.59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w:t>
            </w:r>
            <w:r w:rsidRPr="000E5D59">
              <w:rPr>
                <w:rFonts w:ascii="Arial" w:eastAsia="Times New Roman" w:hAnsi="Arial" w:cs="Arial"/>
                <w:sz w:val="20"/>
                <w:szCs w:val="20"/>
              </w:rPr>
              <w:br/>
              <w:t>10.53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166</w:t>
            </w:r>
            <w:r w:rsidRPr="000E5D59">
              <w:rPr>
                <w:rFonts w:ascii="Arial" w:eastAsia="Times New Roman" w:hAnsi="Arial" w:cs="Arial"/>
                <w:sz w:val="20"/>
                <w:szCs w:val="20"/>
              </w:rPr>
              <w:br/>
              <w:t>59.93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126</w:t>
            </w:r>
            <w:r w:rsidRPr="000E5D59">
              <w:rPr>
                <w:rFonts w:ascii="Arial" w:eastAsia="Times New Roman" w:hAnsi="Arial" w:cs="Arial"/>
                <w:sz w:val="20"/>
                <w:szCs w:val="20"/>
              </w:rPr>
              <w:br/>
              <w:t>63.64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w:t>
            </w:r>
            <w:r w:rsidRPr="000E5D59">
              <w:rPr>
                <w:rFonts w:ascii="Arial" w:eastAsia="Times New Roman" w:hAnsi="Arial" w:cs="Arial"/>
                <w:sz w:val="20"/>
                <w:szCs w:val="20"/>
              </w:rPr>
              <w:br/>
              <w:t>50.00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w:t>
            </w:r>
            <w:r w:rsidRPr="000E5D59">
              <w:rPr>
                <w:rFonts w:ascii="Arial" w:eastAsia="Times New Roman" w:hAnsi="Arial" w:cs="Arial"/>
                <w:sz w:val="20"/>
                <w:szCs w:val="20"/>
              </w:rPr>
              <w:br/>
              <w:t>9.39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w:t>
            </w:r>
            <w:r w:rsidRPr="000E5D59">
              <w:rPr>
                <w:rFonts w:ascii="Arial" w:eastAsia="Times New Roman" w:hAnsi="Arial" w:cs="Arial"/>
                <w:sz w:val="20"/>
                <w:szCs w:val="20"/>
              </w:rPr>
              <w:br/>
              <w:t>9.60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9.21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1.44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1.52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1.32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20.22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w:t>
            </w:r>
            <w:r w:rsidRPr="000E5D59">
              <w:rPr>
                <w:rFonts w:ascii="Arial" w:eastAsia="Times New Roman" w:hAnsi="Arial" w:cs="Arial"/>
                <w:sz w:val="20"/>
                <w:szCs w:val="20"/>
              </w:rPr>
              <w:br/>
              <w:t>16.67</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w:t>
            </w:r>
            <w:r w:rsidRPr="000E5D59">
              <w:rPr>
                <w:rFonts w:ascii="Arial" w:eastAsia="Times New Roman" w:hAnsi="Arial" w:cs="Arial"/>
                <w:sz w:val="20"/>
                <w:szCs w:val="20"/>
              </w:rPr>
              <w:br/>
              <w:t>28.95</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w:t>
            </w:r>
            <w:r w:rsidRPr="000E5D59">
              <w:rPr>
                <w:rFonts w:ascii="Arial" w:eastAsia="Times New Roman" w:hAnsi="Arial" w:cs="Arial"/>
                <w:sz w:val="20"/>
                <w:szCs w:val="20"/>
              </w:rPr>
              <w:br/>
              <w:t>25.82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w:t>
            </w:r>
            <w:r w:rsidRPr="000E5D59">
              <w:rPr>
                <w:rFonts w:ascii="Arial" w:eastAsia="Times New Roman" w:hAnsi="Arial" w:cs="Arial"/>
                <w:sz w:val="20"/>
                <w:szCs w:val="20"/>
              </w:rPr>
              <w:br/>
              <w:t>27.41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w:t>
            </w:r>
            <w:r w:rsidRPr="000E5D59">
              <w:rPr>
                <w:rFonts w:ascii="Arial" w:eastAsia="Times New Roman" w:hAnsi="Arial" w:cs="Arial"/>
                <w:sz w:val="20"/>
                <w:szCs w:val="20"/>
              </w:rPr>
              <w:br/>
              <w:t>21.33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119</w:t>
            </w:r>
            <w:r w:rsidRPr="000E5D59">
              <w:rPr>
                <w:rFonts w:ascii="Arial" w:eastAsia="Times New Roman" w:hAnsi="Arial" w:cs="Arial"/>
                <w:sz w:val="20"/>
                <w:szCs w:val="20"/>
              </w:rPr>
              <w:br/>
              <w:t>43.27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88</w:t>
            </w:r>
            <w:r w:rsidRPr="000E5D59">
              <w:rPr>
                <w:rFonts w:ascii="Arial" w:eastAsia="Times New Roman" w:hAnsi="Arial" w:cs="Arial"/>
                <w:sz w:val="20"/>
                <w:szCs w:val="20"/>
              </w:rPr>
              <w:br/>
              <w:t>44.67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w:t>
            </w:r>
            <w:r w:rsidRPr="000E5D59">
              <w:rPr>
                <w:rFonts w:ascii="Arial" w:eastAsia="Times New Roman" w:hAnsi="Arial" w:cs="Arial"/>
                <w:sz w:val="20"/>
                <w:szCs w:val="20"/>
              </w:rPr>
              <w:br/>
              <w:t>40.00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w:t>
            </w:r>
            <w:r w:rsidRPr="000E5D59">
              <w:rPr>
                <w:rFonts w:ascii="Arial" w:eastAsia="Times New Roman" w:hAnsi="Arial" w:cs="Arial"/>
                <w:sz w:val="20"/>
                <w:szCs w:val="20"/>
              </w:rPr>
              <w:br/>
              <w:t>4.36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3.05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6.67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0.73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0.51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1.33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w:t>
            </w:r>
            <w:r w:rsidRPr="000E5D59">
              <w:rPr>
                <w:rFonts w:ascii="Arial" w:eastAsia="Times New Roman" w:hAnsi="Arial" w:cs="Arial"/>
                <w:sz w:val="20"/>
                <w:szCs w:val="20"/>
              </w:rPr>
              <w:br/>
              <w:t>25.82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w:t>
            </w:r>
            <w:r w:rsidRPr="000E5D59">
              <w:rPr>
                <w:rFonts w:ascii="Arial" w:eastAsia="Times New Roman" w:hAnsi="Arial" w:cs="Arial"/>
                <w:sz w:val="20"/>
                <w:szCs w:val="20"/>
              </w:rPr>
              <w:br/>
              <w:t>24.37</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w:t>
            </w:r>
            <w:r w:rsidRPr="000E5D59">
              <w:rPr>
                <w:rFonts w:ascii="Arial" w:eastAsia="Times New Roman" w:hAnsi="Arial" w:cs="Arial"/>
                <w:sz w:val="20"/>
                <w:szCs w:val="20"/>
              </w:rPr>
              <w:br/>
              <w:t>30.67</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i/>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11C: DPH Patient Drinking Marijuana Products by Education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Drinking Marijuana Products by Education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(N=2836)</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(N=3168)</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Drank marijuana infused products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5736</w:t>
            </w:r>
            <w:r w:rsidRPr="000E5D59">
              <w:rPr>
                <w:rFonts w:ascii="Arial" w:eastAsia="Times New Roman" w:hAnsi="Arial" w:cs="Arial"/>
                <w:sz w:val="20"/>
                <w:szCs w:val="20"/>
              </w:rPr>
              <w:br/>
              <w:t>95.27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2676</w:t>
            </w:r>
            <w:r w:rsidRPr="000E5D59">
              <w:rPr>
                <w:rFonts w:ascii="Arial" w:eastAsia="Times New Roman" w:hAnsi="Arial" w:cs="Arial"/>
                <w:sz w:val="20"/>
                <w:szCs w:val="20"/>
              </w:rPr>
              <w:br/>
              <w:t>94.36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3043</w:t>
            </w:r>
            <w:r w:rsidRPr="000E5D59">
              <w:rPr>
                <w:rFonts w:ascii="Arial" w:eastAsia="Times New Roman" w:hAnsi="Arial" w:cs="Arial"/>
                <w:sz w:val="20"/>
                <w:szCs w:val="20"/>
              </w:rPr>
              <w:br/>
              <w:t>96.05</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285</w:t>
            </w:r>
            <w:r w:rsidRPr="000E5D59">
              <w:rPr>
                <w:rFonts w:ascii="Arial" w:eastAsia="Times New Roman" w:hAnsi="Arial" w:cs="Arial"/>
                <w:sz w:val="20"/>
                <w:szCs w:val="20"/>
              </w:rPr>
              <w:br/>
              <w:t>4.73</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w:t>
            </w:r>
            <w:r w:rsidRPr="000E5D59">
              <w:rPr>
                <w:rFonts w:ascii="Arial" w:eastAsia="Times New Roman" w:hAnsi="Arial" w:cs="Arial"/>
                <w:sz w:val="20"/>
                <w:szCs w:val="20"/>
              </w:rPr>
              <w:br/>
              <w:t>5.64</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125</w:t>
            </w:r>
            <w:r w:rsidRPr="000E5D59">
              <w:rPr>
                <w:rFonts w:ascii="Arial" w:eastAsia="Times New Roman" w:hAnsi="Arial" w:cs="Arial"/>
                <w:sz w:val="20"/>
                <w:szCs w:val="20"/>
              </w:rPr>
              <w:br/>
              <w:t>3.95</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drinking marijuana infused products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209</w:t>
            </w:r>
            <w:r w:rsidRPr="000E5D59">
              <w:rPr>
                <w:rFonts w:ascii="Arial" w:eastAsia="Times New Roman" w:hAnsi="Arial" w:cs="Arial"/>
                <w:sz w:val="20"/>
                <w:szCs w:val="20"/>
              </w:rPr>
              <w:br/>
              <w:t>81.01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119</w:t>
            </w:r>
            <w:r w:rsidRPr="000E5D59">
              <w:rPr>
                <w:rFonts w:ascii="Arial" w:eastAsia="Times New Roman" w:hAnsi="Arial" w:cs="Arial"/>
                <w:sz w:val="20"/>
                <w:szCs w:val="20"/>
              </w:rPr>
              <w:br/>
              <w:t>82.07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90</w:t>
            </w:r>
            <w:r w:rsidRPr="000E5D59">
              <w:rPr>
                <w:rFonts w:ascii="Arial" w:eastAsia="Times New Roman" w:hAnsi="Arial" w:cs="Arial"/>
                <w:sz w:val="20"/>
                <w:szCs w:val="20"/>
              </w:rPr>
              <w:br/>
              <w:t>79.65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w:t>
            </w:r>
            <w:r w:rsidRPr="000E5D59">
              <w:rPr>
                <w:rFonts w:ascii="Arial" w:eastAsia="Times New Roman" w:hAnsi="Arial" w:cs="Arial"/>
                <w:sz w:val="20"/>
                <w:szCs w:val="20"/>
              </w:rPr>
              <w:br/>
              <w:t>10.08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w:t>
            </w:r>
            <w:r w:rsidRPr="000E5D59">
              <w:rPr>
                <w:rFonts w:ascii="Arial" w:eastAsia="Times New Roman" w:hAnsi="Arial" w:cs="Arial"/>
                <w:sz w:val="20"/>
                <w:szCs w:val="20"/>
              </w:rPr>
              <w:br/>
              <w:t>8.28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w:t>
            </w:r>
            <w:r w:rsidRPr="000E5D59">
              <w:rPr>
                <w:rFonts w:ascii="Arial" w:eastAsia="Times New Roman" w:hAnsi="Arial" w:cs="Arial"/>
                <w:sz w:val="20"/>
                <w:szCs w:val="20"/>
              </w:rPr>
              <w:br/>
              <w:t>12.39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5.81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6.90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4.42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w:t>
            </w:r>
            <w:r w:rsidRPr="000E5D59">
              <w:rPr>
                <w:rFonts w:ascii="Arial" w:eastAsia="Times New Roman" w:hAnsi="Arial" w:cs="Arial"/>
                <w:sz w:val="20"/>
                <w:szCs w:val="20"/>
              </w:rPr>
              <w:br/>
              <w:t>3.10</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2.76</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3.54</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277</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w:t>
            </w:r>
            <w:r w:rsidRPr="000E5D59">
              <w:rPr>
                <w:rFonts w:ascii="Arial" w:eastAsia="Times New Roman" w:hAnsi="Arial" w:cs="Arial"/>
                <w:sz w:val="20"/>
                <w:szCs w:val="20"/>
              </w:rPr>
              <w:br/>
              <w:t>9.03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w:t>
            </w:r>
            <w:r w:rsidRPr="000E5D59">
              <w:rPr>
                <w:rFonts w:ascii="Arial" w:eastAsia="Times New Roman" w:hAnsi="Arial" w:cs="Arial"/>
                <w:sz w:val="20"/>
                <w:szCs w:val="20"/>
              </w:rPr>
              <w:br/>
              <w:t>10.26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w:t>
            </w:r>
            <w:r w:rsidRPr="000E5D59">
              <w:rPr>
                <w:rFonts w:ascii="Arial" w:eastAsia="Times New Roman" w:hAnsi="Arial" w:cs="Arial"/>
                <w:sz w:val="20"/>
                <w:szCs w:val="20"/>
              </w:rPr>
              <w:br/>
              <w:t>7.44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166</w:t>
            </w:r>
            <w:r w:rsidRPr="000E5D59">
              <w:rPr>
                <w:rFonts w:ascii="Arial" w:eastAsia="Times New Roman" w:hAnsi="Arial" w:cs="Arial"/>
                <w:sz w:val="20"/>
                <w:szCs w:val="20"/>
              </w:rPr>
              <w:br/>
              <w:t>59.93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85</w:t>
            </w:r>
            <w:r w:rsidRPr="000E5D59">
              <w:rPr>
                <w:rFonts w:ascii="Arial" w:eastAsia="Times New Roman" w:hAnsi="Arial" w:cs="Arial"/>
                <w:sz w:val="20"/>
                <w:szCs w:val="20"/>
              </w:rPr>
              <w:br/>
              <w:t>54.49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81</w:t>
            </w:r>
            <w:r w:rsidRPr="000E5D59">
              <w:rPr>
                <w:rFonts w:ascii="Arial" w:eastAsia="Times New Roman" w:hAnsi="Arial" w:cs="Arial"/>
                <w:sz w:val="20"/>
                <w:szCs w:val="20"/>
              </w:rPr>
              <w:br/>
              <w:t>66.94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w:t>
            </w:r>
            <w:r w:rsidRPr="000E5D59">
              <w:rPr>
                <w:rFonts w:ascii="Arial" w:eastAsia="Times New Roman" w:hAnsi="Arial" w:cs="Arial"/>
                <w:sz w:val="20"/>
                <w:szCs w:val="20"/>
              </w:rPr>
              <w:br/>
              <w:t>9.39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w:t>
            </w:r>
            <w:r w:rsidRPr="000E5D59">
              <w:rPr>
                <w:rFonts w:ascii="Arial" w:eastAsia="Times New Roman" w:hAnsi="Arial" w:cs="Arial"/>
                <w:sz w:val="20"/>
                <w:szCs w:val="20"/>
              </w:rPr>
              <w:br/>
              <w:t>14.10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3.31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1.44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1.28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1.65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20.22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w:t>
            </w:r>
            <w:r w:rsidRPr="000E5D59">
              <w:rPr>
                <w:rFonts w:ascii="Arial" w:eastAsia="Times New Roman" w:hAnsi="Arial" w:cs="Arial"/>
                <w:sz w:val="20"/>
                <w:szCs w:val="20"/>
              </w:rPr>
              <w:br/>
              <w:t>19.87</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w:t>
            </w:r>
            <w:r w:rsidRPr="000E5D59">
              <w:rPr>
                <w:rFonts w:ascii="Arial" w:eastAsia="Times New Roman" w:hAnsi="Arial" w:cs="Arial"/>
                <w:sz w:val="20"/>
                <w:szCs w:val="20"/>
              </w:rPr>
              <w:br/>
              <w:t>20.66</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w:t>
            </w:r>
            <w:r w:rsidRPr="000E5D59">
              <w:rPr>
                <w:rFonts w:ascii="Arial" w:eastAsia="Times New Roman" w:hAnsi="Arial" w:cs="Arial"/>
                <w:sz w:val="20"/>
                <w:szCs w:val="20"/>
              </w:rPr>
              <w:br/>
              <w:t>25.82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w:t>
            </w:r>
            <w:r w:rsidRPr="000E5D59">
              <w:rPr>
                <w:rFonts w:ascii="Arial" w:eastAsia="Times New Roman" w:hAnsi="Arial" w:cs="Arial"/>
                <w:sz w:val="20"/>
                <w:szCs w:val="20"/>
              </w:rPr>
              <w:br/>
              <w:t>26.62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w:t>
            </w:r>
            <w:r w:rsidRPr="000E5D59">
              <w:rPr>
                <w:rFonts w:ascii="Arial" w:eastAsia="Times New Roman" w:hAnsi="Arial" w:cs="Arial"/>
                <w:sz w:val="20"/>
                <w:szCs w:val="20"/>
              </w:rPr>
              <w:br/>
              <w:t>24.79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119</w:t>
            </w:r>
            <w:r w:rsidRPr="000E5D59">
              <w:rPr>
                <w:rFonts w:ascii="Arial" w:eastAsia="Times New Roman" w:hAnsi="Arial" w:cs="Arial"/>
                <w:sz w:val="20"/>
                <w:szCs w:val="20"/>
              </w:rPr>
              <w:br/>
              <w:t>43.27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w:t>
            </w:r>
            <w:r w:rsidRPr="000E5D59">
              <w:rPr>
                <w:rFonts w:ascii="Arial" w:eastAsia="Times New Roman" w:hAnsi="Arial" w:cs="Arial"/>
                <w:sz w:val="20"/>
                <w:szCs w:val="20"/>
              </w:rPr>
              <w:br/>
              <w:t>40.91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46.28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w:t>
            </w:r>
            <w:r w:rsidRPr="000E5D59">
              <w:rPr>
                <w:rFonts w:ascii="Arial" w:eastAsia="Times New Roman" w:hAnsi="Arial" w:cs="Arial"/>
                <w:sz w:val="20"/>
                <w:szCs w:val="20"/>
              </w:rPr>
              <w:br/>
              <w:t>4.36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6.49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1.65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0.73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0.65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0.83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w:t>
            </w:r>
            <w:r w:rsidRPr="000E5D59">
              <w:rPr>
                <w:rFonts w:ascii="Arial" w:eastAsia="Times New Roman" w:hAnsi="Arial" w:cs="Arial"/>
                <w:sz w:val="20"/>
                <w:szCs w:val="20"/>
              </w:rPr>
              <w:br/>
              <w:t>25.82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w:t>
            </w:r>
            <w:r w:rsidRPr="000E5D59">
              <w:rPr>
                <w:rFonts w:ascii="Arial" w:eastAsia="Times New Roman" w:hAnsi="Arial" w:cs="Arial"/>
                <w:sz w:val="20"/>
                <w:szCs w:val="20"/>
              </w:rPr>
              <w:br/>
              <w:t>25.32</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w:t>
            </w:r>
            <w:r w:rsidRPr="000E5D59">
              <w:rPr>
                <w:rFonts w:ascii="Arial" w:eastAsia="Times New Roman" w:hAnsi="Arial" w:cs="Arial"/>
                <w:sz w:val="20"/>
                <w:szCs w:val="20"/>
              </w:rPr>
              <w:br/>
              <w:t>26.45</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i/>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AC40A7">
      <w:pPr>
        <w:pStyle w:val="Heading3"/>
      </w:pPr>
      <w:bookmarkStart w:id="225" w:name="_Toc11765955"/>
      <w:bookmarkStart w:id="226" w:name="_Toc11766610"/>
      <w:r w:rsidRPr="000E5D59">
        <w:lastRenderedPageBreak/>
        <w:t>Sublingual or Orally Administered Uptake Marijuana Products</w:t>
      </w:r>
      <w:bookmarkEnd w:id="225"/>
      <w:bookmarkEnd w:id="226"/>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Tables 12A, 12B, and 12C</w:t>
      </w:r>
      <w:r w:rsidRPr="000E5D59">
        <w:rPr>
          <w:rFonts w:ascii="Arial" w:eastAsia="Calibri" w:hAnsi="Arial" w:cs="Arial"/>
          <w:sz w:val="24"/>
          <w:szCs w:val="24"/>
        </w:rPr>
        <w:t xml:space="preserve"> summarize results of survey responses pertaining to use of sublingual or orally administered uptake marijuana products, with comparisons by gender, age group, and educational attainment, respectively. 23% of respondents who reported using marijuana or marijuana products at least once in the past 30 days reported using sublingual or orally administered uptake marijuana products in the past 30 days. Using sublingual or orally administered uptake marijuana products was significantly higher among female respondents compared to male respondents (28% vs. 20%), respondents 51 years or older compared to younger respondents (26% vs. 22%) and respondents with a Bachelor’s degree compared to respondents without a degree (25% vs. 22%).</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Twenty-five percent of respondents who reported using sublingual or orally administered uptake marijuana products in the past 30 days reported using these products at least once per day, while 47% reported using these marijuana products less than once per week. A larger proportion of respondents over the age of 50 than younger respondents reported using sublingual or orally administered uptake marijuana products once per day (23% vs. 10%) and multiple times per day (10% vs. 6%).</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respondents who reported using sublingual or orally administered uptake marijuana products in the past 30 days were asked to indicate the amount of THC administered by using these products over the past 30 days. The amount of THC reported by respondents should be interpreted with caution, as almost 1 in 4 respondents did not know how much THC they administered through sublingual or orally administered uptake marijuana products. However, 54% of respondents reported administering between 1 and 150 mg of THC in the past 30 days through sublingual or orally administered uptake marijuana products.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respondents who reported using sublingual or orally administered uptake marijuana products in the past 30 days were asked to indicate the amount of CBD administered by using these products over the past 30 days. The amount of CBD reported by respondents should be interpreted with caution, as 30% respondents did not know how much CBD they administered through sublingual or orally administered uptake marijuana products. However, 48% of respondents reported administering between 1 and 150 mg of THC in the past 30 days through sublingual or orally administered uptake marijuana products. </w:t>
      </w: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lastRenderedPageBreak/>
        <w:t xml:space="preserve">Table 12A: DPH Patient Survey Sublingual Marijuana Products by Gender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Sublingual Marijuana Products by Gender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(N=3251)</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(N=2672)</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Used sublingual/orally administered uptake products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4608</w:t>
            </w:r>
            <w:r w:rsidRPr="000E5D59">
              <w:rPr>
                <w:rFonts w:ascii="Arial" w:eastAsia="Times New Roman" w:hAnsi="Arial" w:cs="Arial"/>
                <w:sz w:val="20"/>
                <w:szCs w:val="20"/>
              </w:rPr>
              <w:br/>
              <w:t>76.53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2600</w:t>
            </w:r>
            <w:r w:rsidRPr="000E5D59">
              <w:rPr>
                <w:rFonts w:ascii="Arial" w:eastAsia="Times New Roman" w:hAnsi="Arial" w:cs="Arial"/>
                <w:sz w:val="20"/>
                <w:szCs w:val="20"/>
              </w:rPr>
              <w:br/>
              <w:t>79.98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1934</w:t>
            </w:r>
            <w:r w:rsidRPr="000E5D59">
              <w:rPr>
                <w:rFonts w:ascii="Arial" w:eastAsia="Times New Roman" w:hAnsi="Arial" w:cs="Arial"/>
                <w:sz w:val="20"/>
                <w:szCs w:val="20"/>
              </w:rPr>
              <w:br/>
              <w:t>72.38</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1413</w:t>
            </w:r>
            <w:r w:rsidRPr="000E5D59">
              <w:rPr>
                <w:rFonts w:ascii="Arial" w:eastAsia="Times New Roman" w:hAnsi="Arial" w:cs="Arial"/>
                <w:sz w:val="20"/>
                <w:szCs w:val="20"/>
              </w:rPr>
              <w:br/>
              <w:t>23.47</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651</w:t>
            </w:r>
            <w:r w:rsidRPr="000E5D59">
              <w:rPr>
                <w:rFonts w:ascii="Arial" w:eastAsia="Times New Roman" w:hAnsi="Arial" w:cs="Arial"/>
                <w:sz w:val="20"/>
                <w:szCs w:val="20"/>
              </w:rPr>
              <w:br/>
              <w:t>20.02</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738</w:t>
            </w:r>
            <w:r w:rsidRPr="000E5D59">
              <w:rPr>
                <w:rFonts w:ascii="Arial" w:eastAsia="Times New Roman" w:hAnsi="Arial" w:cs="Arial"/>
                <w:sz w:val="20"/>
                <w:szCs w:val="20"/>
              </w:rPr>
              <w:br/>
              <w:t>27.62</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using sublingual or orally administered uptake products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1337</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634</w:t>
            </w:r>
            <w:r w:rsidRPr="000E5D59">
              <w:rPr>
                <w:rFonts w:ascii="Arial" w:eastAsia="Times New Roman" w:hAnsi="Arial" w:cs="Arial"/>
                <w:sz w:val="20"/>
                <w:szCs w:val="20"/>
              </w:rPr>
              <w:br/>
              <w:t>47.42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296</w:t>
            </w:r>
            <w:r w:rsidRPr="000E5D59">
              <w:rPr>
                <w:rFonts w:ascii="Arial" w:eastAsia="Times New Roman" w:hAnsi="Arial" w:cs="Arial"/>
                <w:sz w:val="20"/>
                <w:szCs w:val="20"/>
              </w:rPr>
              <w:br/>
              <w:t>48.13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324</w:t>
            </w:r>
            <w:r w:rsidRPr="000E5D59">
              <w:rPr>
                <w:rFonts w:ascii="Arial" w:eastAsia="Times New Roman" w:hAnsi="Arial" w:cs="Arial"/>
                <w:sz w:val="20"/>
                <w:szCs w:val="20"/>
              </w:rPr>
              <w:br/>
              <w:t>46.42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370</w:t>
            </w:r>
            <w:r w:rsidRPr="000E5D59">
              <w:rPr>
                <w:rFonts w:ascii="Arial" w:eastAsia="Times New Roman" w:hAnsi="Arial" w:cs="Arial"/>
                <w:sz w:val="20"/>
                <w:szCs w:val="20"/>
              </w:rPr>
              <w:br/>
              <w:t>27.67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170</w:t>
            </w:r>
            <w:r w:rsidRPr="000E5D59">
              <w:rPr>
                <w:rFonts w:ascii="Arial" w:eastAsia="Times New Roman" w:hAnsi="Arial" w:cs="Arial"/>
                <w:sz w:val="20"/>
                <w:szCs w:val="20"/>
              </w:rPr>
              <w:br/>
              <w:t>27.64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194</w:t>
            </w:r>
            <w:r w:rsidRPr="000E5D59">
              <w:rPr>
                <w:rFonts w:ascii="Arial" w:eastAsia="Times New Roman" w:hAnsi="Arial" w:cs="Arial"/>
                <w:sz w:val="20"/>
                <w:szCs w:val="20"/>
              </w:rPr>
              <w:br/>
              <w:t>27.79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218</w:t>
            </w:r>
            <w:r w:rsidRPr="000E5D59">
              <w:rPr>
                <w:rFonts w:ascii="Arial" w:eastAsia="Times New Roman" w:hAnsi="Arial" w:cs="Arial"/>
                <w:sz w:val="20"/>
                <w:szCs w:val="20"/>
              </w:rPr>
              <w:br/>
              <w:t>16.31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96</w:t>
            </w:r>
            <w:r w:rsidRPr="000E5D59">
              <w:rPr>
                <w:rFonts w:ascii="Arial" w:eastAsia="Times New Roman" w:hAnsi="Arial" w:cs="Arial"/>
                <w:sz w:val="20"/>
                <w:szCs w:val="20"/>
              </w:rPr>
              <w:br/>
              <w:t>15.61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119</w:t>
            </w:r>
            <w:r w:rsidRPr="000E5D59">
              <w:rPr>
                <w:rFonts w:ascii="Arial" w:eastAsia="Times New Roman" w:hAnsi="Arial" w:cs="Arial"/>
                <w:sz w:val="20"/>
                <w:szCs w:val="20"/>
              </w:rPr>
              <w:br/>
              <w:t>17.05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115</w:t>
            </w:r>
            <w:r w:rsidRPr="000E5D59">
              <w:rPr>
                <w:rFonts w:ascii="Arial" w:eastAsia="Times New Roman" w:hAnsi="Arial" w:cs="Arial"/>
                <w:sz w:val="20"/>
                <w:szCs w:val="20"/>
              </w:rPr>
              <w:br/>
              <w:t>8.60</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w:t>
            </w:r>
            <w:r w:rsidRPr="000E5D59">
              <w:rPr>
                <w:rFonts w:ascii="Arial" w:eastAsia="Times New Roman" w:hAnsi="Arial" w:cs="Arial"/>
                <w:sz w:val="20"/>
                <w:szCs w:val="20"/>
              </w:rPr>
              <w:br/>
              <w:t>8.62</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w:t>
            </w:r>
            <w:r w:rsidRPr="000E5D59">
              <w:rPr>
                <w:rFonts w:ascii="Arial" w:eastAsia="Times New Roman" w:hAnsi="Arial" w:cs="Arial"/>
                <w:sz w:val="20"/>
                <w:szCs w:val="20"/>
              </w:rPr>
              <w:br/>
              <w:t>8.74</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1359</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182</w:t>
            </w:r>
            <w:r w:rsidRPr="000E5D59">
              <w:rPr>
                <w:rFonts w:ascii="Arial" w:eastAsia="Times New Roman" w:hAnsi="Arial" w:cs="Arial"/>
                <w:sz w:val="20"/>
                <w:szCs w:val="20"/>
              </w:rPr>
              <w:br/>
              <w:t>13.39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w:t>
            </w:r>
            <w:r w:rsidRPr="000E5D59">
              <w:rPr>
                <w:rFonts w:ascii="Arial" w:eastAsia="Times New Roman" w:hAnsi="Arial" w:cs="Arial"/>
                <w:sz w:val="20"/>
                <w:szCs w:val="20"/>
              </w:rPr>
              <w:br/>
              <w:t>9.90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115</w:t>
            </w:r>
            <w:r w:rsidRPr="000E5D59">
              <w:rPr>
                <w:rFonts w:ascii="Arial" w:eastAsia="Times New Roman" w:hAnsi="Arial" w:cs="Arial"/>
                <w:sz w:val="20"/>
                <w:szCs w:val="20"/>
              </w:rPr>
              <w:br/>
              <w:t>16.22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728</w:t>
            </w:r>
            <w:r w:rsidRPr="000E5D59">
              <w:rPr>
                <w:rFonts w:ascii="Arial" w:eastAsia="Times New Roman" w:hAnsi="Arial" w:cs="Arial"/>
                <w:sz w:val="20"/>
                <w:szCs w:val="20"/>
              </w:rPr>
              <w:br/>
              <w:t>53.57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354</w:t>
            </w:r>
            <w:r w:rsidRPr="000E5D59">
              <w:rPr>
                <w:rFonts w:ascii="Arial" w:eastAsia="Times New Roman" w:hAnsi="Arial" w:cs="Arial"/>
                <w:sz w:val="20"/>
                <w:szCs w:val="20"/>
              </w:rPr>
              <w:br/>
              <w:t>56.55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361</w:t>
            </w:r>
            <w:r w:rsidRPr="000E5D59">
              <w:rPr>
                <w:rFonts w:ascii="Arial" w:eastAsia="Times New Roman" w:hAnsi="Arial" w:cs="Arial"/>
                <w:sz w:val="20"/>
                <w:szCs w:val="20"/>
              </w:rPr>
              <w:br/>
              <w:t>50.92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81</w:t>
            </w:r>
            <w:r w:rsidRPr="000E5D59">
              <w:rPr>
                <w:rFonts w:ascii="Arial" w:eastAsia="Times New Roman" w:hAnsi="Arial" w:cs="Arial"/>
                <w:sz w:val="20"/>
                <w:szCs w:val="20"/>
              </w:rPr>
              <w:br/>
              <w:t>5.96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w:t>
            </w:r>
            <w:r w:rsidRPr="000E5D59">
              <w:rPr>
                <w:rFonts w:ascii="Arial" w:eastAsia="Times New Roman" w:hAnsi="Arial" w:cs="Arial"/>
                <w:sz w:val="20"/>
                <w:szCs w:val="20"/>
              </w:rPr>
              <w:br/>
              <w:t>7.19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w:t>
            </w:r>
            <w:r w:rsidRPr="000E5D59">
              <w:rPr>
                <w:rFonts w:ascii="Arial" w:eastAsia="Times New Roman" w:hAnsi="Arial" w:cs="Arial"/>
                <w:sz w:val="20"/>
                <w:szCs w:val="20"/>
              </w:rPr>
              <w:br/>
              <w:t>4.94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w:t>
            </w:r>
            <w:r w:rsidRPr="000E5D59">
              <w:rPr>
                <w:rFonts w:ascii="Arial" w:eastAsia="Times New Roman" w:hAnsi="Arial" w:cs="Arial"/>
                <w:sz w:val="20"/>
                <w:szCs w:val="20"/>
              </w:rPr>
              <w:br/>
              <w:t>1.62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w:t>
            </w:r>
            <w:r w:rsidRPr="000E5D59">
              <w:rPr>
                <w:rFonts w:ascii="Arial" w:eastAsia="Times New Roman" w:hAnsi="Arial" w:cs="Arial"/>
                <w:sz w:val="20"/>
                <w:szCs w:val="20"/>
              </w:rPr>
              <w:br/>
              <w:t>2.24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w:t>
            </w:r>
            <w:r w:rsidRPr="000E5D59">
              <w:rPr>
                <w:rFonts w:ascii="Arial" w:eastAsia="Times New Roman" w:hAnsi="Arial" w:cs="Arial"/>
                <w:sz w:val="20"/>
                <w:szCs w:val="20"/>
              </w:rPr>
              <w:br/>
              <w:t>1.13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346</w:t>
            </w:r>
            <w:r w:rsidRPr="000E5D59">
              <w:rPr>
                <w:rFonts w:ascii="Arial" w:eastAsia="Times New Roman" w:hAnsi="Arial" w:cs="Arial"/>
                <w:sz w:val="20"/>
                <w:szCs w:val="20"/>
              </w:rPr>
              <w:br/>
              <w:t>25.46</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151</w:t>
            </w:r>
            <w:r w:rsidRPr="000E5D59">
              <w:rPr>
                <w:rFonts w:ascii="Arial" w:eastAsia="Times New Roman" w:hAnsi="Arial" w:cs="Arial"/>
                <w:sz w:val="20"/>
                <w:szCs w:val="20"/>
              </w:rPr>
              <w:br/>
              <w:t>24.12</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190</w:t>
            </w:r>
            <w:r w:rsidRPr="000E5D59">
              <w:rPr>
                <w:rFonts w:ascii="Arial" w:eastAsia="Times New Roman" w:hAnsi="Arial" w:cs="Arial"/>
                <w:sz w:val="20"/>
                <w:szCs w:val="20"/>
              </w:rPr>
              <w:br/>
              <w:t>26.80</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1371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154</w:t>
            </w:r>
            <w:r w:rsidRPr="000E5D59">
              <w:rPr>
                <w:rFonts w:ascii="Arial" w:eastAsia="Times New Roman" w:hAnsi="Arial" w:cs="Arial"/>
                <w:sz w:val="20"/>
                <w:szCs w:val="20"/>
              </w:rPr>
              <w:br/>
              <w:t>11.23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84</w:t>
            </w:r>
            <w:r w:rsidRPr="000E5D59">
              <w:rPr>
                <w:rFonts w:ascii="Arial" w:eastAsia="Times New Roman" w:hAnsi="Arial" w:cs="Arial"/>
                <w:sz w:val="20"/>
                <w:szCs w:val="20"/>
              </w:rPr>
              <w:br/>
              <w:t>13.35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w:t>
            </w:r>
            <w:r w:rsidRPr="000E5D59">
              <w:rPr>
                <w:rFonts w:ascii="Arial" w:eastAsia="Times New Roman" w:hAnsi="Arial" w:cs="Arial"/>
                <w:sz w:val="20"/>
                <w:szCs w:val="20"/>
              </w:rPr>
              <w:br/>
              <w:t>8.77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664</w:t>
            </w:r>
            <w:r w:rsidRPr="000E5D59">
              <w:rPr>
                <w:rFonts w:ascii="Arial" w:eastAsia="Times New Roman" w:hAnsi="Arial" w:cs="Arial"/>
                <w:sz w:val="20"/>
                <w:szCs w:val="20"/>
              </w:rPr>
              <w:br/>
              <w:t>48.43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294</w:t>
            </w:r>
            <w:r w:rsidRPr="000E5D59">
              <w:rPr>
                <w:rFonts w:ascii="Arial" w:eastAsia="Times New Roman" w:hAnsi="Arial" w:cs="Arial"/>
                <w:sz w:val="20"/>
                <w:szCs w:val="20"/>
              </w:rPr>
              <w:br/>
              <w:t>46.74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358</w:t>
            </w:r>
            <w:r w:rsidRPr="000E5D59">
              <w:rPr>
                <w:rFonts w:ascii="Arial" w:eastAsia="Times New Roman" w:hAnsi="Arial" w:cs="Arial"/>
                <w:sz w:val="20"/>
                <w:szCs w:val="20"/>
              </w:rPr>
              <w:br/>
              <w:t>49.86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108</w:t>
            </w:r>
            <w:r w:rsidRPr="000E5D59">
              <w:rPr>
                <w:rFonts w:ascii="Arial" w:eastAsia="Times New Roman" w:hAnsi="Arial" w:cs="Arial"/>
                <w:sz w:val="20"/>
                <w:szCs w:val="20"/>
              </w:rPr>
              <w:br/>
              <w:t>7.88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w:t>
            </w:r>
            <w:r w:rsidRPr="000E5D59">
              <w:rPr>
                <w:rFonts w:ascii="Arial" w:eastAsia="Times New Roman" w:hAnsi="Arial" w:cs="Arial"/>
                <w:sz w:val="20"/>
                <w:szCs w:val="20"/>
              </w:rPr>
              <w:br/>
              <w:t>8.11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7.80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w:t>
            </w:r>
            <w:r w:rsidRPr="000E5D59">
              <w:rPr>
                <w:rFonts w:ascii="Arial" w:eastAsia="Times New Roman" w:hAnsi="Arial" w:cs="Arial"/>
                <w:sz w:val="20"/>
                <w:szCs w:val="20"/>
              </w:rPr>
              <w:br/>
              <w:t>2.63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w:t>
            </w:r>
            <w:r w:rsidRPr="000E5D59">
              <w:rPr>
                <w:rFonts w:ascii="Arial" w:eastAsia="Times New Roman" w:hAnsi="Arial" w:cs="Arial"/>
                <w:sz w:val="20"/>
                <w:szCs w:val="20"/>
              </w:rPr>
              <w:br/>
              <w:t>3.34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2.09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409</w:t>
            </w:r>
            <w:r w:rsidRPr="000E5D59">
              <w:rPr>
                <w:rFonts w:ascii="Arial" w:eastAsia="Times New Roman" w:hAnsi="Arial" w:cs="Arial"/>
                <w:sz w:val="20"/>
                <w:szCs w:val="20"/>
              </w:rPr>
              <w:br/>
              <w:t>29.83</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179</w:t>
            </w:r>
            <w:r w:rsidRPr="000E5D59">
              <w:rPr>
                <w:rFonts w:ascii="Arial" w:eastAsia="Times New Roman" w:hAnsi="Arial" w:cs="Arial"/>
                <w:sz w:val="20"/>
                <w:szCs w:val="20"/>
              </w:rPr>
              <w:br/>
              <w:t>28.46</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226</w:t>
            </w:r>
            <w:r w:rsidRPr="000E5D59">
              <w:rPr>
                <w:rFonts w:ascii="Arial" w:eastAsia="Times New Roman" w:hAnsi="Arial" w:cs="Arial"/>
                <w:sz w:val="20"/>
                <w:szCs w:val="20"/>
              </w:rPr>
              <w:br/>
              <w:t>31.48</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i/>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AC40A7">
      <w:pPr>
        <w:pStyle w:val="Heading3"/>
      </w:pPr>
      <w:bookmarkStart w:id="227" w:name="_Toc11765956"/>
      <w:bookmarkStart w:id="228" w:name="_Toc11766611"/>
      <w:r w:rsidRPr="000E5D59">
        <w:t>Oral Capsules/Tablets</w:t>
      </w:r>
      <w:bookmarkEnd w:id="227"/>
      <w:bookmarkEnd w:id="228"/>
    </w:p>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Tables 13A, 13B, and 13C</w:t>
      </w:r>
      <w:r w:rsidRPr="000E5D59">
        <w:rPr>
          <w:rFonts w:ascii="Arial" w:eastAsia="Calibri" w:hAnsi="Arial" w:cs="Arial"/>
          <w:sz w:val="24"/>
          <w:szCs w:val="24"/>
        </w:rPr>
        <w:t xml:space="preserve"> summarize results of survey responses pertaining to use of oral capsules or tablets, with comparisons by gender, age group, and educational attainment, respectively. 11% of respondents reported using oral capsules/tablets in the past 30 days to administer marijuana. There were no significant differences in the proportion of respondents who reported using oral capsules/tablets by gender, age, or education.</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Twenty-four percent of respondents reported using oral capsules/tablets at least once per day, while 56% reported using these marijuana products less than once per week.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All respondents who reported using oral capsules/tablets in the past 30 days were asked to indicate the amount of THC administered by using these products over the past 30 days. The amount of THC reported by respondents should be interpreted with caution, as almost 1 in 5 respondents did not know how much THC they administered through oral capsules/tablets. However, 55% of respondents reported administering between 1 and 150 mg of THC in the past 30 days through oral capsules/tablets, and 15% reported administering 0 mg of THC. There were no significant differences the amount of THC administered by using capsules/tablets by gender, age, or education.</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All respondents who reported using oral capsules/tablets in the past 30 days were asked to indicate the amount of CBD administered by using these products over the past 30 days. The amount of CBD reported by respondents should be interpreted with caution, as almost 1 in 4 respondents did not know how much CBD they administered through oral capsules/tablets. However, 47% of respondents reported administering between 1 and 150 mg of CBD in the past 30 days through oral capsules/tablets, and 16% reported administering 0 mg of CBD.</w:t>
      </w: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Table 13A: DPH Patient Survey Oral Capsules and Tables by Gender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Oral Capsules and Tables by Gender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(N=3251)</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(N=2672)</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Respondent used oral capsules/tablets (THC and/or CBD)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bCs/>
                <w:sz w:val="20"/>
                <w:szCs w:val="20"/>
              </w:rPr>
            </w:pPr>
            <w:r w:rsidRPr="000E5D59">
              <w:rPr>
                <w:rFonts w:ascii="Arial" w:eastAsia="Times New Roman" w:hAnsi="Arial" w:cs="Arial"/>
                <w:bCs/>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5370</w:t>
            </w:r>
            <w:r w:rsidRPr="000E5D59">
              <w:rPr>
                <w:rFonts w:ascii="Arial" w:eastAsia="Times New Roman" w:hAnsi="Arial" w:cs="Arial"/>
                <w:sz w:val="20"/>
                <w:szCs w:val="20"/>
              </w:rPr>
              <w:br/>
              <w:t>89.19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2898</w:t>
            </w:r>
            <w:r w:rsidRPr="000E5D59">
              <w:rPr>
                <w:rFonts w:ascii="Arial" w:eastAsia="Times New Roman" w:hAnsi="Arial" w:cs="Arial"/>
                <w:sz w:val="20"/>
                <w:szCs w:val="20"/>
              </w:rPr>
              <w:br/>
              <w:t>89.14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2387</w:t>
            </w:r>
            <w:r w:rsidRPr="000E5D59">
              <w:rPr>
                <w:rFonts w:ascii="Arial" w:eastAsia="Times New Roman" w:hAnsi="Arial" w:cs="Arial"/>
                <w:sz w:val="20"/>
                <w:szCs w:val="20"/>
              </w:rPr>
              <w:br/>
              <w:t>89.33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651</w:t>
            </w:r>
            <w:r w:rsidRPr="000E5D59">
              <w:rPr>
                <w:rFonts w:ascii="Arial" w:eastAsia="Times New Roman" w:hAnsi="Arial" w:cs="Arial"/>
                <w:sz w:val="20"/>
                <w:szCs w:val="20"/>
              </w:rPr>
              <w:br/>
              <w:t>10.81</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353</w:t>
            </w:r>
            <w:r w:rsidRPr="000E5D59">
              <w:rPr>
                <w:rFonts w:ascii="Arial" w:eastAsia="Times New Roman" w:hAnsi="Arial" w:cs="Arial"/>
                <w:sz w:val="20"/>
                <w:szCs w:val="20"/>
              </w:rPr>
              <w:br/>
              <w:t>10.86</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285</w:t>
            </w:r>
            <w:r w:rsidRPr="000E5D59">
              <w:rPr>
                <w:rFonts w:ascii="Arial" w:eastAsia="Times New Roman" w:hAnsi="Arial" w:cs="Arial"/>
                <w:sz w:val="20"/>
                <w:szCs w:val="20"/>
              </w:rPr>
              <w:br/>
              <w:t>10.67</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using oral capsules/tablets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331</w:t>
            </w:r>
            <w:r w:rsidRPr="000E5D59">
              <w:rPr>
                <w:rFonts w:ascii="Arial" w:eastAsia="Times New Roman" w:hAnsi="Arial" w:cs="Arial"/>
                <w:sz w:val="20"/>
                <w:szCs w:val="20"/>
              </w:rPr>
              <w:br/>
              <w:t>55.63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177</w:t>
            </w:r>
            <w:r w:rsidRPr="000E5D59">
              <w:rPr>
                <w:rFonts w:ascii="Arial" w:eastAsia="Times New Roman" w:hAnsi="Arial" w:cs="Arial"/>
                <w:sz w:val="20"/>
                <w:szCs w:val="20"/>
              </w:rPr>
              <w:br/>
              <w:t>55.66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147</w:t>
            </w:r>
            <w:r w:rsidRPr="000E5D59">
              <w:rPr>
                <w:rFonts w:ascii="Arial" w:eastAsia="Times New Roman" w:hAnsi="Arial" w:cs="Arial"/>
                <w:sz w:val="20"/>
                <w:szCs w:val="20"/>
              </w:rPr>
              <w:br/>
              <w:t>55.47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121</w:t>
            </w:r>
            <w:r w:rsidRPr="000E5D59">
              <w:rPr>
                <w:rFonts w:ascii="Arial" w:eastAsia="Times New Roman" w:hAnsi="Arial" w:cs="Arial"/>
                <w:sz w:val="20"/>
                <w:szCs w:val="20"/>
              </w:rPr>
              <w:br/>
              <w:t>20.34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69</w:t>
            </w:r>
            <w:r w:rsidRPr="000E5D59">
              <w:rPr>
                <w:rFonts w:ascii="Arial" w:eastAsia="Times New Roman" w:hAnsi="Arial" w:cs="Arial"/>
                <w:sz w:val="20"/>
                <w:szCs w:val="20"/>
              </w:rPr>
              <w:br/>
              <w:t>21.70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w:t>
            </w:r>
            <w:r w:rsidRPr="000E5D59">
              <w:rPr>
                <w:rFonts w:ascii="Arial" w:eastAsia="Times New Roman" w:hAnsi="Arial" w:cs="Arial"/>
                <w:sz w:val="20"/>
                <w:szCs w:val="20"/>
              </w:rPr>
              <w:br/>
              <w:t>18.49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106</w:t>
            </w:r>
            <w:r w:rsidRPr="000E5D59">
              <w:rPr>
                <w:rFonts w:ascii="Arial" w:eastAsia="Times New Roman" w:hAnsi="Arial" w:cs="Arial"/>
                <w:sz w:val="20"/>
                <w:szCs w:val="20"/>
              </w:rPr>
              <w:br/>
              <w:t>17.82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w:t>
            </w:r>
            <w:r w:rsidRPr="000E5D59">
              <w:rPr>
                <w:rFonts w:ascii="Arial" w:eastAsia="Times New Roman" w:hAnsi="Arial" w:cs="Arial"/>
                <w:sz w:val="20"/>
                <w:szCs w:val="20"/>
              </w:rPr>
              <w:br/>
              <w:t>16.67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w:t>
            </w:r>
            <w:r w:rsidRPr="000E5D59">
              <w:rPr>
                <w:rFonts w:ascii="Arial" w:eastAsia="Times New Roman" w:hAnsi="Arial" w:cs="Arial"/>
                <w:sz w:val="20"/>
                <w:szCs w:val="20"/>
              </w:rPr>
              <w:br/>
              <w:t>19.25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w:t>
            </w:r>
            <w:r w:rsidRPr="000E5D59">
              <w:rPr>
                <w:rFonts w:ascii="Arial" w:eastAsia="Times New Roman" w:hAnsi="Arial" w:cs="Arial"/>
                <w:sz w:val="20"/>
                <w:szCs w:val="20"/>
              </w:rPr>
              <w:br/>
              <w:t>6.22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w:t>
            </w:r>
            <w:r w:rsidRPr="000E5D59">
              <w:rPr>
                <w:rFonts w:ascii="Arial" w:eastAsia="Times New Roman" w:hAnsi="Arial" w:cs="Arial"/>
                <w:sz w:val="20"/>
                <w:szCs w:val="20"/>
              </w:rPr>
              <w:br/>
              <w:t>5.97</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w:t>
            </w:r>
            <w:r w:rsidRPr="000E5D59">
              <w:rPr>
                <w:rFonts w:ascii="Arial" w:eastAsia="Times New Roman" w:hAnsi="Arial" w:cs="Arial"/>
                <w:sz w:val="20"/>
                <w:szCs w:val="20"/>
              </w:rPr>
              <w:br/>
              <w:t>6.79</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623</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w:t>
            </w:r>
            <w:r w:rsidRPr="000E5D59">
              <w:rPr>
                <w:rFonts w:ascii="Arial" w:eastAsia="Times New Roman" w:hAnsi="Arial" w:cs="Arial"/>
                <w:sz w:val="20"/>
                <w:szCs w:val="20"/>
              </w:rPr>
              <w:br/>
              <w:t>15.25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w:t>
            </w:r>
            <w:r w:rsidRPr="000E5D59">
              <w:rPr>
                <w:rFonts w:ascii="Arial" w:eastAsia="Times New Roman" w:hAnsi="Arial" w:cs="Arial"/>
                <w:sz w:val="20"/>
                <w:szCs w:val="20"/>
              </w:rPr>
              <w:br/>
              <w:t>14.24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w:t>
            </w:r>
            <w:r w:rsidRPr="000E5D59">
              <w:rPr>
                <w:rFonts w:ascii="Arial" w:eastAsia="Times New Roman" w:hAnsi="Arial" w:cs="Arial"/>
                <w:sz w:val="20"/>
                <w:szCs w:val="20"/>
              </w:rPr>
              <w:br/>
              <w:t>17.15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345</w:t>
            </w:r>
            <w:r w:rsidRPr="000E5D59">
              <w:rPr>
                <w:rFonts w:ascii="Arial" w:eastAsia="Times New Roman" w:hAnsi="Arial" w:cs="Arial"/>
                <w:sz w:val="20"/>
                <w:szCs w:val="20"/>
              </w:rPr>
              <w:br/>
              <w:t>55.38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187</w:t>
            </w:r>
            <w:r w:rsidRPr="000E5D59">
              <w:rPr>
                <w:rFonts w:ascii="Arial" w:eastAsia="Times New Roman" w:hAnsi="Arial" w:cs="Arial"/>
                <w:sz w:val="20"/>
                <w:szCs w:val="20"/>
              </w:rPr>
              <w:br/>
              <w:t>55.49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151</w:t>
            </w:r>
            <w:r w:rsidRPr="000E5D59">
              <w:rPr>
                <w:rFonts w:ascii="Arial" w:eastAsia="Times New Roman" w:hAnsi="Arial" w:cs="Arial"/>
                <w:sz w:val="20"/>
                <w:szCs w:val="20"/>
              </w:rPr>
              <w:br/>
              <w:t>55.11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w:t>
            </w:r>
            <w:r w:rsidRPr="000E5D59">
              <w:rPr>
                <w:rFonts w:ascii="Arial" w:eastAsia="Times New Roman" w:hAnsi="Arial" w:cs="Arial"/>
                <w:sz w:val="20"/>
                <w:szCs w:val="20"/>
              </w:rPr>
              <w:br/>
              <w:t>7.87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w:t>
            </w:r>
            <w:r w:rsidRPr="000E5D59">
              <w:rPr>
                <w:rFonts w:ascii="Arial" w:eastAsia="Times New Roman" w:hAnsi="Arial" w:cs="Arial"/>
                <w:sz w:val="20"/>
                <w:szCs w:val="20"/>
              </w:rPr>
              <w:br/>
              <w:t>8.31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w:t>
            </w:r>
            <w:r w:rsidRPr="000E5D59">
              <w:rPr>
                <w:rFonts w:ascii="Arial" w:eastAsia="Times New Roman" w:hAnsi="Arial" w:cs="Arial"/>
                <w:sz w:val="20"/>
                <w:szCs w:val="20"/>
              </w:rPr>
              <w:br/>
              <w:t>7.30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2.41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w:t>
            </w:r>
            <w:r w:rsidRPr="000E5D59">
              <w:rPr>
                <w:rFonts w:ascii="Arial" w:eastAsia="Times New Roman" w:hAnsi="Arial" w:cs="Arial"/>
                <w:sz w:val="20"/>
                <w:szCs w:val="20"/>
              </w:rPr>
              <w:br/>
              <w:t>3.56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0.73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119</w:t>
            </w:r>
            <w:r w:rsidRPr="000E5D59">
              <w:rPr>
                <w:rFonts w:ascii="Arial" w:eastAsia="Times New Roman" w:hAnsi="Arial" w:cs="Arial"/>
                <w:sz w:val="20"/>
                <w:szCs w:val="20"/>
              </w:rPr>
              <w:br/>
              <w:t>19.1</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w:t>
            </w:r>
            <w:r w:rsidRPr="000E5D59">
              <w:rPr>
                <w:rFonts w:ascii="Arial" w:eastAsia="Times New Roman" w:hAnsi="Arial" w:cs="Arial"/>
                <w:sz w:val="20"/>
                <w:szCs w:val="20"/>
              </w:rPr>
              <w:br/>
              <w:t>18.40</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w:t>
            </w:r>
            <w:r w:rsidRPr="000E5D59">
              <w:rPr>
                <w:rFonts w:ascii="Arial" w:eastAsia="Times New Roman" w:hAnsi="Arial" w:cs="Arial"/>
                <w:sz w:val="20"/>
                <w:szCs w:val="20"/>
              </w:rPr>
              <w:br/>
              <w:t>19.71</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103</w:t>
            </w:r>
            <w:r w:rsidRPr="000E5D59">
              <w:rPr>
                <w:rFonts w:ascii="Arial" w:eastAsia="Times New Roman" w:hAnsi="Arial" w:cs="Arial"/>
                <w:sz w:val="20"/>
                <w:szCs w:val="20"/>
              </w:rPr>
              <w:br/>
              <w:t>16.40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w:t>
            </w:r>
            <w:r w:rsidRPr="000E5D59">
              <w:rPr>
                <w:rFonts w:ascii="Arial" w:eastAsia="Times New Roman" w:hAnsi="Arial" w:cs="Arial"/>
                <w:sz w:val="20"/>
                <w:szCs w:val="20"/>
              </w:rPr>
              <w:br/>
              <w:t>16.76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w:t>
            </w:r>
            <w:r w:rsidRPr="000E5D59">
              <w:rPr>
                <w:rFonts w:ascii="Arial" w:eastAsia="Times New Roman" w:hAnsi="Arial" w:cs="Arial"/>
                <w:sz w:val="20"/>
                <w:szCs w:val="20"/>
              </w:rPr>
              <w:br/>
              <w:t>16.30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292</w:t>
            </w:r>
            <w:r w:rsidRPr="000E5D59">
              <w:rPr>
                <w:rFonts w:ascii="Arial" w:eastAsia="Times New Roman" w:hAnsi="Arial" w:cs="Arial"/>
                <w:sz w:val="20"/>
                <w:szCs w:val="20"/>
              </w:rPr>
              <w:br/>
              <w:t>46.50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157</w:t>
            </w:r>
            <w:r w:rsidRPr="000E5D59">
              <w:rPr>
                <w:rFonts w:ascii="Arial" w:eastAsia="Times New Roman" w:hAnsi="Arial" w:cs="Arial"/>
                <w:sz w:val="20"/>
                <w:szCs w:val="20"/>
              </w:rPr>
              <w:br/>
              <w:t>46.18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129</w:t>
            </w:r>
            <w:r w:rsidRPr="000E5D59">
              <w:rPr>
                <w:rFonts w:ascii="Arial" w:eastAsia="Times New Roman" w:hAnsi="Arial" w:cs="Arial"/>
                <w:sz w:val="20"/>
                <w:szCs w:val="20"/>
              </w:rPr>
              <w:br/>
              <w:t>46.74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8.92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w:t>
            </w:r>
            <w:r w:rsidRPr="000E5D59">
              <w:rPr>
                <w:rFonts w:ascii="Arial" w:eastAsia="Times New Roman" w:hAnsi="Arial" w:cs="Arial"/>
                <w:sz w:val="20"/>
                <w:szCs w:val="20"/>
              </w:rPr>
              <w:br/>
              <w:t>7.94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w:t>
            </w:r>
            <w:r w:rsidRPr="000E5D59">
              <w:rPr>
                <w:rFonts w:ascii="Arial" w:eastAsia="Times New Roman" w:hAnsi="Arial" w:cs="Arial"/>
                <w:sz w:val="20"/>
                <w:szCs w:val="20"/>
              </w:rPr>
              <w:br/>
              <w:t>10.51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w:t>
            </w:r>
            <w:r w:rsidRPr="000E5D59">
              <w:rPr>
                <w:rFonts w:ascii="Arial" w:eastAsia="Times New Roman" w:hAnsi="Arial" w:cs="Arial"/>
                <w:sz w:val="20"/>
                <w:szCs w:val="20"/>
              </w:rPr>
              <w:br/>
              <w:t>3.66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4.41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w:t>
            </w:r>
            <w:r w:rsidRPr="000E5D59">
              <w:rPr>
                <w:rFonts w:ascii="Arial" w:eastAsia="Times New Roman" w:hAnsi="Arial" w:cs="Arial"/>
                <w:sz w:val="20"/>
                <w:szCs w:val="20"/>
              </w:rPr>
              <w:br/>
              <w:t>2.90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154</w:t>
            </w:r>
            <w:r w:rsidRPr="000E5D59">
              <w:rPr>
                <w:rFonts w:ascii="Arial" w:eastAsia="Times New Roman" w:hAnsi="Arial" w:cs="Arial"/>
                <w:sz w:val="20"/>
                <w:szCs w:val="20"/>
              </w:rPr>
              <w:br/>
              <w:t>24.52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84</w:t>
            </w:r>
            <w:r w:rsidRPr="000E5D59">
              <w:rPr>
                <w:rFonts w:ascii="Arial" w:eastAsia="Times New Roman" w:hAnsi="Arial" w:cs="Arial"/>
                <w:sz w:val="20"/>
                <w:szCs w:val="20"/>
              </w:rPr>
              <w:br/>
              <w:t>24.71</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w:t>
            </w:r>
            <w:r w:rsidRPr="000E5D59">
              <w:rPr>
                <w:rFonts w:ascii="Arial" w:eastAsia="Times New Roman" w:hAnsi="Arial" w:cs="Arial"/>
                <w:sz w:val="20"/>
                <w:szCs w:val="20"/>
              </w:rPr>
              <w:br/>
              <w:t>23.55</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Default="000E5D59" w:rsidP="006057BE">
      <w:pPr>
        <w:spacing w:after="0" w:line="240" w:lineRule="auto"/>
        <w:rPr>
          <w:rFonts w:ascii="Arial" w:eastAsia="Calibri" w:hAnsi="Arial" w:cs="Arial"/>
          <w:b/>
          <w:sz w:val="24"/>
          <w:szCs w:val="24"/>
        </w:rPr>
      </w:pPr>
    </w:p>
    <w:p w:rsidR="000941B7" w:rsidRDefault="000941B7" w:rsidP="006057BE">
      <w:pPr>
        <w:spacing w:after="0" w:line="240" w:lineRule="auto"/>
        <w:rPr>
          <w:rFonts w:ascii="Arial" w:eastAsia="Calibri" w:hAnsi="Arial" w:cs="Arial"/>
          <w:b/>
          <w:sz w:val="24"/>
          <w:szCs w:val="24"/>
        </w:rPr>
      </w:pPr>
    </w:p>
    <w:p w:rsidR="000941B7" w:rsidRPr="000E5D59" w:rsidRDefault="000941B7"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Table 13B: DPH Patient Survey Oral Capsules and Tables by Age Group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Oral Capsules and Tables by Age Group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(N=3179)</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(N=2748)</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Respondent used oral capsules/tablets (THC and/or CBD)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bCs/>
                <w:sz w:val="20"/>
                <w:szCs w:val="20"/>
              </w:rPr>
            </w:pPr>
            <w:r w:rsidRPr="000E5D59">
              <w:rPr>
                <w:rFonts w:ascii="Arial" w:eastAsia="Times New Roman" w:hAnsi="Arial" w:cs="Arial"/>
                <w:bCs/>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5370</w:t>
            </w:r>
            <w:r w:rsidRPr="000E5D59">
              <w:rPr>
                <w:rFonts w:ascii="Arial" w:eastAsia="Times New Roman" w:hAnsi="Arial" w:cs="Arial"/>
                <w:sz w:val="20"/>
                <w:szCs w:val="20"/>
              </w:rPr>
              <w:br/>
              <w:t>89.19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2822</w:t>
            </w:r>
            <w:r w:rsidRPr="000E5D59">
              <w:rPr>
                <w:rFonts w:ascii="Arial" w:eastAsia="Times New Roman" w:hAnsi="Arial" w:cs="Arial"/>
                <w:sz w:val="20"/>
                <w:szCs w:val="20"/>
              </w:rPr>
              <w:br/>
              <w:t>88.77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2463</w:t>
            </w:r>
            <w:r w:rsidRPr="000E5D59">
              <w:rPr>
                <w:rFonts w:ascii="Arial" w:eastAsia="Times New Roman" w:hAnsi="Arial" w:cs="Arial"/>
                <w:sz w:val="20"/>
                <w:szCs w:val="20"/>
              </w:rPr>
              <w:br/>
              <w:t>89.63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651</w:t>
            </w:r>
            <w:r w:rsidRPr="000E5D59">
              <w:rPr>
                <w:rFonts w:ascii="Arial" w:eastAsia="Times New Roman" w:hAnsi="Arial" w:cs="Arial"/>
                <w:sz w:val="20"/>
                <w:szCs w:val="20"/>
              </w:rPr>
              <w:br/>
              <w:t>10.81</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357</w:t>
            </w:r>
            <w:r w:rsidRPr="000E5D59">
              <w:rPr>
                <w:rFonts w:ascii="Arial" w:eastAsia="Times New Roman" w:hAnsi="Arial" w:cs="Arial"/>
                <w:sz w:val="20"/>
                <w:szCs w:val="20"/>
              </w:rPr>
              <w:br/>
              <w:t>11.23</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285</w:t>
            </w:r>
            <w:r w:rsidRPr="000E5D59">
              <w:rPr>
                <w:rFonts w:ascii="Arial" w:eastAsia="Times New Roman" w:hAnsi="Arial" w:cs="Arial"/>
                <w:sz w:val="20"/>
                <w:szCs w:val="20"/>
              </w:rPr>
              <w:br/>
              <w:t>10.37</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using oral capsules/tablets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331</w:t>
            </w:r>
            <w:r w:rsidRPr="000E5D59">
              <w:rPr>
                <w:rFonts w:ascii="Arial" w:eastAsia="Times New Roman" w:hAnsi="Arial" w:cs="Arial"/>
                <w:sz w:val="20"/>
                <w:szCs w:val="20"/>
              </w:rPr>
              <w:br/>
              <w:t>55.63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206</w:t>
            </w:r>
            <w:r w:rsidRPr="000E5D59">
              <w:rPr>
                <w:rFonts w:ascii="Arial" w:eastAsia="Times New Roman" w:hAnsi="Arial" w:cs="Arial"/>
                <w:sz w:val="20"/>
                <w:szCs w:val="20"/>
              </w:rPr>
              <w:br/>
              <w:t>62.24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121</w:t>
            </w:r>
            <w:r w:rsidRPr="000E5D59">
              <w:rPr>
                <w:rFonts w:ascii="Arial" w:eastAsia="Times New Roman" w:hAnsi="Arial" w:cs="Arial"/>
                <w:sz w:val="20"/>
                <w:szCs w:val="20"/>
              </w:rPr>
              <w:br/>
              <w:t>47.27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121</w:t>
            </w:r>
            <w:r w:rsidRPr="000E5D59">
              <w:rPr>
                <w:rFonts w:ascii="Arial" w:eastAsia="Times New Roman" w:hAnsi="Arial" w:cs="Arial"/>
                <w:sz w:val="20"/>
                <w:szCs w:val="20"/>
              </w:rPr>
              <w:br/>
              <w:t>20.34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w:t>
            </w:r>
            <w:r w:rsidRPr="000E5D59">
              <w:rPr>
                <w:rFonts w:ascii="Arial" w:eastAsia="Times New Roman" w:hAnsi="Arial" w:cs="Arial"/>
                <w:sz w:val="20"/>
                <w:szCs w:val="20"/>
              </w:rPr>
              <w:br/>
              <w:t>17.82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w:t>
            </w:r>
            <w:r w:rsidRPr="000E5D59">
              <w:rPr>
                <w:rFonts w:ascii="Arial" w:eastAsia="Times New Roman" w:hAnsi="Arial" w:cs="Arial"/>
                <w:sz w:val="20"/>
                <w:szCs w:val="20"/>
              </w:rPr>
              <w:br/>
              <w:t>23.44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106</w:t>
            </w:r>
            <w:r w:rsidRPr="000E5D59">
              <w:rPr>
                <w:rFonts w:ascii="Arial" w:eastAsia="Times New Roman" w:hAnsi="Arial" w:cs="Arial"/>
                <w:sz w:val="20"/>
                <w:szCs w:val="20"/>
              </w:rPr>
              <w:br/>
              <w:t>17.82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w:t>
            </w:r>
            <w:r w:rsidRPr="000E5D59">
              <w:rPr>
                <w:rFonts w:ascii="Arial" w:eastAsia="Times New Roman" w:hAnsi="Arial" w:cs="Arial"/>
                <w:sz w:val="20"/>
                <w:szCs w:val="20"/>
              </w:rPr>
              <w:br/>
              <w:t>14.80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55</w:t>
            </w:r>
            <w:r w:rsidRPr="000E5D59">
              <w:rPr>
                <w:rFonts w:ascii="Arial" w:eastAsia="Times New Roman" w:hAnsi="Arial" w:cs="Arial"/>
                <w:sz w:val="20"/>
                <w:szCs w:val="20"/>
              </w:rPr>
              <w:br/>
              <w:t>21.48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w:t>
            </w:r>
            <w:r w:rsidRPr="000E5D59">
              <w:rPr>
                <w:rFonts w:ascii="Arial" w:eastAsia="Times New Roman" w:hAnsi="Arial" w:cs="Arial"/>
                <w:sz w:val="20"/>
                <w:szCs w:val="20"/>
              </w:rPr>
              <w:br/>
              <w:t>6.22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5.14</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w:t>
            </w:r>
            <w:r w:rsidRPr="000E5D59">
              <w:rPr>
                <w:rFonts w:ascii="Arial" w:eastAsia="Times New Roman" w:hAnsi="Arial" w:cs="Arial"/>
                <w:sz w:val="20"/>
                <w:szCs w:val="20"/>
              </w:rPr>
              <w:br/>
              <w:t>7.81</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623</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w:t>
            </w:r>
            <w:r w:rsidRPr="000E5D59">
              <w:rPr>
                <w:rFonts w:ascii="Arial" w:eastAsia="Times New Roman" w:hAnsi="Arial" w:cs="Arial"/>
                <w:sz w:val="20"/>
                <w:szCs w:val="20"/>
              </w:rPr>
              <w:br/>
              <w:t>15.25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w:t>
            </w:r>
            <w:r w:rsidRPr="000E5D59">
              <w:rPr>
                <w:rFonts w:ascii="Arial" w:eastAsia="Times New Roman" w:hAnsi="Arial" w:cs="Arial"/>
                <w:sz w:val="20"/>
                <w:szCs w:val="20"/>
              </w:rPr>
              <w:br/>
              <w:t>14.83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w:t>
            </w:r>
            <w:r w:rsidRPr="000E5D59">
              <w:rPr>
                <w:rFonts w:ascii="Arial" w:eastAsia="Times New Roman" w:hAnsi="Arial" w:cs="Arial"/>
                <w:sz w:val="20"/>
                <w:szCs w:val="20"/>
              </w:rPr>
              <w:br/>
              <w:t>16.24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345</w:t>
            </w:r>
            <w:r w:rsidRPr="000E5D59">
              <w:rPr>
                <w:rFonts w:ascii="Arial" w:eastAsia="Times New Roman" w:hAnsi="Arial" w:cs="Arial"/>
                <w:sz w:val="20"/>
                <w:szCs w:val="20"/>
              </w:rPr>
              <w:br/>
              <w:t>55.38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192</w:t>
            </w:r>
            <w:r w:rsidRPr="000E5D59">
              <w:rPr>
                <w:rFonts w:ascii="Arial" w:eastAsia="Times New Roman" w:hAnsi="Arial" w:cs="Arial"/>
                <w:sz w:val="20"/>
                <w:szCs w:val="20"/>
              </w:rPr>
              <w:br/>
              <w:t>55.81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147</w:t>
            </w:r>
            <w:r w:rsidRPr="000E5D59">
              <w:rPr>
                <w:rFonts w:ascii="Arial" w:eastAsia="Times New Roman" w:hAnsi="Arial" w:cs="Arial"/>
                <w:sz w:val="20"/>
                <w:szCs w:val="20"/>
              </w:rPr>
              <w:br/>
              <w:t>54.24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w:t>
            </w:r>
            <w:r w:rsidRPr="000E5D59">
              <w:rPr>
                <w:rFonts w:ascii="Arial" w:eastAsia="Times New Roman" w:hAnsi="Arial" w:cs="Arial"/>
                <w:sz w:val="20"/>
                <w:szCs w:val="20"/>
              </w:rPr>
              <w:br/>
              <w:t>7.87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w:t>
            </w:r>
            <w:r w:rsidRPr="000E5D59">
              <w:rPr>
                <w:rFonts w:ascii="Arial" w:eastAsia="Times New Roman" w:hAnsi="Arial" w:cs="Arial"/>
                <w:sz w:val="20"/>
                <w:szCs w:val="20"/>
              </w:rPr>
              <w:br/>
              <w:t>9.88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w:t>
            </w:r>
            <w:r w:rsidRPr="000E5D59">
              <w:rPr>
                <w:rFonts w:ascii="Arial" w:eastAsia="Times New Roman" w:hAnsi="Arial" w:cs="Arial"/>
                <w:sz w:val="20"/>
                <w:szCs w:val="20"/>
              </w:rPr>
              <w:br/>
              <w:t>5.17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2.41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w:t>
            </w:r>
            <w:r w:rsidRPr="000E5D59">
              <w:rPr>
                <w:rFonts w:ascii="Arial" w:eastAsia="Times New Roman" w:hAnsi="Arial" w:cs="Arial"/>
                <w:sz w:val="20"/>
                <w:szCs w:val="20"/>
              </w:rPr>
              <w:br/>
              <w:t>2.62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2.21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119</w:t>
            </w:r>
            <w:r w:rsidRPr="000E5D59">
              <w:rPr>
                <w:rFonts w:ascii="Arial" w:eastAsia="Times New Roman" w:hAnsi="Arial" w:cs="Arial"/>
                <w:sz w:val="20"/>
                <w:szCs w:val="20"/>
              </w:rPr>
              <w:br/>
              <w:t>19.1</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w:t>
            </w:r>
            <w:r w:rsidRPr="000E5D59">
              <w:rPr>
                <w:rFonts w:ascii="Arial" w:eastAsia="Times New Roman" w:hAnsi="Arial" w:cs="Arial"/>
                <w:sz w:val="20"/>
                <w:szCs w:val="20"/>
              </w:rPr>
              <w:br/>
              <w:t>16.86</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w:t>
            </w:r>
            <w:r w:rsidRPr="000E5D59">
              <w:rPr>
                <w:rFonts w:ascii="Arial" w:eastAsia="Times New Roman" w:hAnsi="Arial" w:cs="Arial"/>
                <w:sz w:val="20"/>
                <w:szCs w:val="20"/>
              </w:rPr>
              <w:br/>
              <w:t>22.14</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103</w:t>
            </w:r>
            <w:r w:rsidRPr="000E5D59">
              <w:rPr>
                <w:rFonts w:ascii="Arial" w:eastAsia="Times New Roman" w:hAnsi="Arial" w:cs="Arial"/>
                <w:sz w:val="20"/>
                <w:szCs w:val="20"/>
              </w:rPr>
              <w:br/>
              <w:t>16.40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w:t>
            </w:r>
            <w:r w:rsidRPr="000E5D59">
              <w:rPr>
                <w:rFonts w:ascii="Arial" w:eastAsia="Times New Roman" w:hAnsi="Arial" w:cs="Arial"/>
                <w:sz w:val="20"/>
                <w:szCs w:val="20"/>
              </w:rPr>
              <w:br/>
              <w:t>17.68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w:t>
            </w:r>
            <w:r w:rsidRPr="000E5D59">
              <w:rPr>
                <w:rFonts w:ascii="Arial" w:eastAsia="Times New Roman" w:hAnsi="Arial" w:cs="Arial"/>
                <w:sz w:val="20"/>
                <w:szCs w:val="20"/>
              </w:rPr>
              <w:br/>
              <w:t>14.18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292</w:t>
            </w:r>
            <w:r w:rsidRPr="000E5D59">
              <w:rPr>
                <w:rFonts w:ascii="Arial" w:eastAsia="Times New Roman" w:hAnsi="Arial" w:cs="Arial"/>
                <w:sz w:val="20"/>
                <w:szCs w:val="20"/>
              </w:rPr>
              <w:br/>
              <w:t>46.50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169</w:t>
            </w:r>
            <w:r w:rsidRPr="000E5D59">
              <w:rPr>
                <w:rFonts w:ascii="Arial" w:eastAsia="Times New Roman" w:hAnsi="Arial" w:cs="Arial"/>
                <w:sz w:val="20"/>
                <w:szCs w:val="20"/>
              </w:rPr>
              <w:br/>
              <w:t>48.99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119</w:t>
            </w:r>
            <w:r w:rsidRPr="000E5D59">
              <w:rPr>
                <w:rFonts w:ascii="Arial" w:eastAsia="Times New Roman" w:hAnsi="Arial" w:cs="Arial"/>
                <w:sz w:val="20"/>
                <w:szCs w:val="20"/>
              </w:rPr>
              <w:br/>
              <w:t>43.27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8.92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w:t>
            </w:r>
            <w:r w:rsidRPr="000E5D59">
              <w:rPr>
                <w:rFonts w:ascii="Arial" w:eastAsia="Times New Roman" w:hAnsi="Arial" w:cs="Arial"/>
                <w:sz w:val="20"/>
                <w:szCs w:val="20"/>
              </w:rPr>
              <w:br/>
              <w:t>9.86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w:t>
            </w:r>
            <w:r w:rsidRPr="000E5D59">
              <w:rPr>
                <w:rFonts w:ascii="Arial" w:eastAsia="Times New Roman" w:hAnsi="Arial" w:cs="Arial"/>
                <w:sz w:val="20"/>
                <w:szCs w:val="20"/>
              </w:rPr>
              <w:br/>
              <w:t>8.00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w:t>
            </w:r>
            <w:r w:rsidRPr="000E5D59">
              <w:rPr>
                <w:rFonts w:ascii="Arial" w:eastAsia="Times New Roman" w:hAnsi="Arial" w:cs="Arial"/>
                <w:sz w:val="20"/>
                <w:szCs w:val="20"/>
              </w:rPr>
              <w:br/>
              <w:t>3.66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w:t>
            </w:r>
            <w:r w:rsidRPr="000E5D59">
              <w:rPr>
                <w:rFonts w:ascii="Arial" w:eastAsia="Times New Roman" w:hAnsi="Arial" w:cs="Arial"/>
                <w:sz w:val="20"/>
                <w:szCs w:val="20"/>
              </w:rPr>
              <w:br/>
              <w:t>2.32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5.45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154</w:t>
            </w:r>
            <w:r w:rsidRPr="000E5D59">
              <w:rPr>
                <w:rFonts w:ascii="Arial" w:eastAsia="Times New Roman" w:hAnsi="Arial" w:cs="Arial"/>
                <w:sz w:val="20"/>
                <w:szCs w:val="20"/>
              </w:rPr>
              <w:br/>
              <w:t>24.52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73</w:t>
            </w:r>
            <w:r w:rsidRPr="000E5D59">
              <w:rPr>
                <w:rFonts w:ascii="Arial" w:eastAsia="Times New Roman" w:hAnsi="Arial" w:cs="Arial"/>
                <w:sz w:val="20"/>
                <w:szCs w:val="20"/>
              </w:rPr>
              <w:br/>
              <w:t>21.16</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80</w:t>
            </w:r>
            <w:r w:rsidRPr="000E5D59">
              <w:rPr>
                <w:rFonts w:ascii="Arial" w:eastAsia="Times New Roman" w:hAnsi="Arial" w:cs="Arial"/>
                <w:sz w:val="20"/>
                <w:szCs w:val="20"/>
              </w:rPr>
              <w:br/>
              <w:t>29.09</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Table 13C: DPH Patient Survey Oral Capsules and Tables by Education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Oral Capsules and Tables by Education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(N=2836)</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(N=3168)</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Respondent used oral capsules/tablets (THC and/or CBD)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bCs/>
                <w:sz w:val="20"/>
                <w:szCs w:val="20"/>
              </w:rPr>
            </w:pPr>
            <w:r w:rsidRPr="000E5D59">
              <w:rPr>
                <w:rFonts w:ascii="Arial" w:eastAsia="Times New Roman" w:hAnsi="Arial" w:cs="Arial"/>
                <w:bCs/>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5370</w:t>
            </w:r>
            <w:r w:rsidRPr="000E5D59">
              <w:rPr>
                <w:rFonts w:ascii="Arial" w:eastAsia="Times New Roman" w:hAnsi="Arial" w:cs="Arial"/>
                <w:sz w:val="20"/>
                <w:szCs w:val="20"/>
              </w:rPr>
              <w:br/>
              <w:t>89.19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2559</w:t>
            </w:r>
            <w:r w:rsidRPr="000E5D59">
              <w:rPr>
                <w:rFonts w:ascii="Arial" w:eastAsia="Times New Roman" w:hAnsi="Arial" w:cs="Arial"/>
                <w:sz w:val="20"/>
                <w:szCs w:val="20"/>
              </w:rPr>
              <w:br/>
              <w:t>90.23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2795</w:t>
            </w:r>
            <w:r w:rsidRPr="000E5D59">
              <w:rPr>
                <w:rFonts w:ascii="Arial" w:eastAsia="Times New Roman" w:hAnsi="Arial" w:cs="Arial"/>
                <w:sz w:val="20"/>
                <w:szCs w:val="20"/>
              </w:rPr>
              <w:br/>
              <w:t>88.23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651</w:t>
            </w:r>
            <w:r w:rsidRPr="000E5D59">
              <w:rPr>
                <w:rFonts w:ascii="Arial" w:eastAsia="Times New Roman" w:hAnsi="Arial" w:cs="Arial"/>
                <w:sz w:val="20"/>
                <w:szCs w:val="20"/>
              </w:rPr>
              <w:br/>
              <w:t>10.81</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277</w:t>
            </w:r>
            <w:r w:rsidRPr="000E5D59">
              <w:rPr>
                <w:rFonts w:ascii="Arial" w:eastAsia="Times New Roman" w:hAnsi="Arial" w:cs="Arial"/>
                <w:sz w:val="20"/>
                <w:szCs w:val="20"/>
              </w:rPr>
              <w:br/>
              <w:t>9.77</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373</w:t>
            </w:r>
            <w:r w:rsidRPr="000E5D59">
              <w:rPr>
                <w:rFonts w:ascii="Arial" w:eastAsia="Times New Roman" w:hAnsi="Arial" w:cs="Arial"/>
                <w:sz w:val="20"/>
                <w:szCs w:val="20"/>
              </w:rPr>
              <w:br/>
              <w:t>11.77</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using oral capsules/tablets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331</w:t>
            </w:r>
            <w:r w:rsidRPr="000E5D59">
              <w:rPr>
                <w:rFonts w:ascii="Arial" w:eastAsia="Times New Roman" w:hAnsi="Arial" w:cs="Arial"/>
                <w:sz w:val="20"/>
                <w:szCs w:val="20"/>
              </w:rPr>
              <w:br/>
              <w:t>55.63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133</w:t>
            </w:r>
            <w:r w:rsidRPr="000E5D59">
              <w:rPr>
                <w:rFonts w:ascii="Arial" w:eastAsia="Times New Roman" w:hAnsi="Arial" w:cs="Arial"/>
                <w:sz w:val="20"/>
                <w:szCs w:val="20"/>
              </w:rPr>
              <w:br/>
              <w:t>52.99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197</w:t>
            </w:r>
            <w:r w:rsidRPr="000E5D59">
              <w:rPr>
                <w:rFonts w:ascii="Arial" w:eastAsia="Times New Roman" w:hAnsi="Arial" w:cs="Arial"/>
                <w:sz w:val="20"/>
                <w:szCs w:val="20"/>
              </w:rPr>
              <w:br/>
              <w:t>57.43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121</w:t>
            </w:r>
            <w:r w:rsidRPr="000E5D59">
              <w:rPr>
                <w:rFonts w:ascii="Arial" w:eastAsia="Times New Roman" w:hAnsi="Arial" w:cs="Arial"/>
                <w:sz w:val="20"/>
                <w:szCs w:val="20"/>
              </w:rPr>
              <w:br/>
              <w:t>20.34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w:t>
            </w:r>
            <w:r w:rsidRPr="000E5D59">
              <w:rPr>
                <w:rFonts w:ascii="Arial" w:eastAsia="Times New Roman" w:hAnsi="Arial" w:cs="Arial"/>
                <w:sz w:val="20"/>
                <w:szCs w:val="20"/>
              </w:rPr>
              <w:br/>
              <w:t>19.52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72</w:t>
            </w:r>
            <w:r w:rsidRPr="000E5D59">
              <w:rPr>
                <w:rFonts w:ascii="Arial" w:eastAsia="Times New Roman" w:hAnsi="Arial" w:cs="Arial"/>
                <w:sz w:val="20"/>
                <w:szCs w:val="20"/>
              </w:rPr>
              <w:br/>
              <w:t>20.99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106</w:t>
            </w:r>
            <w:r w:rsidRPr="000E5D59">
              <w:rPr>
                <w:rFonts w:ascii="Arial" w:eastAsia="Times New Roman" w:hAnsi="Arial" w:cs="Arial"/>
                <w:sz w:val="20"/>
                <w:szCs w:val="20"/>
              </w:rPr>
              <w:br/>
              <w:t>17.82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w:t>
            </w:r>
            <w:r w:rsidRPr="000E5D59">
              <w:rPr>
                <w:rFonts w:ascii="Arial" w:eastAsia="Times New Roman" w:hAnsi="Arial" w:cs="Arial"/>
                <w:sz w:val="20"/>
                <w:szCs w:val="20"/>
              </w:rPr>
              <w:br/>
              <w:t>18.33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w:t>
            </w:r>
            <w:r w:rsidRPr="000E5D59">
              <w:rPr>
                <w:rFonts w:ascii="Arial" w:eastAsia="Times New Roman" w:hAnsi="Arial" w:cs="Arial"/>
                <w:sz w:val="20"/>
                <w:szCs w:val="20"/>
              </w:rPr>
              <w:br/>
              <w:t>17.49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w:t>
            </w:r>
            <w:r w:rsidRPr="000E5D59">
              <w:rPr>
                <w:rFonts w:ascii="Arial" w:eastAsia="Times New Roman" w:hAnsi="Arial" w:cs="Arial"/>
                <w:sz w:val="20"/>
                <w:szCs w:val="20"/>
              </w:rPr>
              <w:br/>
              <w:t>6.22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w:t>
            </w:r>
            <w:r w:rsidRPr="000E5D59">
              <w:rPr>
                <w:rFonts w:ascii="Arial" w:eastAsia="Times New Roman" w:hAnsi="Arial" w:cs="Arial"/>
                <w:sz w:val="20"/>
                <w:szCs w:val="20"/>
              </w:rPr>
              <w:br/>
              <w:t>9.16</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w:t>
            </w:r>
            <w:r w:rsidRPr="000E5D59">
              <w:rPr>
                <w:rFonts w:ascii="Arial" w:eastAsia="Times New Roman" w:hAnsi="Arial" w:cs="Arial"/>
                <w:sz w:val="20"/>
                <w:szCs w:val="20"/>
              </w:rPr>
              <w:br/>
              <w:t>4.08</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623</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w:t>
            </w:r>
            <w:r w:rsidRPr="000E5D59">
              <w:rPr>
                <w:rFonts w:ascii="Arial" w:eastAsia="Times New Roman" w:hAnsi="Arial" w:cs="Arial"/>
                <w:sz w:val="20"/>
                <w:szCs w:val="20"/>
              </w:rPr>
              <w:br/>
              <w:t>15.25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w:t>
            </w:r>
            <w:r w:rsidRPr="000E5D59">
              <w:rPr>
                <w:rFonts w:ascii="Arial" w:eastAsia="Times New Roman" w:hAnsi="Arial" w:cs="Arial"/>
                <w:sz w:val="20"/>
                <w:szCs w:val="20"/>
              </w:rPr>
              <w:br/>
              <w:t>14.02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w:t>
            </w:r>
            <w:r w:rsidRPr="000E5D59">
              <w:rPr>
                <w:rFonts w:ascii="Arial" w:eastAsia="Times New Roman" w:hAnsi="Arial" w:cs="Arial"/>
                <w:sz w:val="20"/>
                <w:szCs w:val="20"/>
              </w:rPr>
              <w:br/>
              <w:t>16.20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345</w:t>
            </w:r>
            <w:r w:rsidRPr="000E5D59">
              <w:rPr>
                <w:rFonts w:ascii="Arial" w:eastAsia="Times New Roman" w:hAnsi="Arial" w:cs="Arial"/>
                <w:sz w:val="20"/>
                <w:szCs w:val="20"/>
              </w:rPr>
              <w:br/>
              <w:t>55.38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136</w:t>
            </w:r>
            <w:r w:rsidRPr="000E5D59">
              <w:rPr>
                <w:rFonts w:ascii="Arial" w:eastAsia="Times New Roman" w:hAnsi="Arial" w:cs="Arial"/>
                <w:sz w:val="20"/>
                <w:szCs w:val="20"/>
              </w:rPr>
              <w:br/>
              <w:t>51.52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208</w:t>
            </w:r>
            <w:r w:rsidRPr="000E5D59">
              <w:rPr>
                <w:rFonts w:ascii="Arial" w:eastAsia="Times New Roman" w:hAnsi="Arial" w:cs="Arial"/>
                <w:sz w:val="20"/>
                <w:szCs w:val="20"/>
              </w:rPr>
              <w:br/>
              <w:t>58.10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w:t>
            </w:r>
            <w:r w:rsidRPr="000E5D59">
              <w:rPr>
                <w:rFonts w:ascii="Arial" w:eastAsia="Times New Roman" w:hAnsi="Arial" w:cs="Arial"/>
                <w:sz w:val="20"/>
                <w:szCs w:val="20"/>
              </w:rPr>
              <w:br/>
              <w:t>7.87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w:t>
            </w:r>
            <w:r w:rsidRPr="000E5D59">
              <w:rPr>
                <w:rFonts w:ascii="Arial" w:eastAsia="Times New Roman" w:hAnsi="Arial" w:cs="Arial"/>
                <w:sz w:val="20"/>
                <w:szCs w:val="20"/>
              </w:rPr>
              <w:br/>
              <w:t>10.98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w:t>
            </w:r>
            <w:r w:rsidRPr="000E5D59">
              <w:rPr>
                <w:rFonts w:ascii="Arial" w:eastAsia="Times New Roman" w:hAnsi="Arial" w:cs="Arial"/>
                <w:sz w:val="20"/>
                <w:szCs w:val="20"/>
              </w:rPr>
              <w:br/>
              <w:t>5.59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2.41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2.27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w:t>
            </w:r>
            <w:r w:rsidRPr="000E5D59">
              <w:rPr>
                <w:rFonts w:ascii="Arial" w:eastAsia="Times New Roman" w:hAnsi="Arial" w:cs="Arial"/>
                <w:sz w:val="20"/>
                <w:szCs w:val="20"/>
              </w:rPr>
              <w:br/>
              <w:t>2.51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119</w:t>
            </w:r>
            <w:r w:rsidRPr="000E5D59">
              <w:rPr>
                <w:rFonts w:ascii="Arial" w:eastAsia="Times New Roman" w:hAnsi="Arial" w:cs="Arial"/>
                <w:sz w:val="20"/>
                <w:szCs w:val="20"/>
              </w:rPr>
              <w:br/>
              <w:t>19.1</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21.21</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w:t>
            </w:r>
            <w:r w:rsidRPr="000E5D59">
              <w:rPr>
                <w:rFonts w:ascii="Arial" w:eastAsia="Times New Roman" w:hAnsi="Arial" w:cs="Arial"/>
                <w:sz w:val="20"/>
                <w:szCs w:val="20"/>
              </w:rPr>
              <w:br/>
              <w:t>17.60</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103</w:t>
            </w:r>
            <w:r w:rsidRPr="000E5D59">
              <w:rPr>
                <w:rFonts w:ascii="Arial" w:eastAsia="Times New Roman" w:hAnsi="Arial" w:cs="Arial"/>
                <w:sz w:val="20"/>
                <w:szCs w:val="20"/>
              </w:rPr>
              <w:br/>
              <w:t>16.40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w:t>
            </w:r>
            <w:r w:rsidRPr="000E5D59">
              <w:rPr>
                <w:rFonts w:ascii="Arial" w:eastAsia="Times New Roman" w:hAnsi="Arial" w:cs="Arial"/>
                <w:sz w:val="20"/>
                <w:szCs w:val="20"/>
              </w:rPr>
              <w:br/>
              <w:t>14.98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w:t>
            </w:r>
            <w:r w:rsidRPr="000E5D59">
              <w:rPr>
                <w:rFonts w:ascii="Arial" w:eastAsia="Times New Roman" w:hAnsi="Arial" w:cs="Arial"/>
                <w:sz w:val="20"/>
                <w:szCs w:val="20"/>
              </w:rPr>
              <w:br/>
              <w:t>17.22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292</w:t>
            </w:r>
            <w:r w:rsidRPr="000E5D59">
              <w:rPr>
                <w:rFonts w:ascii="Arial" w:eastAsia="Times New Roman" w:hAnsi="Arial" w:cs="Arial"/>
                <w:sz w:val="20"/>
                <w:szCs w:val="20"/>
              </w:rPr>
              <w:br/>
              <w:t>46.50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122</w:t>
            </w:r>
            <w:r w:rsidRPr="000E5D59">
              <w:rPr>
                <w:rFonts w:ascii="Arial" w:eastAsia="Times New Roman" w:hAnsi="Arial" w:cs="Arial"/>
                <w:sz w:val="20"/>
                <w:szCs w:val="20"/>
              </w:rPr>
              <w:br/>
              <w:t>45.69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170</w:t>
            </w:r>
            <w:r w:rsidRPr="000E5D59">
              <w:rPr>
                <w:rFonts w:ascii="Arial" w:eastAsia="Times New Roman" w:hAnsi="Arial" w:cs="Arial"/>
                <w:sz w:val="20"/>
                <w:szCs w:val="20"/>
              </w:rPr>
              <w:br/>
              <w:t>47.22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8.92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w:t>
            </w:r>
            <w:r w:rsidRPr="000E5D59">
              <w:rPr>
                <w:rFonts w:ascii="Arial" w:eastAsia="Times New Roman" w:hAnsi="Arial" w:cs="Arial"/>
                <w:sz w:val="20"/>
                <w:szCs w:val="20"/>
              </w:rPr>
              <w:br/>
              <w:t>10.11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w:t>
            </w:r>
            <w:r w:rsidRPr="000E5D59">
              <w:rPr>
                <w:rFonts w:ascii="Arial" w:eastAsia="Times New Roman" w:hAnsi="Arial" w:cs="Arial"/>
                <w:sz w:val="20"/>
                <w:szCs w:val="20"/>
              </w:rPr>
              <w:br/>
              <w:t>8.06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w:t>
            </w:r>
            <w:r w:rsidRPr="000E5D59">
              <w:rPr>
                <w:rFonts w:ascii="Arial" w:eastAsia="Times New Roman" w:hAnsi="Arial" w:cs="Arial"/>
                <w:sz w:val="20"/>
                <w:szCs w:val="20"/>
              </w:rPr>
              <w:br/>
              <w:t>3.66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w:t>
            </w:r>
            <w:r w:rsidRPr="000E5D59">
              <w:rPr>
                <w:rFonts w:ascii="Arial" w:eastAsia="Times New Roman" w:hAnsi="Arial" w:cs="Arial"/>
                <w:sz w:val="20"/>
                <w:szCs w:val="20"/>
              </w:rPr>
              <w:br/>
              <w:t>4.12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w:t>
            </w:r>
            <w:r w:rsidRPr="000E5D59">
              <w:rPr>
                <w:rFonts w:ascii="Arial" w:eastAsia="Times New Roman" w:hAnsi="Arial" w:cs="Arial"/>
                <w:sz w:val="20"/>
                <w:szCs w:val="20"/>
              </w:rPr>
              <w:br/>
              <w:t>3.33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154</w:t>
            </w:r>
            <w:r w:rsidRPr="000E5D59">
              <w:rPr>
                <w:rFonts w:ascii="Arial" w:eastAsia="Times New Roman" w:hAnsi="Arial" w:cs="Arial"/>
                <w:sz w:val="20"/>
                <w:szCs w:val="20"/>
              </w:rPr>
              <w:br/>
              <w:t>24.52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67</w:t>
            </w:r>
            <w:r w:rsidRPr="000E5D59">
              <w:rPr>
                <w:rFonts w:ascii="Arial" w:eastAsia="Times New Roman" w:hAnsi="Arial" w:cs="Arial"/>
                <w:sz w:val="20"/>
                <w:szCs w:val="20"/>
              </w:rPr>
              <w:br/>
              <w:t>25.09</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87</w:t>
            </w:r>
            <w:r w:rsidRPr="000E5D59">
              <w:rPr>
                <w:rFonts w:ascii="Arial" w:eastAsia="Times New Roman" w:hAnsi="Arial" w:cs="Arial"/>
                <w:sz w:val="20"/>
                <w:szCs w:val="20"/>
              </w:rPr>
              <w:br/>
              <w:t>24.17</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AC40A7">
      <w:pPr>
        <w:pStyle w:val="Heading3"/>
      </w:pPr>
      <w:bookmarkStart w:id="229" w:name="_Toc11765957"/>
      <w:bookmarkStart w:id="230" w:name="_Toc11766612"/>
      <w:r w:rsidRPr="000E5D59">
        <w:t>Topical Cannabis, Oil, Ointment, Lotion, Salve</w:t>
      </w:r>
      <w:bookmarkEnd w:id="229"/>
      <w:bookmarkEnd w:id="230"/>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Tables 14A, 14B, and 14C</w:t>
      </w:r>
      <w:r w:rsidRPr="000E5D59">
        <w:rPr>
          <w:rFonts w:ascii="Arial" w:eastAsia="Calibri" w:hAnsi="Arial" w:cs="Arial"/>
          <w:sz w:val="24"/>
          <w:szCs w:val="24"/>
        </w:rPr>
        <w:t xml:space="preserve"> summarize results of survey responses pertaining to applying topical cannabis, oil, ointment, lotion, salve, or other marijuana products to the skin, with comparisons by gender, age group, and educational attainment, respectively. 27% of respondents who reported using marijuana at least once in the past 30 days reported applying topical cannabis to the skin in the past 30 days. A significantly larger proportion of female respondents compared to males report applying topical cannabis (35% vs. 20%).</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Twenty-six percent of respondents who reported using topical cannabis in the past 30 days reported applying topical cannabis to the skin at least once per day, while 42% reported applying topical cannabis less than once per week. A larger proportion of respondents without a Bachelor’s degree than respondents with a degree reported applying topical cannabis to the skin multiple times per day (14% vs. 7%), while a larger proportion of respondents with a Bachelor’s degree than without reported applying topical cannabis to the skin less than once per week (46% vs. 36%).</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respondents who reported applying topical cannabis, oil, ointment, lotion, salve, etc. to the skin in the past 30 days were asked to indicate the amount of THC administered by using these products over the past 30 days. The amount of THC reported by respondents should be interpreted with caution, as more than 2 in 5 respondents did not know how much THC they administered through topical cannabis. However, 38% of respondents reported administering between 1 and 150 mg of THC in the past 30 days through topical cannabis, and 13% reported administering 0 mg of THC. A larger proportion of male respondents than female reported administering between 1 and 150 mg of topical cannabis to the skin (46% vs. 33%), while a larger proportion of females than males did not know how much THC they administered through topical cannabis (49% vs. 38%).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All respondents who reported applying topical cannabis, oil, ointment, lotion, salve, etc. to the skin in the past 30 days were asked to indicate the amount of CBD administered by using these products over the past 30 days. The amount of CBD reported by respondents should be interpreted with caution, as almost one half of all respondents did not know how much CBD they administered through topical cannabis. However, 42% of respondents reported administering between 1 and 150 mg of CBD in the past 30 days through topical cannabis.</w:t>
      </w: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Table 14A: DPH Patient Survey Topical Marijuana by Gender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Topical Marijuana by Gender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(N=3251)</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(N=2672)</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Respondent applied topical marijuana to skin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4421</w:t>
            </w:r>
            <w:r w:rsidRPr="000E5D59">
              <w:rPr>
                <w:rFonts w:ascii="Arial" w:eastAsia="Times New Roman" w:hAnsi="Arial" w:cs="Arial"/>
                <w:sz w:val="20"/>
                <w:szCs w:val="20"/>
              </w:rPr>
              <w:br/>
              <w:t>73.43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2613</w:t>
            </w:r>
            <w:r w:rsidRPr="000E5D59">
              <w:rPr>
                <w:rFonts w:ascii="Arial" w:eastAsia="Times New Roman" w:hAnsi="Arial" w:cs="Arial"/>
                <w:sz w:val="20"/>
                <w:szCs w:val="20"/>
              </w:rPr>
              <w:br/>
              <w:t>80.38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1739</w:t>
            </w:r>
            <w:r w:rsidRPr="000E5D59">
              <w:rPr>
                <w:rFonts w:ascii="Arial" w:eastAsia="Times New Roman" w:hAnsi="Arial" w:cs="Arial"/>
                <w:sz w:val="20"/>
                <w:szCs w:val="20"/>
              </w:rPr>
              <w:br/>
              <w:t>65.08</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1600</w:t>
            </w:r>
            <w:r w:rsidRPr="000E5D59">
              <w:rPr>
                <w:rFonts w:ascii="Arial" w:eastAsia="Times New Roman" w:hAnsi="Arial" w:cs="Arial"/>
                <w:sz w:val="20"/>
                <w:szCs w:val="20"/>
              </w:rPr>
              <w:br/>
              <w:t>26.57</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638</w:t>
            </w:r>
            <w:r w:rsidRPr="000E5D59">
              <w:rPr>
                <w:rFonts w:ascii="Arial" w:eastAsia="Times New Roman" w:hAnsi="Arial" w:cs="Arial"/>
                <w:sz w:val="20"/>
                <w:szCs w:val="20"/>
              </w:rPr>
              <w:br/>
              <w:t>19.62</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933</w:t>
            </w:r>
            <w:r w:rsidRPr="000E5D59">
              <w:rPr>
                <w:rFonts w:ascii="Arial" w:eastAsia="Times New Roman" w:hAnsi="Arial" w:cs="Arial"/>
                <w:sz w:val="20"/>
                <w:szCs w:val="20"/>
              </w:rPr>
              <w:br/>
              <w:t>34.92</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Frequency of applying topical marijuana to skin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1513</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628</w:t>
            </w:r>
            <w:r w:rsidRPr="000E5D59">
              <w:rPr>
                <w:rFonts w:ascii="Arial" w:eastAsia="Times New Roman" w:hAnsi="Arial" w:cs="Arial"/>
                <w:sz w:val="20"/>
                <w:szCs w:val="20"/>
              </w:rPr>
              <w:br/>
              <w:t>41.51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271</w:t>
            </w:r>
            <w:r w:rsidRPr="000E5D59">
              <w:rPr>
                <w:rFonts w:ascii="Arial" w:eastAsia="Times New Roman" w:hAnsi="Arial" w:cs="Arial"/>
                <w:sz w:val="20"/>
                <w:szCs w:val="20"/>
              </w:rPr>
              <w:br/>
              <w:t>45.55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344</w:t>
            </w:r>
            <w:r w:rsidRPr="000E5D59">
              <w:rPr>
                <w:rFonts w:ascii="Arial" w:eastAsia="Times New Roman" w:hAnsi="Arial" w:cs="Arial"/>
                <w:sz w:val="20"/>
                <w:szCs w:val="20"/>
              </w:rPr>
              <w:br/>
              <w:t>38.65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494</w:t>
            </w:r>
            <w:r w:rsidRPr="000E5D59">
              <w:rPr>
                <w:rFonts w:ascii="Arial" w:eastAsia="Times New Roman" w:hAnsi="Arial" w:cs="Arial"/>
                <w:sz w:val="20"/>
                <w:szCs w:val="20"/>
              </w:rPr>
              <w:br/>
              <w:t>32.65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195</w:t>
            </w:r>
            <w:r w:rsidRPr="000E5D59">
              <w:rPr>
                <w:rFonts w:ascii="Arial" w:eastAsia="Times New Roman" w:hAnsi="Arial" w:cs="Arial"/>
                <w:sz w:val="20"/>
                <w:szCs w:val="20"/>
              </w:rPr>
              <w:br/>
              <w:t>32.77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293</w:t>
            </w:r>
            <w:r w:rsidRPr="000E5D59">
              <w:rPr>
                <w:rFonts w:ascii="Arial" w:eastAsia="Times New Roman" w:hAnsi="Arial" w:cs="Arial"/>
                <w:sz w:val="20"/>
                <w:szCs w:val="20"/>
              </w:rPr>
              <w:br/>
              <w:t>32.92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229</w:t>
            </w:r>
            <w:r w:rsidRPr="000E5D59">
              <w:rPr>
                <w:rFonts w:ascii="Arial" w:eastAsia="Times New Roman" w:hAnsi="Arial" w:cs="Arial"/>
                <w:sz w:val="20"/>
                <w:szCs w:val="20"/>
              </w:rPr>
              <w:br/>
              <w:t>15.14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88</w:t>
            </w:r>
            <w:r w:rsidRPr="000E5D59">
              <w:rPr>
                <w:rFonts w:ascii="Arial" w:eastAsia="Times New Roman" w:hAnsi="Arial" w:cs="Arial"/>
                <w:sz w:val="20"/>
                <w:szCs w:val="20"/>
              </w:rPr>
              <w:br/>
              <w:t>14.79</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136</w:t>
            </w:r>
            <w:r w:rsidRPr="000E5D59">
              <w:rPr>
                <w:rFonts w:ascii="Arial" w:eastAsia="Times New Roman" w:hAnsi="Arial" w:cs="Arial"/>
                <w:sz w:val="20"/>
                <w:szCs w:val="20"/>
              </w:rPr>
              <w:br/>
              <w:t>15.28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162</w:t>
            </w:r>
            <w:r w:rsidRPr="000E5D59">
              <w:rPr>
                <w:rFonts w:ascii="Arial" w:eastAsia="Times New Roman" w:hAnsi="Arial" w:cs="Arial"/>
                <w:sz w:val="20"/>
                <w:szCs w:val="20"/>
              </w:rPr>
              <w:br/>
              <w:t>10.71</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w:t>
            </w:r>
            <w:r w:rsidRPr="000E5D59">
              <w:rPr>
                <w:rFonts w:ascii="Arial" w:eastAsia="Times New Roman" w:hAnsi="Arial" w:cs="Arial"/>
                <w:sz w:val="20"/>
                <w:szCs w:val="20"/>
              </w:rPr>
              <w:br/>
              <w:t>6.89</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117</w:t>
            </w:r>
            <w:r w:rsidRPr="000E5D59">
              <w:rPr>
                <w:rFonts w:ascii="Arial" w:eastAsia="Times New Roman" w:hAnsi="Arial" w:cs="Arial"/>
                <w:sz w:val="20"/>
                <w:szCs w:val="20"/>
              </w:rPr>
              <w:br/>
              <w:t>13.15</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1554</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205</w:t>
            </w:r>
            <w:r w:rsidRPr="000E5D59">
              <w:rPr>
                <w:rFonts w:ascii="Arial" w:eastAsia="Times New Roman" w:hAnsi="Arial" w:cs="Arial"/>
                <w:sz w:val="20"/>
                <w:szCs w:val="20"/>
              </w:rPr>
              <w:br/>
              <w:t>13.19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w:t>
            </w:r>
            <w:r w:rsidRPr="000E5D59">
              <w:rPr>
                <w:rFonts w:ascii="Arial" w:eastAsia="Times New Roman" w:hAnsi="Arial" w:cs="Arial"/>
                <w:sz w:val="20"/>
                <w:szCs w:val="20"/>
              </w:rPr>
              <w:br/>
              <w:t>11.45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130</w:t>
            </w:r>
            <w:r w:rsidRPr="000E5D59">
              <w:rPr>
                <w:rFonts w:ascii="Arial" w:eastAsia="Times New Roman" w:hAnsi="Arial" w:cs="Arial"/>
                <w:sz w:val="20"/>
                <w:szCs w:val="20"/>
              </w:rPr>
              <w:br/>
              <w:t>14.35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593</w:t>
            </w:r>
            <w:r w:rsidRPr="000E5D59">
              <w:rPr>
                <w:rFonts w:ascii="Arial" w:eastAsia="Times New Roman" w:hAnsi="Arial" w:cs="Arial"/>
                <w:sz w:val="20"/>
                <w:szCs w:val="20"/>
              </w:rPr>
              <w:br/>
              <w:t>38.16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284</w:t>
            </w:r>
            <w:r w:rsidRPr="000E5D59">
              <w:rPr>
                <w:rFonts w:ascii="Arial" w:eastAsia="Times New Roman" w:hAnsi="Arial" w:cs="Arial"/>
                <w:sz w:val="20"/>
                <w:szCs w:val="20"/>
              </w:rPr>
              <w:br/>
              <w:t>45.81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298</w:t>
            </w:r>
            <w:r w:rsidRPr="000E5D59">
              <w:rPr>
                <w:rFonts w:ascii="Arial" w:eastAsia="Times New Roman" w:hAnsi="Arial" w:cs="Arial"/>
                <w:sz w:val="20"/>
                <w:szCs w:val="20"/>
              </w:rPr>
              <w:br/>
              <w:t>32.89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w:t>
            </w:r>
            <w:r w:rsidRPr="000E5D59">
              <w:rPr>
                <w:rFonts w:ascii="Arial" w:eastAsia="Times New Roman" w:hAnsi="Arial" w:cs="Arial"/>
                <w:sz w:val="20"/>
                <w:szCs w:val="20"/>
              </w:rPr>
              <w:br/>
              <w:t>3.67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w:t>
            </w:r>
            <w:r w:rsidRPr="000E5D59">
              <w:rPr>
                <w:rFonts w:ascii="Arial" w:eastAsia="Times New Roman" w:hAnsi="Arial" w:cs="Arial"/>
                <w:sz w:val="20"/>
                <w:szCs w:val="20"/>
              </w:rPr>
              <w:br/>
              <w:t>4.35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w:t>
            </w:r>
            <w:r w:rsidRPr="000E5D59">
              <w:rPr>
                <w:rFonts w:ascii="Arial" w:eastAsia="Times New Roman" w:hAnsi="Arial" w:cs="Arial"/>
                <w:sz w:val="20"/>
                <w:szCs w:val="20"/>
              </w:rPr>
              <w:br/>
              <w:t>3.09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0.64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0.48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0.66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689</w:t>
            </w:r>
            <w:r w:rsidRPr="000E5D59">
              <w:rPr>
                <w:rFonts w:ascii="Arial" w:eastAsia="Times New Roman" w:hAnsi="Arial" w:cs="Arial"/>
                <w:sz w:val="20"/>
                <w:szCs w:val="20"/>
              </w:rPr>
              <w:br/>
              <w:t>44.34</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235</w:t>
            </w:r>
            <w:r w:rsidRPr="000E5D59">
              <w:rPr>
                <w:rFonts w:ascii="Arial" w:eastAsia="Times New Roman" w:hAnsi="Arial" w:cs="Arial"/>
                <w:sz w:val="20"/>
                <w:szCs w:val="20"/>
              </w:rPr>
              <w:br/>
              <w:t>37.90</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444</w:t>
            </w:r>
            <w:r w:rsidRPr="000E5D59">
              <w:rPr>
                <w:rFonts w:ascii="Arial" w:eastAsia="Times New Roman" w:hAnsi="Arial" w:cs="Arial"/>
                <w:sz w:val="20"/>
                <w:szCs w:val="20"/>
              </w:rPr>
              <w:br/>
              <w:t>49.01</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1557</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103</w:t>
            </w:r>
            <w:r w:rsidRPr="000E5D59">
              <w:rPr>
                <w:rFonts w:ascii="Arial" w:eastAsia="Times New Roman" w:hAnsi="Arial" w:cs="Arial"/>
                <w:sz w:val="20"/>
                <w:szCs w:val="20"/>
              </w:rPr>
              <w:br/>
              <w:t>6.62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w:t>
            </w:r>
            <w:r w:rsidRPr="000E5D59">
              <w:rPr>
                <w:rFonts w:ascii="Arial" w:eastAsia="Times New Roman" w:hAnsi="Arial" w:cs="Arial"/>
                <w:sz w:val="20"/>
                <w:szCs w:val="20"/>
              </w:rPr>
              <w:br/>
              <w:t>6.43</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w:t>
            </w:r>
            <w:r w:rsidRPr="000E5D59">
              <w:rPr>
                <w:rFonts w:ascii="Arial" w:eastAsia="Times New Roman" w:hAnsi="Arial" w:cs="Arial"/>
                <w:sz w:val="20"/>
                <w:szCs w:val="20"/>
              </w:rPr>
              <w:br/>
              <w:t>6.62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656</w:t>
            </w:r>
            <w:r w:rsidRPr="000E5D59">
              <w:rPr>
                <w:rFonts w:ascii="Arial" w:eastAsia="Times New Roman" w:hAnsi="Arial" w:cs="Arial"/>
                <w:sz w:val="20"/>
                <w:szCs w:val="20"/>
              </w:rPr>
              <w:br/>
              <w:t>42.13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299</w:t>
            </w:r>
            <w:r w:rsidRPr="000E5D59">
              <w:rPr>
                <w:rFonts w:ascii="Arial" w:eastAsia="Times New Roman" w:hAnsi="Arial" w:cs="Arial"/>
                <w:sz w:val="20"/>
                <w:szCs w:val="20"/>
              </w:rPr>
              <w:br/>
              <w:t>48.07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344</w:t>
            </w:r>
            <w:r w:rsidRPr="000E5D59">
              <w:rPr>
                <w:rFonts w:ascii="Arial" w:eastAsia="Times New Roman" w:hAnsi="Arial" w:cs="Arial"/>
                <w:sz w:val="20"/>
                <w:szCs w:val="20"/>
              </w:rPr>
              <w:br/>
              <w:t>37.93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w:t>
            </w:r>
            <w:r w:rsidRPr="000E5D59">
              <w:rPr>
                <w:rFonts w:ascii="Arial" w:eastAsia="Times New Roman" w:hAnsi="Arial" w:cs="Arial"/>
                <w:sz w:val="20"/>
                <w:szCs w:val="20"/>
              </w:rPr>
              <w:br/>
              <w:t>4.50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w:t>
            </w:r>
            <w:r w:rsidRPr="000E5D59">
              <w:rPr>
                <w:rFonts w:ascii="Arial" w:eastAsia="Times New Roman" w:hAnsi="Arial" w:cs="Arial"/>
                <w:sz w:val="20"/>
                <w:szCs w:val="20"/>
              </w:rPr>
              <w:br/>
              <w:t>4.98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w:t>
            </w:r>
            <w:r w:rsidRPr="000E5D59">
              <w:rPr>
                <w:rFonts w:ascii="Arial" w:eastAsia="Times New Roman" w:hAnsi="Arial" w:cs="Arial"/>
                <w:sz w:val="20"/>
                <w:szCs w:val="20"/>
              </w:rPr>
              <w:br/>
              <w:t>3.97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0.64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0.48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0.77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718</w:t>
            </w:r>
            <w:r w:rsidRPr="000E5D59">
              <w:rPr>
                <w:rFonts w:ascii="Arial" w:eastAsia="Times New Roman" w:hAnsi="Arial" w:cs="Arial"/>
                <w:sz w:val="20"/>
                <w:szCs w:val="20"/>
              </w:rPr>
              <w:br/>
              <w:t>46.11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249</w:t>
            </w:r>
            <w:r w:rsidRPr="000E5D59">
              <w:rPr>
                <w:rFonts w:ascii="Arial" w:eastAsia="Times New Roman" w:hAnsi="Arial" w:cs="Arial"/>
                <w:sz w:val="20"/>
                <w:szCs w:val="20"/>
              </w:rPr>
              <w:br/>
              <w:t>40.03</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460</w:t>
            </w:r>
            <w:r w:rsidRPr="000E5D59">
              <w:rPr>
                <w:rFonts w:ascii="Arial" w:eastAsia="Times New Roman" w:hAnsi="Arial" w:cs="Arial"/>
                <w:sz w:val="20"/>
                <w:szCs w:val="20"/>
              </w:rPr>
              <w:br/>
              <w:t>50.72</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Default="000E5D59" w:rsidP="006057BE">
      <w:pPr>
        <w:spacing w:after="0" w:line="240" w:lineRule="auto"/>
        <w:rPr>
          <w:rFonts w:ascii="Arial" w:eastAsia="Calibri" w:hAnsi="Arial" w:cs="Arial"/>
          <w:b/>
          <w:sz w:val="24"/>
          <w:szCs w:val="24"/>
        </w:rPr>
      </w:pPr>
    </w:p>
    <w:p w:rsidR="000941B7" w:rsidRPr="000E5D59" w:rsidRDefault="000941B7"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Table 14B: DPH Patient Survey Topical Marijuana by Age Group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Topical Marijuana by Age Group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(N=3179)</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(N=2748)</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Respondent applied topical marijuana to skin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4421</w:t>
            </w:r>
            <w:r w:rsidRPr="000E5D59">
              <w:rPr>
                <w:rFonts w:ascii="Arial" w:eastAsia="Times New Roman" w:hAnsi="Arial" w:cs="Arial"/>
                <w:sz w:val="20"/>
                <w:szCs w:val="20"/>
              </w:rPr>
              <w:br/>
              <w:t>73.43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2376</w:t>
            </w:r>
            <w:r w:rsidRPr="000E5D59">
              <w:rPr>
                <w:rFonts w:ascii="Arial" w:eastAsia="Times New Roman" w:hAnsi="Arial" w:cs="Arial"/>
                <w:sz w:val="20"/>
                <w:szCs w:val="20"/>
              </w:rPr>
              <w:br/>
              <w:t>74.74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1978</w:t>
            </w:r>
            <w:r w:rsidRPr="000E5D59">
              <w:rPr>
                <w:rFonts w:ascii="Arial" w:eastAsia="Times New Roman" w:hAnsi="Arial" w:cs="Arial"/>
                <w:sz w:val="20"/>
                <w:szCs w:val="20"/>
              </w:rPr>
              <w:br/>
              <w:t>71.98</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1600</w:t>
            </w:r>
            <w:r w:rsidRPr="000E5D59">
              <w:rPr>
                <w:rFonts w:ascii="Arial" w:eastAsia="Times New Roman" w:hAnsi="Arial" w:cs="Arial"/>
                <w:sz w:val="20"/>
                <w:szCs w:val="20"/>
              </w:rPr>
              <w:br/>
              <w:t>26.57</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803</w:t>
            </w:r>
            <w:r w:rsidRPr="000E5D59">
              <w:rPr>
                <w:rFonts w:ascii="Arial" w:eastAsia="Times New Roman" w:hAnsi="Arial" w:cs="Arial"/>
                <w:sz w:val="20"/>
                <w:szCs w:val="20"/>
              </w:rPr>
              <w:br/>
              <w:t>25.26</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770</w:t>
            </w:r>
            <w:r w:rsidRPr="000E5D59">
              <w:rPr>
                <w:rFonts w:ascii="Arial" w:eastAsia="Times New Roman" w:hAnsi="Arial" w:cs="Arial"/>
                <w:sz w:val="20"/>
                <w:szCs w:val="20"/>
              </w:rPr>
              <w:br/>
              <w:t>28.02</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Frequency of applying topical marijuana to skin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1513</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628</w:t>
            </w:r>
            <w:r w:rsidRPr="000E5D59">
              <w:rPr>
                <w:rFonts w:ascii="Arial" w:eastAsia="Times New Roman" w:hAnsi="Arial" w:cs="Arial"/>
                <w:sz w:val="20"/>
                <w:szCs w:val="20"/>
              </w:rPr>
              <w:br/>
              <w:t>41.51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355</w:t>
            </w:r>
            <w:r w:rsidRPr="000E5D59">
              <w:rPr>
                <w:rFonts w:ascii="Arial" w:eastAsia="Times New Roman" w:hAnsi="Arial" w:cs="Arial"/>
                <w:sz w:val="20"/>
                <w:szCs w:val="20"/>
              </w:rPr>
              <w:br/>
              <w:t>46.65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261</w:t>
            </w:r>
            <w:r w:rsidRPr="000E5D59">
              <w:rPr>
                <w:rFonts w:ascii="Arial" w:eastAsia="Times New Roman" w:hAnsi="Arial" w:cs="Arial"/>
                <w:sz w:val="20"/>
                <w:szCs w:val="20"/>
              </w:rPr>
              <w:br/>
              <w:t>35.80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494</w:t>
            </w:r>
            <w:r w:rsidRPr="000E5D59">
              <w:rPr>
                <w:rFonts w:ascii="Arial" w:eastAsia="Times New Roman" w:hAnsi="Arial" w:cs="Arial"/>
                <w:sz w:val="20"/>
                <w:szCs w:val="20"/>
              </w:rPr>
              <w:br/>
              <w:t>32.65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238</w:t>
            </w:r>
            <w:r w:rsidRPr="000E5D59">
              <w:rPr>
                <w:rFonts w:ascii="Arial" w:eastAsia="Times New Roman" w:hAnsi="Arial" w:cs="Arial"/>
                <w:sz w:val="20"/>
                <w:szCs w:val="20"/>
              </w:rPr>
              <w:br/>
              <w:t>31.27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252</w:t>
            </w:r>
            <w:r w:rsidRPr="000E5D59">
              <w:rPr>
                <w:rFonts w:ascii="Arial" w:eastAsia="Times New Roman" w:hAnsi="Arial" w:cs="Arial"/>
                <w:sz w:val="20"/>
                <w:szCs w:val="20"/>
              </w:rPr>
              <w:br/>
              <w:t>34.57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229</w:t>
            </w:r>
            <w:r w:rsidRPr="000E5D59">
              <w:rPr>
                <w:rFonts w:ascii="Arial" w:eastAsia="Times New Roman" w:hAnsi="Arial" w:cs="Arial"/>
                <w:sz w:val="20"/>
                <w:szCs w:val="20"/>
              </w:rPr>
              <w:br/>
              <w:t>15.14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94</w:t>
            </w:r>
            <w:r w:rsidRPr="000E5D59">
              <w:rPr>
                <w:rFonts w:ascii="Arial" w:eastAsia="Times New Roman" w:hAnsi="Arial" w:cs="Arial"/>
                <w:sz w:val="20"/>
                <w:szCs w:val="20"/>
              </w:rPr>
              <w:br/>
              <w:t>12.35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130</w:t>
            </w:r>
            <w:r w:rsidRPr="000E5D59">
              <w:rPr>
                <w:rFonts w:ascii="Arial" w:eastAsia="Times New Roman" w:hAnsi="Arial" w:cs="Arial"/>
                <w:sz w:val="20"/>
                <w:szCs w:val="20"/>
              </w:rPr>
              <w:br/>
              <w:t>17.83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162</w:t>
            </w:r>
            <w:r w:rsidRPr="000E5D59">
              <w:rPr>
                <w:rFonts w:ascii="Arial" w:eastAsia="Times New Roman" w:hAnsi="Arial" w:cs="Arial"/>
                <w:sz w:val="20"/>
                <w:szCs w:val="20"/>
              </w:rPr>
              <w:br/>
              <w:t>10.71</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w:t>
            </w:r>
            <w:r w:rsidRPr="000E5D59">
              <w:rPr>
                <w:rFonts w:ascii="Arial" w:eastAsia="Times New Roman" w:hAnsi="Arial" w:cs="Arial"/>
                <w:sz w:val="20"/>
                <w:szCs w:val="20"/>
              </w:rPr>
              <w:br/>
              <w:t>9.72</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86</w:t>
            </w:r>
            <w:r w:rsidRPr="000E5D59">
              <w:rPr>
                <w:rFonts w:ascii="Arial" w:eastAsia="Times New Roman" w:hAnsi="Arial" w:cs="Arial"/>
                <w:sz w:val="20"/>
                <w:szCs w:val="20"/>
              </w:rPr>
              <w:br/>
              <w:t>11.80</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1554</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205</w:t>
            </w:r>
            <w:r w:rsidRPr="000E5D59">
              <w:rPr>
                <w:rFonts w:ascii="Arial" w:eastAsia="Times New Roman" w:hAnsi="Arial" w:cs="Arial"/>
                <w:sz w:val="20"/>
                <w:szCs w:val="20"/>
              </w:rPr>
              <w:br/>
              <w:t>13.19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99</w:t>
            </w:r>
            <w:r w:rsidRPr="000E5D59">
              <w:rPr>
                <w:rFonts w:ascii="Arial" w:eastAsia="Times New Roman" w:hAnsi="Arial" w:cs="Arial"/>
                <w:sz w:val="20"/>
                <w:szCs w:val="20"/>
              </w:rPr>
              <w:br/>
              <w:t>12.68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103</w:t>
            </w:r>
            <w:r w:rsidRPr="000E5D59">
              <w:rPr>
                <w:rFonts w:ascii="Arial" w:eastAsia="Times New Roman" w:hAnsi="Arial" w:cs="Arial"/>
                <w:sz w:val="20"/>
                <w:szCs w:val="20"/>
              </w:rPr>
              <w:br/>
              <w:t>13.79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593</w:t>
            </w:r>
            <w:r w:rsidRPr="000E5D59">
              <w:rPr>
                <w:rFonts w:ascii="Arial" w:eastAsia="Times New Roman" w:hAnsi="Arial" w:cs="Arial"/>
                <w:sz w:val="20"/>
                <w:szCs w:val="20"/>
              </w:rPr>
              <w:br/>
              <w:t>38.16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323</w:t>
            </w:r>
            <w:r w:rsidRPr="000E5D59">
              <w:rPr>
                <w:rFonts w:ascii="Arial" w:eastAsia="Times New Roman" w:hAnsi="Arial" w:cs="Arial"/>
                <w:sz w:val="20"/>
                <w:szCs w:val="20"/>
              </w:rPr>
              <w:br/>
              <w:t>41.36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259</w:t>
            </w:r>
            <w:r w:rsidRPr="000E5D59">
              <w:rPr>
                <w:rFonts w:ascii="Arial" w:eastAsia="Times New Roman" w:hAnsi="Arial" w:cs="Arial"/>
                <w:sz w:val="20"/>
                <w:szCs w:val="20"/>
              </w:rPr>
              <w:br/>
              <w:t>34.67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w:t>
            </w:r>
            <w:r w:rsidRPr="000E5D59">
              <w:rPr>
                <w:rFonts w:ascii="Arial" w:eastAsia="Times New Roman" w:hAnsi="Arial" w:cs="Arial"/>
                <w:sz w:val="20"/>
                <w:szCs w:val="20"/>
              </w:rPr>
              <w:br/>
              <w:t>3.67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w:t>
            </w:r>
            <w:r w:rsidRPr="000E5D59">
              <w:rPr>
                <w:rFonts w:ascii="Arial" w:eastAsia="Times New Roman" w:hAnsi="Arial" w:cs="Arial"/>
                <w:sz w:val="20"/>
                <w:szCs w:val="20"/>
              </w:rPr>
              <w:br/>
              <w:t>4.35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w:t>
            </w:r>
            <w:r w:rsidRPr="000E5D59">
              <w:rPr>
                <w:rFonts w:ascii="Arial" w:eastAsia="Times New Roman" w:hAnsi="Arial" w:cs="Arial"/>
                <w:sz w:val="20"/>
                <w:szCs w:val="20"/>
              </w:rPr>
              <w:br/>
              <w:t>2.95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0.64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0.77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0.54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689</w:t>
            </w:r>
            <w:r w:rsidRPr="000E5D59">
              <w:rPr>
                <w:rFonts w:ascii="Arial" w:eastAsia="Times New Roman" w:hAnsi="Arial" w:cs="Arial"/>
                <w:sz w:val="20"/>
                <w:szCs w:val="20"/>
              </w:rPr>
              <w:br/>
              <w:t>44.34</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319</w:t>
            </w:r>
            <w:r w:rsidRPr="000E5D59">
              <w:rPr>
                <w:rFonts w:ascii="Arial" w:eastAsia="Times New Roman" w:hAnsi="Arial" w:cs="Arial"/>
                <w:sz w:val="20"/>
                <w:szCs w:val="20"/>
              </w:rPr>
              <w:br/>
              <w:t>40.85</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359</w:t>
            </w:r>
            <w:r w:rsidRPr="000E5D59">
              <w:rPr>
                <w:rFonts w:ascii="Arial" w:eastAsia="Times New Roman" w:hAnsi="Arial" w:cs="Arial"/>
                <w:sz w:val="20"/>
                <w:szCs w:val="20"/>
              </w:rPr>
              <w:br/>
              <w:t>48.06</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1557</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103</w:t>
            </w:r>
            <w:r w:rsidRPr="000E5D59">
              <w:rPr>
                <w:rFonts w:ascii="Arial" w:eastAsia="Times New Roman" w:hAnsi="Arial" w:cs="Arial"/>
                <w:sz w:val="20"/>
                <w:szCs w:val="20"/>
              </w:rPr>
              <w:br/>
              <w:t>6.62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w:t>
            </w:r>
            <w:r w:rsidRPr="000E5D59">
              <w:rPr>
                <w:rFonts w:ascii="Arial" w:eastAsia="Times New Roman" w:hAnsi="Arial" w:cs="Arial"/>
                <w:sz w:val="20"/>
                <w:szCs w:val="20"/>
              </w:rPr>
              <w:br/>
              <w:t>6.68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w:t>
            </w:r>
            <w:r w:rsidRPr="000E5D59">
              <w:rPr>
                <w:rFonts w:ascii="Arial" w:eastAsia="Times New Roman" w:hAnsi="Arial" w:cs="Arial"/>
                <w:sz w:val="20"/>
                <w:szCs w:val="20"/>
              </w:rPr>
              <w:br/>
              <w:t>6.65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656</w:t>
            </w:r>
            <w:r w:rsidRPr="000E5D59">
              <w:rPr>
                <w:rFonts w:ascii="Arial" w:eastAsia="Times New Roman" w:hAnsi="Arial" w:cs="Arial"/>
                <w:sz w:val="20"/>
                <w:szCs w:val="20"/>
              </w:rPr>
              <w:br/>
              <w:t>42.13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361</w:t>
            </w:r>
            <w:r w:rsidRPr="000E5D59">
              <w:rPr>
                <w:rFonts w:ascii="Arial" w:eastAsia="Times New Roman" w:hAnsi="Arial" w:cs="Arial"/>
                <w:sz w:val="20"/>
                <w:szCs w:val="20"/>
              </w:rPr>
              <w:br/>
              <w:t>46.34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283</w:t>
            </w:r>
            <w:r w:rsidRPr="000E5D59">
              <w:rPr>
                <w:rFonts w:ascii="Arial" w:eastAsia="Times New Roman" w:hAnsi="Arial" w:cs="Arial"/>
                <w:sz w:val="20"/>
                <w:szCs w:val="20"/>
              </w:rPr>
              <w:br/>
              <w:t>37.63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w:t>
            </w:r>
            <w:r w:rsidRPr="000E5D59">
              <w:rPr>
                <w:rFonts w:ascii="Arial" w:eastAsia="Times New Roman" w:hAnsi="Arial" w:cs="Arial"/>
                <w:sz w:val="20"/>
                <w:szCs w:val="20"/>
              </w:rPr>
              <w:br/>
              <w:t>4.50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w:t>
            </w:r>
            <w:r w:rsidRPr="000E5D59">
              <w:rPr>
                <w:rFonts w:ascii="Arial" w:eastAsia="Times New Roman" w:hAnsi="Arial" w:cs="Arial"/>
                <w:sz w:val="20"/>
                <w:szCs w:val="20"/>
              </w:rPr>
              <w:br/>
              <w:t>5.26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w:t>
            </w:r>
            <w:r w:rsidRPr="000E5D59">
              <w:rPr>
                <w:rFonts w:ascii="Arial" w:eastAsia="Times New Roman" w:hAnsi="Arial" w:cs="Arial"/>
                <w:sz w:val="20"/>
                <w:szCs w:val="20"/>
              </w:rPr>
              <w:br/>
              <w:t>3.72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0.64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0.90</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0.40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718</w:t>
            </w:r>
            <w:r w:rsidRPr="000E5D59">
              <w:rPr>
                <w:rFonts w:ascii="Arial" w:eastAsia="Times New Roman" w:hAnsi="Arial" w:cs="Arial"/>
                <w:sz w:val="20"/>
                <w:szCs w:val="20"/>
              </w:rPr>
              <w:br/>
              <w:t>46.11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318</w:t>
            </w:r>
            <w:r w:rsidRPr="000E5D59">
              <w:rPr>
                <w:rFonts w:ascii="Arial" w:eastAsia="Times New Roman" w:hAnsi="Arial" w:cs="Arial"/>
                <w:sz w:val="20"/>
                <w:szCs w:val="20"/>
              </w:rPr>
              <w:br/>
              <w:t>40.82</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388</w:t>
            </w:r>
            <w:r w:rsidRPr="000E5D59">
              <w:rPr>
                <w:rFonts w:ascii="Arial" w:eastAsia="Times New Roman" w:hAnsi="Arial" w:cs="Arial"/>
                <w:sz w:val="20"/>
                <w:szCs w:val="20"/>
              </w:rPr>
              <w:br/>
              <w:t>51.60</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Table 14C: DPH Patient Survey Topical Marijuana by Education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Topical Marijuana by Education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(N=2836)</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(N=3168)</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Respondent applied topical marijuana to skin in the past 30 days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4421</w:t>
            </w:r>
            <w:r w:rsidRPr="000E5D59">
              <w:rPr>
                <w:rFonts w:ascii="Arial" w:eastAsia="Times New Roman" w:hAnsi="Arial" w:cs="Arial"/>
                <w:sz w:val="20"/>
                <w:szCs w:val="20"/>
              </w:rPr>
              <w:br/>
              <w:t>73.43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2075</w:t>
            </w:r>
            <w:r w:rsidRPr="000E5D59">
              <w:rPr>
                <w:rFonts w:ascii="Arial" w:eastAsia="Times New Roman" w:hAnsi="Arial" w:cs="Arial"/>
                <w:sz w:val="20"/>
                <w:szCs w:val="20"/>
              </w:rPr>
              <w:br/>
              <w:t>73.17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2333</w:t>
            </w:r>
            <w:r w:rsidRPr="000E5D59">
              <w:rPr>
                <w:rFonts w:ascii="Arial" w:eastAsia="Times New Roman" w:hAnsi="Arial" w:cs="Arial"/>
                <w:sz w:val="20"/>
                <w:szCs w:val="20"/>
              </w:rPr>
              <w:br/>
              <w:t>73.64</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1600</w:t>
            </w:r>
            <w:r w:rsidRPr="000E5D59">
              <w:rPr>
                <w:rFonts w:ascii="Arial" w:eastAsia="Times New Roman" w:hAnsi="Arial" w:cs="Arial"/>
                <w:sz w:val="20"/>
                <w:szCs w:val="20"/>
              </w:rPr>
              <w:br/>
              <w:t>26.57</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761</w:t>
            </w:r>
            <w:r w:rsidRPr="000E5D59">
              <w:rPr>
                <w:rFonts w:ascii="Arial" w:eastAsia="Times New Roman" w:hAnsi="Arial" w:cs="Arial"/>
                <w:sz w:val="20"/>
                <w:szCs w:val="20"/>
              </w:rPr>
              <w:br/>
              <w:t>26.83</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835</w:t>
            </w:r>
            <w:r w:rsidRPr="000E5D59">
              <w:rPr>
                <w:rFonts w:ascii="Arial" w:eastAsia="Times New Roman" w:hAnsi="Arial" w:cs="Arial"/>
                <w:sz w:val="20"/>
                <w:szCs w:val="20"/>
              </w:rPr>
              <w:br/>
              <w:t>26.36</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Frequency of applying topical marijuana to skin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1513</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628</w:t>
            </w:r>
            <w:r w:rsidRPr="000E5D59">
              <w:rPr>
                <w:rFonts w:ascii="Arial" w:eastAsia="Times New Roman" w:hAnsi="Arial" w:cs="Arial"/>
                <w:sz w:val="20"/>
                <w:szCs w:val="20"/>
              </w:rPr>
              <w:br/>
              <w:t>41.51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256</w:t>
            </w:r>
            <w:r w:rsidRPr="000E5D59">
              <w:rPr>
                <w:rFonts w:ascii="Arial" w:eastAsia="Times New Roman" w:hAnsi="Arial" w:cs="Arial"/>
                <w:sz w:val="20"/>
                <w:szCs w:val="20"/>
              </w:rPr>
              <w:br/>
              <w:t>36.26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370</w:t>
            </w:r>
            <w:r w:rsidRPr="000E5D59">
              <w:rPr>
                <w:rFonts w:ascii="Arial" w:eastAsia="Times New Roman" w:hAnsi="Arial" w:cs="Arial"/>
                <w:sz w:val="20"/>
                <w:szCs w:val="20"/>
              </w:rPr>
              <w:br/>
              <w:t>46.02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494</w:t>
            </w:r>
            <w:r w:rsidRPr="000E5D59">
              <w:rPr>
                <w:rFonts w:ascii="Arial" w:eastAsia="Times New Roman" w:hAnsi="Arial" w:cs="Arial"/>
                <w:sz w:val="20"/>
                <w:szCs w:val="20"/>
              </w:rPr>
              <w:br/>
              <w:t>32.65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239</w:t>
            </w:r>
            <w:r w:rsidRPr="000E5D59">
              <w:rPr>
                <w:rFonts w:ascii="Arial" w:eastAsia="Times New Roman" w:hAnsi="Arial" w:cs="Arial"/>
                <w:sz w:val="20"/>
                <w:szCs w:val="20"/>
              </w:rPr>
              <w:br/>
              <w:t>33.85</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255</w:t>
            </w:r>
            <w:r w:rsidRPr="000E5D59">
              <w:rPr>
                <w:rFonts w:ascii="Arial" w:eastAsia="Times New Roman" w:hAnsi="Arial" w:cs="Arial"/>
                <w:sz w:val="20"/>
                <w:szCs w:val="20"/>
              </w:rPr>
              <w:br/>
              <w:t>31.72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229</w:t>
            </w:r>
            <w:r w:rsidRPr="000E5D59">
              <w:rPr>
                <w:rFonts w:ascii="Arial" w:eastAsia="Times New Roman" w:hAnsi="Arial" w:cs="Arial"/>
                <w:sz w:val="20"/>
                <w:szCs w:val="20"/>
              </w:rPr>
              <w:br/>
              <w:t>15.14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109</w:t>
            </w:r>
            <w:r w:rsidRPr="000E5D59">
              <w:rPr>
                <w:rFonts w:ascii="Arial" w:eastAsia="Times New Roman" w:hAnsi="Arial" w:cs="Arial"/>
                <w:sz w:val="20"/>
                <w:szCs w:val="20"/>
              </w:rPr>
              <w:br/>
              <w:t>15.44</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120</w:t>
            </w:r>
            <w:r w:rsidRPr="000E5D59">
              <w:rPr>
                <w:rFonts w:ascii="Arial" w:eastAsia="Times New Roman" w:hAnsi="Arial" w:cs="Arial"/>
                <w:sz w:val="20"/>
                <w:szCs w:val="20"/>
              </w:rPr>
              <w:br/>
              <w:t>14.93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162</w:t>
            </w:r>
            <w:r w:rsidRPr="000E5D59">
              <w:rPr>
                <w:rFonts w:ascii="Arial" w:eastAsia="Times New Roman" w:hAnsi="Arial" w:cs="Arial"/>
                <w:sz w:val="20"/>
                <w:szCs w:val="20"/>
              </w:rPr>
              <w:br/>
              <w:t>10.71</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102</w:t>
            </w:r>
            <w:r w:rsidRPr="000E5D59">
              <w:rPr>
                <w:rFonts w:ascii="Arial" w:eastAsia="Times New Roman" w:hAnsi="Arial" w:cs="Arial"/>
                <w:sz w:val="20"/>
                <w:szCs w:val="20"/>
              </w:rPr>
              <w:br/>
              <w:t>14.45</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w:t>
            </w:r>
            <w:r w:rsidRPr="000E5D59">
              <w:rPr>
                <w:rFonts w:ascii="Arial" w:eastAsia="Times New Roman" w:hAnsi="Arial" w:cs="Arial"/>
                <w:sz w:val="20"/>
                <w:szCs w:val="20"/>
              </w:rPr>
              <w:br/>
              <w:t>7.34</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1554</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205</w:t>
            </w:r>
            <w:r w:rsidRPr="000E5D59">
              <w:rPr>
                <w:rFonts w:ascii="Arial" w:eastAsia="Times New Roman" w:hAnsi="Arial" w:cs="Arial"/>
                <w:sz w:val="20"/>
                <w:szCs w:val="20"/>
              </w:rPr>
              <w:br/>
              <w:t>13.19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86</w:t>
            </w:r>
            <w:r w:rsidRPr="000E5D59">
              <w:rPr>
                <w:rFonts w:ascii="Arial" w:eastAsia="Times New Roman" w:hAnsi="Arial" w:cs="Arial"/>
                <w:sz w:val="20"/>
                <w:szCs w:val="20"/>
              </w:rPr>
              <w:br/>
              <w:t>11.72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119</w:t>
            </w:r>
            <w:r w:rsidRPr="000E5D59">
              <w:rPr>
                <w:rFonts w:ascii="Arial" w:eastAsia="Times New Roman" w:hAnsi="Arial" w:cs="Arial"/>
                <w:sz w:val="20"/>
                <w:szCs w:val="20"/>
              </w:rPr>
              <w:br/>
              <w:t>14.57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593</w:t>
            </w:r>
            <w:r w:rsidRPr="000E5D59">
              <w:rPr>
                <w:rFonts w:ascii="Arial" w:eastAsia="Times New Roman" w:hAnsi="Arial" w:cs="Arial"/>
                <w:sz w:val="20"/>
                <w:szCs w:val="20"/>
              </w:rPr>
              <w:br/>
              <w:t>38.16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272</w:t>
            </w:r>
            <w:r w:rsidRPr="000E5D59">
              <w:rPr>
                <w:rFonts w:ascii="Arial" w:eastAsia="Times New Roman" w:hAnsi="Arial" w:cs="Arial"/>
                <w:sz w:val="20"/>
                <w:szCs w:val="20"/>
              </w:rPr>
              <w:br/>
              <w:t>37.06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320</w:t>
            </w:r>
            <w:r w:rsidRPr="000E5D59">
              <w:rPr>
                <w:rFonts w:ascii="Arial" w:eastAsia="Times New Roman" w:hAnsi="Arial" w:cs="Arial"/>
                <w:sz w:val="20"/>
                <w:szCs w:val="20"/>
              </w:rPr>
              <w:br/>
              <w:t>39.17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w:t>
            </w:r>
            <w:r w:rsidRPr="000E5D59">
              <w:rPr>
                <w:rFonts w:ascii="Arial" w:eastAsia="Times New Roman" w:hAnsi="Arial" w:cs="Arial"/>
                <w:sz w:val="20"/>
                <w:szCs w:val="20"/>
              </w:rPr>
              <w:br/>
              <w:t>3.67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w:t>
            </w:r>
            <w:r w:rsidRPr="000E5D59">
              <w:rPr>
                <w:rFonts w:ascii="Arial" w:eastAsia="Times New Roman" w:hAnsi="Arial" w:cs="Arial"/>
                <w:sz w:val="20"/>
                <w:szCs w:val="20"/>
              </w:rPr>
              <w:br/>
              <w:t>5.86</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w:t>
            </w:r>
            <w:r w:rsidRPr="000E5D59">
              <w:rPr>
                <w:rFonts w:ascii="Arial" w:eastAsia="Times New Roman" w:hAnsi="Arial" w:cs="Arial"/>
                <w:sz w:val="20"/>
                <w:szCs w:val="20"/>
              </w:rPr>
              <w:br/>
              <w:t>1.59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0.64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0.68</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0.61</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689</w:t>
            </w:r>
            <w:r w:rsidRPr="000E5D59">
              <w:rPr>
                <w:rFonts w:ascii="Arial" w:eastAsia="Times New Roman" w:hAnsi="Arial" w:cs="Arial"/>
                <w:sz w:val="20"/>
                <w:szCs w:val="20"/>
              </w:rPr>
              <w:br/>
              <w:t>44.34</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328</w:t>
            </w:r>
            <w:r w:rsidRPr="000E5D59">
              <w:rPr>
                <w:rFonts w:ascii="Arial" w:eastAsia="Times New Roman" w:hAnsi="Arial" w:cs="Arial"/>
                <w:sz w:val="20"/>
                <w:szCs w:val="20"/>
              </w:rPr>
              <w:br/>
              <w:t>44.69</w:t>
            </w:r>
          </w:p>
        </w:tc>
        <w:tc>
          <w:tcPr>
            <w:tcW w:w="162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360</w:t>
            </w:r>
            <w:r w:rsidRPr="000E5D59">
              <w:rPr>
                <w:rFonts w:ascii="Arial" w:eastAsia="Times New Roman" w:hAnsi="Arial" w:cs="Arial"/>
                <w:sz w:val="20"/>
                <w:szCs w:val="20"/>
              </w:rPr>
              <w:br/>
              <w:t>44.06</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1557</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103</w:t>
            </w:r>
            <w:r w:rsidRPr="000E5D59">
              <w:rPr>
                <w:rFonts w:ascii="Arial" w:eastAsia="Times New Roman" w:hAnsi="Arial" w:cs="Arial"/>
                <w:sz w:val="20"/>
                <w:szCs w:val="20"/>
              </w:rPr>
              <w:br/>
              <w:t>6.62</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w:t>
            </w:r>
            <w:r w:rsidRPr="000E5D59">
              <w:rPr>
                <w:rFonts w:ascii="Arial" w:eastAsia="Times New Roman" w:hAnsi="Arial" w:cs="Arial"/>
                <w:sz w:val="20"/>
                <w:szCs w:val="20"/>
              </w:rPr>
              <w:br/>
              <w:t>7.32</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w:t>
            </w:r>
            <w:r w:rsidRPr="000E5D59">
              <w:rPr>
                <w:rFonts w:ascii="Arial" w:eastAsia="Times New Roman" w:hAnsi="Arial" w:cs="Arial"/>
                <w:sz w:val="20"/>
                <w:szCs w:val="20"/>
              </w:rPr>
              <w:br/>
              <w:t>5.89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656</w:t>
            </w:r>
            <w:r w:rsidRPr="000E5D59">
              <w:rPr>
                <w:rFonts w:ascii="Arial" w:eastAsia="Times New Roman" w:hAnsi="Arial" w:cs="Arial"/>
                <w:sz w:val="20"/>
                <w:szCs w:val="20"/>
              </w:rPr>
              <w:br/>
              <w:t>42.13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296</w:t>
            </w:r>
            <w:r w:rsidRPr="000E5D59">
              <w:rPr>
                <w:rFonts w:ascii="Arial" w:eastAsia="Times New Roman" w:hAnsi="Arial" w:cs="Arial"/>
                <w:sz w:val="20"/>
                <w:szCs w:val="20"/>
              </w:rPr>
              <w:br/>
              <w:t>40.11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359</w:t>
            </w:r>
            <w:r w:rsidRPr="000E5D59">
              <w:rPr>
                <w:rFonts w:ascii="Arial" w:eastAsia="Times New Roman" w:hAnsi="Arial" w:cs="Arial"/>
                <w:sz w:val="20"/>
                <w:szCs w:val="20"/>
              </w:rPr>
              <w:br/>
              <w:t>44.05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w:t>
            </w:r>
            <w:r w:rsidRPr="000E5D59">
              <w:rPr>
                <w:rFonts w:ascii="Arial" w:eastAsia="Times New Roman" w:hAnsi="Arial" w:cs="Arial"/>
                <w:sz w:val="20"/>
                <w:szCs w:val="20"/>
              </w:rPr>
              <w:br/>
              <w:t>4.50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w:t>
            </w:r>
            <w:r w:rsidRPr="000E5D59">
              <w:rPr>
                <w:rFonts w:ascii="Arial" w:eastAsia="Times New Roman" w:hAnsi="Arial" w:cs="Arial"/>
                <w:sz w:val="20"/>
                <w:szCs w:val="20"/>
              </w:rPr>
              <w:br/>
              <w:t>6.37</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w:t>
            </w:r>
            <w:r w:rsidRPr="000E5D59">
              <w:rPr>
                <w:rFonts w:ascii="Arial" w:eastAsia="Times New Roman" w:hAnsi="Arial" w:cs="Arial"/>
                <w:sz w:val="20"/>
                <w:szCs w:val="20"/>
              </w:rPr>
              <w:br/>
              <w:t>2.70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0.64</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0.81</w:t>
            </w:r>
          </w:p>
        </w:tc>
        <w:tc>
          <w:tcPr>
            <w:tcW w:w="162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0.49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718</w:t>
            </w:r>
            <w:r w:rsidRPr="000E5D59">
              <w:rPr>
                <w:rFonts w:ascii="Arial" w:eastAsia="Times New Roman" w:hAnsi="Arial" w:cs="Arial"/>
                <w:sz w:val="20"/>
                <w:szCs w:val="20"/>
              </w:rPr>
              <w:br/>
              <w:t>46.11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335</w:t>
            </w:r>
            <w:r w:rsidRPr="000E5D59">
              <w:rPr>
                <w:rFonts w:ascii="Arial" w:eastAsia="Times New Roman" w:hAnsi="Arial" w:cs="Arial"/>
                <w:sz w:val="20"/>
                <w:szCs w:val="20"/>
              </w:rPr>
              <w:br/>
              <w:t>45.39</w:t>
            </w:r>
          </w:p>
        </w:tc>
        <w:tc>
          <w:tcPr>
            <w:tcW w:w="162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382</w:t>
            </w:r>
            <w:r w:rsidRPr="000E5D59">
              <w:rPr>
                <w:rFonts w:ascii="Arial" w:eastAsia="Times New Roman" w:hAnsi="Arial" w:cs="Arial"/>
                <w:sz w:val="20"/>
                <w:szCs w:val="20"/>
              </w:rPr>
              <w:br/>
              <w:t>46.87</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8976A8" w:rsidRPr="000E5D59" w:rsidRDefault="008976A8" w:rsidP="006057BE">
      <w:pPr>
        <w:spacing w:after="0" w:line="240" w:lineRule="auto"/>
        <w:rPr>
          <w:rFonts w:ascii="Arial" w:eastAsia="Calibri" w:hAnsi="Arial" w:cs="Arial"/>
          <w:b/>
          <w:i/>
          <w:sz w:val="24"/>
          <w:szCs w:val="24"/>
        </w:rPr>
        <w:sectPr w:rsidR="008976A8" w:rsidRPr="000E5D59" w:rsidSect="00465399">
          <w:pgSz w:w="12240" w:h="15840"/>
          <w:pgMar w:top="1440" w:right="1440" w:bottom="1440" w:left="1440" w:header="630" w:footer="0" w:gutter="0"/>
          <w:cols w:space="720"/>
          <w:docGrid w:linePitch="360"/>
        </w:sectPr>
      </w:pPr>
    </w:p>
    <w:p w:rsidR="000E5D59" w:rsidRPr="000E5D59" w:rsidRDefault="000E5D59" w:rsidP="00AC40A7">
      <w:pPr>
        <w:pStyle w:val="Heading3"/>
      </w:pPr>
      <w:bookmarkStart w:id="231" w:name="_Toc11765958"/>
      <w:bookmarkStart w:id="232" w:name="_Toc11766613"/>
      <w:r w:rsidRPr="000E5D59">
        <w:t>Rectal/Vaginal Cannabis</w:t>
      </w:r>
      <w:bookmarkEnd w:id="231"/>
      <w:bookmarkEnd w:id="232"/>
    </w:p>
    <w:p w:rsidR="000E5D59" w:rsidRPr="000E5D59" w:rsidRDefault="000E5D59" w:rsidP="006057BE">
      <w:pPr>
        <w:spacing w:after="0" w:line="240" w:lineRule="auto"/>
        <w:rPr>
          <w:rFonts w:ascii="Arial" w:eastAsia="Calibri" w:hAnsi="Arial" w:cs="Arial"/>
          <w:i/>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i/>
          <w:sz w:val="24"/>
          <w:szCs w:val="24"/>
        </w:rPr>
        <w:t>Tables 15A, 15B, and 15C</w:t>
      </w:r>
      <w:r w:rsidRPr="000E5D59">
        <w:rPr>
          <w:rFonts w:ascii="Arial" w:eastAsia="Calibri" w:hAnsi="Arial" w:cs="Arial"/>
          <w:sz w:val="24"/>
          <w:szCs w:val="24"/>
        </w:rPr>
        <w:t xml:space="preserve"> summarize results of survey responses pertaining to using rectal/vaginal cannabis, with comparisons by gender, age group, and educational attainment, respectively. 1% of respondents who reported marijuana or marijuana product use at least once in the past 30 days reported using rectal/vaginal cannabis in the past 30 days. There were no significant differences in the proportion of respondents who reported use of rectal/vaginal cannabis by gender, age, or education.</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Eighty-nine percent of respondents who reported using rectal/vaginal cannabis in the past 30 days reported using rectal/vaginal cannabis less than once per week. There were no significant differences in the frequency of rectal/vaginal cannabis use by gender, age, or education.</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All respondents who reported using rectal/vaginal cannabis in the past 30 days were asked to indicate the amount of THC administered by using these products over the past 30 days. The amount of THC reported by respondents should be interpreted with caution, as almost 1 in 5 did not know how much THC they administered through rectal/vaginal cannabis. However, 70% of respondents reported administering between 1 and 150 mg of THC in the past 30 days through rectal/vaginal cannabis. There were no significant differences in the amount of THC administered by using rectal/vaginal cannabis by gender, age, or education.</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All respondents who reported using rectal/vaginal cannabis in the past 30 days were asked to indicate the amount of CBD administered by using these products over the past 30 days. The amount of CBD reported by respondents should be interpreted with caution, as almost one third of all respondents did not know how much CBD they administered through rectal/vaginal cannabis. However, 39% of respondents reported administering between 1 and 150 mg of CBD in the past 30 days through rectal/vaginal cannabis, while 24% reported administering 0 mg. There were no significant differences in the amount of CBD administered by using rectal/vaginal cannabis by gender, age, or education.</w:t>
      </w: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15A: DPH Patient Survey Rectal/Vaginal Marijuana by Gender (Among 6,111 Respondents who Used Marijuana in Past 30</w:t>
      </w:r>
      <w:r w:rsidR="000941B7">
        <w:rPr>
          <w:rFonts w:ascii="Arial" w:eastAsia="Calibri" w:hAnsi="Arial" w:cs="Arial"/>
          <w:b/>
          <w:sz w:val="24"/>
          <w:szCs w:val="24"/>
        </w:rPr>
        <w:t xml:space="preserve"> Days)</w:t>
      </w:r>
    </w:p>
    <w:tbl>
      <w:tblPr>
        <w:tblW w:w="9555" w:type="dxa"/>
        <w:tblInd w:w="93" w:type="dxa"/>
        <w:tblLook w:val="04A0" w:firstRow="1" w:lastRow="0" w:firstColumn="1" w:lastColumn="0" w:noHBand="0" w:noVBand="1"/>
        <w:tblCaption w:val="DPH Patient Survey Rectal/Vaginal Marijuana by Gender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sz w:val="20"/>
                <w:szCs w:val="20"/>
              </w:rPr>
              <w:t>%</w:t>
            </w:r>
            <w:r w:rsidRPr="000E5D59">
              <w:rPr>
                <w:rFonts w:ascii="Arial" w:eastAsia="Times New Roman" w:hAnsi="Arial" w:cs="Arial"/>
                <w:sz w:val="20"/>
                <w:szCs w:val="20"/>
              </w:rPr>
              <w:t> </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(N=3293)</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(N=2720)</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Respondent used rectal/vaginal cannabis in the past 30 days</w:t>
            </w:r>
          </w:p>
        </w:tc>
        <w:tc>
          <w:tcPr>
            <w:tcW w:w="900" w:type="dxa"/>
            <w:tcBorders>
              <w:top w:val="nil"/>
              <w:left w:val="nil"/>
              <w:bottom w:val="single" w:sz="4"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5946</w:t>
            </w:r>
            <w:r w:rsidRPr="000E5D59">
              <w:rPr>
                <w:rFonts w:ascii="Arial" w:eastAsia="Times New Roman" w:hAnsi="Arial" w:cs="Arial"/>
                <w:sz w:val="20"/>
                <w:szCs w:val="20"/>
              </w:rPr>
              <w:br/>
              <w:t>98.75</w:t>
            </w:r>
          </w:p>
        </w:tc>
        <w:tc>
          <w:tcPr>
            <w:tcW w:w="1620" w:type="dxa"/>
            <w:tcBorders>
              <w:top w:val="nil"/>
              <w:left w:val="thickThinSmallGap" w:sz="24" w:space="0" w:color="auto"/>
              <w:bottom w:val="nil"/>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3219</w:t>
            </w:r>
            <w:r w:rsidRPr="000E5D59">
              <w:rPr>
                <w:rFonts w:ascii="Arial" w:eastAsia="Times New Roman" w:hAnsi="Arial" w:cs="Arial"/>
                <w:sz w:val="20"/>
                <w:szCs w:val="20"/>
              </w:rPr>
              <w:br/>
              <w:t>99.02</w:t>
            </w:r>
          </w:p>
        </w:tc>
        <w:tc>
          <w:tcPr>
            <w:tcW w:w="1620" w:type="dxa"/>
            <w:tcBorders>
              <w:top w:val="nil"/>
              <w:left w:val="nil"/>
              <w:bottom w:val="nil"/>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2633</w:t>
            </w:r>
            <w:r w:rsidRPr="000E5D59">
              <w:rPr>
                <w:rFonts w:ascii="Arial" w:eastAsia="Times New Roman" w:hAnsi="Arial" w:cs="Arial"/>
                <w:sz w:val="20"/>
                <w:szCs w:val="20"/>
              </w:rPr>
              <w:br/>
              <w:t>98.54</w:t>
            </w:r>
          </w:p>
        </w:tc>
        <w:tc>
          <w:tcPr>
            <w:tcW w:w="1170" w:type="dxa"/>
            <w:tcBorders>
              <w:top w:val="nil"/>
              <w:left w:val="nil"/>
              <w:bottom w:val="nil"/>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75</w:t>
            </w:r>
            <w:r w:rsidRPr="000E5D59">
              <w:rPr>
                <w:rFonts w:ascii="Arial" w:eastAsia="Times New Roman" w:hAnsi="Arial" w:cs="Arial"/>
                <w:sz w:val="20"/>
                <w:szCs w:val="20"/>
              </w:rPr>
              <w:br/>
              <w:t>1.25</w:t>
            </w:r>
          </w:p>
        </w:tc>
        <w:tc>
          <w:tcPr>
            <w:tcW w:w="162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w:t>
            </w:r>
            <w:r w:rsidRPr="000E5D59">
              <w:rPr>
                <w:rFonts w:ascii="Arial" w:eastAsia="Times New Roman" w:hAnsi="Arial" w:cs="Arial"/>
                <w:sz w:val="20"/>
                <w:szCs w:val="20"/>
              </w:rPr>
              <w:br/>
              <w:t>0.98</w:t>
            </w:r>
          </w:p>
        </w:tc>
        <w:tc>
          <w:tcPr>
            <w:tcW w:w="162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w:t>
            </w:r>
            <w:r w:rsidRPr="000E5D59">
              <w:rPr>
                <w:rFonts w:ascii="Arial" w:eastAsia="Times New Roman" w:hAnsi="Arial" w:cs="Arial"/>
                <w:sz w:val="20"/>
                <w:szCs w:val="20"/>
              </w:rPr>
              <w:br/>
              <w:t>1.46</w:t>
            </w:r>
          </w:p>
        </w:tc>
        <w:tc>
          <w:tcPr>
            <w:tcW w:w="117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using rectal/vaginal cannabis in the past 30 days</w:t>
            </w:r>
          </w:p>
        </w:tc>
        <w:tc>
          <w:tcPr>
            <w:tcW w:w="900" w:type="dxa"/>
            <w:tcBorders>
              <w:top w:val="nil"/>
              <w:left w:val="nil"/>
              <w:bottom w:val="single" w:sz="4"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66</w:t>
            </w:r>
          </w:p>
        </w:tc>
        <w:tc>
          <w:tcPr>
            <w:tcW w:w="1620" w:type="dxa"/>
            <w:tcBorders>
              <w:top w:val="nil"/>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w:t>
            </w:r>
            <w:r w:rsidRPr="000E5D59">
              <w:rPr>
                <w:rFonts w:ascii="Arial" w:eastAsia="Times New Roman" w:hAnsi="Arial" w:cs="Arial"/>
                <w:sz w:val="20"/>
                <w:szCs w:val="20"/>
              </w:rPr>
              <w:br/>
              <w:t>87.88</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w:t>
            </w:r>
            <w:r w:rsidRPr="000E5D59">
              <w:rPr>
                <w:rFonts w:ascii="Arial" w:eastAsia="Times New Roman" w:hAnsi="Arial" w:cs="Arial"/>
                <w:sz w:val="20"/>
                <w:szCs w:val="20"/>
              </w:rPr>
              <w:br/>
              <w:t>82.14</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w:t>
            </w:r>
            <w:r w:rsidRPr="000E5D59">
              <w:rPr>
                <w:rFonts w:ascii="Arial" w:eastAsia="Times New Roman" w:hAnsi="Arial" w:cs="Arial"/>
                <w:sz w:val="20"/>
                <w:szCs w:val="20"/>
              </w:rPr>
              <w:br/>
              <w:t>91.67</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4.55</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3.57</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5.56</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3.03</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3.57</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2.78</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4.55</w:t>
            </w:r>
          </w:p>
        </w:tc>
        <w:tc>
          <w:tcPr>
            <w:tcW w:w="1620" w:type="dxa"/>
            <w:tcBorders>
              <w:top w:val="nil"/>
              <w:left w:val="thickThinSmallGap" w:sz="24" w:space="0" w:color="auto"/>
              <w:bottom w:val="double" w:sz="6"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10.71</w:t>
            </w:r>
          </w:p>
        </w:tc>
        <w:tc>
          <w:tcPr>
            <w:tcW w:w="1620" w:type="dxa"/>
            <w:tcBorders>
              <w:top w:val="nil"/>
              <w:left w:val="nil"/>
              <w:bottom w:val="double" w:sz="6"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170" w:type="dxa"/>
            <w:tcBorders>
              <w:top w:val="nil"/>
              <w:left w:val="nil"/>
              <w:bottom w:val="double" w:sz="6" w:space="0" w:color="auto"/>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69 </w:t>
            </w:r>
          </w:p>
        </w:tc>
        <w:tc>
          <w:tcPr>
            <w:tcW w:w="1620" w:type="dxa"/>
            <w:tcBorders>
              <w:top w:val="nil"/>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4.35</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3.45</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2.70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w:t>
            </w:r>
            <w:r w:rsidRPr="000E5D59">
              <w:rPr>
                <w:rFonts w:ascii="Arial" w:eastAsia="Times New Roman" w:hAnsi="Arial" w:cs="Arial"/>
                <w:sz w:val="20"/>
                <w:szCs w:val="20"/>
              </w:rPr>
              <w:br/>
              <w:t>69.57</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w:t>
            </w:r>
            <w:r w:rsidRPr="000E5D59">
              <w:rPr>
                <w:rFonts w:ascii="Arial" w:eastAsia="Times New Roman" w:hAnsi="Arial" w:cs="Arial"/>
                <w:sz w:val="20"/>
                <w:szCs w:val="20"/>
              </w:rPr>
              <w:br/>
              <w:t>65.52</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w:t>
            </w:r>
            <w:r w:rsidRPr="000E5D59">
              <w:rPr>
                <w:rFonts w:ascii="Arial" w:eastAsia="Times New Roman" w:hAnsi="Arial" w:cs="Arial"/>
                <w:sz w:val="20"/>
                <w:szCs w:val="20"/>
              </w:rPr>
              <w:br/>
              <w:t>72.97</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5.80</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10.34</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2.70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1.45</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3.45</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w:t>
            </w:r>
            <w:r w:rsidRPr="000E5D59">
              <w:rPr>
                <w:rFonts w:ascii="Arial" w:eastAsia="Times New Roman" w:hAnsi="Arial" w:cs="Arial"/>
                <w:sz w:val="20"/>
                <w:szCs w:val="20"/>
              </w:rPr>
              <w:br/>
              <w:t>18.84</w:t>
            </w:r>
          </w:p>
        </w:tc>
        <w:tc>
          <w:tcPr>
            <w:tcW w:w="1620" w:type="dxa"/>
            <w:tcBorders>
              <w:top w:val="nil"/>
              <w:left w:val="thickThinSmallGap" w:sz="24" w:space="0" w:color="auto"/>
              <w:bottom w:val="double" w:sz="6"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17.24</w:t>
            </w:r>
          </w:p>
        </w:tc>
        <w:tc>
          <w:tcPr>
            <w:tcW w:w="1620" w:type="dxa"/>
            <w:tcBorders>
              <w:top w:val="nil"/>
              <w:left w:val="nil"/>
              <w:bottom w:val="double" w:sz="6"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w:t>
            </w:r>
            <w:r w:rsidRPr="000E5D59">
              <w:rPr>
                <w:rFonts w:ascii="Arial" w:eastAsia="Times New Roman" w:hAnsi="Arial" w:cs="Arial"/>
                <w:sz w:val="20"/>
                <w:szCs w:val="20"/>
              </w:rPr>
              <w:br/>
              <w:t>21.62</w:t>
            </w:r>
          </w:p>
        </w:tc>
        <w:tc>
          <w:tcPr>
            <w:tcW w:w="1170" w:type="dxa"/>
            <w:tcBorders>
              <w:top w:val="nil"/>
              <w:left w:val="nil"/>
              <w:bottom w:val="double" w:sz="6" w:space="0" w:color="auto"/>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70 </w:t>
            </w:r>
          </w:p>
        </w:tc>
        <w:tc>
          <w:tcPr>
            <w:tcW w:w="1620" w:type="dxa"/>
            <w:tcBorders>
              <w:top w:val="nil"/>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ns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24.29</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13.79</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w:t>
            </w:r>
            <w:r w:rsidRPr="000E5D59">
              <w:rPr>
                <w:rFonts w:ascii="Arial" w:eastAsia="Times New Roman" w:hAnsi="Arial" w:cs="Arial"/>
                <w:sz w:val="20"/>
                <w:szCs w:val="20"/>
              </w:rPr>
              <w:br/>
              <w:t>31.58</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w:t>
            </w:r>
            <w:r w:rsidRPr="000E5D59">
              <w:rPr>
                <w:rFonts w:ascii="Arial" w:eastAsia="Times New Roman" w:hAnsi="Arial" w:cs="Arial"/>
                <w:sz w:val="20"/>
                <w:szCs w:val="20"/>
              </w:rPr>
              <w:br/>
              <w:t>38.57</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w:t>
            </w:r>
            <w:r w:rsidRPr="000E5D59">
              <w:rPr>
                <w:rFonts w:ascii="Arial" w:eastAsia="Times New Roman" w:hAnsi="Arial" w:cs="Arial"/>
                <w:sz w:val="20"/>
                <w:szCs w:val="20"/>
              </w:rPr>
              <w:br/>
              <w:t>41.38</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w:t>
            </w:r>
            <w:r w:rsidRPr="000E5D59">
              <w:rPr>
                <w:rFonts w:ascii="Arial" w:eastAsia="Times New Roman" w:hAnsi="Arial" w:cs="Arial"/>
                <w:sz w:val="20"/>
                <w:szCs w:val="20"/>
              </w:rPr>
              <w:br/>
              <w:t>34.21</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4.29</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6.90</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2.63</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w:t>
            </w:r>
            <w:r w:rsidRPr="000E5D59">
              <w:rPr>
                <w:rFonts w:ascii="Arial" w:eastAsia="Times New Roman" w:hAnsi="Arial" w:cs="Arial"/>
                <w:sz w:val="20"/>
                <w:szCs w:val="20"/>
              </w:rPr>
              <w:br/>
              <w:t>32.86</w:t>
            </w:r>
          </w:p>
        </w:tc>
        <w:tc>
          <w:tcPr>
            <w:tcW w:w="1620" w:type="dxa"/>
            <w:tcBorders>
              <w:top w:val="nil"/>
              <w:left w:val="thickThinSmallGap" w:sz="24" w:space="0" w:color="auto"/>
              <w:bottom w:val="single" w:sz="4"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w:t>
            </w:r>
            <w:r w:rsidRPr="000E5D59">
              <w:rPr>
                <w:rFonts w:ascii="Arial" w:eastAsia="Times New Roman" w:hAnsi="Arial" w:cs="Arial"/>
                <w:sz w:val="20"/>
                <w:szCs w:val="20"/>
              </w:rPr>
              <w:br/>
              <w:t>37.93</w:t>
            </w:r>
          </w:p>
        </w:tc>
        <w:tc>
          <w:tcPr>
            <w:tcW w:w="1620" w:type="dxa"/>
            <w:tcBorders>
              <w:top w:val="nil"/>
              <w:left w:val="nil"/>
              <w:bottom w:val="single" w:sz="4"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w:t>
            </w:r>
            <w:r w:rsidRPr="000E5D59">
              <w:rPr>
                <w:rFonts w:ascii="Arial" w:eastAsia="Times New Roman" w:hAnsi="Arial" w:cs="Arial"/>
                <w:sz w:val="20"/>
                <w:szCs w:val="20"/>
              </w:rPr>
              <w:br/>
              <w:t>31.58</w:t>
            </w:r>
          </w:p>
        </w:tc>
        <w:tc>
          <w:tcPr>
            <w:tcW w:w="1170" w:type="dxa"/>
            <w:tcBorders>
              <w:top w:val="nil"/>
              <w:left w:val="nil"/>
              <w:bottom w:val="single" w:sz="4" w:space="0" w:color="auto"/>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i/>
          <w:sz w:val="24"/>
          <w:szCs w:val="24"/>
        </w:r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Table 15B: DPH Patient Survey Rectal/Vaginal Marijuana by Age Group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Rectal/Vaginal Marijuana by Age Group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sz w:val="20"/>
                <w:szCs w:val="20"/>
              </w:rPr>
              <w:t>%</w:t>
            </w:r>
            <w:r w:rsidRPr="000E5D59">
              <w:rPr>
                <w:rFonts w:ascii="Arial" w:eastAsia="Times New Roman" w:hAnsi="Arial" w:cs="Arial"/>
                <w:sz w:val="20"/>
                <w:szCs w:val="20"/>
              </w:rPr>
              <w:t> </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(N=3224)</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(N=2793)</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Respondent used rectal/vaginal cannabis in the past 30 days</w:t>
            </w:r>
          </w:p>
        </w:tc>
        <w:tc>
          <w:tcPr>
            <w:tcW w:w="900" w:type="dxa"/>
            <w:tcBorders>
              <w:top w:val="nil"/>
              <w:left w:val="nil"/>
              <w:bottom w:val="single" w:sz="4"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5946</w:t>
            </w:r>
            <w:r w:rsidRPr="000E5D59">
              <w:rPr>
                <w:rFonts w:ascii="Arial" w:eastAsia="Times New Roman" w:hAnsi="Arial" w:cs="Arial"/>
                <w:sz w:val="20"/>
                <w:szCs w:val="20"/>
              </w:rPr>
              <w:br/>
              <w:t>98.75</w:t>
            </w:r>
          </w:p>
        </w:tc>
        <w:tc>
          <w:tcPr>
            <w:tcW w:w="1620" w:type="dxa"/>
            <w:tcBorders>
              <w:top w:val="nil"/>
              <w:left w:val="thickThinSmallGap" w:sz="24" w:space="0" w:color="auto"/>
              <w:bottom w:val="nil"/>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3131</w:t>
            </w:r>
            <w:r w:rsidRPr="000E5D59">
              <w:rPr>
                <w:rFonts w:ascii="Arial" w:eastAsia="Times New Roman" w:hAnsi="Arial" w:cs="Arial"/>
                <w:sz w:val="20"/>
                <w:szCs w:val="20"/>
              </w:rPr>
              <w:br/>
              <w:t>98.49</w:t>
            </w:r>
          </w:p>
        </w:tc>
        <w:tc>
          <w:tcPr>
            <w:tcW w:w="1620" w:type="dxa"/>
            <w:tcBorders>
              <w:top w:val="nil"/>
              <w:left w:val="nil"/>
              <w:bottom w:val="nil"/>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2722</w:t>
            </w:r>
            <w:r w:rsidRPr="000E5D59">
              <w:rPr>
                <w:rFonts w:ascii="Arial" w:eastAsia="Times New Roman" w:hAnsi="Arial" w:cs="Arial"/>
                <w:sz w:val="20"/>
                <w:szCs w:val="20"/>
              </w:rPr>
              <w:br/>
              <w:t>99.05</w:t>
            </w:r>
          </w:p>
        </w:tc>
        <w:tc>
          <w:tcPr>
            <w:tcW w:w="1170" w:type="dxa"/>
            <w:tcBorders>
              <w:top w:val="nil"/>
              <w:left w:val="nil"/>
              <w:bottom w:val="nil"/>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75</w:t>
            </w:r>
            <w:r w:rsidRPr="000E5D59">
              <w:rPr>
                <w:rFonts w:ascii="Arial" w:eastAsia="Times New Roman" w:hAnsi="Arial" w:cs="Arial"/>
                <w:sz w:val="20"/>
                <w:szCs w:val="20"/>
              </w:rPr>
              <w:br/>
              <w:t>1.25</w:t>
            </w:r>
          </w:p>
        </w:tc>
        <w:tc>
          <w:tcPr>
            <w:tcW w:w="162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w:t>
            </w:r>
            <w:r w:rsidRPr="000E5D59">
              <w:rPr>
                <w:rFonts w:ascii="Arial" w:eastAsia="Times New Roman" w:hAnsi="Arial" w:cs="Arial"/>
                <w:sz w:val="20"/>
                <w:szCs w:val="20"/>
              </w:rPr>
              <w:br/>
              <w:t>1.51</w:t>
            </w:r>
          </w:p>
        </w:tc>
        <w:tc>
          <w:tcPr>
            <w:tcW w:w="162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w:t>
            </w:r>
            <w:r w:rsidRPr="000E5D59">
              <w:rPr>
                <w:rFonts w:ascii="Arial" w:eastAsia="Times New Roman" w:hAnsi="Arial" w:cs="Arial"/>
                <w:sz w:val="20"/>
                <w:szCs w:val="20"/>
              </w:rPr>
              <w:br/>
              <w:t>0.95</w:t>
            </w:r>
          </w:p>
        </w:tc>
        <w:tc>
          <w:tcPr>
            <w:tcW w:w="117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using rectal/vaginal cannabis in the past 30 days</w:t>
            </w:r>
          </w:p>
        </w:tc>
        <w:tc>
          <w:tcPr>
            <w:tcW w:w="900" w:type="dxa"/>
            <w:tcBorders>
              <w:top w:val="nil"/>
              <w:left w:val="nil"/>
              <w:bottom w:val="single" w:sz="4"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66</w:t>
            </w:r>
          </w:p>
        </w:tc>
        <w:tc>
          <w:tcPr>
            <w:tcW w:w="1620" w:type="dxa"/>
            <w:tcBorders>
              <w:top w:val="nil"/>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w:t>
            </w:r>
            <w:r w:rsidRPr="000E5D59">
              <w:rPr>
                <w:rFonts w:ascii="Arial" w:eastAsia="Times New Roman" w:hAnsi="Arial" w:cs="Arial"/>
                <w:sz w:val="20"/>
                <w:szCs w:val="20"/>
              </w:rPr>
              <w:br/>
              <w:t>87.88</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w:t>
            </w:r>
            <w:r w:rsidRPr="000E5D59">
              <w:rPr>
                <w:rFonts w:ascii="Arial" w:eastAsia="Times New Roman" w:hAnsi="Arial" w:cs="Arial"/>
                <w:sz w:val="20"/>
                <w:szCs w:val="20"/>
              </w:rPr>
              <w:br/>
              <w:t>95.35</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73.91</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4.55</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2.33</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8.70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3.03</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8.70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4.55</w:t>
            </w:r>
          </w:p>
        </w:tc>
        <w:tc>
          <w:tcPr>
            <w:tcW w:w="1620" w:type="dxa"/>
            <w:tcBorders>
              <w:top w:val="nil"/>
              <w:left w:val="thickThinSmallGap" w:sz="24" w:space="0" w:color="auto"/>
              <w:bottom w:val="double" w:sz="6"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2.33</w:t>
            </w:r>
          </w:p>
        </w:tc>
        <w:tc>
          <w:tcPr>
            <w:tcW w:w="1620" w:type="dxa"/>
            <w:tcBorders>
              <w:top w:val="nil"/>
              <w:left w:val="nil"/>
              <w:bottom w:val="double" w:sz="6"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8.70</w:t>
            </w:r>
          </w:p>
        </w:tc>
        <w:tc>
          <w:tcPr>
            <w:tcW w:w="1170" w:type="dxa"/>
            <w:tcBorders>
              <w:top w:val="nil"/>
              <w:left w:val="nil"/>
              <w:bottom w:val="double" w:sz="6" w:space="0" w:color="auto"/>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69 </w:t>
            </w:r>
          </w:p>
        </w:tc>
        <w:tc>
          <w:tcPr>
            <w:tcW w:w="1620" w:type="dxa"/>
            <w:tcBorders>
              <w:top w:val="nil"/>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4.35</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4.44</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4.17</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w:t>
            </w:r>
            <w:r w:rsidRPr="000E5D59">
              <w:rPr>
                <w:rFonts w:ascii="Arial" w:eastAsia="Times New Roman" w:hAnsi="Arial" w:cs="Arial"/>
                <w:sz w:val="20"/>
                <w:szCs w:val="20"/>
              </w:rPr>
              <w:br/>
              <w:t>69.57</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w:t>
            </w:r>
            <w:r w:rsidRPr="000E5D59">
              <w:rPr>
                <w:rFonts w:ascii="Arial" w:eastAsia="Times New Roman" w:hAnsi="Arial" w:cs="Arial"/>
                <w:sz w:val="20"/>
                <w:szCs w:val="20"/>
              </w:rPr>
              <w:br/>
              <w:t>73.33</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62.50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5.80</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4.44</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8.33</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1.45</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4.17</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w:t>
            </w:r>
            <w:r w:rsidRPr="000E5D59">
              <w:rPr>
                <w:rFonts w:ascii="Arial" w:eastAsia="Times New Roman" w:hAnsi="Arial" w:cs="Arial"/>
                <w:sz w:val="20"/>
                <w:szCs w:val="20"/>
              </w:rPr>
              <w:br/>
              <w:t>18.84</w:t>
            </w:r>
          </w:p>
        </w:tc>
        <w:tc>
          <w:tcPr>
            <w:tcW w:w="1620" w:type="dxa"/>
            <w:tcBorders>
              <w:top w:val="nil"/>
              <w:left w:val="thickThinSmallGap" w:sz="24" w:space="0" w:color="auto"/>
              <w:bottom w:val="double" w:sz="6"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w:t>
            </w:r>
            <w:r w:rsidRPr="000E5D59">
              <w:rPr>
                <w:rFonts w:ascii="Arial" w:eastAsia="Times New Roman" w:hAnsi="Arial" w:cs="Arial"/>
                <w:sz w:val="20"/>
                <w:szCs w:val="20"/>
              </w:rPr>
              <w:br/>
              <w:t>17.78</w:t>
            </w:r>
          </w:p>
        </w:tc>
        <w:tc>
          <w:tcPr>
            <w:tcW w:w="1620" w:type="dxa"/>
            <w:tcBorders>
              <w:top w:val="nil"/>
              <w:left w:val="nil"/>
              <w:bottom w:val="double" w:sz="6"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20.83</w:t>
            </w:r>
          </w:p>
        </w:tc>
        <w:tc>
          <w:tcPr>
            <w:tcW w:w="1170" w:type="dxa"/>
            <w:tcBorders>
              <w:top w:val="nil"/>
              <w:left w:val="nil"/>
              <w:bottom w:val="double" w:sz="6" w:space="0" w:color="auto"/>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70 </w:t>
            </w:r>
          </w:p>
        </w:tc>
        <w:tc>
          <w:tcPr>
            <w:tcW w:w="1620" w:type="dxa"/>
            <w:tcBorders>
              <w:top w:val="nil"/>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ns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24.29</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w:t>
            </w:r>
            <w:r w:rsidRPr="000E5D59">
              <w:rPr>
                <w:rFonts w:ascii="Arial" w:eastAsia="Times New Roman" w:hAnsi="Arial" w:cs="Arial"/>
                <w:sz w:val="20"/>
                <w:szCs w:val="20"/>
              </w:rPr>
              <w:br/>
              <w:t>24.44</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24.00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w:t>
            </w:r>
            <w:r w:rsidRPr="000E5D59">
              <w:rPr>
                <w:rFonts w:ascii="Arial" w:eastAsia="Times New Roman" w:hAnsi="Arial" w:cs="Arial"/>
                <w:sz w:val="20"/>
                <w:szCs w:val="20"/>
              </w:rPr>
              <w:br/>
              <w:t>38.57</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w:t>
            </w:r>
            <w:r w:rsidRPr="000E5D59">
              <w:rPr>
                <w:rFonts w:ascii="Arial" w:eastAsia="Times New Roman" w:hAnsi="Arial" w:cs="Arial"/>
                <w:sz w:val="20"/>
                <w:szCs w:val="20"/>
              </w:rPr>
              <w:br/>
              <w:t>40.00</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w:t>
            </w:r>
            <w:r w:rsidRPr="000E5D59">
              <w:rPr>
                <w:rFonts w:ascii="Arial" w:eastAsia="Times New Roman" w:hAnsi="Arial" w:cs="Arial"/>
                <w:sz w:val="20"/>
                <w:szCs w:val="20"/>
              </w:rPr>
              <w:br/>
              <w:t>36.00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4.29</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6.67</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w:t>
            </w:r>
            <w:r w:rsidRPr="000E5D59">
              <w:rPr>
                <w:rFonts w:ascii="Arial" w:eastAsia="Times New Roman" w:hAnsi="Arial" w:cs="Arial"/>
                <w:sz w:val="20"/>
                <w:szCs w:val="20"/>
              </w:rPr>
              <w:br/>
              <w:t>32.86</w:t>
            </w:r>
          </w:p>
        </w:tc>
        <w:tc>
          <w:tcPr>
            <w:tcW w:w="1620" w:type="dxa"/>
            <w:tcBorders>
              <w:top w:val="nil"/>
              <w:left w:val="thickThinSmallGap" w:sz="24" w:space="0" w:color="auto"/>
              <w:bottom w:val="single" w:sz="4"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w:t>
            </w:r>
            <w:r w:rsidRPr="000E5D59">
              <w:rPr>
                <w:rFonts w:ascii="Arial" w:eastAsia="Times New Roman" w:hAnsi="Arial" w:cs="Arial"/>
                <w:sz w:val="20"/>
                <w:szCs w:val="20"/>
              </w:rPr>
              <w:br/>
              <w:t>28.89</w:t>
            </w:r>
          </w:p>
        </w:tc>
        <w:tc>
          <w:tcPr>
            <w:tcW w:w="1620" w:type="dxa"/>
            <w:tcBorders>
              <w:top w:val="nil"/>
              <w:left w:val="nil"/>
              <w:bottom w:val="single" w:sz="4"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40.00</w:t>
            </w:r>
          </w:p>
        </w:tc>
        <w:tc>
          <w:tcPr>
            <w:tcW w:w="1170" w:type="dxa"/>
            <w:tcBorders>
              <w:top w:val="nil"/>
              <w:left w:val="nil"/>
              <w:bottom w:val="single" w:sz="4" w:space="0" w:color="auto"/>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Table 15C: DPH Patient Survey Rectal/Vaginal Marijuana by Education (Among 6,111 Respondents who </w:t>
      </w:r>
      <w:r w:rsidR="000941B7">
        <w:rPr>
          <w:rFonts w:ascii="Arial" w:eastAsia="Calibri" w:hAnsi="Arial" w:cs="Arial"/>
          <w:b/>
          <w:sz w:val="24"/>
          <w:szCs w:val="24"/>
        </w:rPr>
        <w:t>Used Marijuana in Past 30 Days)</w:t>
      </w:r>
    </w:p>
    <w:tbl>
      <w:tblPr>
        <w:tblW w:w="9555" w:type="dxa"/>
        <w:tblInd w:w="93" w:type="dxa"/>
        <w:tblLook w:val="04A0" w:firstRow="1" w:lastRow="0" w:firstColumn="1" w:lastColumn="0" w:noHBand="0" w:noVBand="1"/>
        <w:tblCaption w:val="DPH Patient Survey Rectal/Vaginal Marijuana by Education (Among 6,111 Respondents who Used Marijuana in Past 30 Days)"/>
      </w:tblPr>
      <w:tblGrid>
        <w:gridCol w:w="4245"/>
        <w:gridCol w:w="900"/>
        <w:gridCol w:w="1620"/>
        <w:gridCol w:w="1620"/>
        <w:gridCol w:w="1170"/>
      </w:tblGrid>
      <w:tr w:rsidR="000E5D59" w:rsidRPr="000E5D59" w:rsidTr="00784755">
        <w:trPr>
          <w:trHeight w:val="20"/>
        </w:trPr>
        <w:tc>
          <w:tcPr>
            <w:tcW w:w="424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sz w:val="20"/>
                <w:szCs w:val="20"/>
              </w:rPr>
              <w:t>%</w:t>
            </w:r>
            <w:r w:rsidRPr="000E5D59">
              <w:rPr>
                <w:rFonts w:ascii="Arial" w:eastAsia="Times New Roman" w:hAnsi="Arial" w:cs="Arial"/>
                <w:sz w:val="20"/>
                <w:szCs w:val="20"/>
              </w:rPr>
              <w:t> </w:t>
            </w:r>
          </w:p>
        </w:tc>
        <w:tc>
          <w:tcPr>
            <w:tcW w:w="441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24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(N=2871)</w:t>
            </w:r>
          </w:p>
        </w:tc>
        <w:tc>
          <w:tcPr>
            <w:tcW w:w="162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(N=3223)</w:t>
            </w:r>
          </w:p>
        </w:tc>
        <w:tc>
          <w:tcPr>
            <w:tcW w:w="117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Respondent used rectal/vaginal cannabis in the past 30 days</w:t>
            </w:r>
          </w:p>
        </w:tc>
        <w:tc>
          <w:tcPr>
            <w:tcW w:w="900" w:type="dxa"/>
            <w:tcBorders>
              <w:top w:val="nil"/>
              <w:left w:val="nil"/>
              <w:bottom w:val="single" w:sz="4"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6021</w:t>
            </w:r>
          </w:p>
        </w:tc>
        <w:tc>
          <w:tcPr>
            <w:tcW w:w="1620" w:type="dxa"/>
            <w:tcBorders>
              <w:top w:val="nil"/>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5946</w:t>
            </w:r>
            <w:r w:rsidRPr="000E5D59">
              <w:rPr>
                <w:rFonts w:ascii="Arial" w:eastAsia="Times New Roman" w:hAnsi="Arial" w:cs="Arial"/>
                <w:sz w:val="20"/>
                <w:szCs w:val="20"/>
              </w:rPr>
              <w:br/>
              <w:t>98.75</w:t>
            </w:r>
          </w:p>
        </w:tc>
        <w:tc>
          <w:tcPr>
            <w:tcW w:w="1620" w:type="dxa"/>
            <w:tcBorders>
              <w:top w:val="nil"/>
              <w:left w:val="thickThinSmallGap" w:sz="24" w:space="0" w:color="auto"/>
              <w:bottom w:val="nil"/>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2802</w:t>
            </w:r>
            <w:r w:rsidRPr="000E5D59">
              <w:rPr>
                <w:rFonts w:ascii="Arial" w:eastAsia="Times New Roman" w:hAnsi="Arial" w:cs="Arial"/>
                <w:sz w:val="20"/>
                <w:szCs w:val="20"/>
              </w:rPr>
              <w:br/>
              <w:t>98.80</w:t>
            </w:r>
          </w:p>
        </w:tc>
        <w:tc>
          <w:tcPr>
            <w:tcW w:w="1620" w:type="dxa"/>
            <w:tcBorders>
              <w:top w:val="nil"/>
              <w:left w:val="nil"/>
              <w:bottom w:val="nil"/>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3127</w:t>
            </w:r>
            <w:r w:rsidRPr="000E5D59">
              <w:rPr>
                <w:rFonts w:ascii="Arial" w:eastAsia="Times New Roman" w:hAnsi="Arial" w:cs="Arial"/>
                <w:sz w:val="20"/>
                <w:szCs w:val="20"/>
              </w:rPr>
              <w:br/>
              <w:t>98.71</w:t>
            </w:r>
          </w:p>
        </w:tc>
        <w:tc>
          <w:tcPr>
            <w:tcW w:w="1170" w:type="dxa"/>
            <w:tcBorders>
              <w:top w:val="nil"/>
              <w:left w:val="nil"/>
              <w:bottom w:val="nil"/>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558"/>
        </w:trPr>
        <w:tc>
          <w:tcPr>
            <w:tcW w:w="4245" w:type="dxa"/>
            <w:tcBorders>
              <w:top w:val="nil"/>
              <w:left w:val="single" w:sz="4" w:space="0" w:color="auto"/>
              <w:bottom w:val="double" w:sz="6" w:space="0" w:color="auto"/>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75</w:t>
            </w:r>
            <w:r w:rsidRPr="000E5D59">
              <w:rPr>
                <w:rFonts w:ascii="Arial" w:eastAsia="Times New Roman" w:hAnsi="Arial" w:cs="Arial"/>
                <w:sz w:val="20"/>
                <w:szCs w:val="20"/>
              </w:rPr>
              <w:br/>
              <w:t>1.25</w:t>
            </w:r>
          </w:p>
        </w:tc>
        <w:tc>
          <w:tcPr>
            <w:tcW w:w="162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w:t>
            </w:r>
            <w:r w:rsidRPr="000E5D59">
              <w:rPr>
                <w:rFonts w:ascii="Arial" w:eastAsia="Times New Roman" w:hAnsi="Arial" w:cs="Arial"/>
                <w:sz w:val="20"/>
                <w:szCs w:val="20"/>
              </w:rPr>
              <w:br/>
              <w:t>1.20</w:t>
            </w:r>
          </w:p>
        </w:tc>
        <w:tc>
          <w:tcPr>
            <w:tcW w:w="162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w:t>
            </w:r>
            <w:r w:rsidRPr="000E5D59">
              <w:rPr>
                <w:rFonts w:ascii="Arial" w:eastAsia="Times New Roman" w:hAnsi="Arial" w:cs="Arial"/>
                <w:sz w:val="20"/>
                <w:szCs w:val="20"/>
              </w:rPr>
              <w:br/>
              <w:t>1.29</w:t>
            </w:r>
          </w:p>
        </w:tc>
        <w:tc>
          <w:tcPr>
            <w:tcW w:w="117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Frequency of using rectal/vaginal cannabis in the past 30 days</w:t>
            </w:r>
          </w:p>
        </w:tc>
        <w:tc>
          <w:tcPr>
            <w:tcW w:w="900" w:type="dxa"/>
            <w:tcBorders>
              <w:top w:val="nil"/>
              <w:left w:val="nil"/>
              <w:bottom w:val="single" w:sz="4"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66</w:t>
            </w:r>
          </w:p>
        </w:tc>
        <w:tc>
          <w:tcPr>
            <w:tcW w:w="1620" w:type="dxa"/>
            <w:tcBorders>
              <w:top w:val="nil"/>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Less than once per week </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w:t>
            </w:r>
            <w:r w:rsidRPr="000E5D59">
              <w:rPr>
                <w:rFonts w:ascii="Arial" w:eastAsia="Times New Roman" w:hAnsi="Arial" w:cs="Arial"/>
                <w:sz w:val="20"/>
                <w:szCs w:val="20"/>
              </w:rPr>
              <w:br/>
              <w:t>87.88</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w:t>
            </w:r>
            <w:r w:rsidRPr="000E5D59">
              <w:rPr>
                <w:rFonts w:ascii="Arial" w:eastAsia="Times New Roman" w:hAnsi="Arial" w:cs="Arial"/>
                <w:sz w:val="20"/>
                <w:szCs w:val="20"/>
              </w:rPr>
              <w:br/>
              <w:t>83.33</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w:t>
            </w:r>
            <w:r w:rsidRPr="000E5D59">
              <w:rPr>
                <w:rFonts w:ascii="Arial" w:eastAsia="Times New Roman" w:hAnsi="Arial" w:cs="Arial"/>
                <w:sz w:val="20"/>
                <w:szCs w:val="20"/>
              </w:rPr>
              <w:br/>
              <w:t>91.67</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once per week (but not as much as once per day)</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4.55</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10.00</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Once per day</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3.03</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3.33</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2.78</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Multiple times per day</w:t>
            </w:r>
          </w:p>
        </w:tc>
        <w:tc>
          <w:tcPr>
            <w:tcW w:w="900" w:type="dxa"/>
            <w:tcBorders>
              <w:top w:val="nil"/>
              <w:left w:val="nil"/>
              <w:bottom w:val="double" w:sz="6" w:space="0" w:color="auto"/>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4.55</w:t>
            </w:r>
          </w:p>
        </w:tc>
        <w:tc>
          <w:tcPr>
            <w:tcW w:w="1620" w:type="dxa"/>
            <w:tcBorders>
              <w:top w:val="nil"/>
              <w:left w:val="thickThinSmallGap" w:sz="24" w:space="0" w:color="auto"/>
              <w:bottom w:val="double" w:sz="6"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3.33</w:t>
            </w:r>
          </w:p>
        </w:tc>
        <w:tc>
          <w:tcPr>
            <w:tcW w:w="1620" w:type="dxa"/>
            <w:tcBorders>
              <w:top w:val="nil"/>
              <w:left w:val="nil"/>
              <w:bottom w:val="double" w:sz="6"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5.56</w:t>
            </w:r>
          </w:p>
        </w:tc>
        <w:tc>
          <w:tcPr>
            <w:tcW w:w="1170" w:type="dxa"/>
            <w:tcBorders>
              <w:top w:val="nil"/>
              <w:left w:val="nil"/>
              <w:bottom w:val="double" w:sz="6" w:space="0" w:color="auto"/>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THC administered † ‡</w:t>
            </w:r>
          </w:p>
        </w:tc>
        <w:tc>
          <w:tcPr>
            <w:tcW w:w="900" w:type="dxa"/>
            <w:tcBorders>
              <w:top w:val="nil"/>
              <w:left w:val="nil"/>
              <w:bottom w:val="single" w:sz="4"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69 </w:t>
            </w:r>
          </w:p>
        </w:tc>
        <w:tc>
          <w:tcPr>
            <w:tcW w:w="1620" w:type="dxa"/>
            <w:tcBorders>
              <w:top w:val="nil"/>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 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4.35</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3.33</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5.13</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w:t>
            </w:r>
            <w:r w:rsidRPr="000E5D59">
              <w:rPr>
                <w:rFonts w:ascii="Arial" w:eastAsia="Times New Roman" w:hAnsi="Arial" w:cs="Arial"/>
                <w:sz w:val="20"/>
                <w:szCs w:val="20"/>
              </w:rPr>
              <w:br/>
              <w:t>69.57</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w:t>
            </w:r>
            <w:r w:rsidRPr="000E5D59">
              <w:rPr>
                <w:rFonts w:ascii="Arial" w:eastAsia="Times New Roman" w:hAnsi="Arial" w:cs="Arial"/>
                <w:sz w:val="20"/>
                <w:szCs w:val="20"/>
              </w:rPr>
              <w:br/>
              <w:t>73.33</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w:t>
            </w:r>
            <w:r w:rsidRPr="000E5D59">
              <w:rPr>
                <w:rFonts w:ascii="Arial" w:eastAsia="Times New Roman" w:hAnsi="Arial" w:cs="Arial"/>
                <w:sz w:val="20"/>
                <w:szCs w:val="20"/>
              </w:rPr>
              <w:br/>
              <w:t>66.67</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5.80</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10.26</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1.45</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2.56</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double" w:sz="6" w:space="0" w:color="auto"/>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w:t>
            </w:r>
            <w:r w:rsidRPr="000E5D59">
              <w:rPr>
                <w:rFonts w:ascii="Arial" w:eastAsia="Times New Roman" w:hAnsi="Arial" w:cs="Arial"/>
                <w:sz w:val="20"/>
                <w:szCs w:val="20"/>
              </w:rPr>
              <w:br/>
              <w:t>18.84</w:t>
            </w:r>
          </w:p>
        </w:tc>
        <w:tc>
          <w:tcPr>
            <w:tcW w:w="1620" w:type="dxa"/>
            <w:tcBorders>
              <w:top w:val="nil"/>
              <w:left w:val="thickThinSmallGap" w:sz="24" w:space="0" w:color="auto"/>
              <w:bottom w:val="double" w:sz="6"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23.33</w:t>
            </w:r>
          </w:p>
        </w:tc>
        <w:tc>
          <w:tcPr>
            <w:tcW w:w="1620" w:type="dxa"/>
            <w:tcBorders>
              <w:top w:val="nil"/>
              <w:left w:val="nil"/>
              <w:bottom w:val="double" w:sz="6"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15.38</w:t>
            </w:r>
          </w:p>
        </w:tc>
        <w:tc>
          <w:tcPr>
            <w:tcW w:w="1170" w:type="dxa"/>
            <w:tcBorders>
              <w:top w:val="nil"/>
              <w:left w:val="nil"/>
              <w:bottom w:val="double" w:sz="6" w:space="0" w:color="auto"/>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Amount of CBD administered † ‡</w:t>
            </w:r>
          </w:p>
        </w:tc>
        <w:tc>
          <w:tcPr>
            <w:tcW w:w="900" w:type="dxa"/>
            <w:tcBorders>
              <w:top w:val="nil"/>
              <w:left w:val="nil"/>
              <w:bottom w:val="single" w:sz="4" w:space="0" w:color="auto"/>
              <w:right w:val="thickThinSmallGap" w:sz="2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70 </w:t>
            </w:r>
          </w:p>
        </w:tc>
        <w:tc>
          <w:tcPr>
            <w:tcW w:w="1620" w:type="dxa"/>
            <w:tcBorders>
              <w:top w:val="nil"/>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sz w:val="20"/>
                <w:szCs w:val="20"/>
              </w:rPr>
            </w:pPr>
            <w:r w:rsidRPr="000E5D59">
              <w:rPr>
                <w:rFonts w:ascii="Arial" w:eastAsia="Times New Roman" w:hAnsi="Arial" w:cs="Arial"/>
                <w:sz w:val="20"/>
                <w:szCs w:val="20"/>
              </w:rPr>
              <w:t> ns</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mg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24.29</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16.67</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w:t>
            </w:r>
            <w:r w:rsidRPr="000E5D59">
              <w:rPr>
                <w:rFonts w:ascii="Arial" w:eastAsia="Times New Roman" w:hAnsi="Arial" w:cs="Arial"/>
                <w:sz w:val="20"/>
                <w:szCs w:val="20"/>
              </w:rPr>
              <w:br/>
              <w:t>30.00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 and 150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w:t>
            </w:r>
            <w:r w:rsidRPr="000E5D59">
              <w:rPr>
                <w:rFonts w:ascii="Arial" w:eastAsia="Times New Roman" w:hAnsi="Arial" w:cs="Arial"/>
                <w:sz w:val="20"/>
                <w:szCs w:val="20"/>
              </w:rPr>
              <w:br/>
              <w:t>38.57</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w:t>
            </w:r>
            <w:r w:rsidRPr="000E5D59">
              <w:rPr>
                <w:rFonts w:ascii="Arial" w:eastAsia="Times New Roman" w:hAnsi="Arial" w:cs="Arial"/>
                <w:sz w:val="20"/>
                <w:szCs w:val="20"/>
              </w:rPr>
              <w:br/>
              <w:t>43.33</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w:t>
            </w:r>
            <w:r w:rsidRPr="000E5D59">
              <w:rPr>
                <w:rFonts w:ascii="Arial" w:eastAsia="Times New Roman" w:hAnsi="Arial" w:cs="Arial"/>
                <w:sz w:val="20"/>
                <w:szCs w:val="20"/>
              </w:rPr>
              <w:br/>
              <w:t>35.00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Between 151 and 300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4.29</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6.67</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2.50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nil"/>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300 mg in past 30 days</w:t>
            </w:r>
          </w:p>
        </w:tc>
        <w:tc>
          <w:tcPr>
            <w:tcW w:w="900" w:type="dxa"/>
            <w:tcBorders>
              <w:top w:val="nil"/>
              <w:left w:val="nil"/>
              <w:bottom w:val="nil"/>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620" w:type="dxa"/>
            <w:tcBorders>
              <w:top w:val="nil"/>
              <w:left w:val="thickThinSmallGap" w:sz="24" w:space="0" w:color="auto"/>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620" w:type="dxa"/>
            <w:tcBorders>
              <w:top w:val="nil"/>
              <w:left w:val="nil"/>
              <w:bottom w:val="nil"/>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170" w:type="dxa"/>
            <w:tcBorders>
              <w:top w:val="nil"/>
              <w:left w:val="nil"/>
              <w:bottom w:val="nil"/>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245" w:type="dxa"/>
            <w:tcBorders>
              <w:top w:val="nil"/>
              <w:left w:val="single" w:sz="4" w:space="0" w:color="auto"/>
              <w:bottom w:val="single" w:sz="4" w:space="0" w:color="auto"/>
              <w:right w:val="single" w:sz="8" w:space="0" w:color="auto"/>
            </w:tcBorders>
            <w:shd w:val="clear" w:color="auto" w:fill="auto"/>
            <w:vAlign w:val="center"/>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w:t>
            </w:r>
            <w:r w:rsidRPr="000E5D59">
              <w:rPr>
                <w:rFonts w:ascii="Arial" w:eastAsia="Times New Roman" w:hAnsi="Arial" w:cs="Arial"/>
                <w:sz w:val="20"/>
                <w:szCs w:val="20"/>
              </w:rPr>
              <w:br/>
              <w:t>32.86</w:t>
            </w:r>
          </w:p>
        </w:tc>
        <w:tc>
          <w:tcPr>
            <w:tcW w:w="1620" w:type="dxa"/>
            <w:tcBorders>
              <w:top w:val="nil"/>
              <w:left w:val="thickThinSmallGap" w:sz="24" w:space="0" w:color="auto"/>
              <w:bottom w:val="single" w:sz="4"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33.33</w:t>
            </w:r>
          </w:p>
        </w:tc>
        <w:tc>
          <w:tcPr>
            <w:tcW w:w="1620" w:type="dxa"/>
            <w:tcBorders>
              <w:top w:val="nil"/>
              <w:left w:val="nil"/>
              <w:bottom w:val="single" w:sz="4" w:space="0" w:color="auto"/>
              <w:right w:val="single" w:sz="4" w:space="0" w:color="auto"/>
            </w:tcBorders>
            <w:shd w:val="clear" w:color="auto" w:fill="auto"/>
            <w:vAlign w:val="bottom"/>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w:t>
            </w:r>
            <w:r w:rsidRPr="000E5D59">
              <w:rPr>
                <w:rFonts w:ascii="Arial" w:eastAsia="Times New Roman" w:hAnsi="Arial" w:cs="Arial"/>
                <w:sz w:val="20"/>
                <w:szCs w:val="20"/>
              </w:rPr>
              <w:br/>
              <w:t>32.50</w:t>
            </w:r>
          </w:p>
        </w:tc>
        <w:tc>
          <w:tcPr>
            <w:tcW w:w="1170" w:type="dxa"/>
            <w:tcBorders>
              <w:top w:val="nil"/>
              <w:left w:val="nil"/>
              <w:bottom w:val="single" w:sz="4" w:space="0" w:color="auto"/>
              <w:right w:val="single" w:sz="4" w:space="0" w:color="auto"/>
            </w:tcBorders>
            <w:shd w:val="clear" w:color="auto" w:fill="auto"/>
            <w:noWrap/>
            <w:vAlign w:val="bottom"/>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18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t>
            </w:r>
            <w:r w:rsidRPr="000E5D59">
              <w:rPr>
                <w:rFonts w:ascii="Arial" w:eastAsia="Times New Roman" w:hAnsi="Arial" w:cs="Arial"/>
                <w:sz w:val="20"/>
                <w:szCs w:val="20"/>
              </w:rPr>
              <w:t xml:space="preserve"> </w:t>
            </w:r>
            <w:r w:rsidRPr="000E5D59">
              <w:rPr>
                <w:rFonts w:ascii="Arial" w:eastAsia="Times New Roman" w:hAnsi="Arial" w:cs="Arial"/>
                <w:i/>
                <w:iCs/>
                <w:sz w:val="20"/>
                <w:szCs w:val="20"/>
              </w:rPr>
              <w:t>Among respondents reporting using vaporized marijuana concentrate in the past 30 days</w:t>
            </w:r>
            <w:r w:rsidRPr="000E5D59">
              <w:rPr>
                <w:rFonts w:ascii="Arial" w:eastAsia="Times New Roman" w:hAnsi="Arial" w:cs="Arial"/>
                <w:b/>
                <w:bCs/>
                <w:sz w:val="20"/>
                <w:szCs w:val="20"/>
              </w:rPr>
              <w:t xml:space="preserve"> </w:t>
            </w:r>
          </w:p>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iCs/>
                <w:sz w:val="20"/>
                <w:szCs w:val="20"/>
              </w:rPr>
              <w:t>‡</w:t>
            </w:r>
            <w:r w:rsidRPr="000E5D59">
              <w:rPr>
                <w:rFonts w:ascii="Arial" w:eastAsia="Times New Roman" w:hAnsi="Arial" w:cs="Arial"/>
                <w:i/>
                <w:iCs/>
                <w:sz w:val="20"/>
                <w:szCs w:val="20"/>
              </w:rPr>
              <w:t xml:space="preserve"> Total monthly amount consumed</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i/>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AC40A7">
      <w:pPr>
        <w:pStyle w:val="Heading3"/>
      </w:pPr>
      <w:bookmarkStart w:id="233" w:name="_Toc11765959"/>
      <w:bookmarkStart w:id="234" w:name="_Toc11766614"/>
      <w:r w:rsidRPr="000E5D59">
        <w:t>Perceptions of Medical Marijuana Use</w:t>
      </w:r>
      <w:bookmarkEnd w:id="233"/>
      <w:bookmarkEnd w:id="234"/>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respondents, regardless of their use of marijuana in the past 30 days, were asked to report on various perceptions and behavior related to medical use of marijuana. Results are summarized in </w:t>
      </w:r>
      <w:r w:rsidRPr="000E5D59">
        <w:rPr>
          <w:rFonts w:ascii="Arial" w:eastAsia="Calibri" w:hAnsi="Arial" w:cs="Arial"/>
          <w:i/>
          <w:sz w:val="24"/>
          <w:szCs w:val="24"/>
        </w:rPr>
        <w:t>Tables 16A, 16B, and 16C</w:t>
      </w:r>
      <w:r w:rsidRPr="000E5D59">
        <w:rPr>
          <w:rFonts w:ascii="Arial" w:eastAsia="Calibri" w:hAnsi="Arial" w:cs="Arial"/>
          <w:sz w:val="24"/>
          <w:szCs w:val="24"/>
        </w:rPr>
        <w:t>, with comparisons by gender, age group, and educational attainment, respectively.</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Sixty-six percent of survey respondents reported using marijuana or marijuana products for medical purposes for at least a year, with 20% reporting use for over 3 years. 7% of respondents reported medical use of marijuana or marijuana products for 3 months or less. A larger proportion of male respondents than female reported medical use for at least 3 years (21% vs. 16%), while a larger proportion of respondents under the age of 51 compared to older respondents reported medical use for at least 3 years (22% vs. 16%). Finally, a larger proportion of respondents without a Bachelor’s degree than with reported medical use for at least 3 years (22% vs. 17%).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Ninety-four percent of survey respondents reported feeling safe or very safe when buying medical marijuana products at a licensed dispensary, while 5% reported feeling very unsafe. A larger proportion of respondents over the age of 50 than younger respondents reported felling very unsafe (7% vs. 4%), while a larger proportion of younger respondents than older reported feeling very safe (89% vs. 86%). A larger proportion of respondents without a Bachelor’s degree than with a degree reported feeling very unsafe (7% vs. 4%), while a larger proportion of respondents with a Bachelor’s degree than without reported feeling very safe (90% vs. 85%).</w:t>
      </w: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Sixty-six percent of survey respondents reported somewhat high or very high knowledge of products when selecting products for medical use, while 7% reported somewhat low or very low knowledge. A larger proportion of male respondents than female reported very high knowledge (42% vs. 32%), while a larger proportion of female respondents than male reported average knowledge (31% vs. 23%). A larger proportion of respondents under the age of 51 than older respondents report very high knowledge (43% vs 32%), while a larger proportion of older respondents than younger report average knowledge (29% vs. 24%).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Eighty-nine percent of survey respondents indicated that they had somewhat high or very high confidence that they were receiving safe, uncontaminated products at licensed dispensaries, while less than 2% reported that they had somewhat low or very low confidence. A larger proportion of respondents younger than 51 compared to older respondents reported very high confidence (71% vs. 67%), while a larger proportion of older respondents reported average confidence (11% vs. 8%). A larger proportion of respondents with a Bachelor’s degree than without a degree reported very high confidence in receiving safe, uncontaminated products (71% vs. 68%).</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Ninety-one percent of survey respondents reported that marijuana use has been effective or very effective in treating their medical condition, while 2% reported that marijuana use has had little effect or no effect at all. A larger proportion of male respondents than female reported that marijuana use has been effective (27% vs. 24%). A larger proportion of respondents less than 51 years old than older respondents reported that marijuana use has been very effective (72% vs. 58%), while a larger proportion of older respondents than younger reported that marijuana use has been effective (30% vs. 22%) or somewhat effective (10% vs. 5%).</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b/>
          <w:sz w:val="24"/>
          <w:szCs w:val="24"/>
        </w:rPr>
        <w:t>Table 16A: DPH Patient Survey Perceptions of Medical Use of Marijuana by Gender (Among All 6,934 Respondents)</w:t>
      </w:r>
    </w:p>
    <w:tbl>
      <w:tblPr>
        <w:tblW w:w="9555" w:type="dxa"/>
        <w:tblInd w:w="93" w:type="dxa"/>
        <w:tblLook w:val="04A0" w:firstRow="1" w:lastRow="0" w:firstColumn="1" w:lastColumn="0" w:noHBand="0" w:noVBand="1"/>
        <w:tblCaption w:val="DPH Patient Survey Perceptions of Medical Use of Marijuana by Gender (Among All 6,934 Respondents)"/>
      </w:tblPr>
      <w:tblGrid>
        <w:gridCol w:w="4425"/>
        <w:gridCol w:w="1080"/>
        <w:gridCol w:w="1440"/>
        <w:gridCol w:w="1440"/>
        <w:gridCol w:w="1170"/>
      </w:tblGrid>
      <w:tr w:rsidR="000E5D59" w:rsidRPr="000E5D59" w:rsidTr="00784755">
        <w:trPr>
          <w:trHeight w:val="20"/>
        </w:trPr>
        <w:tc>
          <w:tcPr>
            <w:tcW w:w="442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05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42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44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(N=3732)</w:t>
            </w:r>
          </w:p>
        </w:tc>
        <w:tc>
          <w:tcPr>
            <w:tcW w:w="144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(N=3056)</w:t>
            </w:r>
          </w:p>
        </w:tc>
        <w:tc>
          <w:tcPr>
            <w:tcW w:w="117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Length of time using marijuana or marijuana products for medical purposes</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6574</w:t>
            </w:r>
          </w:p>
        </w:tc>
        <w:tc>
          <w:tcPr>
            <w:tcW w:w="144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0-3 months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466</w:t>
            </w:r>
            <w:r w:rsidRPr="000E5D59">
              <w:rPr>
                <w:rFonts w:ascii="Arial" w:eastAsia="Times New Roman" w:hAnsi="Arial" w:cs="Arial"/>
                <w:sz w:val="20"/>
                <w:szCs w:val="20"/>
              </w:rPr>
              <w:br/>
              <w:t>7.09</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223</w:t>
            </w:r>
            <w:r w:rsidRPr="000E5D59">
              <w:rPr>
                <w:rFonts w:ascii="Arial" w:eastAsia="Times New Roman" w:hAnsi="Arial" w:cs="Arial"/>
                <w:sz w:val="20"/>
                <w:szCs w:val="20"/>
              </w:rPr>
              <w:br/>
              <w:t>6.31</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238</w:t>
            </w:r>
            <w:r w:rsidRPr="000E5D59">
              <w:rPr>
                <w:rFonts w:ascii="Arial" w:eastAsia="Times New Roman" w:hAnsi="Arial" w:cs="Arial"/>
                <w:sz w:val="20"/>
                <w:szCs w:val="20"/>
              </w:rPr>
              <w:br/>
              <w:t>8.12</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 months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675</w:t>
            </w:r>
            <w:r w:rsidRPr="000E5D59">
              <w:rPr>
                <w:rFonts w:ascii="Arial" w:eastAsia="Times New Roman" w:hAnsi="Arial" w:cs="Arial"/>
                <w:sz w:val="20"/>
                <w:szCs w:val="20"/>
              </w:rPr>
              <w:br/>
              <w:t>10.27</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341</w:t>
            </w:r>
            <w:r w:rsidRPr="000E5D59">
              <w:rPr>
                <w:rFonts w:ascii="Arial" w:eastAsia="Times New Roman" w:hAnsi="Arial" w:cs="Arial"/>
                <w:sz w:val="20"/>
                <w:szCs w:val="20"/>
              </w:rPr>
              <w:br/>
              <w:t>9.65</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324</w:t>
            </w:r>
            <w:r w:rsidRPr="000E5D59">
              <w:rPr>
                <w:rFonts w:ascii="Arial" w:eastAsia="Times New Roman" w:hAnsi="Arial" w:cs="Arial"/>
                <w:sz w:val="20"/>
                <w:szCs w:val="20"/>
              </w:rPr>
              <w:br/>
              <w:t>11.05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6-12 months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1124</w:t>
            </w:r>
            <w:r w:rsidRPr="000E5D59">
              <w:rPr>
                <w:rFonts w:ascii="Arial" w:eastAsia="Times New Roman" w:hAnsi="Arial" w:cs="Arial"/>
                <w:sz w:val="20"/>
                <w:szCs w:val="20"/>
              </w:rPr>
              <w:br/>
              <w:t>17.10</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584</w:t>
            </w:r>
            <w:r w:rsidRPr="000E5D59">
              <w:rPr>
                <w:rFonts w:ascii="Arial" w:eastAsia="Times New Roman" w:hAnsi="Arial" w:cs="Arial"/>
                <w:sz w:val="20"/>
                <w:szCs w:val="20"/>
              </w:rPr>
              <w:br/>
              <w:t>16.53</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522</w:t>
            </w:r>
            <w:r w:rsidRPr="000E5D59">
              <w:rPr>
                <w:rFonts w:ascii="Arial" w:eastAsia="Times New Roman" w:hAnsi="Arial" w:cs="Arial"/>
                <w:sz w:val="20"/>
                <w:szCs w:val="20"/>
              </w:rPr>
              <w:br/>
              <w:t>17.80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 years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3051</w:t>
            </w:r>
            <w:r w:rsidRPr="000E5D59">
              <w:rPr>
                <w:rFonts w:ascii="Arial" w:eastAsia="Times New Roman" w:hAnsi="Arial" w:cs="Arial"/>
                <w:sz w:val="20"/>
                <w:szCs w:val="20"/>
              </w:rPr>
              <w:br/>
              <w:t>46.41</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1633</w:t>
            </w:r>
            <w:r w:rsidRPr="000E5D59">
              <w:rPr>
                <w:rFonts w:ascii="Arial" w:eastAsia="Times New Roman" w:hAnsi="Arial" w:cs="Arial"/>
                <w:sz w:val="20"/>
                <w:szCs w:val="20"/>
              </w:rPr>
              <w:br/>
              <w:t>46.22</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1365</w:t>
            </w:r>
            <w:r w:rsidRPr="000E5D59">
              <w:rPr>
                <w:rFonts w:ascii="Arial" w:eastAsia="Times New Roman" w:hAnsi="Arial" w:cs="Arial"/>
                <w:sz w:val="20"/>
                <w:szCs w:val="20"/>
              </w:rPr>
              <w:br/>
              <w:t>46.56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 years</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1258</w:t>
            </w:r>
            <w:r w:rsidRPr="000E5D59">
              <w:rPr>
                <w:rFonts w:ascii="Arial" w:eastAsia="Times New Roman" w:hAnsi="Arial" w:cs="Arial"/>
                <w:sz w:val="20"/>
                <w:szCs w:val="20"/>
              </w:rPr>
              <w:br/>
              <w:t>19.14</w:t>
            </w:r>
          </w:p>
        </w:tc>
        <w:tc>
          <w:tcPr>
            <w:tcW w:w="144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752</w:t>
            </w:r>
            <w:r w:rsidRPr="000E5D59">
              <w:rPr>
                <w:rFonts w:ascii="Arial" w:eastAsia="Times New Roman" w:hAnsi="Arial" w:cs="Arial"/>
                <w:sz w:val="20"/>
                <w:szCs w:val="20"/>
              </w:rPr>
              <w:br/>
              <w:t>21.29</w:t>
            </w:r>
          </w:p>
        </w:tc>
        <w:tc>
          <w:tcPr>
            <w:tcW w:w="144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483</w:t>
            </w:r>
            <w:r w:rsidRPr="000E5D59">
              <w:rPr>
                <w:rFonts w:ascii="Arial" w:eastAsia="Times New Roman" w:hAnsi="Arial" w:cs="Arial"/>
                <w:sz w:val="20"/>
                <w:szCs w:val="20"/>
              </w:rPr>
              <w:br/>
              <w:t>16.47</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When you buy medical marijuana at a licensed dispensary, how do you feel about your personal safety?</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6552</w:t>
            </w:r>
          </w:p>
        </w:tc>
        <w:tc>
          <w:tcPr>
            <w:tcW w:w="144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unsafe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340</w:t>
            </w:r>
            <w:r w:rsidRPr="000E5D59">
              <w:rPr>
                <w:rFonts w:ascii="Arial" w:eastAsia="Times New Roman" w:hAnsi="Arial" w:cs="Arial"/>
                <w:sz w:val="20"/>
                <w:szCs w:val="20"/>
              </w:rPr>
              <w:br/>
              <w:t>5.19</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186</w:t>
            </w:r>
            <w:r w:rsidRPr="000E5D59">
              <w:rPr>
                <w:rFonts w:ascii="Arial" w:eastAsia="Times New Roman" w:hAnsi="Arial" w:cs="Arial"/>
                <w:sz w:val="20"/>
                <w:szCs w:val="20"/>
              </w:rPr>
              <w:br/>
              <w:t>5.28</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150</w:t>
            </w:r>
            <w:r w:rsidRPr="000E5D59">
              <w:rPr>
                <w:rFonts w:ascii="Arial" w:eastAsia="Times New Roman" w:hAnsi="Arial" w:cs="Arial"/>
                <w:sz w:val="20"/>
                <w:szCs w:val="20"/>
              </w:rPr>
              <w:br/>
              <w:t>5.13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unsafe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w:t>
            </w:r>
            <w:r w:rsidRPr="000E5D59">
              <w:rPr>
                <w:rFonts w:ascii="Arial" w:eastAsia="Times New Roman" w:hAnsi="Arial" w:cs="Arial"/>
                <w:sz w:val="20"/>
                <w:szCs w:val="20"/>
              </w:rPr>
              <w:br/>
              <w:t>0.93</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w:t>
            </w:r>
            <w:r w:rsidRPr="000E5D59">
              <w:rPr>
                <w:rFonts w:ascii="Arial" w:eastAsia="Times New Roman" w:hAnsi="Arial" w:cs="Arial"/>
                <w:sz w:val="20"/>
                <w:szCs w:val="20"/>
              </w:rPr>
              <w:br/>
              <w:t>0.97</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w:t>
            </w:r>
            <w:r w:rsidRPr="000E5D59">
              <w:rPr>
                <w:rFonts w:ascii="Arial" w:eastAsia="Times New Roman" w:hAnsi="Arial" w:cs="Arial"/>
                <w:sz w:val="20"/>
                <w:szCs w:val="20"/>
              </w:rPr>
              <w:br/>
              <w:t>0.89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safe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408</w:t>
            </w:r>
            <w:r w:rsidRPr="000E5D59">
              <w:rPr>
                <w:rFonts w:ascii="Arial" w:eastAsia="Times New Roman" w:hAnsi="Arial" w:cs="Arial"/>
                <w:sz w:val="20"/>
                <w:szCs w:val="20"/>
              </w:rPr>
              <w:br/>
              <w:t>6.23</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221</w:t>
            </w:r>
            <w:r w:rsidRPr="000E5D59">
              <w:rPr>
                <w:rFonts w:ascii="Arial" w:eastAsia="Times New Roman" w:hAnsi="Arial" w:cs="Arial"/>
                <w:sz w:val="20"/>
                <w:szCs w:val="20"/>
              </w:rPr>
              <w:br/>
              <w:t>6.28</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182</w:t>
            </w:r>
            <w:r w:rsidRPr="000E5D59">
              <w:rPr>
                <w:rFonts w:ascii="Arial" w:eastAsia="Times New Roman" w:hAnsi="Arial" w:cs="Arial"/>
                <w:sz w:val="20"/>
                <w:szCs w:val="20"/>
              </w:rPr>
              <w:br/>
              <w:t>6.22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safe</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5743</w:t>
            </w:r>
            <w:r w:rsidRPr="000E5D59">
              <w:rPr>
                <w:rFonts w:ascii="Arial" w:eastAsia="Times New Roman" w:hAnsi="Arial" w:cs="Arial"/>
                <w:sz w:val="20"/>
                <w:szCs w:val="20"/>
              </w:rPr>
              <w:br/>
              <w:t>87.65</w:t>
            </w:r>
          </w:p>
        </w:tc>
        <w:tc>
          <w:tcPr>
            <w:tcW w:w="144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3079</w:t>
            </w:r>
            <w:r w:rsidRPr="000E5D59">
              <w:rPr>
                <w:rFonts w:ascii="Arial" w:eastAsia="Times New Roman" w:hAnsi="Arial" w:cs="Arial"/>
                <w:sz w:val="20"/>
                <w:szCs w:val="20"/>
              </w:rPr>
              <w:br/>
              <w:t>87.47</w:t>
            </w:r>
          </w:p>
        </w:tc>
        <w:tc>
          <w:tcPr>
            <w:tcW w:w="144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2566</w:t>
            </w:r>
            <w:r w:rsidRPr="000E5D59">
              <w:rPr>
                <w:rFonts w:ascii="Arial" w:eastAsia="Times New Roman" w:hAnsi="Arial" w:cs="Arial"/>
                <w:sz w:val="20"/>
                <w:szCs w:val="20"/>
              </w:rPr>
              <w:br/>
              <w:t>87.76</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When selecting a marijuana product for your medical use, how would you rate your current knowledge of the recommended product based on information provided by your certified practitioner?</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6461</w:t>
            </w:r>
          </w:p>
        </w:tc>
        <w:tc>
          <w:tcPr>
            <w:tcW w:w="144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low</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159</w:t>
            </w:r>
            <w:r w:rsidRPr="000E5D59">
              <w:rPr>
                <w:rFonts w:ascii="Arial" w:eastAsia="Times New Roman" w:hAnsi="Arial" w:cs="Arial"/>
                <w:sz w:val="20"/>
                <w:szCs w:val="20"/>
              </w:rPr>
              <w:br/>
              <w:t>2.46</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w:t>
            </w:r>
            <w:r w:rsidRPr="000E5D59">
              <w:rPr>
                <w:rFonts w:ascii="Arial" w:eastAsia="Times New Roman" w:hAnsi="Arial" w:cs="Arial"/>
                <w:sz w:val="20"/>
                <w:szCs w:val="20"/>
              </w:rPr>
              <w:br/>
              <w:t>1.87</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90</w:t>
            </w:r>
            <w:r w:rsidRPr="000E5D59">
              <w:rPr>
                <w:rFonts w:ascii="Arial" w:eastAsia="Times New Roman" w:hAnsi="Arial" w:cs="Arial"/>
                <w:sz w:val="20"/>
                <w:szCs w:val="20"/>
              </w:rPr>
              <w:br/>
              <w:t>3.13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low</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306</w:t>
            </w:r>
            <w:r w:rsidRPr="000E5D59">
              <w:rPr>
                <w:rFonts w:ascii="Arial" w:eastAsia="Times New Roman" w:hAnsi="Arial" w:cs="Arial"/>
                <w:sz w:val="20"/>
                <w:szCs w:val="20"/>
              </w:rPr>
              <w:br/>
              <w:t>4.74</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138</w:t>
            </w:r>
            <w:r w:rsidRPr="000E5D59">
              <w:rPr>
                <w:rFonts w:ascii="Arial" w:eastAsia="Times New Roman" w:hAnsi="Arial" w:cs="Arial"/>
                <w:sz w:val="20"/>
                <w:szCs w:val="20"/>
              </w:rPr>
              <w:br/>
              <w:t>3.97</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166</w:t>
            </w:r>
            <w:r w:rsidRPr="000E5D59">
              <w:rPr>
                <w:rFonts w:ascii="Arial" w:eastAsia="Times New Roman" w:hAnsi="Arial" w:cs="Arial"/>
                <w:sz w:val="20"/>
                <w:szCs w:val="20"/>
              </w:rPr>
              <w:br/>
              <w:t>5.77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Average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1734</w:t>
            </w:r>
            <w:r w:rsidRPr="000E5D59">
              <w:rPr>
                <w:rFonts w:ascii="Arial" w:eastAsia="Times New Roman" w:hAnsi="Arial" w:cs="Arial"/>
                <w:sz w:val="20"/>
                <w:szCs w:val="20"/>
              </w:rPr>
              <w:br/>
              <w:t>26.84</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796</w:t>
            </w:r>
            <w:r w:rsidRPr="000E5D59">
              <w:rPr>
                <w:rFonts w:ascii="Arial" w:eastAsia="Times New Roman" w:hAnsi="Arial" w:cs="Arial"/>
                <w:sz w:val="20"/>
                <w:szCs w:val="20"/>
              </w:rPr>
              <w:br/>
              <w:t>22.88</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906</w:t>
            </w:r>
            <w:r w:rsidRPr="000E5D59">
              <w:rPr>
                <w:rFonts w:ascii="Arial" w:eastAsia="Times New Roman" w:hAnsi="Arial" w:cs="Arial"/>
                <w:sz w:val="20"/>
                <w:szCs w:val="20"/>
              </w:rPr>
              <w:br/>
              <w:t>31.49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high</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1825</w:t>
            </w:r>
            <w:r w:rsidRPr="000E5D59">
              <w:rPr>
                <w:rFonts w:ascii="Arial" w:eastAsia="Times New Roman" w:hAnsi="Arial" w:cs="Arial"/>
                <w:sz w:val="20"/>
                <w:szCs w:val="20"/>
              </w:rPr>
              <w:br/>
              <w:t>28.25</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1015</w:t>
            </w:r>
            <w:r w:rsidRPr="000E5D59">
              <w:rPr>
                <w:rFonts w:ascii="Arial" w:eastAsia="Times New Roman" w:hAnsi="Arial" w:cs="Arial"/>
                <w:sz w:val="20"/>
                <w:szCs w:val="20"/>
              </w:rPr>
              <w:br/>
              <w:t>29.18</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784</w:t>
            </w:r>
            <w:r w:rsidRPr="000E5D59">
              <w:rPr>
                <w:rFonts w:ascii="Arial" w:eastAsia="Times New Roman" w:hAnsi="Arial" w:cs="Arial"/>
                <w:sz w:val="20"/>
                <w:szCs w:val="20"/>
              </w:rPr>
              <w:br/>
              <w:t>27.25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351"/>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high</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2437</w:t>
            </w:r>
            <w:r w:rsidRPr="000E5D59">
              <w:rPr>
                <w:rFonts w:ascii="Arial" w:eastAsia="Times New Roman" w:hAnsi="Arial" w:cs="Arial"/>
                <w:sz w:val="20"/>
                <w:szCs w:val="20"/>
              </w:rPr>
              <w:br/>
              <w:t>37.72</w:t>
            </w:r>
          </w:p>
        </w:tc>
        <w:tc>
          <w:tcPr>
            <w:tcW w:w="144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1465</w:t>
            </w:r>
            <w:r w:rsidRPr="000E5D59">
              <w:rPr>
                <w:rFonts w:ascii="Arial" w:eastAsia="Times New Roman" w:hAnsi="Arial" w:cs="Arial"/>
                <w:sz w:val="20"/>
                <w:szCs w:val="20"/>
              </w:rPr>
              <w:br/>
              <w:t>42.11</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931</w:t>
            </w:r>
            <w:r w:rsidRPr="000E5D59">
              <w:rPr>
                <w:rFonts w:ascii="Arial" w:eastAsia="Times New Roman" w:hAnsi="Arial" w:cs="Arial"/>
                <w:sz w:val="20"/>
                <w:szCs w:val="20"/>
              </w:rPr>
              <w:br/>
              <w:t>32.36</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 (Continued) Table 16A: DPH Patient Survey Perceptions of Medical Use of Marijuana by Gende</w:t>
      </w:r>
      <w:r w:rsidR="000941B7">
        <w:rPr>
          <w:rFonts w:ascii="Arial" w:eastAsia="Calibri" w:hAnsi="Arial" w:cs="Arial"/>
          <w:b/>
          <w:sz w:val="24"/>
          <w:szCs w:val="24"/>
        </w:rPr>
        <w:t>r (Among All 6,934 Respondents)</w:t>
      </w:r>
    </w:p>
    <w:tbl>
      <w:tblPr>
        <w:tblW w:w="9555" w:type="dxa"/>
        <w:tblInd w:w="93" w:type="dxa"/>
        <w:tblLook w:val="04A0" w:firstRow="1" w:lastRow="0" w:firstColumn="1" w:lastColumn="0" w:noHBand="0" w:noVBand="1"/>
        <w:tblCaption w:val="Continued: DPH Patient Survey Perceptions of Medical Use of Marijuana by Gender (Among All 6,934 Respondents)"/>
      </w:tblPr>
      <w:tblGrid>
        <w:gridCol w:w="4425"/>
        <w:gridCol w:w="990"/>
        <w:gridCol w:w="1530"/>
        <w:gridCol w:w="1530"/>
        <w:gridCol w:w="1080"/>
      </w:tblGrid>
      <w:tr w:rsidR="000E5D59" w:rsidRPr="000E5D59" w:rsidTr="00784755">
        <w:trPr>
          <w:trHeight w:val="20"/>
        </w:trPr>
        <w:tc>
          <w:tcPr>
            <w:tcW w:w="442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9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42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9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(N=3732)</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(N=3056)</w:t>
            </w:r>
          </w:p>
        </w:tc>
        <w:tc>
          <w:tcPr>
            <w:tcW w:w="108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When purchasing marijuana or marijuana products at a licensed dispensary, how confident do you feel that you are receiving a safe, uncontaminated product?</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6538</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low confidence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w:t>
            </w:r>
            <w:r w:rsidRPr="000E5D59">
              <w:rPr>
                <w:rFonts w:ascii="Arial" w:eastAsia="Times New Roman" w:hAnsi="Arial" w:cs="Arial"/>
                <w:sz w:val="20"/>
                <w:szCs w:val="20"/>
              </w:rPr>
              <w:br/>
              <w:t>0.63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w:t>
            </w:r>
            <w:r w:rsidRPr="000E5D59">
              <w:rPr>
                <w:rFonts w:ascii="Arial" w:eastAsia="Times New Roman" w:hAnsi="Arial" w:cs="Arial"/>
                <w:sz w:val="20"/>
                <w:szCs w:val="20"/>
              </w:rPr>
              <w:br/>
              <w:t>0.63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0.58</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Low confidence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w:t>
            </w:r>
            <w:r w:rsidRPr="000E5D59">
              <w:rPr>
                <w:rFonts w:ascii="Arial" w:eastAsia="Times New Roman" w:hAnsi="Arial" w:cs="Arial"/>
                <w:sz w:val="20"/>
                <w:szCs w:val="20"/>
              </w:rPr>
              <w:br/>
              <w:t>1.21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w:t>
            </w:r>
            <w:r w:rsidRPr="000E5D59">
              <w:rPr>
                <w:rFonts w:ascii="Arial" w:eastAsia="Times New Roman" w:hAnsi="Arial" w:cs="Arial"/>
                <w:sz w:val="20"/>
                <w:szCs w:val="20"/>
              </w:rPr>
              <w:br/>
              <w:t>1.28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w:t>
            </w:r>
            <w:r w:rsidRPr="000E5D59">
              <w:rPr>
                <w:rFonts w:ascii="Arial" w:eastAsia="Times New Roman" w:hAnsi="Arial" w:cs="Arial"/>
                <w:sz w:val="20"/>
                <w:szCs w:val="20"/>
              </w:rPr>
              <w:br/>
              <w:t>1.13</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Average confidence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613</w:t>
            </w:r>
            <w:r w:rsidRPr="000E5D59">
              <w:rPr>
                <w:rFonts w:ascii="Arial" w:eastAsia="Times New Roman" w:hAnsi="Arial" w:cs="Arial"/>
                <w:sz w:val="20"/>
                <w:szCs w:val="20"/>
              </w:rPr>
              <w:br/>
              <w:t>9.38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322</w:t>
            </w:r>
            <w:r w:rsidRPr="000E5D59">
              <w:rPr>
                <w:rFonts w:ascii="Arial" w:eastAsia="Times New Roman" w:hAnsi="Arial" w:cs="Arial"/>
                <w:sz w:val="20"/>
                <w:szCs w:val="20"/>
              </w:rPr>
              <w:br/>
              <w:t>9.15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280</w:t>
            </w:r>
            <w:r w:rsidRPr="000E5D59">
              <w:rPr>
                <w:rFonts w:ascii="Arial" w:eastAsia="Times New Roman" w:hAnsi="Arial" w:cs="Arial"/>
                <w:sz w:val="20"/>
                <w:szCs w:val="20"/>
              </w:rPr>
              <w:br/>
              <w:t>9.62</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high confidence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1266</w:t>
            </w:r>
            <w:r w:rsidRPr="000E5D59">
              <w:rPr>
                <w:rFonts w:ascii="Arial" w:eastAsia="Times New Roman" w:hAnsi="Arial" w:cs="Arial"/>
                <w:sz w:val="20"/>
                <w:szCs w:val="20"/>
              </w:rPr>
              <w:br/>
              <w:t>19.36</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727</w:t>
            </w:r>
            <w:r w:rsidRPr="000E5D59">
              <w:rPr>
                <w:rFonts w:ascii="Arial" w:eastAsia="Times New Roman" w:hAnsi="Arial" w:cs="Arial"/>
                <w:sz w:val="20"/>
                <w:szCs w:val="20"/>
              </w:rPr>
              <w:br/>
              <w:t>20.65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520</w:t>
            </w:r>
            <w:r w:rsidRPr="000E5D59">
              <w:rPr>
                <w:rFonts w:ascii="Arial" w:eastAsia="Times New Roman" w:hAnsi="Arial" w:cs="Arial"/>
                <w:sz w:val="20"/>
                <w:szCs w:val="20"/>
              </w:rPr>
              <w:br/>
              <w:t>17.86</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high confidence</w:t>
            </w:r>
          </w:p>
        </w:tc>
        <w:tc>
          <w:tcPr>
            <w:tcW w:w="99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4539</w:t>
            </w:r>
            <w:r w:rsidRPr="000E5D59">
              <w:rPr>
                <w:rFonts w:ascii="Arial" w:eastAsia="Times New Roman" w:hAnsi="Arial" w:cs="Arial"/>
                <w:sz w:val="20"/>
                <w:szCs w:val="20"/>
              </w:rPr>
              <w:br/>
              <w:t>69.42</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2404</w:t>
            </w:r>
            <w:r w:rsidRPr="000E5D59">
              <w:rPr>
                <w:rFonts w:ascii="Arial" w:eastAsia="Times New Roman" w:hAnsi="Arial" w:cs="Arial"/>
                <w:sz w:val="20"/>
                <w:szCs w:val="20"/>
              </w:rPr>
              <w:br/>
              <w:t>68.30</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2062</w:t>
            </w:r>
            <w:r w:rsidRPr="000E5D59">
              <w:rPr>
                <w:rFonts w:ascii="Arial" w:eastAsia="Times New Roman" w:hAnsi="Arial" w:cs="Arial"/>
                <w:sz w:val="20"/>
                <w:szCs w:val="20"/>
              </w:rPr>
              <w:br/>
              <w:t>70.81</w:t>
            </w:r>
          </w:p>
        </w:tc>
        <w:tc>
          <w:tcPr>
            <w:tcW w:w="108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How effective do you feel marijuana or marijuana products have been in treating the medical condition for which you are using it?</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6551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Not effective at all</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w:t>
            </w:r>
            <w:r w:rsidRPr="000E5D59">
              <w:rPr>
                <w:rFonts w:ascii="Arial" w:eastAsia="Times New Roman" w:hAnsi="Arial" w:cs="Arial"/>
                <w:sz w:val="20"/>
                <w:szCs w:val="20"/>
              </w:rPr>
              <w:br/>
              <w:t>0.61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w:t>
            </w:r>
            <w:r w:rsidRPr="000E5D59">
              <w:rPr>
                <w:rFonts w:ascii="Arial" w:eastAsia="Times New Roman" w:hAnsi="Arial" w:cs="Arial"/>
                <w:sz w:val="20"/>
                <w:szCs w:val="20"/>
              </w:rPr>
              <w:br/>
              <w:t>0.45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w:t>
            </w:r>
            <w:r w:rsidRPr="000E5D59">
              <w:rPr>
                <w:rFonts w:ascii="Arial" w:eastAsia="Times New Roman" w:hAnsi="Arial" w:cs="Arial"/>
                <w:sz w:val="20"/>
                <w:szCs w:val="20"/>
              </w:rPr>
              <w:br/>
              <w:t>0.79</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 little effective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92</w:t>
            </w:r>
            <w:r w:rsidRPr="000E5D59">
              <w:rPr>
                <w:rFonts w:ascii="Arial" w:eastAsia="Times New Roman" w:hAnsi="Arial" w:cs="Arial"/>
                <w:sz w:val="20"/>
                <w:szCs w:val="20"/>
              </w:rPr>
              <w:br/>
              <w:t>1.40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w:t>
            </w:r>
            <w:r w:rsidRPr="000E5D59">
              <w:rPr>
                <w:rFonts w:ascii="Arial" w:eastAsia="Times New Roman" w:hAnsi="Arial" w:cs="Arial"/>
                <w:sz w:val="20"/>
                <w:szCs w:val="20"/>
              </w:rPr>
              <w:br/>
              <w:t>1.05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55</w:t>
            </w:r>
            <w:r w:rsidRPr="000E5D59">
              <w:rPr>
                <w:rFonts w:ascii="Arial" w:eastAsia="Times New Roman" w:hAnsi="Arial" w:cs="Arial"/>
                <w:sz w:val="20"/>
                <w:szCs w:val="20"/>
              </w:rPr>
              <w:br/>
              <w:t>1.88</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effective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465</w:t>
            </w:r>
            <w:r w:rsidRPr="000E5D59">
              <w:rPr>
                <w:rFonts w:ascii="Arial" w:eastAsia="Times New Roman" w:hAnsi="Arial" w:cs="Arial"/>
                <w:sz w:val="20"/>
                <w:szCs w:val="20"/>
              </w:rPr>
              <w:br/>
              <w:t>7.10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222</w:t>
            </w:r>
            <w:r w:rsidRPr="000E5D59">
              <w:rPr>
                <w:rFonts w:ascii="Arial" w:eastAsia="Times New Roman" w:hAnsi="Arial" w:cs="Arial"/>
                <w:sz w:val="20"/>
                <w:szCs w:val="20"/>
              </w:rPr>
              <w:br/>
              <w:t>6.31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235</w:t>
            </w:r>
            <w:r w:rsidRPr="000E5D59">
              <w:rPr>
                <w:rFonts w:ascii="Arial" w:eastAsia="Times New Roman" w:hAnsi="Arial" w:cs="Arial"/>
                <w:sz w:val="20"/>
                <w:szCs w:val="20"/>
              </w:rPr>
              <w:br/>
              <w:t>8.04</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Effective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1678</w:t>
            </w:r>
            <w:r w:rsidRPr="000E5D59">
              <w:rPr>
                <w:rFonts w:ascii="Arial" w:eastAsia="Times New Roman" w:hAnsi="Arial" w:cs="Arial"/>
                <w:sz w:val="20"/>
                <w:szCs w:val="20"/>
              </w:rPr>
              <w:br/>
              <w:t>25.61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960</w:t>
            </w:r>
            <w:r w:rsidRPr="000E5D59">
              <w:rPr>
                <w:rFonts w:ascii="Arial" w:eastAsia="Times New Roman" w:hAnsi="Arial" w:cs="Arial"/>
                <w:sz w:val="20"/>
                <w:szCs w:val="20"/>
              </w:rPr>
              <w:br/>
              <w:t>27.27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693</w:t>
            </w:r>
            <w:r w:rsidRPr="000E5D59">
              <w:rPr>
                <w:rFonts w:ascii="Arial" w:eastAsia="Times New Roman" w:hAnsi="Arial" w:cs="Arial"/>
                <w:sz w:val="20"/>
                <w:szCs w:val="20"/>
              </w:rPr>
              <w:br/>
              <w:t>23.70</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effective</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4276</w:t>
            </w:r>
            <w:r w:rsidRPr="000E5D59">
              <w:rPr>
                <w:rFonts w:ascii="Arial" w:eastAsia="Times New Roman" w:hAnsi="Arial" w:cs="Arial"/>
                <w:sz w:val="20"/>
                <w:szCs w:val="20"/>
              </w:rPr>
              <w:br/>
              <w:t>65.27</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2285</w:t>
            </w:r>
            <w:r w:rsidRPr="000E5D59">
              <w:rPr>
                <w:rFonts w:ascii="Arial" w:eastAsia="Times New Roman" w:hAnsi="Arial" w:cs="Arial"/>
                <w:sz w:val="20"/>
                <w:szCs w:val="20"/>
              </w:rPr>
              <w:br/>
              <w:t>64.91</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1918</w:t>
            </w:r>
            <w:r w:rsidRPr="000E5D59">
              <w:rPr>
                <w:rFonts w:ascii="Arial" w:eastAsia="Times New Roman" w:hAnsi="Arial" w:cs="Arial"/>
                <w:sz w:val="20"/>
                <w:szCs w:val="20"/>
              </w:rPr>
              <w:br/>
              <w:t>65.60</w:t>
            </w:r>
          </w:p>
        </w:tc>
        <w:tc>
          <w:tcPr>
            <w:tcW w:w="108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16B: DPH Patient Survey Perceptions of Medical Use of Marijuana by Age Grou</w:t>
      </w:r>
      <w:r w:rsidR="000941B7">
        <w:rPr>
          <w:rFonts w:ascii="Arial" w:eastAsia="Calibri" w:hAnsi="Arial" w:cs="Arial"/>
          <w:b/>
          <w:sz w:val="24"/>
          <w:szCs w:val="24"/>
        </w:rPr>
        <w:t>p (Among All 6,934 Respondents)</w:t>
      </w:r>
    </w:p>
    <w:tbl>
      <w:tblPr>
        <w:tblW w:w="9555" w:type="dxa"/>
        <w:tblInd w:w="93" w:type="dxa"/>
        <w:tblLook w:val="04A0" w:firstRow="1" w:lastRow="0" w:firstColumn="1" w:lastColumn="0" w:noHBand="0" w:noVBand="1"/>
        <w:tblCaption w:val="DPH Patient Survey Perceptions of Medical Use of Marijuana by Age Group (Among All 6,934 Respondents)"/>
      </w:tblPr>
      <w:tblGrid>
        <w:gridCol w:w="4425"/>
        <w:gridCol w:w="1080"/>
        <w:gridCol w:w="1440"/>
        <w:gridCol w:w="1440"/>
        <w:gridCol w:w="1170"/>
      </w:tblGrid>
      <w:tr w:rsidR="000E5D59" w:rsidRPr="000E5D59" w:rsidTr="00784755">
        <w:trPr>
          <w:trHeight w:val="20"/>
        </w:trPr>
        <w:tc>
          <w:tcPr>
            <w:tcW w:w="442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108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05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42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08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44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(N=3584)</w:t>
            </w:r>
          </w:p>
        </w:tc>
        <w:tc>
          <w:tcPr>
            <w:tcW w:w="144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(N=3188)</w:t>
            </w:r>
          </w:p>
        </w:tc>
        <w:tc>
          <w:tcPr>
            <w:tcW w:w="117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Length of time using marijuana or marijuana products for medical purposes</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6574</w:t>
            </w:r>
          </w:p>
        </w:tc>
        <w:tc>
          <w:tcPr>
            <w:tcW w:w="144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0-3 months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466</w:t>
            </w:r>
            <w:r w:rsidRPr="000E5D59">
              <w:rPr>
                <w:rFonts w:ascii="Arial" w:eastAsia="Times New Roman" w:hAnsi="Arial" w:cs="Arial"/>
                <w:sz w:val="20"/>
                <w:szCs w:val="20"/>
              </w:rPr>
              <w:br/>
              <w:t>7.09</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232</w:t>
            </w:r>
            <w:r w:rsidRPr="000E5D59">
              <w:rPr>
                <w:rFonts w:ascii="Arial" w:eastAsia="Times New Roman" w:hAnsi="Arial" w:cs="Arial"/>
                <w:sz w:val="20"/>
                <w:szCs w:val="20"/>
              </w:rPr>
              <w:br/>
              <w:t>6.79</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225</w:t>
            </w:r>
            <w:r w:rsidRPr="000E5D59">
              <w:rPr>
                <w:rFonts w:ascii="Arial" w:eastAsia="Times New Roman" w:hAnsi="Arial" w:cs="Arial"/>
                <w:sz w:val="20"/>
                <w:szCs w:val="20"/>
              </w:rPr>
              <w:br/>
              <w:t>7.40</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 months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675</w:t>
            </w:r>
            <w:r w:rsidRPr="000E5D59">
              <w:rPr>
                <w:rFonts w:ascii="Arial" w:eastAsia="Times New Roman" w:hAnsi="Arial" w:cs="Arial"/>
                <w:sz w:val="20"/>
                <w:szCs w:val="20"/>
              </w:rPr>
              <w:br/>
              <w:t>10.27</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365</w:t>
            </w:r>
            <w:r w:rsidRPr="000E5D59">
              <w:rPr>
                <w:rFonts w:ascii="Arial" w:eastAsia="Times New Roman" w:hAnsi="Arial" w:cs="Arial"/>
                <w:sz w:val="20"/>
                <w:szCs w:val="20"/>
              </w:rPr>
              <w:br/>
              <w:t>10.68</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301</w:t>
            </w:r>
            <w:r w:rsidRPr="000E5D59">
              <w:rPr>
                <w:rFonts w:ascii="Arial" w:eastAsia="Times New Roman" w:hAnsi="Arial" w:cs="Arial"/>
                <w:sz w:val="20"/>
                <w:szCs w:val="20"/>
              </w:rPr>
              <w:br/>
              <w:t>9.90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6-12 months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1124</w:t>
            </w:r>
            <w:r w:rsidRPr="000E5D59">
              <w:rPr>
                <w:rFonts w:ascii="Arial" w:eastAsia="Times New Roman" w:hAnsi="Arial" w:cs="Arial"/>
                <w:sz w:val="20"/>
                <w:szCs w:val="20"/>
              </w:rPr>
              <w:br/>
              <w:t>17.10</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578</w:t>
            </w:r>
            <w:r w:rsidRPr="000E5D59">
              <w:rPr>
                <w:rFonts w:ascii="Arial" w:eastAsia="Times New Roman" w:hAnsi="Arial" w:cs="Arial"/>
                <w:sz w:val="20"/>
                <w:szCs w:val="20"/>
              </w:rPr>
              <w:br/>
              <w:t>16.91</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523</w:t>
            </w:r>
            <w:r w:rsidRPr="000E5D59">
              <w:rPr>
                <w:rFonts w:ascii="Arial" w:eastAsia="Times New Roman" w:hAnsi="Arial" w:cs="Arial"/>
                <w:sz w:val="20"/>
                <w:szCs w:val="20"/>
              </w:rPr>
              <w:br/>
              <w:t>17.20</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 years</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3051</w:t>
            </w:r>
            <w:r w:rsidRPr="000E5D59">
              <w:rPr>
                <w:rFonts w:ascii="Arial" w:eastAsia="Times New Roman" w:hAnsi="Arial" w:cs="Arial"/>
                <w:sz w:val="20"/>
                <w:szCs w:val="20"/>
              </w:rPr>
              <w:br/>
              <w:t>46.41</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1498</w:t>
            </w:r>
            <w:r w:rsidRPr="000E5D59">
              <w:rPr>
                <w:rFonts w:ascii="Arial" w:eastAsia="Times New Roman" w:hAnsi="Arial" w:cs="Arial"/>
                <w:sz w:val="20"/>
                <w:szCs w:val="20"/>
              </w:rPr>
              <w:br/>
              <w:t>43.83</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1499</w:t>
            </w:r>
            <w:r w:rsidRPr="000E5D59">
              <w:rPr>
                <w:rFonts w:ascii="Arial" w:eastAsia="Times New Roman" w:hAnsi="Arial" w:cs="Arial"/>
                <w:sz w:val="20"/>
                <w:szCs w:val="20"/>
              </w:rPr>
              <w:br/>
              <w:t>49.29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 years</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1258</w:t>
            </w:r>
            <w:r w:rsidRPr="000E5D59">
              <w:rPr>
                <w:rFonts w:ascii="Arial" w:eastAsia="Times New Roman" w:hAnsi="Arial" w:cs="Arial"/>
                <w:sz w:val="20"/>
                <w:szCs w:val="20"/>
              </w:rPr>
              <w:br/>
              <w:t>19.14</w:t>
            </w:r>
          </w:p>
        </w:tc>
        <w:tc>
          <w:tcPr>
            <w:tcW w:w="144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745</w:t>
            </w:r>
            <w:r w:rsidRPr="000E5D59">
              <w:rPr>
                <w:rFonts w:ascii="Arial" w:eastAsia="Times New Roman" w:hAnsi="Arial" w:cs="Arial"/>
                <w:sz w:val="20"/>
                <w:szCs w:val="20"/>
              </w:rPr>
              <w:br/>
              <w:t>21.80</w:t>
            </w:r>
          </w:p>
        </w:tc>
        <w:tc>
          <w:tcPr>
            <w:tcW w:w="144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493</w:t>
            </w:r>
            <w:r w:rsidRPr="000E5D59">
              <w:rPr>
                <w:rFonts w:ascii="Arial" w:eastAsia="Times New Roman" w:hAnsi="Arial" w:cs="Arial"/>
                <w:sz w:val="20"/>
                <w:szCs w:val="20"/>
              </w:rPr>
              <w:br/>
              <w:t>16.21</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When you buy medical marijuana at a licensed dispensary, how do you feel about your personal safety?</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6552</w:t>
            </w:r>
          </w:p>
        </w:tc>
        <w:tc>
          <w:tcPr>
            <w:tcW w:w="144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unsafe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340</w:t>
            </w:r>
            <w:r w:rsidRPr="000E5D59">
              <w:rPr>
                <w:rFonts w:ascii="Arial" w:eastAsia="Times New Roman" w:hAnsi="Arial" w:cs="Arial"/>
                <w:sz w:val="20"/>
                <w:szCs w:val="20"/>
              </w:rPr>
              <w:br/>
              <w:t>5.19</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122</w:t>
            </w:r>
            <w:r w:rsidRPr="000E5D59">
              <w:rPr>
                <w:rFonts w:ascii="Arial" w:eastAsia="Times New Roman" w:hAnsi="Arial" w:cs="Arial"/>
                <w:sz w:val="20"/>
                <w:szCs w:val="20"/>
              </w:rPr>
              <w:br/>
              <w:t>3.59</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207</w:t>
            </w:r>
            <w:r w:rsidRPr="000E5D59">
              <w:rPr>
                <w:rFonts w:ascii="Arial" w:eastAsia="Times New Roman" w:hAnsi="Arial" w:cs="Arial"/>
                <w:sz w:val="20"/>
                <w:szCs w:val="20"/>
              </w:rPr>
              <w:br/>
              <w:t>6.81</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unsafe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w:t>
            </w:r>
            <w:r w:rsidRPr="000E5D59">
              <w:rPr>
                <w:rFonts w:ascii="Arial" w:eastAsia="Times New Roman" w:hAnsi="Arial" w:cs="Arial"/>
                <w:sz w:val="20"/>
                <w:szCs w:val="20"/>
              </w:rPr>
              <w:br/>
              <w:t>0.93</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w:t>
            </w:r>
            <w:r w:rsidRPr="000E5D59">
              <w:rPr>
                <w:rFonts w:ascii="Arial" w:eastAsia="Times New Roman" w:hAnsi="Arial" w:cs="Arial"/>
                <w:sz w:val="20"/>
                <w:szCs w:val="20"/>
              </w:rPr>
              <w:br/>
              <w:t>1.00</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w:t>
            </w:r>
            <w:r w:rsidRPr="000E5D59">
              <w:rPr>
                <w:rFonts w:ascii="Arial" w:eastAsia="Times New Roman" w:hAnsi="Arial" w:cs="Arial"/>
                <w:sz w:val="20"/>
                <w:szCs w:val="20"/>
              </w:rPr>
              <w:br/>
              <w:t>0.86</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safe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408</w:t>
            </w:r>
            <w:r w:rsidRPr="000E5D59">
              <w:rPr>
                <w:rFonts w:ascii="Arial" w:eastAsia="Times New Roman" w:hAnsi="Arial" w:cs="Arial"/>
                <w:sz w:val="20"/>
                <w:szCs w:val="20"/>
              </w:rPr>
              <w:br/>
              <w:t>6.23</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220</w:t>
            </w:r>
            <w:r w:rsidRPr="000E5D59">
              <w:rPr>
                <w:rFonts w:ascii="Arial" w:eastAsia="Times New Roman" w:hAnsi="Arial" w:cs="Arial"/>
                <w:sz w:val="20"/>
                <w:szCs w:val="20"/>
              </w:rPr>
              <w:br/>
              <w:t>6.47</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183</w:t>
            </w:r>
            <w:r w:rsidRPr="000E5D59">
              <w:rPr>
                <w:rFonts w:ascii="Arial" w:eastAsia="Times New Roman" w:hAnsi="Arial" w:cs="Arial"/>
                <w:sz w:val="20"/>
                <w:szCs w:val="20"/>
              </w:rPr>
              <w:br/>
              <w:t>6.02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safe</w:t>
            </w:r>
          </w:p>
        </w:tc>
        <w:tc>
          <w:tcPr>
            <w:tcW w:w="108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5743</w:t>
            </w:r>
            <w:r w:rsidRPr="000E5D59">
              <w:rPr>
                <w:rFonts w:ascii="Arial" w:eastAsia="Times New Roman" w:hAnsi="Arial" w:cs="Arial"/>
                <w:sz w:val="20"/>
                <w:szCs w:val="20"/>
              </w:rPr>
              <w:br/>
              <w:t>87.65</w:t>
            </w:r>
          </w:p>
        </w:tc>
        <w:tc>
          <w:tcPr>
            <w:tcW w:w="144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3023</w:t>
            </w:r>
            <w:r w:rsidRPr="000E5D59">
              <w:rPr>
                <w:rFonts w:ascii="Arial" w:eastAsia="Times New Roman" w:hAnsi="Arial" w:cs="Arial"/>
                <w:sz w:val="20"/>
                <w:szCs w:val="20"/>
              </w:rPr>
              <w:br/>
              <w:t>88.94</w:t>
            </w:r>
          </w:p>
        </w:tc>
        <w:tc>
          <w:tcPr>
            <w:tcW w:w="144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2623</w:t>
            </w:r>
            <w:r w:rsidRPr="000E5D59">
              <w:rPr>
                <w:rFonts w:ascii="Arial" w:eastAsia="Times New Roman" w:hAnsi="Arial" w:cs="Arial"/>
                <w:sz w:val="20"/>
                <w:szCs w:val="20"/>
              </w:rPr>
              <w:br/>
              <w:t>86.31</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When selecting a marijuana product for your medical use, how would you rate your current knowledge of the recommended product based on information provided by your certified practitioner?</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6461</w:t>
            </w:r>
          </w:p>
        </w:tc>
        <w:tc>
          <w:tcPr>
            <w:tcW w:w="144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low</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159</w:t>
            </w:r>
            <w:r w:rsidRPr="000E5D59">
              <w:rPr>
                <w:rFonts w:ascii="Arial" w:eastAsia="Times New Roman" w:hAnsi="Arial" w:cs="Arial"/>
                <w:sz w:val="20"/>
                <w:szCs w:val="20"/>
              </w:rPr>
              <w:br/>
              <w:t>2.46</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w:t>
            </w:r>
            <w:r w:rsidRPr="000E5D59">
              <w:rPr>
                <w:rFonts w:ascii="Arial" w:eastAsia="Times New Roman" w:hAnsi="Arial" w:cs="Arial"/>
                <w:sz w:val="20"/>
                <w:szCs w:val="20"/>
              </w:rPr>
              <w:br/>
              <w:t>1.74</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98</w:t>
            </w:r>
            <w:r w:rsidRPr="000E5D59">
              <w:rPr>
                <w:rFonts w:ascii="Arial" w:eastAsia="Times New Roman" w:hAnsi="Arial" w:cs="Arial"/>
                <w:sz w:val="20"/>
                <w:szCs w:val="20"/>
              </w:rPr>
              <w:br/>
              <w:t>3.26</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low</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306</w:t>
            </w:r>
            <w:r w:rsidRPr="000E5D59">
              <w:rPr>
                <w:rFonts w:ascii="Arial" w:eastAsia="Times New Roman" w:hAnsi="Arial" w:cs="Arial"/>
                <w:sz w:val="20"/>
                <w:szCs w:val="20"/>
              </w:rPr>
              <w:br/>
              <w:t>4.74</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109</w:t>
            </w:r>
            <w:r w:rsidRPr="000E5D59">
              <w:rPr>
                <w:rFonts w:ascii="Arial" w:eastAsia="Times New Roman" w:hAnsi="Arial" w:cs="Arial"/>
                <w:sz w:val="20"/>
                <w:szCs w:val="20"/>
              </w:rPr>
              <w:br/>
              <w:t>3.26</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188</w:t>
            </w:r>
            <w:r w:rsidRPr="000E5D59">
              <w:rPr>
                <w:rFonts w:ascii="Arial" w:eastAsia="Times New Roman" w:hAnsi="Arial" w:cs="Arial"/>
                <w:sz w:val="20"/>
                <w:szCs w:val="20"/>
              </w:rPr>
              <w:br/>
              <w:t>6.25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Average</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1734</w:t>
            </w:r>
            <w:r w:rsidRPr="000E5D59">
              <w:rPr>
                <w:rFonts w:ascii="Arial" w:eastAsia="Times New Roman" w:hAnsi="Arial" w:cs="Arial"/>
                <w:sz w:val="20"/>
                <w:szCs w:val="20"/>
              </w:rPr>
              <w:br/>
              <w:t>26.84</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810</w:t>
            </w:r>
            <w:r w:rsidRPr="000E5D59">
              <w:rPr>
                <w:rFonts w:ascii="Arial" w:eastAsia="Times New Roman" w:hAnsi="Arial" w:cs="Arial"/>
                <w:sz w:val="20"/>
                <w:szCs w:val="20"/>
              </w:rPr>
              <w:br/>
              <w:t>24.25</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885</w:t>
            </w:r>
            <w:r w:rsidRPr="000E5D59">
              <w:rPr>
                <w:rFonts w:ascii="Arial" w:eastAsia="Times New Roman" w:hAnsi="Arial" w:cs="Arial"/>
                <w:sz w:val="20"/>
                <w:szCs w:val="20"/>
              </w:rPr>
              <w:br/>
              <w:t>29.43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high</w:t>
            </w:r>
          </w:p>
        </w:tc>
        <w:tc>
          <w:tcPr>
            <w:tcW w:w="108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1825</w:t>
            </w:r>
            <w:r w:rsidRPr="000E5D59">
              <w:rPr>
                <w:rFonts w:ascii="Arial" w:eastAsia="Times New Roman" w:hAnsi="Arial" w:cs="Arial"/>
                <w:sz w:val="20"/>
                <w:szCs w:val="20"/>
              </w:rPr>
              <w:br/>
              <w:t>28.25</w:t>
            </w:r>
          </w:p>
        </w:tc>
        <w:tc>
          <w:tcPr>
            <w:tcW w:w="144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918</w:t>
            </w:r>
            <w:r w:rsidRPr="000E5D59">
              <w:rPr>
                <w:rFonts w:ascii="Arial" w:eastAsia="Times New Roman" w:hAnsi="Arial" w:cs="Arial"/>
                <w:sz w:val="20"/>
                <w:szCs w:val="20"/>
              </w:rPr>
              <w:br/>
              <w:t>27.49</w:t>
            </w:r>
          </w:p>
        </w:tc>
        <w:tc>
          <w:tcPr>
            <w:tcW w:w="144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879</w:t>
            </w:r>
            <w:r w:rsidRPr="000E5D59">
              <w:rPr>
                <w:rFonts w:ascii="Arial" w:eastAsia="Times New Roman" w:hAnsi="Arial" w:cs="Arial"/>
                <w:sz w:val="20"/>
                <w:szCs w:val="20"/>
              </w:rPr>
              <w:br/>
              <w:t>29.23</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high</w:t>
            </w:r>
          </w:p>
        </w:tc>
        <w:tc>
          <w:tcPr>
            <w:tcW w:w="108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2437</w:t>
            </w:r>
            <w:r w:rsidRPr="000E5D59">
              <w:rPr>
                <w:rFonts w:ascii="Arial" w:eastAsia="Times New Roman" w:hAnsi="Arial" w:cs="Arial"/>
                <w:sz w:val="20"/>
                <w:szCs w:val="20"/>
              </w:rPr>
              <w:br/>
              <w:t>37.72</w:t>
            </w:r>
          </w:p>
        </w:tc>
        <w:tc>
          <w:tcPr>
            <w:tcW w:w="144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1445</w:t>
            </w:r>
            <w:r w:rsidRPr="000E5D59">
              <w:rPr>
                <w:rFonts w:ascii="Arial" w:eastAsia="Times New Roman" w:hAnsi="Arial" w:cs="Arial"/>
                <w:sz w:val="20"/>
                <w:szCs w:val="20"/>
              </w:rPr>
              <w:br/>
              <w:t>43.26</w:t>
            </w:r>
          </w:p>
        </w:tc>
        <w:tc>
          <w:tcPr>
            <w:tcW w:w="144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957</w:t>
            </w:r>
            <w:r w:rsidRPr="000E5D59">
              <w:rPr>
                <w:rFonts w:ascii="Arial" w:eastAsia="Times New Roman" w:hAnsi="Arial" w:cs="Arial"/>
                <w:sz w:val="20"/>
                <w:szCs w:val="20"/>
              </w:rPr>
              <w:br/>
              <w:t>31.83</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(Continued) Table 16B: DPH Patient Survey Perceptions of Medical Use of Marijuana by Gende</w:t>
      </w:r>
      <w:r w:rsidR="000941B7">
        <w:rPr>
          <w:rFonts w:ascii="Arial" w:eastAsia="Calibri" w:hAnsi="Arial" w:cs="Arial"/>
          <w:b/>
          <w:sz w:val="24"/>
          <w:szCs w:val="24"/>
        </w:rPr>
        <w:t>r (Among All 6,934 Respondents)</w:t>
      </w:r>
    </w:p>
    <w:tbl>
      <w:tblPr>
        <w:tblW w:w="9555" w:type="dxa"/>
        <w:tblInd w:w="93" w:type="dxa"/>
        <w:tblLook w:val="04A0" w:firstRow="1" w:lastRow="0" w:firstColumn="1" w:lastColumn="0" w:noHBand="0" w:noVBand="1"/>
        <w:tblCaption w:val="Continued: DPH Patient Survey Perceptions of Medical Use of Marijuana by Age Group (Among All 6,934 Respondents)"/>
      </w:tblPr>
      <w:tblGrid>
        <w:gridCol w:w="4425"/>
        <w:gridCol w:w="990"/>
        <w:gridCol w:w="1530"/>
        <w:gridCol w:w="1530"/>
        <w:gridCol w:w="1080"/>
      </w:tblGrid>
      <w:tr w:rsidR="000E5D59" w:rsidRPr="000E5D59" w:rsidTr="00784755">
        <w:trPr>
          <w:trHeight w:val="20"/>
        </w:trPr>
        <w:tc>
          <w:tcPr>
            <w:tcW w:w="442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9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42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9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(N=3584)</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(N=3188)</w:t>
            </w:r>
          </w:p>
        </w:tc>
        <w:tc>
          <w:tcPr>
            <w:tcW w:w="108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When purchasing marijuana or marijuana products at a licensed dispensary, how confident do you feel that you are receiving a safe, uncontaminated product?</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6538</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low confidence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w:t>
            </w:r>
            <w:r w:rsidRPr="000E5D59">
              <w:rPr>
                <w:rFonts w:ascii="Arial" w:eastAsia="Times New Roman" w:hAnsi="Arial" w:cs="Arial"/>
                <w:sz w:val="20"/>
                <w:szCs w:val="20"/>
              </w:rPr>
              <w:br/>
              <w:t>0.63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w:t>
            </w:r>
            <w:r w:rsidRPr="000E5D59">
              <w:rPr>
                <w:rFonts w:ascii="Arial" w:eastAsia="Times New Roman" w:hAnsi="Arial" w:cs="Arial"/>
                <w:sz w:val="20"/>
                <w:szCs w:val="20"/>
              </w:rPr>
              <w:br/>
              <w:t>0.73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w:t>
            </w:r>
            <w:r w:rsidRPr="000E5D59">
              <w:rPr>
                <w:rFonts w:ascii="Arial" w:eastAsia="Times New Roman" w:hAnsi="Arial" w:cs="Arial"/>
                <w:sz w:val="20"/>
                <w:szCs w:val="20"/>
              </w:rPr>
              <w:br/>
              <w:t>0.46</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Low confidence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w:t>
            </w:r>
            <w:r w:rsidRPr="000E5D59">
              <w:rPr>
                <w:rFonts w:ascii="Arial" w:eastAsia="Times New Roman" w:hAnsi="Arial" w:cs="Arial"/>
                <w:sz w:val="20"/>
                <w:szCs w:val="20"/>
              </w:rPr>
              <w:br/>
              <w:t>1.21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w:t>
            </w:r>
            <w:r w:rsidRPr="000E5D59">
              <w:rPr>
                <w:rFonts w:ascii="Arial" w:eastAsia="Times New Roman" w:hAnsi="Arial" w:cs="Arial"/>
                <w:sz w:val="20"/>
                <w:szCs w:val="20"/>
              </w:rPr>
              <w:br/>
              <w:t>1.50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w:t>
            </w:r>
            <w:r w:rsidRPr="000E5D59">
              <w:rPr>
                <w:rFonts w:ascii="Arial" w:eastAsia="Times New Roman" w:hAnsi="Arial" w:cs="Arial"/>
                <w:sz w:val="20"/>
                <w:szCs w:val="20"/>
              </w:rPr>
              <w:br/>
              <w:t>0.89</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Average confidence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613</w:t>
            </w:r>
            <w:r w:rsidRPr="000E5D59">
              <w:rPr>
                <w:rFonts w:ascii="Arial" w:eastAsia="Times New Roman" w:hAnsi="Arial" w:cs="Arial"/>
                <w:sz w:val="20"/>
                <w:szCs w:val="20"/>
              </w:rPr>
              <w:br/>
              <w:t>9.38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261</w:t>
            </w:r>
            <w:r w:rsidRPr="000E5D59">
              <w:rPr>
                <w:rFonts w:ascii="Arial" w:eastAsia="Times New Roman" w:hAnsi="Arial" w:cs="Arial"/>
                <w:sz w:val="20"/>
                <w:szCs w:val="20"/>
              </w:rPr>
              <w:br/>
              <w:t>7.67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342</w:t>
            </w:r>
            <w:r w:rsidRPr="000E5D59">
              <w:rPr>
                <w:rFonts w:ascii="Arial" w:eastAsia="Times New Roman" w:hAnsi="Arial" w:cs="Arial"/>
                <w:sz w:val="20"/>
                <w:szCs w:val="20"/>
              </w:rPr>
              <w:br/>
              <w:t>11.33</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high confidence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1266</w:t>
            </w:r>
            <w:r w:rsidRPr="000E5D59">
              <w:rPr>
                <w:rFonts w:ascii="Arial" w:eastAsia="Times New Roman" w:hAnsi="Arial" w:cs="Arial"/>
                <w:sz w:val="20"/>
                <w:szCs w:val="20"/>
              </w:rPr>
              <w:br/>
              <w:t>19.36</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641</w:t>
            </w:r>
            <w:r w:rsidRPr="000E5D59">
              <w:rPr>
                <w:rFonts w:ascii="Arial" w:eastAsia="Times New Roman" w:hAnsi="Arial" w:cs="Arial"/>
                <w:sz w:val="20"/>
                <w:szCs w:val="20"/>
              </w:rPr>
              <w:br/>
              <w:t>18.84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610</w:t>
            </w:r>
            <w:r w:rsidRPr="000E5D59">
              <w:rPr>
                <w:rFonts w:ascii="Arial" w:eastAsia="Times New Roman" w:hAnsi="Arial" w:cs="Arial"/>
                <w:sz w:val="20"/>
                <w:szCs w:val="20"/>
              </w:rPr>
              <w:br/>
              <w:t>20.21</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high confidence</w:t>
            </w:r>
          </w:p>
        </w:tc>
        <w:tc>
          <w:tcPr>
            <w:tcW w:w="99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4539</w:t>
            </w:r>
            <w:r w:rsidRPr="000E5D59">
              <w:rPr>
                <w:rFonts w:ascii="Arial" w:eastAsia="Times New Roman" w:hAnsi="Arial" w:cs="Arial"/>
                <w:sz w:val="20"/>
                <w:szCs w:val="20"/>
              </w:rPr>
              <w:br/>
              <w:t>69.42</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2425</w:t>
            </w:r>
            <w:r w:rsidRPr="000E5D59">
              <w:rPr>
                <w:rFonts w:ascii="Arial" w:eastAsia="Times New Roman" w:hAnsi="Arial" w:cs="Arial"/>
                <w:sz w:val="20"/>
                <w:szCs w:val="20"/>
              </w:rPr>
              <w:br/>
              <w:t>71.26</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2026</w:t>
            </w:r>
            <w:r w:rsidRPr="000E5D59">
              <w:rPr>
                <w:rFonts w:ascii="Arial" w:eastAsia="Times New Roman" w:hAnsi="Arial" w:cs="Arial"/>
                <w:sz w:val="20"/>
                <w:szCs w:val="20"/>
              </w:rPr>
              <w:br/>
              <w:t>67.11</w:t>
            </w:r>
          </w:p>
        </w:tc>
        <w:tc>
          <w:tcPr>
            <w:tcW w:w="108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How effective do you feel marijuana or marijuana products have been in treating the medical condition for which you are using it?</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6551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Not effective at all</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w:t>
            </w:r>
            <w:r w:rsidRPr="000E5D59">
              <w:rPr>
                <w:rFonts w:ascii="Arial" w:eastAsia="Times New Roman" w:hAnsi="Arial" w:cs="Arial"/>
                <w:sz w:val="20"/>
                <w:szCs w:val="20"/>
              </w:rPr>
              <w:br/>
              <w:t>0.61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0.21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w:t>
            </w:r>
            <w:r w:rsidRPr="000E5D59">
              <w:rPr>
                <w:rFonts w:ascii="Arial" w:eastAsia="Times New Roman" w:hAnsi="Arial" w:cs="Arial"/>
                <w:sz w:val="20"/>
                <w:szCs w:val="20"/>
              </w:rPr>
              <w:br/>
              <w:t>1.06</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 little effective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92</w:t>
            </w:r>
            <w:r w:rsidRPr="000E5D59">
              <w:rPr>
                <w:rFonts w:ascii="Arial" w:eastAsia="Times New Roman" w:hAnsi="Arial" w:cs="Arial"/>
                <w:sz w:val="20"/>
                <w:szCs w:val="20"/>
              </w:rPr>
              <w:br/>
              <w:t>1.40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w:t>
            </w:r>
            <w:r w:rsidRPr="000E5D59">
              <w:rPr>
                <w:rFonts w:ascii="Arial" w:eastAsia="Times New Roman" w:hAnsi="Arial" w:cs="Arial"/>
                <w:sz w:val="20"/>
                <w:szCs w:val="20"/>
              </w:rPr>
              <w:br/>
              <w:t>1.15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w:t>
            </w:r>
            <w:r w:rsidRPr="000E5D59">
              <w:rPr>
                <w:rFonts w:ascii="Arial" w:eastAsia="Times New Roman" w:hAnsi="Arial" w:cs="Arial"/>
                <w:sz w:val="20"/>
                <w:szCs w:val="20"/>
              </w:rPr>
              <w:br/>
              <w:t>1.62</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effective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465</w:t>
            </w:r>
            <w:r w:rsidRPr="000E5D59">
              <w:rPr>
                <w:rFonts w:ascii="Arial" w:eastAsia="Times New Roman" w:hAnsi="Arial" w:cs="Arial"/>
                <w:sz w:val="20"/>
                <w:szCs w:val="20"/>
              </w:rPr>
              <w:br/>
              <w:t>7.10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159</w:t>
            </w:r>
            <w:r w:rsidRPr="000E5D59">
              <w:rPr>
                <w:rFonts w:ascii="Arial" w:eastAsia="Times New Roman" w:hAnsi="Arial" w:cs="Arial"/>
                <w:sz w:val="20"/>
                <w:szCs w:val="20"/>
              </w:rPr>
              <w:br/>
              <w:t>4.67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296</w:t>
            </w:r>
            <w:r w:rsidRPr="000E5D59">
              <w:rPr>
                <w:rFonts w:ascii="Arial" w:eastAsia="Times New Roman" w:hAnsi="Arial" w:cs="Arial"/>
                <w:sz w:val="20"/>
                <w:szCs w:val="20"/>
              </w:rPr>
              <w:br/>
              <w:t>9.77</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Effective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1678</w:t>
            </w:r>
            <w:r w:rsidRPr="000E5D59">
              <w:rPr>
                <w:rFonts w:ascii="Arial" w:eastAsia="Times New Roman" w:hAnsi="Arial" w:cs="Arial"/>
                <w:sz w:val="20"/>
                <w:szCs w:val="20"/>
              </w:rPr>
              <w:br/>
              <w:t>25.61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762</w:t>
            </w:r>
            <w:r w:rsidRPr="000E5D59">
              <w:rPr>
                <w:rFonts w:ascii="Arial" w:eastAsia="Times New Roman" w:hAnsi="Arial" w:cs="Arial"/>
                <w:sz w:val="20"/>
                <w:szCs w:val="20"/>
              </w:rPr>
              <w:br/>
              <w:t>22.37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896</w:t>
            </w:r>
            <w:r w:rsidRPr="000E5D59">
              <w:rPr>
                <w:rFonts w:ascii="Arial" w:eastAsia="Times New Roman" w:hAnsi="Arial" w:cs="Arial"/>
                <w:sz w:val="20"/>
                <w:szCs w:val="20"/>
              </w:rPr>
              <w:br/>
              <w:t>29.57</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effective</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4276</w:t>
            </w:r>
            <w:r w:rsidRPr="000E5D59">
              <w:rPr>
                <w:rFonts w:ascii="Arial" w:eastAsia="Times New Roman" w:hAnsi="Arial" w:cs="Arial"/>
                <w:sz w:val="20"/>
                <w:szCs w:val="20"/>
              </w:rPr>
              <w:br/>
              <w:t>65.27</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2439</w:t>
            </w:r>
            <w:r w:rsidRPr="000E5D59">
              <w:rPr>
                <w:rFonts w:ascii="Arial" w:eastAsia="Times New Roman" w:hAnsi="Arial" w:cs="Arial"/>
                <w:sz w:val="20"/>
                <w:szCs w:val="20"/>
              </w:rPr>
              <w:br/>
              <w:t>71.61</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1757</w:t>
            </w:r>
            <w:r w:rsidRPr="000E5D59">
              <w:rPr>
                <w:rFonts w:ascii="Arial" w:eastAsia="Times New Roman" w:hAnsi="Arial" w:cs="Arial"/>
                <w:sz w:val="20"/>
                <w:szCs w:val="20"/>
              </w:rPr>
              <w:br/>
              <w:t>57.99</w:t>
            </w:r>
          </w:p>
        </w:tc>
        <w:tc>
          <w:tcPr>
            <w:tcW w:w="108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16C: DPH Patient Survey Perceptions of Medical Use of Marijuana by Education (Among All 6,934 Re</w:t>
      </w:r>
      <w:r w:rsidR="000941B7">
        <w:rPr>
          <w:rFonts w:ascii="Arial" w:eastAsia="Calibri" w:hAnsi="Arial" w:cs="Arial"/>
          <w:b/>
          <w:sz w:val="24"/>
          <w:szCs w:val="24"/>
        </w:rPr>
        <w:t>spondents)</w:t>
      </w:r>
    </w:p>
    <w:tbl>
      <w:tblPr>
        <w:tblW w:w="9555" w:type="dxa"/>
        <w:tblInd w:w="93" w:type="dxa"/>
        <w:tblLook w:val="04A0" w:firstRow="1" w:lastRow="0" w:firstColumn="1" w:lastColumn="0" w:noHBand="0" w:noVBand="1"/>
        <w:tblCaption w:val="DPH Patient Survey Perceptions of Medical Use of Marijuana by Education (Among All 6,934 Respondents)"/>
      </w:tblPr>
      <w:tblGrid>
        <w:gridCol w:w="4425"/>
        <w:gridCol w:w="990"/>
        <w:gridCol w:w="1530"/>
        <w:gridCol w:w="1530"/>
        <w:gridCol w:w="1080"/>
      </w:tblGrid>
      <w:tr w:rsidR="000E5D59" w:rsidRPr="000E5D59" w:rsidTr="00784755">
        <w:trPr>
          <w:trHeight w:val="20"/>
        </w:trPr>
        <w:tc>
          <w:tcPr>
            <w:tcW w:w="442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9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42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9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(N=3282)</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(N=3595)</w:t>
            </w:r>
          </w:p>
        </w:tc>
        <w:tc>
          <w:tcPr>
            <w:tcW w:w="108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Length of time using marijuana or marijuana products for medical purposes</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6574</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0-3 months</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466</w:t>
            </w:r>
            <w:r w:rsidRPr="000E5D59">
              <w:rPr>
                <w:rFonts w:ascii="Arial" w:eastAsia="Times New Roman" w:hAnsi="Arial" w:cs="Arial"/>
                <w:sz w:val="20"/>
                <w:szCs w:val="20"/>
              </w:rPr>
              <w:br/>
              <w:t>7.09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200</w:t>
            </w:r>
            <w:r w:rsidRPr="000E5D59">
              <w:rPr>
                <w:rFonts w:ascii="Arial" w:eastAsia="Times New Roman" w:hAnsi="Arial" w:cs="Arial"/>
                <w:sz w:val="20"/>
                <w:szCs w:val="20"/>
              </w:rPr>
              <w:br/>
              <w:t>6.40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263</w:t>
            </w:r>
            <w:r w:rsidRPr="000E5D59">
              <w:rPr>
                <w:rFonts w:ascii="Arial" w:eastAsia="Times New Roman" w:hAnsi="Arial" w:cs="Arial"/>
                <w:sz w:val="20"/>
                <w:szCs w:val="20"/>
              </w:rPr>
              <w:br/>
              <w:t>7.67</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 months</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675</w:t>
            </w:r>
            <w:r w:rsidRPr="000E5D59">
              <w:rPr>
                <w:rFonts w:ascii="Arial" w:eastAsia="Times New Roman" w:hAnsi="Arial" w:cs="Arial"/>
                <w:sz w:val="20"/>
                <w:szCs w:val="20"/>
              </w:rPr>
              <w:br/>
              <w:t>10.27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304</w:t>
            </w:r>
            <w:r w:rsidRPr="000E5D59">
              <w:rPr>
                <w:rFonts w:ascii="Arial" w:eastAsia="Times New Roman" w:hAnsi="Arial" w:cs="Arial"/>
                <w:sz w:val="20"/>
                <w:szCs w:val="20"/>
              </w:rPr>
              <w:br/>
              <w:t>9.73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368</w:t>
            </w:r>
            <w:r w:rsidRPr="000E5D59">
              <w:rPr>
                <w:rFonts w:ascii="Arial" w:eastAsia="Times New Roman" w:hAnsi="Arial" w:cs="Arial"/>
                <w:sz w:val="20"/>
                <w:szCs w:val="20"/>
              </w:rPr>
              <w:br/>
              <w:t>10.73</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6-12 months</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1124</w:t>
            </w:r>
            <w:r w:rsidRPr="000E5D59">
              <w:rPr>
                <w:rFonts w:ascii="Arial" w:eastAsia="Times New Roman" w:hAnsi="Arial" w:cs="Arial"/>
                <w:sz w:val="20"/>
                <w:szCs w:val="20"/>
              </w:rPr>
              <w:br/>
              <w:t>17.10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505</w:t>
            </w:r>
            <w:r w:rsidRPr="000E5D59">
              <w:rPr>
                <w:rFonts w:ascii="Arial" w:eastAsia="Times New Roman" w:hAnsi="Arial" w:cs="Arial"/>
                <w:sz w:val="20"/>
                <w:szCs w:val="20"/>
              </w:rPr>
              <w:br/>
              <w:t>16.16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619</w:t>
            </w:r>
            <w:r w:rsidRPr="000E5D59">
              <w:rPr>
                <w:rFonts w:ascii="Arial" w:eastAsia="Times New Roman" w:hAnsi="Arial" w:cs="Arial"/>
                <w:sz w:val="20"/>
                <w:szCs w:val="20"/>
              </w:rPr>
              <w:br/>
              <w:t>18.04</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 years</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3051</w:t>
            </w:r>
            <w:r w:rsidRPr="000E5D59">
              <w:rPr>
                <w:rFonts w:ascii="Arial" w:eastAsia="Times New Roman" w:hAnsi="Arial" w:cs="Arial"/>
                <w:sz w:val="20"/>
                <w:szCs w:val="20"/>
              </w:rPr>
              <w:br/>
              <w:t>46.41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1432</w:t>
            </w:r>
            <w:r w:rsidRPr="000E5D59">
              <w:rPr>
                <w:rFonts w:ascii="Arial" w:eastAsia="Times New Roman" w:hAnsi="Arial" w:cs="Arial"/>
                <w:sz w:val="20"/>
                <w:szCs w:val="20"/>
              </w:rPr>
              <w:br/>
              <w:t>45.82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1610</w:t>
            </w:r>
            <w:r w:rsidRPr="000E5D59">
              <w:rPr>
                <w:rFonts w:ascii="Arial" w:eastAsia="Times New Roman" w:hAnsi="Arial" w:cs="Arial"/>
                <w:sz w:val="20"/>
                <w:szCs w:val="20"/>
              </w:rPr>
              <w:br/>
              <w:t>46.93</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 years</w:t>
            </w:r>
          </w:p>
        </w:tc>
        <w:tc>
          <w:tcPr>
            <w:tcW w:w="99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1258</w:t>
            </w:r>
            <w:r w:rsidRPr="000E5D59">
              <w:rPr>
                <w:rFonts w:ascii="Arial" w:eastAsia="Times New Roman" w:hAnsi="Arial" w:cs="Arial"/>
                <w:sz w:val="20"/>
                <w:szCs w:val="20"/>
              </w:rPr>
              <w:br/>
              <w:t>19.14</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684</w:t>
            </w:r>
            <w:r w:rsidRPr="000E5D59">
              <w:rPr>
                <w:rFonts w:ascii="Arial" w:eastAsia="Times New Roman" w:hAnsi="Arial" w:cs="Arial"/>
                <w:sz w:val="20"/>
                <w:szCs w:val="20"/>
              </w:rPr>
              <w:br/>
              <w:t>21.89</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571</w:t>
            </w:r>
            <w:r w:rsidRPr="000E5D59">
              <w:rPr>
                <w:rFonts w:ascii="Arial" w:eastAsia="Times New Roman" w:hAnsi="Arial" w:cs="Arial"/>
                <w:sz w:val="20"/>
                <w:szCs w:val="20"/>
              </w:rPr>
              <w:br/>
              <w:t>16.64</w:t>
            </w:r>
          </w:p>
        </w:tc>
        <w:tc>
          <w:tcPr>
            <w:tcW w:w="108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When you buy medical marijuana at a licensed dispensary, how do you feel about your personal safety?</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6552</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unsafe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340</w:t>
            </w:r>
            <w:r w:rsidRPr="000E5D59">
              <w:rPr>
                <w:rFonts w:ascii="Arial" w:eastAsia="Times New Roman" w:hAnsi="Arial" w:cs="Arial"/>
                <w:sz w:val="20"/>
                <w:szCs w:val="20"/>
              </w:rPr>
              <w:br/>
              <w:t>5.19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210</w:t>
            </w:r>
            <w:r w:rsidRPr="000E5D59">
              <w:rPr>
                <w:rFonts w:ascii="Arial" w:eastAsia="Times New Roman" w:hAnsi="Arial" w:cs="Arial"/>
                <w:sz w:val="20"/>
                <w:szCs w:val="20"/>
              </w:rPr>
              <w:br/>
              <w:t>6.76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129</w:t>
            </w:r>
            <w:r w:rsidRPr="000E5D59">
              <w:rPr>
                <w:rFonts w:ascii="Arial" w:eastAsia="Times New Roman" w:hAnsi="Arial" w:cs="Arial"/>
                <w:sz w:val="20"/>
                <w:szCs w:val="20"/>
              </w:rPr>
              <w:br/>
              <w:t>3.76</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unsafe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w:t>
            </w:r>
            <w:r w:rsidRPr="000E5D59">
              <w:rPr>
                <w:rFonts w:ascii="Arial" w:eastAsia="Times New Roman" w:hAnsi="Arial" w:cs="Arial"/>
                <w:sz w:val="20"/>
                <w:szCs w:val="20"/>
              </w:rPr>
              <w:br/>
              <w:t>0.93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w:t>
            </w:r>
            <w:r w:rsidRPr="000E5D59">
              <w:rPr>
                <w:rFonts w:ascii="Arial" w:eastAsia="Times New Roman" w:hAnsi="Arial" w:cs="Arial"/>
                <w:sz w:val="20"/>
                <w:szCs w:val="20"/>
              </w:rPr>
              <w:br/>
              <w:t>1.06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w:t>
            </w:r>
            <w:r w:rsidRPr="000E5D59">
              <w:rPr>
                <w:rFonts w:ascii="Arial" w:eastAsia="Times New Roman" w:hAnsi="Arial" w:cs="Arial"/>
                <w:sz w:val="20"/>
                <w:szCs w:val="20"/>
              </w:rPr>
              <w:br/>
              <w:t>0.79</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safe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408</w:t>
            </w:r>
            <w:r w:rsidRPr="000E5D59">
              <w:rPr>
                <w:rFonts w:ascii="Arial" w:eastAsia="Times New Roman" w:hAnsi="Arial" w:cs="Arial"/>
                <w:sz w:val="20"/>
                <w:szCs w:val="20"/>
              </w:rPr>
              <w:br/>
              <w:t>6.23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223</w:t>
            </w:r>
            <w:r w:rsidRPr="000E5D59">
              <w:rPr>
                <w:rFonts w:ascii="Arial" w:eastAsia="Times New Roman" w:hAnsi="Arial" w:cs="Arial"/>
                <w:sz w:val="20"/>
                <w:szCs w:val="20"/>
              </w:rPr>
              <w:br/>
              <w:t>7.18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183</w:t>
            </w:r>
            <w:r w:rsidRPr="000E5D59">
              <w:rPr>
                <w:rFonts w:ascii="Arial" w:eastAsia="Times New Roman" w:hAnsi="Arial" w:cs="Arial"/>
                <w:sz w:val="20"/>
                <w:szCs w:val="20"/>
              </w:rPr>
              <w:br/>
              <w:t>5.34</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safe</w:t>
            </w:r>
          </w:p>
        </w:tc>
        <w:tc>
          <w:tcPr>
            <w:tcW w:w="99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5743</w:t>
            </w:r>
            <w:r w:rsidRPr="000E5D59">
              <w:rPr>
                <w:rFonts w:ascii="Arial" w:eastAsia="Times New Roman" w:hAnsi="Arial" w:cs="Arial"/>
                <w:sz w:val="20"/>
                <w:szCs w:val="20"/>
              </w:rPr>
              <w:br/>
              <w:t>87.65</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2639</w:t>
            </w:r>
            <w:r w:rsidRPr="000E5D59">
              <w:rPr>
                <w:rFonts w:ascii="Arial" w:eastAsia="Times New Roman" w:hAnsi="Arial" w:cs="Arial"/>
                <w:sz w:val="20"/>
                <w:szCs w:val="20"/>
              </w:rPr>
              <w:br/>
              <w:t>84.99</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3091</w:t>
            </w:r>
            <w:r w:rsidRPr="000E5D59">
              <w:rPr>
                <w:rFonts w:ascii="Arial" w:eastAsia="Times New Roman" w:hAnsi="Arial" w:cs="Arial"/>
                <w:sz w:val="20"/>
                <w:szCs w:val="20"/>
              </w:rPr>
              <w:br/>
              <w:t>90.12</w:t>
            </w:r>
          </w:p>
        </w:tc>
        <w:tc>
          <w:tcPr>
            <w:tcW w:w="108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When selecting a marijuana product for your medical use, how would you rate your current knowledge of the recommended product based on information provided by your certified practitioner?</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6461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low</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159</w:t>
            </w:r>
            <w:r w:rsidRPr="000E5D59">
              <w:rPr>
                <w:rFonts w:ascii="Arial" w:eastAsia="Times New Roman" w:hAnsi="Arial" w:cs="Arial"/>
                <w:sz w:val="20"/>
                <w:szCs w:val="20"/>
              </w:rPr>
              <w:br/>
              <w:t>2.46</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66</w:t>
            </w:r>
            <w:r w:rsidRPr="000E5D59">
              <w:rPr>
                <w:rFonts w:ascii="Arial" w:eastAsia="Times New Roman" w:hAnsi="Arial" w:cs="Arial"/>
                <w:sz w:val="20"/>
                <w:szCs w:val="20"/>
              </w:rPr>
              <w:br/>
              <w:t>2.15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91</w:t>
            </w:r>
            <w:r w:rsidRPr="000E5D59">
              <w:rPr>
                <w:rFonts w:ascii="Arial" w:eastAsia="Times New Roman" w:hAnsi="Arial" w:cs="Arial"/>
                <w:sz w:val="20"/>
                <w:szCs w:val="20"/>
              </w:rPr>
              <w:br/>
              <w:t>2.69</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low</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306</w:t>
            </w:r>
            <w:r w:rsidRPr="000E5D59">
              <w:rPr>
                <w:rFonts w:ascii="Arial" w:eastAsia="Times New Roman" w:hAnsi="Arial" w:cs="Arial"/>
                <w:sz w:val="20"/>
                <w:szCs w:val="20"/>
              </w:rPr>
              <w:br/>
              <w:t>4.74</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145</w:t>
            </w:r>
            <w:r w:rsidRPr="000E5D59">
              <w:rPr>
                <w:rFonts w:ascii="Arial" w:eastAsia="Times New Roman" w:hAnsi="Arial" w:cs="Arial"/>
                <w:sz w:val="20"/>
                <w:szCs w:val="20"/>
              </w:rPr>
              <w:br/>
              <w:t>4.73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161</w:t>
            </w:r>
            <w:r w:rsidRPr="000E5D59">
              <w:rPr>
                <w:rFonts w:ascii="Arial" w:eastAsia="Times New Roman" w:hAnsi="Arial" w:cs="Arial"/>
                <w:sz w:val="20"/>
                <w:szCs w:val="20"/>
              </w:rPr>
              <w:br/>
              <w:t>4.76</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Average</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1734</w:t>
            </w:r>
            <w:r w:rsidRPr="000E5D59">
              <w:rPr>
                <w:rFonts w:ascii="Arial" w:eastAsia="Times New Roman" w:hAnsi="Arial" w:cs="Arial"/>
                <w:sz w:val="20"/>
                <w:szCs w:val="20"/>
              </w:rPr>
              <w:br/>
              <w:t>26.84</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839</w:t>
            </w:r>
            <w:r w:rsidRPr="000E5D59">
              <w:rPr>
                <w:rFonts w:ascii="Arial" w:eastAsia="Times New Roman" w:hAnsi="Arial" w:cs="Arial"/>
                <w:sz w:val="20"/>
                <w:szCs w:val="20"/>
              </w:rPr>
              <w:br/>
              <w:t>27.38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889</w:t>
            </w:r>
            <w:r w:rsidRPr="000E5D59">
              <w:rPr>
                <w:rFonts w:ascii="Arial" w:eastAsia="Times New Roman" w:hAnsi="Arial" w:cs="Arial"/>
                <w:sz w:val="20"/>
                <w:szCs w:val="20"/>
              </w:rPr>
              <w:br/>
              <w:t>26.31</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Somewhat high</w:t>
            </w:r>
          </w:p>
        </w:tc>
        <w:tc>
          <w:tcPr>
            <w:tcW w:w="99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1825</w:t>
            </w:r>
            <w:r w:rsidRPr="000E5D59">
              <w:rPr>
                <w:rFonts w:ascii="Arial" w:eastAsia="Times New Roman" w:hAnsi="Arial" w:cs="Arial"/>
                <w:sz w:val="20"/>
                <w:szCs w:val="20"/>
              </w:rPr>
              <w:br/>
              <w:t>28.25</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791</w:t>
            </w:r>
            <w:r w:rsidRPr="000E5D59">
              <w:rPr>
                <w:rFonts w:ascii="Arial" w:eastAsia="Times New Roman" w:hAnsi="Arial" w:cs="Arial"/>
                <w:sz w:val="20"/>
                <w:szCs w:val="20"/>
              </w:rPr>
              <w:br/>
              <w:t>25.82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1029</w:t>
            </w:r>
            <w:r w:rsidRPr="000E5D59">
              <w:rPr>
                <w:rFonts w:ascii="Arial" w:eastAsia="Times New Roman" w:hAnsi="Arial" w:cs="Arial"/>
                <w:sz w:val="20"/>
                <w:szCs w:val="20"/>
              </w:rPr>
              <w:br/>
              <w:t>30.45</w:t>
            </w:r>
          </w:p>
        </w:tc>
        <w:tc>
          <w:tcPr>
            <w:tcW w:w="108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Very high</w:t>
            </w:r>
          </w:p>
        </w:tc>
        <w:tc>
          <w:tcPr>
            <w:tcW w:w="99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2437</w:t>
            </w:r>
            <w:r w:rsidRPr="000E5D59">
              <w:rPr>
                <w:rFonts w:ascii="Arial" w:eastAsia="Times New Roman" w:hAnsi="Arial" w:cs="Arial"/>
                <w:sz w:val="20"/>
                <w:szCs w:val="20"/>
              </w:rPr>
              <w:br/>
              <w:t>37.72</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1223</w:t>
            </w:r>
            <w:r w:rsidRPr="000E5D59">
              <w:rPr>
                <w:rFonts w:ascii="Arial" w:eastAsia="Times New Roman" w:hAnsi="Arial" w:cs="Arial"/>
                <w:sz w:val="20"/>
                <w:szCs w:val="20"/>
              </w:rPr>
              <w:br/>
              <w:t>39.92</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1209</w:t>
            </w:r>
            <w:r w:rsidRPr="000E5D59">
              <w:rPr>
                <w:rFonts w:ascii="Arial" w:eastAsia="Times New Roman" w:hAnsi="Arial" w:cs="Arial"/>
                <w:sz w:val="20"/>
                <w:szCs w:val="20"/>
              </w:rPr>
              <w:br/>
              <w:t>35.78</w:t>
            </w:r>
          </w:p>
        </w:tc>
        <w:tc>
          <w:tcPr>
            <w:tcW w:w="108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C54D53" w:rsidRDefault="00C54D53" w:rsidP="006057BE">
      <w:pPr>
        <w:spacing w:after="0" w:line="240" w:lineRule="auto"/>
        <w:rPr>
          <w:rFonts w:ascii="Arial" w:eastAsia="Calibri" w:hAnsi="Arial" w:cs="Arial"/>
          <w:b/>
          <w:sz w:val="24"/>
          <w:szCs w:val="24"/>
        </w:rPr>
      </w:pPr>
      <w:r w:rsidRPr="00C54D53">
        <w:rPr>
          <w:rFonts w:ascii="Arial" w:eastAsia="Calibri" w:hAnsi="Arial" w:cs="Arial"/>
          <w:b/>
          <w:sz w:val="24"/>
          <w:szCs w:val="24"/>
        </w:rPr>
        <w:t>(Continued) Table 16C</w:t>
      </w:r>
      <w:r w:rsidR="000E5D59" w:rsidRPr="00C54D53">
        <w:rPr>
          <w:rFonts w:ascii="Arial" w:eastAsia="Calibri" w:hAnsi="Arial" w:cs="Arial"/>
          <w:b/>
          <w:sz w:val="24"/>
          <w:szCs w:val="24"/>
        </w:rPr>
        <w:t xml:space="preserve">: DPH Patient Survey Perceptions of Medical Use of Marijuana by </w:t>
      </w:r>
      <w:r w:rsidRPr="00C54D53">
        <w:rPr>
          <w:rFonts w:ascii="Arial" w:eastAsia="Calibri" w:hAnsi="Arial" w:cs="Arial"/>
          <w:b/>
          <w:sz w:val="24"/>
          <w:szCs w:val="24"/>
        </w:rPr>
        <w:t>Education</w:t>
      </w:r>
      <w:r w:rsidR="000941B7" w:rsidRPr="00C54D53">
        <w:rPr>
          <w:rFonts w:ascii="Arial" w:eastAsia="Calibri" w:hAnsi="Arial" w:cs="Arial"/>
          <w:b/>
          <w:sz w:val="24"/>
          <w:szCs w:val="24"/>
        </w:rPr>
        <w:t xml:space="preserve"> (Among All 6,934 Respondents)</w:t>
      </w:r>
    </w:p>
    <w:tbl>
      <w:tblPr>
        <w:tblW w:w="9555" w:type="dxa"/>
        <w:tblInd w:w="93" w:type="dxa"/>
        <w:tblLook w:val="04A0" w:firstRow="1" w:lastRow="0" w:firstColumn="1" w:lastColumn="0" w:noHBand="0" w:noVBand="1"/>
        <w:tblCaption w:val="Continued: DPH Patient Survey Perceptions of Medical Use of Marijuana by Gender (Among All 6,934 Respondents)"/>
      </w:tblPr>
      <w:tblGrid>
        <w:gridCol w:w="4425"/>
        <w:gridCol w:w="990"/>
        <w:gridCol w:w="1530"/>
        <w:gridCol w:w="1530"/>
        <w:gridCol w:w="1080"/>
      </w:tblGrid>
      <w:tr w:rsidR="000E5D59" w:rsidRPr="00C54D53" w:rsidTr="00784755">
        <w:trPr>
          <w:trHeight w:val="20"/>
        </w:trPr>
        <w:tc>
          <w:tcPr>
            <w:tcW w:w="442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C54D53" w:rsidRDefault="000E5D59" w:rsidP="006057BE">
            <w:pPr>
              <w:spacing w:after="0" w:line="240" w:lineRule="auto"/>
              <w:jc w:val="center"/>
              <w:rPr>
                <w:rFonts w:ascii="Arial" w:eastAsia="Times New Roman" w:hAnsi="Arial" w:cs="Arial"/>
                <w:b/>
                <w:bCs/>
                <w:sz w:val="20"/>
                <w:szCs w:val="20"/>
              </w:rPr>
            </w:pPr>
            <w:r w:rsidRPr="00C54D53">
              <w:rPr>
                <w:rFonts w:ascii="Arial" w:eastAsia="Times New Roman" w:hAnsi="Arial" w:cs="Arial"/>
                <w:b/>
                <w:bCs/>
                <w:sz w:val="20"/>
                <w:szCs w:val="20"/>
              </w:rPr>
              <w:t> </w:t>
            </w:r>
          </w:p>
        </w:tc>
        <w:tc>
          <w:tcPr>
            <w:tcW w:w="99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C54D53" w:rsidRDefault="000E5D59" w:rsidP="006057BE">
            <w:pPr>
              <w:spacing w:after="0" w:line="240" w:lineRule="auto"/>
              <w:jc w:val="center"/>
              <w:rPr>
                <w:rFonts w:ascii="Arial" w:eastAsia="Times New Roman" w:hAnsi="Arial" w:cs="Arial"/>
                <w:b/>
                <w:sz w:val="20"/>
                <w:szCs w:val="20"/>
              </w:rPr>
            </w:pPr>
            <w:r w:rsidRPr="00C54D53">
              <w:rPr>
                <w:rFonts w:ascii="Arial" w:eastAsia="Times New Roman" w:hAnsi="Arial" w:cs="Arial"/>
                <w:b/>
                <w:sz w:val="20"/>
                <w:szCs w:val="20"/>
              </w:rPr>
              <w:t>Total</w:t>
            </w:r>
          </w:p>
          <w:p w:rsidR="000E5D59" w:rsidRPr="00C54D53" w:rsidRDefault="000E5D59" w:rsidP="006057BE">
            <w:pPr>
              <w:spacing w:after="0" w:line="240" w:lineRule="auto"/>
              <w:jc w:val="right"/>
              <w:rPr>
                <w:rFonts w:ascii="Arial" w:eastAsia="Times New Roman" w:hAnsi="Arial" w:cs="Arial"/>
                <w:b/>
                <w:sz w:val="20"/>
                <w:szCs w:val="20"/>
              </w:rPr>
            </w:pPr>
            <w:r w:rsidRPr="00C54D53">
              <w:rPr>
                <w:rFonts w:ascii="Arial" w:eastAsia="Times New Roman" w:hAnsi="Arial" w:cs="Arial"/>
                <w:b/>
                <w:sz w:val="20"/>
                <w:szCs w:val="20"/>
              </w:rPr>
              <w:t>N</w:t>
            </w:r>
          </w:p>
          <w:p w:rsidR="000E5D59" w:rsidRPr="00C54D53" w:rsidRDefault="000E5D59" w:rsidP="006057BE">
            <w:pPr>
              <w:spacing w:after="0" w:line="240" w:lineRule="auto"/>
              <w:jc w:val="right"/>
              <w:rPr>
                <w:rFonts w:ascii="Arial" w:eastAsia="Times New Roman" w:hAnsi="Arial" w:cs="Arial"/>
                <w:b/>
                <w:bCs/>
                <w:sz w:val="20"/>
                <w:szCs w:val="20"/>
              </w:rPr>
            </w:pPr>
            <w:r w:rsidRPr="00C54D53">
              <w:rPr>
                <w:rFonts w:ascii="Arial" w:eastAsia="Times New Roman" w:hAnsi="Arial" w:cs="Arial"/>
                <w:b/>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C54D53" w:rsidRDefault="000E5D59" w:rsidP="006057BE">
            <w:pPr>
              <w:spacing w:after="0" w:line="240" w:lineRule="auto"/>
              <w:jc w:val="center"/>
              <w:rPr>
                <w:rFonts w:ascii="Arial" w:eastAsia="Times New Roman" w:hAnsi="Arial" w:cs="Arial"/>
                <w:b/>
                <w:bCs/>
                <w:sz w:val="20"/>
                <w:szCs w:val="20"/>
              </w:rPr>
            </w:pPr>
            <w:r w:rsidRPr="00C54D53">
              <w:rPr>
                <w:rFonts w:ascii="Arial" w:eastAsia="Times New Roman" w:hAnsi="Arial" w:cs="Arial"/>
                <w:b/>
                <w:bCs/>
                <w:sz w:val="20"/>
                <w:szCs w:val="20"/>
              </w:rPr>
              <w:t>Education</w:t>
            </w:r>
          </w:p>
        </w:tc>
      </w:tr>
      <w:tr w:rsidR="000E5D59" w:rsidRPr="00C54D53" w:rsidTr="00784755">
        <w:trPr>
          <w:trHeight w:val="20"/>
        </w:trPr>
        <w:tc>
          <w:tcPr>
            <w:tcW w:w="4425" w:type="dxa"/>
            <w:vMerge/>
            <w:tcBorders>
              <w:top w:val="nil"/>
              <w:left w:val="single" w:sz="4" w:space="0" w:color="auto"/>
              <w:bottom w:val="double" w:sz="6" w:space="0" w:color="000000"/>
              <w:right w:val="single" w:sz="8" w:space="0" w:color="auto"/>
            </w:tcBorders>
            <w:shd w:val="clear" w:color="auto" w:fill="auto"/>
            <w:vAlign w:val="center"/>
          </w:tcPr>
          <w:p w:rsidR="000E5D59" w:rsidRPr="00C54D53" w:rsidRDefault="000E5D59" w:rsidP="006057BE">
            <w:pPr>
              <w:spacing w:after="0" w:line="240" w:lineRule="auto"/>
              <w:rPr>
                <w:rFonts w:ascii="Arial" w:eastAsia="Times New Roman" w:hAnsi="Arial" w:cs="Arial"/>
                <w:b/>
                <w:bCs/>
                <w:sz w:val="20"/>
                <w:szCs w:val="20"/>
              </w:rPr>
            </w:pPr>
          </w:p>
        </w:tc>
        <w:tc>
          <w:tcPr>
            <w:tcW w:w="99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C54D53" w:rsidRDefault="000E5D59" w:rsidP="006057BE">
            <w:pPr>
              <w:spacing w:after="0" w:line="240" w:lineRule="auto"/>
              <w:rPr>
                <w:rFonts w:ascii="Arial" w:eastAsia="Times New Roman"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0E5D59" w:rsidRPr="00C54D53" w:rsidRDefault="000E5D59" w:rsidP="006057BE">
            <w:pPr>
              <w:spacing w:after="0" w:line="240" w:lineRule="auto"/>
              <w:jc w:val="center"/>
              <w:rPr>
                <w:rFonts w:ascii="Arial" w:eastAsia="Times New Roman" w:hAnsi="Arial" w:cs="Arial"/>
                <w:b/>
                <w:bCs/>
                <w:sz w:val="20"/>
                <w:szCs w:val="20"/>
              </w:rPr>
            </w:pPr>
            <w:r w:rsidRPr="00C54D53">
              <w:rPr>
                <w:rFonts w:ascii="Arial" w:eastAsia="Times New Roman" w:hAnsi="Arial" w:cs="Arial"/>
                <w:b/>
                <w:bCs/>
                <w:sz w:val="20"/>
                <w:szCs w:val="20"/>
              </w:rPr>
              <w:t>&lt; Bachelor's</w:t>
            </w:r>
            <w:r w:rsidRPr="00C54D53">
              <w:rPr>
                <w:rFonts w:ascii="Arial" w:eastAsia="Times New Roman" w:hAnsi="Arial" w:cs="Arial"/>
                <w:b/>
                <w:bCs/>
                <w:sz w:val="20"/>
                <w:szCs w:val="20"/>
              </w:rPr>
              <w:br/>
            </w:r>
            <w:r w:rsidRPr="00C54D53">
              <w:rPr>
                <w:rFonts w:ascii="Arial" w:eastAsia="Times New Roman" w:hAnsi="Arial" w:cs="Arial"/>
                <w:sz w:val="20"/>
                <w:szCs w:val="20"/>
              </w:rPr>
              <w:t>(N=3282)</w:t>
            </w:r>
          </w:p>
        </w:tc>
        <w:tc>
          <w:tcPr>
            <w:tcW w:w="1530" w:type="dxa"/>
            <w:tcBorders>
              <w:top w:val="nil"/>
              <w:left w:val="nil"/>
              <w:bottom w:val="double" w:sz="6" w:space="0" w:color="auto"/>
              <w:right w:val="single" w:sz="4" w:space="0" w:color="auto"/>
            </w:tcBorders>
            <w:shd w:val="clear" w:color="auto" w:fill="auto"/>
            <w:vAlign w:val="center"/>
          </w:tcPr>
          <w:p w:rsidR="000E5D59" w:rsidRPr="00C54D53" w:rsidRDefault="000E5D59" w:rsidP="006057BE">
            <w:pPr>
              <w:spacing w:after="0" w:line="240" w:lineRule="auto"/>
              <w:jc w:val="center"/>
              <w:rPr>
                <w:rFonts w:ascii="Arial" w:eastAsia="Times New Roman" w:hAnsi="Arial" w:cs="Arial"/>
                <w:b/>
                <w:bCs/>
                <w:sz w:val="20"/>
                <w:szCs w:val="20"/>
              </w:rPr>
            </w:pPr>
            <w:r w:rsidRPr="00C54D53">
              <w:rPr>
                <w:rFonts w:ascii="Arial" w:eastAsia="Times New Roman" w:hAnsi="Arial" w:cs="Arial"/>
                <w:b/>
                <w:bCs/>
                <w:sz w:val="20"/>
                <w:szCs w:val="20"/>
              </w:rPr>
              <w:t>≥ Bachelor's</w:t>
            </w:r>
            <w:r w:rsidRPr="00C54D53">
              <w:rPr>
                <w:rFonts w:ascii="Arial" w:eastAsia="Times New Roman" w:hAnsi="Arial" w:cs="Arial"/>
                <w:b/>
                <w:bCs/>
                <w:sz w:val="20"/>
                <w:szCs w:val="20"/>
              </w:rPr>
              <w:br/>
            </w:r>
            <w:r w:rsidRPr="00C54D53">
              <w:rPr>
                <w:rFonts w:ascii="Arial" w:eastAsia="Times New Roman" w:hAnsi="Arial" w:cs="Arial"/>
                <w:sz w:val="20"/>
                <w:szCs w:val="20"/>
              </w:rPr>
              <w:t>(N=3595)</w:t>
            </w:r>
          </w:p>
        </w:tc>
        <w:tc>
          <w:tcPr>
            <w:tcW w:w="1080" w:type="dxa"/>
            <w:tcBorders>
              <w:top w:val="nil"/>
              <w:left w:val="nil"/>
              <w:bottom w:val="double" w:sz="6" w:space="0" w:color="auto"/>
              <w:right w:val="single" w:sz="4" w:space="0" w:color="auto"/>
            </w:tcBorders>
            <w:shd w:val="clear" w:color="auto" w:fill="auto"/>
            <w:vAlign w:val="center"/>
          </w:tcPr>
          <w:p w:rsidR="000E5D59" w:rsidRPr="00C54D53" w:rsidRDefault="000E5D59" w:rsidP="006057BE">
            <w:pPr>
              <w:spacing w:after="0" w:line="240" w:lineRule="auto"/>
              <w:jc w:val="center"/>
              <w:rPr>
                <w:rFonts w:ascii="Arial" w:eastAsia="Times New Roman" w:hAnsi="Arial" w:cs="Arial"/>
                <w:b/>
                <w:bCs/>
                <w:sz w:val="20"/>
                <w:szCs w:val="20"/>
              </w:rPr>
            </w:pPr>
            <w:r w:rsidRPr="00C54D53">
              <w:rPr>
                <w:rFonts w:ascii="Arial" w:eastAsia="Times New Roman" w:hAnsi="Arial" w:cs="Arial"/>
                <w:b/>
                <w:bCs/>
                <w:sz w:val="20"/>
                <w:szCs w:val="20"/>
              </w:rPr>
              <w:t>p-value</w:t>
            </w:r>
          </w:p>
        </w:tc>
      </w:tr>
      <w:tr w:rsidR="000E5D59" w:rsidRPr="00C54D53"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C54D53" w:rsidRDefault="000E5D59" w:rsidP="006057BE">
            <w:pPr>
              <w:spacing w:after="0" w:line="240" w:lineRule="auto"/>
              <w:rPr>
                <w:rFonts w:ascii="Arial" w:eastAsia="Times New Roman" w:hAnsi="Arial" w:cs="Arial"/>
                <w:b/>
                <w:bCs/>
                <w:sz w:val="20"/>
                <w:szCs w:val="20"/>
              </w:rPr>
            </w:pPr>
            <w:r w:rsidRPr="00C54D53">
              <w:rPr>
                <w:rFonts w:ascii="Arial" w:eastAsia="Times New Roman" w:hAnsi="Arial" w:cs="Arial"/>
                <w:b/>
                <w:bCs/>
                <w:sz w:val="20"/>
                <w:szCs w:val="20"/>
              </w:rPr>
              <w:t>When purchasing marijuana or marijuana products at a licensed dispensary, how confident do you feel that you are receiving a safe, uncontaminated product?</w:t>
            </w:r>
          </w:p>
        </w:tc>
        <w:tc>
          <w:tcPr>
            <w:tcW w:w="990" w:type="dxa"/>
            <w:tcBorders>
              <w:top w:val="nil"/>
              <w:left w:val="nil"/>
              <w:bottom w:val="single" w:sz="4" w:space="0" w:color="auto"/>
              <w:right w:val="thickThinSmallGap" w:sz="2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6538</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w:t>
            </w:r>
          </w:p>
        </w:tc>
      </w:tr>
      <w:tr w:rsidR="000E5D59" w:rsidRPr="00C54D53"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Very low confidence</w:t>
            </w:r>
          </w:p>
        </w:tc>
        <w:tc>
          <w:tcPr>
            <w:tcW w:w="990" w:type="dxa"/>
            <w:tcBorders>
              <w:top w:val="nil"/>
              <w:left w:val="nil"/>
              <w:bottom w:val="nil"/>
              <w:right w:val="thickThinSmallGap" w:sz="2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41</w:t>
            </w:r>
            <w:r w:rsidRPr="00C54D53">
              <w:rPr>
                <w:rFonts w:ascii="Arial" w:eastAsia="Times New Roman" w:hAnsi="Arial" w:cs="Arial"/>
                <w:sz w:val="20"/>
                <w:szCs w:val="20"/>
              </w:rPr>
              <w:br/>
              <w:t>0.63</w:t>
            </w:r>
          </w:p>
        </w:tc>
        <w:tc>
          <w:tcPr>
            <w:tcW w:w="1530" w:type="dxa"/>
            <w:tcBorders>
              <w:top w:val="nil"/>
              <w:left w:val="thickThinSmallGap" w:sz="24" w:space="0" w:color="auto"/>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27</w:t>
            </w:r>
            <w:r w:rsidRPr="00C54D53">
              <w:rPr>
                <w:rFonts w:ascii="Arial" w:eastAsia="Times New Roman" w:hAnsi="Arial" w:cs="Arial"/>
                <w:sz w:val="20"/>
                <w:szCs w:val="20"/>
              </w:rPr>
              <w:br/>
              <w:t>0.87</w:t>
            </w:r>
          </w:p>
        </w:tc>
        <w:tc>
          <w:tcPr>
            <w:tcW w:w="1530" w:type="dxa"/>
            <w:tcBorders>
              <w:top w:val="nil"/>
              <w:left w:val="nil"/>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13</w:t>
            </w:r>
            <w:r w:rsidRPr="00C54D53">
              <w:rPr>
                <w:rFonts w:ascii="Arial" w:eastAsia="Times New Roman" w:hAnsi="Arial" w:cs="Arial"/>
                <w:sz w:val="20"/>
                <w:szCs w:val="20"/>
              </w:rPr>
              <w:br/>
              <w:t>0.38</w:t>
            </w:r>
          </w:p>
        </w:tc>
        <w:tc>
          <w:tcPr>
            <w:tcW w:w="1080" w:type="dxa"/>
            <w:tcBorders>
              <w:top w:val="nil"/>
              <w:left w:val="nil"/>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r>
      <w:tr w:rsidR="000E5D59" w:rsidRPr="00C54D53"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Low confidence</w:t>
            </w:r>
          </w:p>
        </w:tc>
        <w:tc>
          <w:tcPr>
            <w:tcW w:w="990" w:type="dxa"/>
            <w:tcBorders>
              <w:top w:val="nil"/>
              <w:left w:val="nil"/>
              <w:bottom w:val="nil"/>
              <w:right w:val="thickThinSmallGap" w:sz="2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79</w:t>
            </w:r>
            <w:r w:rsidRPr="00C54D53">
              <w:rPr>
                <w:rFonts w:ascii="Arial" w:eastAsia="Times New Roman" w:hAnsi="Arial" w:cs="Arial"/>
                <w:sz w:val="20"/>
                <w:szCs w:val="20"/>
              </w:rPr>
              <w:br/>
              <w:t>1.21</w:t>
            </w:r>
          </w:p>
        </w:tc>
        <w:tc>
          <w:tcPr>
            <w:tcW w:w="1530" w:type="dxa"/>
            <w:tcBorders>
              <w:top w:val="nil"/>
              <w:left w:val="thickThinSmallGap" w:sz="24" w:space="0" w:color="auto"/>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39</w:t>
            </w:r>
            <w:r w:rsidRPr="00C54D53">
              <w:rPr>
                <w:rFonts w:ascii="Arial" w:eastAsia="Times New Roman" w:hAnsi="Arial" w:cs="Arial"/>
                <w:sz w:val="20"/>
                <w:szCs w:val="20"/>
              </w:rPr>
              <w:br/>
              <w:t>1.26</w:t>
            </w:r>
          </w:p>
        </w:tc>
        <w:tc>
          <w:tcPr>
            <w:tcW w:w="1530" w:type="dxa"/>
            <w:tcBorders>
              <w:top w:val="nil"/>
              <w:left w:val="nil"/>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40</w:t>
            </w:r>
            <w:r w:rsidRPr="00C54D53">
              <w:rPr>
                <w:rFonts w:ascii="Arial" w:eastAsia="Times New Roman" w:hAnsi="Arial" w:cs="Arial"/>
                <w:sz w:val="20"/>
                <w:szCs w:val="20"/>
              </w:rPr>
              <w:br/>
              <w:t>1.17</w:t>
            </w:r>
          </w:p>
        </w:tc>
        <w:tc>
          <w:tcPr>
            <w:tcW w:w="1080" w:type="dxa"/>
            <w:tcBorders>
              <w:top w:val="nil"/>
              <w:left w:val="nil"/>
              <w:bottom w:val="nil"/>
              <w:right w:val="single" w:sz="4" w:space="0" w:color="auto"/>
            </w:tcBorders>
            <w:shd w:val="clear" w:color="auto" w:fill="auto"/>
            <w:noWrap/>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r>
      <w:tr w:rsidR="000E5D59" w:rsidRPr="00C54D53"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Average confidence</w:t>
            </w:r>
          </w:p>
        </w:tc>
        <w:tc>
          <w:tcPr>
            <w:tcW w:w="990" w:type="dxa"/>
            <w:tcBorders>
              <w:top w:val="nil"/>
              <w:left w:val="nil"/>
              <w:bottom w:val="nil"/>
              <w:right w:val="thickThinSmallGap" w:sz="2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613</w:t>
            </w:r>
            <w:r w:rsidRPr="00C54D53">
              <w:rPr>
                <w:rFonts w:ascii="Arial" w:eastAsia="Times New Roman" w:hAnsi="Arial" w:cs="Arial"/>
                <w:sz w:val="20"/>
                <w:szCs w:val="20"/>
              </w:rPr>
              <w:br/>
              <w:t>9.38</w:t>
            </w:r>
          </w:p>
        </w:tc>
        <w:tc>
          <w:tcPr>
            <w:tcW w:w="1530" w:type="dxa"/>
            <w:tcBorders>
              <w:top w:val="nil"/>
              <w:left w:val="thickThinSmallGap" w:sz="24" w:space="0" w:color="auto"/>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348</w:t>
            </w:r>
            <w:r w:rsidRPr="00C54D53">
              <w:rPr>
                <w:rFonts w:ascii="Arial" w:eastAsia="Times New Roman" w:hAnsi="Arial" w:cs="Arial"/>
                <w:sz w:val="20"/>
                <w:szCs w:val="20"/>
              </w:rPr>
              <w:br/>
              <w:t>11.20</w:t>
            </w:r>
          </w:p>
        </w:tc>
        <w:tc>
          <w:tcPr>
            <w:tcW w:w="1530" w:type="dxa"/>
            <w:tcBorders>
              <w:top w:val="nil"/>
              <w:left w:val="nil"/>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264</w:t>
            </w:r>
            <w:r w:rsidRPr="00C54D53">
              <w:rPr>
                <w:rFonts w:ascii="Arial" w:eastAsia="Times New Roman" w:hAnsi="Arial" w:cs="Arial"/>
                <w:sz w:val="20"/>
                <w:szCs w:val="20"/>
              </w:rPr>
              <w:br/>
              <w:t>7.73</w:t>
            </w:r>
          </w:p>
        </w:tc>
        <w:tc>
          <w:tcPr>
            <w:tcW w:w="1080" w:type="dxa"/>
            <w:tcBorders>
              <w:top w:val="nil"/>
              <w:left w:val="nil"/>
              <w:bottom w:val="nil"/>
              <w:right w:val="single" w:sz="4" w:space="0" w:color="auto"/>
            </w:tcBorders>
            <w:shd w:val="clear" w:color="auto" w:fill="auto"/>
            <w:noWrap/>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r>
      <w:tr w:rsidR="000E5D59" w:rsidRPr="00C54D53"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Somewhat high confidence</w:t>
            </w:r>
          </w:p>
        </w:tc>
        <w:tc>
          <w:tcPr>
            <w:tcW w:w="990" w:type="dxa"/>
            <w:tcBorders>
              <w:top w:val="nil"/>
              <w:left w:val="nil"/>
              <w:bottom w:val="nil"/>
              <w:right w:val="thickThinSmallGap" w:sz="2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1266</w:t>
            </w:r>
            <w:r w:rsidRPr="00C54D53">
              <w:rPr>
                <w:rFonts w:ascii="Arial" w:eastAsia="Times New Roman" w:hAnsi="Arial" w:cs="Arial"/>
                <w:sz w:val="20"/>
                <w:szCs w:val="20"/>
              </w:rPr>
              <w:br/>
              <w:t>19.36</w:t>
            </w:r>
          </w:p>
        </w:tc>
        <w:tc>
          <w:tcPr>
            <w:tcW w:w="1530" w:type="dxa"/>
            <w:tcBorders>
              <w:top w:val="nil"/>
              <w:left w:val="thickThinSmallGap" w:sz="24" w:space="0" w:color="auto"/>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590</w:t>
            </w:r>
            <w:r w:rsidRPr="00C54D53">
              <w:rPr>
                <w:rFonts w:ascii="Arial" w:eastAsia="Times New Roman" w:hAnsi="Arial" w:cs="Arial"/>
                <w:sz w:val="20"/>
                <w:szCs w:val="20"/>
              </w:rPr>
              <w:br/>
              <w:t>18.99</w:t>
            </w:r>
          </w:p>
        </w:tc>
        <w:tc>
          <w:tcPr>
            <w:tcW w:w="1530" w:type="dxa"/>
            <w:tcBorders>
              <w:top w:val="nil"/>
              <w:left w:val="nil"/>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672</w:t>
            </w:r>
            <w:r w:rsidRPr="00C54D53">
              <w:rPr>
                <w:rFonts w:ascii="Arial" w:eastAsia="Times New Roman" w:hAnsi="Arial" w:cs="Arial"/>
                <w:sz w:val="20"/>
                <w:szCs w:val="20"/>
              </w:rPr>
              <w:br/>
              <w:t>19.68</w:t>
            </w:r>
          </w:p>
        </w:tc>
        <w:tc>
          <w:tcPr>
            <w:tcW w:w="1080" w:type="dxa"/>
            <w:tcBorders>
              <w:top w:val="nil"/>
              <w:left w:val="nil"/>
              <w:bottom w:val="nil"/>
              <w:right w:val="single" w:sz="4" w:space="0" w:color="auto"/>
            </w:tcBorders>
            <w:shd w:val="clear" w:color="auto" w:fill="auto"/>
            <w:noWrap/>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r>
      <w:tr w:rsidR="000E5D59" w:rsidRPr="00C54D53" w:rsidTr="00784755">
        <w:trPr>
          <w:trHeight w:val="20"/>
        </w:trPr>
        <w:tc>
          <w:tcPr>
            <w:tcW w:w="4425" w:type="dxa"/>
            <w:tcBorders>
              <w:top w:val="nil"/>
              <w:left w:val="single" w:sz="4" w:space="0" w:color="auto"/>
              <w:bottom w:val="double" w:sz="6" w:space="0" w:color="auto"/>
              <w:right w:val="single" w:sz="8"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Very high confidence</w:t>
            </w:r>
          </w:p>
        </w:tc>
        <w:tc>
          <w:tcPr>
            <w:tcW w:w="990" w:type="dxa"/>
            <w:tcBorders>
              <w:top w:val="nil"/>
              <w:left w:val="nil"/>
              <w:bottom w:val="double" w:sz="6" w:space="0" w:color="auto"/>
              <w:right w:val="thickThinSmallGap" w:sz="2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4539</w:t>
            </w:r>
            <w:r w:rsidRPr="00C54D53">
              <w:rPr>
                <w:rFonts w:ascii="Arial" w:eastAsia="Times New Roman" w:hAnsi="Arial" w:cs="Arial"/>
                <w:sz w:val="20"/>
                <w:szCs w:val="20"/>
              </w:rPr>
              <w:br/>
              <w:t>69.42</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2103</w:t>
            </w:r>
            <w:r w:rsidRPr="00C54D53">
              <w:rPr>
                <w:rFonts w:ascii="Arial" w:eastAsia="Times New Roman" w:hAnsi="Arial" w:cs="Arial"/>
                <w:sz w:val="20"/>
                <w:szCs w:val="20"/>
              </w:rPr>
              <w:br/>
              <w:t>67.69</w:t>
            </w:r>
          </w:p>
        </w:tc>
        <w:tc>
          <w:tcPr>
            <w:tcW w:w="1530" w:type="dxa"/>
            <w:tcBorders>
              <w:top w:val="nil"/>
              <w:left w:val="nil"/>
              <w:bottom w:val="double" w:sz="6" w:space="0" w:color="auto"/>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2425</w:t>
            </w:r>
            <w:r w:rsidRPr="00C54D53">
              <w:rPr>
                <w:rFonts w:ascii="Arial" w:eastAsia="Times New Roman" w:hAnsi="Arial" w:cs="Arial"/>
                <w:sz w:val="20"/>
                <w:szCs w:val="20"/>
              </w:rPr>
              <w:br/>
              <w:t>71.03</w:t>
            </w:r>
          </w:p>
        </w:tc>
        <w:tc>
          <w:tcPr>
            <w:tcW w:w="1080" w:type="dxa"/>
            <w:tcBorders>
              <w:top w:val="nil"/>
              <w:left w:val="nil"/>
              <w:bottom w:val="double" w:sz="6" w:space="0" w:color="auto"/>
              <w:right w:val="single" w:sz="4" w:space="0" w:color="auto"/>
            </w:tcBorders>
            <w:shd w:val="clear" w:color="auto" w:fill="auto"/>
            <w:noWrap/>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r>
      <w:tr w:rsidR="000E5D59" w:rsidRPr="00C54D53"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C54D53" w:rsidRDefault="000E5D59" w:rsidP="006057BE">
            <w:pPr>
              <w:spacing w:after="0" w:line="240" w:lineRule="auto"/>
              <w:rPr>
                <w:rFonts w:ascii="Arial" w:eastAsia="Times New Roman" w:hAnsi="Arial" w:cs="Arial"/>
                <w:b/>
                <w:bCs/>
                <w:sz w:val="20"/>
                <w:szCs w:val="20"/>
              </w:rPr>
            </w:pPr>
            <w:r w:rsidRPr="00C54D53">
              <w:rPr>
                <w:rFonts w:ascii="Arial" w:eastAsia="Times New Roman" w:hAnsi="Arial" w:cs="Arial"/>
                <w:b/>
                <w:bCs/>
                <w:sz w:val="20"/>
                <w:szCs w:val="20"/>
              </w:rPr>
              <w:t>How effective do you feel marijuana or marijuana products have been in treating the medical condition for which you are using it?</w:t>
            </w:r>
          </w:p>
        </w:tc>
        <w:tc>
          <w:tcPr>
            <w:tcW w:w="990" w:type="dxa"/>
            <w:tcBorders>
              <w:top w:val="nil"/>
              <w:left w:val="nil"/>
              <w:bottom w:val="single" w:sz="4" w:space="0" w:color="auto"/>
              <w:right w:val="thickThinSmallGap" w:sz="2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6551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w:t>
            </w:r>
          </w:p>
        </w:tc>
      </w:tr>
      <w:tr w:rsidR="000E5D59" w:rsidRPr="00C54D53"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Not effective at all</w:t>
            </w:r>
          </w:p>
        </w:tc>
        <w:tc>
          <w:tcPr>
            <w:tcW w:w="990" w:type="dxa"/>
            <w:tcBorders>
              <w:top w:val="nil"/>
              <w:left w:val="nil"/>
              <w:bottom w:val="nil"/>
              <w:right w:val="thickThinSmallGap" w:sz="2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40</w:t>
            </w:r>
            <w:r w:rsidRPr="00C54D53">
              <w:rPr>
                <w:rFonts w:ascii="Arial" w:eastAsia="Times New Roman" w:hAnsi="Arial" w:cs="Arial"/>
                <w:sz w:val="20"/>
                <w:szCs w:val="20"/>
              </w:rPr>
              <w:br/>
              <w:t>0.61</w:t>
            </w:r>
          </w:p>
        </w:tc>
        <w:tc>
          <w:tcPr>
            <w:tcW w:w="1530" w:type="dxa"/>
            <w:tcBorders>
              <w:top w:val="nil"/>
              <w:left w:val="thickThinSmallGap" w:sz="24" w:space="0" w:color="auto"/>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20</w:t>
            </w:r>
            <w:r w:rsidRPr="00C54D53">
              <w:rPr>
                <w:rFonts w:ascii="Arial" w:eastAsia="Times New Roman" w:hAnsi="Arial" w:cs="Arial"/>
                <w:sz w:val="20"/>
                <w:szCs w:val="20"/>
              </w:rPr>
              <w:br/>
              <w:t>0.64</w:t>
            </w:r>
          </w:p>
        </w:tc>
        <w:tc>
          <w:tcPr>
            <w:tcW w:w="1530" w:type="dxa"/>
            <w:tcBorders>
              <w:top w:val="nil"/>
              <w:left w:val="nil"/>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20</w:t>
            </w:r>
            <w:r w:rsidRPr="00C54D53">
              <w:rPr>
                <w:rFonts w:ascii="Arial" w:eastAsia="Times New Roman" w:hAnsi="Arial" w:cs="Arial"/>
                <w:sz w:val="20"/>
                <w:szCs w:val="20"/>
              </w:rPr>
              <w:br/>
              <w:t>0.58</w:t>
            </w:r>
          </w:p>
        </w:tc>
        <w:tc>
          <w:tcPr>
            <w:tcW w:w="1080" w:type="dxa"/>
            <w:tcBorders>
              <w:top w:val="nil"/>
              <w:left w:val="nil"/>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r>
      <w:tr w:rsidR="000E5D59" w:rsidRPr="00C54D53"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A little effective</w:t>
            </w:r>
          </w:p>
        </w:tc>
        <w:tc>
          <w:tcPr>
            <w:tcW w:w="990" w:type="dxa"/>
            <w:tcBorders>
              <w:top w:val="nil"/>
              <w:left w:val="nil"/>
              <w:bottom w:val="nil"/>
              <w:right w:val="thickThinSmallGap" w:sz="2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92</w:t>
            </w:r>
            <w:r w:rsidRPr="00C54D53">
              <w:rPr>
                <w:rFonts w:ascii="Arial" w:eastAsia="Times New Roman" w:hAnsi="Arial" w:cs="Arial"/>
                <w:sz w:val="20"/>
                <w:szCs w:val="20"/>
              </w:rPr>
              <w:br/>
              <w:t>1.40</w:t>
            </w:r>
          </w:p>
        </w:tc>
        <w:tc>
          <w:tcPr>
            <w:tcW w:w="1530" w:type="dxa"/>
            <w:tcBorders>
              <w:top w:val="nil"/>
              <w:left w:val="thickThinSmallGap" w:sz="24" w:space="0" w:color="auto"/>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34</w:t>
            </w:r>
            <w:r w:rsidRPr="00C54D53">
              <w:rPr>
                <w:rFonts w:ascii="Arial" w:eastAsia="Times New Roman" w:hAnsi="Arial" w:cs="Arial"/>
                <w:sz w:val="20"/>
                <w:szCs w:val="20"/>
              </w:rPr>
              <w:br/>
              <w:t>1.09</w:t>
            </w:r>
          </w:p>
        </w:tc>
        <w:tc>
          <w:tcPr>
            <w:tcW w:w="1530" w:type="dxa"/>
            <w:tcBorders>
              <w:top w:val="nil"/>
              <w:left w:val="nil"/>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58</w:t>
            </w:r>
            <w:r w:rsidRPr="00C54D53">
              <w:rPr>
                <w:rFonts w:ascii="Arial" w:eastAsia="Times New Roman" w:hAnsi="Arial" w:cs="Arial"/>
                <w:sz w:val="20"/>
                <w:szCs w:val="20"/>
              </w:rPr>
              <w:br/>
              <w:t>1.69</w:t>
            </w:r>
          </w:p>
        </w:tc>
        <w:tc>
          <w:tcPr>
            <w:tcW w:w="1080" w:type="dxa"/>
            <w:tcBorders>
              <w:top w:val="nil"/>
              <w:left w:val="nil"/>
              <w:bottom w:val="nil"/>
              <w:right w:val="single" w:sz="4" w:space="0" w:color="auto"/>
            </w:tcBorders>
            <w:shd w:val="clear" w:color="auto" w:fill="auto"/>
            <w:noWrap/>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r>
      <w:tr w:rsidR="000E5D59" w:rsidRPr="00C54D53"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Somewhat effective</w:t>
            </w:r>
          </w:p>
        </w:tc>
        <w:tc>
          <w:tcPr>
            <w:tcW w:w="990" w:type="dxa"/>
            <w:tcBorders>
              <w:top w:val="nil"/>
              <w:left w:val="nil"/>
              <w:bottom w:val="nil"/>
              <w:right w:val="thickThinSmallGap" w:sz="2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465</w:t>
            </w:r>
            <w:r w:rsidRPr="00C54D53">
              <w:rPr>
                <w:rFonts w:ascii="Arial" w:eastAsia="Times New Roman" w:hAnsi="Arial" w:cs="Arial"/>
                <w:sz w:val="20"/>
                <w:szCs w:val="20"/>
              </w:rPr>
              <w:br/>
              <w:t>7.10</w:t>
            </w:r>
          </w:p>
        </w:tc>
        <w:tc>
          <w:tcPr>
            <w:tcW w:w="1530" w:type="dxa"/>
            <w:tcBorders>
              <w:top w:val="nil"/>
              <w:left w:val="thickThinSmallGap" w:sz="24" w:space="0" w:color="auto"/>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193</w:t>
            </w:r>
            <w:r w:rsidRPr="00C54D53">
              <w:rPr>
                <w:rFonts w:ascii="Arial" w:eastAsia="Times New Roman" w:hAnsi="Arial" w:cs="Arial"/>
                <w:sz w:val="20"/>
                <w:szCs w:val="20"/>
              </w:rPr>
              <w:br/>
              <w:t>6.21</w:t>
            </w:r>
          </w:p>
        </w:tc>
        <w:tc>
          <w:tcPr>
            <w:tcW w:w="1530" w:type="dxa"/>
            <w:tcBorders>
              <w:top w:val="nil"/>
              <w:left w:val="nil"/>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270</w:t>
            </w:r>
            <w:r w:rsidRPr="00C54D53">
              <w:rPr>
                <w:rFonts w:ascii="Arial" w:eastAsia="Times New Roman" w:hAnsi="Arial" w:cs="Arial"/>
                <w:sz w:val="20"/>
                <w:szCs w:val="20"/>
              </w:rPr>
              <w:br/>
              <w:t>7.89</w:t>
            </w:r>
          </w:p>
        </w:tc>
        <w:tc>
          <w:tcPr>
            <w:tcW w:w="1080" w:type="dxa"/>
            <w:tcBorders>
              <w:top w:val="nil"/>
              <w:left w:val="nil"/>
              <w:bottom w:val="nil"/>
              <w:right w:val="single" w:sz="4" w:space="0" w:color="auto"/>
            </w:tcBorders>
            <w:shd w:val="clear" w:color="auto" w:fill="auto"/>
            <w:noWrap/>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r>
      <w:tr w:rsidR="000E5D59" w:rsidRPr="00C54D53" w:rsidTr="00784755">
        <w:trPr>
          <w:trHeight w:val="20"/>
        </w:trPr>
        <w:tc>
          <w:tcPr>
            <w:tcW w:w="4425" w:type="dxa"/>
            <w:tcBorders>
              <w:top w:val="nil"/>
              <w:left w:val="single" w:sz="4" w:space="0" w:color="auto"/>
              <w:bottom w:val="nil"/>
              <w:right w:val="single" w:sz="8"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Effective</w:t>
            </w:r>
          </w:p>
        </w:tc>
        <w:tc>
          <w:tcPr>
            <w:tcW w:w="990" w:type="dxa"/>
            <w:tcBorders>
              <w:top w:val="nil"/>
              <w:left w:val="nil"/>
              <w:bottom w:val="nil"/>
              <w:right w:val="thickThinSmallGap" w:sz="2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1678</w:t>
            </w:r>
            <w:r w:rsidRPr="00C54D53">
              <w:rPr>
                <w:rFonts w:ascii="Arial" w:eastAsia="Times New Roman" w:hAnsi="Arial" w:cs="Arial"/>
                <w:sz w:val="20"/>
                <w:szCs w:val="20"/>
              </w:rPr>
              <w:br/>
              <w:t>25.61</w:t>
            </w:r>
          </w:p>
        </w:tc>
        <w:tc>
          <w:tcPr>
            <w:tcW w:w="1530" w:type="dxa"/>
            <w:tcBorders>
              <w:top w:val="nil"/>
              <w:left w:val="thickThinSmallGap" w:sz="24" w:space="0" w:color="auto"/>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756</w:t>
            </w:r>
            <w:r w:rsidRPr="00C54D53">
              <w:rPr>
                <w:rFonts w:ascii="Arial" w:eastAsia="Times New Roman" w:hAnsi="Arial" w:cs="Arial"/>
                <w:sz w:val="20"/>
                <w:szCs w:val="20"/>
              </w:rPr>
              <w:br/>
              <w:t>24.31</w:t>
            </w:r>
          </w:p>
        </w:tc>
        <w:tc>
          <w:tcPr>
            <w:tcW w:w="1530" w:type="dxa"/>
            <w:tcBorders>
              <w:top w:val="nil"/>
              <w:left w:val="nil"/>
              <w:bottom w:val="nil"/>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919</w:t>
            </w:r>
            <w:r w:rsidRPr="00C54D53">
              <w:rPr>
                <w:rFonts w:ascii="Arial" w:eastAsia="Times New Roman" w:hAnsi="Arial" w:cs="Arial"/>
                <w:sz w:val="20"/>
                <w:szCs w:val="20"/>
              </w:rPr>
              <w:br/>
              <w:t>26.85</w:t>
            </w:r>
          </w:p>
        </w:tc>
        <w:tc>
          <w:tcPr>
            <w:tcW w:w="1080" w:type="dxa"/>
            <w:tcBorders>
              <w:top w:val="nil"/>
              <w:left w:val="nil"/>
              <w:bottom w:val="nil"/>
              <w:right w:val="single" w:sz="4" w:space="0" w:color="auto"/>
            </w:tcBorders>
            <w:shd w:val="clear" w:color="auto" w:fill="auto"/>
            <w:noWrap/>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r>
      <w:tr w:rsidR="000E5D59" w:rsidRPr="00C54D53" w:rsidTr="00784755">
        <w:trPr>
          <w:trHeight w:val="20"/>
        </w:trPr>
        <w:tc>
          <w:tcPr>
            <w:tcW w:w="4425" w:type="dxa"/>
            <w:tcBorders>
              <w:top w:val="nil"/>
              <w:left w:val="single" w:sz="4" w:space="0" w:color="auto"/>
              <w:bottom w:val="single" w:sz="4" w:space="0" w:color="auto"/>
              <w:right w:val="single" w:sz="8"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Very effective</w:t>
            </w:r>
          </w:p>
        </w:tc>
        <w:tc>
          <w:tcPr>
            <w:tcW w:w="990" w:type="dxa"/>
            <w:tcBorders>
              <w:top w:val="nil"/>
              <w:left w:val="nil"/>
              <w:bottom w:val="single" w:sz="4" w:space="0" w:color="auto"/>
              <w:right w:val="thickThinSmallGap" w:sz="2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4276</w:t>
            </w:r>
            <w:r w:rsidRPr="00C54D53">
              <w:rPr>
                <w:rFonts w:ascii="Arial" w:eastAsia="Times New Roman" w:hAnsi="Arial" w:cs="Arial"/>
                <w:sz w:val="20"/>
                <w:szCs w:val="20"/>
              </w:rPr>
              <w:br/>
              <w:t>65.27</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2107</w:t>
            </w:r>
            <w:r w:rsidRPr="00C54D53">
              <w:rPr>
                <w:rFonts w:ascii="Arial" w:eastAsia="Times New Roman" w:hAnsi="Arial" w:cs="Arial"/>
                <w:sz w:val="20"/>
                <w:szCs w:val="20"/>
              </w:rPr>
              <w:br/>
              <w:t>67.75</w:t>
            </w:r>
          </w:p>
        </w:tc>
        <w:tc>
          <w:tcPr>
            <w:tcW w:w="1530" w:type="dxa"/>
            <w:tcBorders>
              <w:top w:val="nil"/>
              <w:left w:val="nil"/>
              <w:bottom w:val="single" w:sz="4" w:space="0" w:color="auto"/>
              <w:right w:val="single" w:sz="4" w:space="0" w:color="auto"/>
            </w:tcBorders>
            <w:shd w:val="clear" w:color="auto" w:fill="auto"/>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2156</w:t>
            </w:r>
            <w:r w:rsidRPr="00C54D53">
              <w:rPr>
                <w:rFonts w:ascii="Arial" w:eastAsia="Times New Roman" w:hAnsi="Arial" w:cs="Arial"/>
                <w:sz w:val="20"/>
                <w:szCs w:val="20"/>
              </w:rPr>
              <w:br/>
              <w:t>62.99</w:t>
            </w:r>
          </w:p>
        </w:tc>
        <w:tc>
          <w:tcPr>
            <w:tcW w:w="1080" w:type="dxa"/>
            <w:tcBorders>
              <w:top w:val="nil"/>
              <w:left w:val="nil"/>
              <w:bottom w:val="single" w:sz="4" w:space="0" w:color="auto"/>
              <w:right w:val="single" w:sz="4" w:space="0" w:color="auto"/>
            </w:tcBorders>
            <w:shd w:val="clear" w:color="auto" w:fill="auto"/>
            <w:noWrap/>
          </w:tcPr>
          <w:p w:rsidR="000E5D59" w:rsidRPr="00C54D53" w:rsidRDefault="000E5D59" w:rsidP="006057BE">
            <w:pPr>
              <w:spacing w:after="0" w:line="240" w:lineRule="auto"/>
              <w:jc w:val="right"/>
              <w:rPr>
                <w:rFonts w:ascii="Arial" w:eastAsia="Times New Roman" w:hAnsi="Arial" w:cs="Arial"/>
                <w:sz w:val="20"/>
                <w:szCs w:val="20"/>
              </w:rPr>
            </w:pPr>
            <w:r w:rsidRPr="00C54D53">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C54D53">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b/>
          <w:sz w:val="24"/>
          <w:szCs w:val="24"/>
        </w:rPr>
      </w:pPr>
    </w:p>
    <w:p w:rsidR="000E5D59" w:rsidRPr="00286B34" w:rsidRDefault="000E5D59" w:rsidP="00AC40A7">
      <w:pPr>
        <w:pStyle w:val="Heading3"/>
      </w:pPr>
      <w:bookmarkStart w:id="235" w:name="_Toc11765960"/>
      <w:bookmarkStart w:id="236" w:name="_Toc11766615"/>
      <w:r w:rsidRPr="00286B34">
        <w:t>Driving Issues Related to Marijuana Use</w:t>
      </w:r>
      <w:bookmarkEnd w:id="235"/>
      <w:bookmarkEnd w:id="236"/>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survey respondents were asked to report on their driving behaviors related to marijuana use. Results are summarized in </w:t>
      </w:r>
      <w:r w:rsidRPr="000E5D59">
        <w:rPr>
          <w:rFonts w:ascii="Arial" w:eastAsia="Calibri" w:hAnsi="Arial" w:cs="Arial"/>
          <w:i/>
          <w:sz w:val="24"/>
          <w:szCs w:val="24"/>
        </w:rPr>
        <w:t>Tables 17A, 17B, and 17C</w:t>
      </w:r>
      <w:r w:rsidRPr="000E5D59">
        <w:rPr>
          <w:rFonts w:ascii="Arial" w:eastAsia="Calibri" w:hAnsi="Arial" w:cs="Arial"/>
          <w:sz w:val="24"/>
          <w:szCs w:val="24"/>
        </w:rPr>
        <w:t>, with comparisons by gender, age group, and educational attainment, respectively.</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Ten percent of survey respondents indicated that in the past 30 days they had driven or operated a car or other motor vehicle while under the influence of marijuana or marijuana products. A larger proportion of respondents without a Bachelor’s degree than with a degree reported driving while impaired (11% vs. 10%).</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Eleven percent of survey respondents indicated that in the past 30 days they had ridden as a passenger in a car or other motor vehicle while the driver was under the influence of marijuana or marijuana products. A significantly larger proportion of respondents under age 51 compared to over 50 (14% vs. 7%) reported riding as a passenger with an impaired driver in the past 30 days, as did a larger proportion of respondents without a Bachelor’s degree compared to with a degree (13% vs. 9%).</w:t>
      </w:r>
    </w:p>
    <w:p w:rsidR="000E5D59" w:rsidRPr="000E5D59" w:rsidRDefault="000E5D59" w:rsidP="006057BE">
      <w:pPr>
        <w:spacing w:after="0" w:line="240" w:lineRule="auto"/>
        <w:rPr>
          <w:rFonts w:ascii="Arial" w:eastAsia="Calibri" w:hAnsi="Arial" w:cs="Arial"/>
          <w:sz w:val="24"/>
          <w:szCs w:val="24"/>
        </w:r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17A: DPH Patient Survey Driving Issued Related to Marijuana Use by Gende</w:t>
      </w:r>
      <w:r w:rsidR="000941B7">
        <w:rPr>
          <w:rFonts w:ascii="Arial" w:eastAsia="Calibri" w:hAnsi="Arial" w:cs="Arial"/>
          <w:b/>
          <w:sz w:val="24"/>
          <w:szCs w:val="24"/>
        </w:rPr>
        <w:t>r (Among All 6,934 Respondents)</w:t>
      </w:r>
    </w:p>
    <w:tbl>
      <w:tblPr>
        <w:tblW w:w="9555" w:type="dxa"/>
        <w:tblInd w:w="93" w:type="dxa"/>
        <w:tblLook w:val="04A0" w:firstRow="1" w:lastRow="0" w:firstColumn="1" w:lastColumn="0" w:noHBand="0" w:noVBand="1"/>
        <w:tblCaption w:val="DPH Patient Survey Driving Issued Related to Marijuana Use by Gender (Among All 6,934 Respondents)"/>
      </w:tblPr>
      <w:tblGrid>
        <w:gridCol w:w="4605"/>
        <w:gridCol w:w="900"/>
        <w:gridCol w:w="1530"/>
        <w:gridCol w:w="1530"/>
        <w:gridCol w:w="990"/>
      </w:tblGrid>
      <w:tr w:rsidR="000E5D59" w:rsidRPr="000E5D59" w:rsidTr="00784755">
        <w:trPr>
          <w:trHeight w:val="20"/>
        </w:trPr>
        <w:tc>
          <w:tcPr>
            <w:tcW w:w="460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286B34" w:rsidRDefault="000E5D59" w:rsidP="006057BE">
            <w:pPr>
              <w:spacing w:after="0" w:line="240" w:lineRule="auto"/>
              <w:rPr>
                <w:rFonts w:ascii="Arial" w:eastAsia="Calibri" w:hAnsi="Arial" w:cs="Arial"/>
                <w:b/>
                <w:bCs/>
                <w:sz w:val="20"/>
                <w:szCs w:val="20"/>
              </w:rPr>
            </w:pPr>
            <w:r w:rsidRPr="00286B34">
              <w:rPr>
                <w:rFonts w:ascii="Arial" w:eastAsia="Calibri" w:hAnsi="Arial" w:cs="Arial"/>
                <w:b/>
                <w:bCs/>
                <w:sz w:val="20"/>
                <w:szCs w:val="20"/>
              </w:rPr>
              <w:t> </w:t>
            </w:r>
          </w:p>
        </w:tc>
        <w:tc>
          <w:tcPr>
            <w:tcW w:w="90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286B34" w:rsidRDefault="000E5D59" w:rsidP="006057BE">
            <w:pPr>
              <w:spacing w:after="0" w:line="240" w:lineRule="auto"/>
              <w:rPr>
                <w:rFonts w:ascii="Arial" w:eastAsia="Calibri" w:hAnsi="Arial" w:cs="Arial"/>
                <w:b/>
                <w:sz w:val="20"/>
                <w:szCs w:val="20"/>
              </w:rPr>
            </w:pPr>
            <w:r w:rsidRPr="00286B34">
              <w:rPr>
                <w:rFonts w:ascii="Arial" w:eastAsia="Calibri" w:hAnsi="Arial" w:cs="Arial"/>
                <w:b/>
                <w:sz w:val="20"/>
                <w:szCs w:val="20"/>
              </w:rPr>
              <w:t>Total</w:t>
            </w:r>
          </w:p>
          <w:p w:rsidR="000E5D59" w:rsidRPr="00286B34" w:rsidRDefault="000E5D59" w:rsidP="006057BE">
            <w:pPr>
              <w:spacing w:after="0" w:line="240" w:lineRule="auto"/>
              <w:rPr>
                <w:rFonts w:ascii="Arial" w:eastAsia="Calibri" w:hAnsi="Arial" w:cs="Arial"/>
                <w:b/>
                <w:sz w:val="20"/>
                <w:szCs w:val="20"/>
              </w:rPr>
            </w:pPr>
            <w:r w:rsidRPr="00286B34">
              <w:rPr>
                <w:rFonts w:ascii="Arial" w:eastAsia="Calibri" w:hAnsi="Arial" w:cs="Arial"/>
                <w:b/>
                <w:sz w:val="20"/>
                <w:szCs w:val="20"/>
              </w:rPr>
              <w:t>N</w:t>
            </w:r>
          </w:p>
          <w:p w:rsidR="000E5D59" w:rsidRPr="00286B34" w:rsidRDefault="000E5D59" w:rsidP="006057BE">
            <w:pPr>
              <w:spacing w:after="0" w:line="240" w:lineRule="auto"/>
              <w:rPr>
                <w:rFonts w:ascii="Arial" w:eastAsia="Calibri" w:hAnsi="Arial" w:cs="Arial"/>
                <w:b/>
                <w:bCs/>
                <w:sz w:val="20"/>
                <w:szCs w:val="20"/>
              </w:rPr>
            </w:pPr>
            <w:r w:rsidRPr="00286B34">
              <w:rPr>
                <w:rFonts w:ascii="Arial" w:eastAsia="Calibri" w:hAnsi="Arial" w:cs="Arial"/>
                <w:b/>
                <w:sz w:val="20"/>
                <w:szCs w:val="20"/>
              </w:rPr>
              <w:t>%</w:t>
            </w:r>
          </w:p>
        </w:tc>
        <w:tc>
          <w:tcPr>
            <w:tcW w:w="405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286B34" w:rsidRDefault="000E5D59" w:rsidP="006057BE">
            <w:pPr>
              <w:spacing w:after="0" w:line="240" w:lineRule="auto"/>
              <w:rPr>
                <w:rFonts w:ascii="Arial" w:eastAsia="Calibri" w:hAnsi="Arial" w:cs="Arial"/>
                <w:b/>
                <w:bCs/>
                <w:sz w:val="20"/>
                <w:szCs w:val="20"/>
              </w:rPr>
            </w:pPr>
            <w:r w:rsidRPr="00286B34">
              <w:rPr>
                <w:rFonts w:ascii="Arial" w:eastAsia="Calibri" w:hAnsi="Arial" w:cs="Arial"/>
                <w:b/>
                <w:bCs/>
                <w:sz w:val="20"/>
                <w:szCs w:val="20"/>
              </w:rPr>
              <w:t>Gender</w:t>
            </w:r>
          </w:p>
        </w:tc>
      </w:tr>
      <w:tr w:rsidR="000E5D59" w:rsidRPr="000E5D59" w:rsidTr="00784755">
        <w:trPr>
          <w:trHeight w:val="20"/>
        </w:trPr>
        <w:tc>
          <w:tcPr>
            <w:tcW w:w="4605" w:type="dxa"/>
            <w:vMerge/>
            <w:tcBorders>
              <w:top w:val="nil"/>
              <w:left w:val="single" w:sz="4" w:space="0" w:color="auto"/>
              <w:bottom w:val="double" w:sz="6" w:space="0" w:color="000000"/>
              <w:right w:val="single" w:sz="8" w:space="0" w:color="auto"/>
            </w:tcBorders>
            <w:shd w:val="clear" w:color="auto" w:fill="auto"/>
            <w:vAlign w:val="center"/>
          </w:tcPr>
          <w:p w:rsidR="000E5D59" w:rsidRPr="00286B34" w:rsidRDefault="000E5D59" w:rsidP="006057BE">
            <w:pPr>
              <w:spacing w:after="0" w:line="240" w:lineRule="auto"/>
              <w:rPr>
                <w:rFonts w:ascii="Arial" w:eastAsia="Calibri" w:hAnsi="Arial" w:cs="Arial"/>
                <w:b/>
                <w:bCs/>
                <w:sz w:val="20"/>
                <w:szCs w:val="20"/>
              </w:rPr>
            </w:pPr>
          </w:p>
        </w:tc>
        <w:tc>
          <w:tcPr>
            <w:tcW w:w="90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286B34" w:rsidRDefault="000E5D59" w:rsidP="006057BE">
            <w:pPr>
              <w:spacing w:after="0" w:line="240" w:lineRule="auto"/>
              <w:rPr>
                <w:rFonts w:ascii="Arial" w:eastAsia="Calibri"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0E5D59" w:rsidRPr="00286B34" w:rsidRDefault="000E5D59" w:rsidP="006057BE">
            <w:pPr>
              <w:spacing w:after="0" w:line="240" w:lineRule="auto"/>
              <w:rPr>
                <w:rFonts w:ascii="Arial" w:eastAsia="Calibri" w:hAnsi="Arial" w:cs="Arial"/>
                <w:b/>
                <w:bCs/>
                <w:sz w:val="20"/>
                <w:szCs w:val="20"/>
              </w:rPr>
            </w:pPr>
            <w:r w:rsidRPr="00286B34">
              <w:rPr>
                <w:rFonts w:ascii="Arial" w:eastAsia="Calibri" w:hAnsi="Arial" w:cs="Arial"/>
                <w:b/>
                <w:bCs/>
                <w:sz w:val="20"/>
                <w:szCs w:val="20"/>
              </w:rPr>
              <w:t>Male</w:t>
            </w:r>
            <w:r w:rsidRPr="00286B34">
              <w:rPr>
                <w:rFonts w:ascii="Arial" w:eastAsia="Calibri" w:hAnsi="Arial" w:cs="Arial"/>
                <w:b/>
                <w:bCs/>
                <w:sz w:val="20"/>
                <w:szCs w:val="20"/>
              </w:rPr>
              <w:br/>
            </w:r>
            <w:r w:rsidRPr="00286B34">
              <w:rPr>
                <w:rFonts w:ascii="Arial" w:eastAsia="Calibri" w:hAnsi="Arial" w:cs="Arial"/>
                <w:sz w:val="20"/>
                <w:szCs w:val="20"/>
              </w:rPr>
              <w:t>(N=3732)</w:t>
            </w:r>
          </w:p>
        </w:tc>
        <w:tc>
          <w:tcPr>
            <w:tcW w:w="1530" w:type="dxa"/>
            <w:tcBorders>
              <w:top w:val="nil"/>
              <w:left w:val="nil"/>
              <w:bottom w:val="double" w:sz="6" w:space="0" w:color="auto"/>
              <w:right w:val="single" w:sz="4" w:space="0" w:color="auto"/>
            </w:tcBorders>
            <w:shd w:val="clear" w:color="auto" w:fill="auto"/>
            <w:vAlign w:val="center"/>
          </w:tcPr>
          <w:p w:rsidR="000E5D59" w:rsidRPr="00286B34" w:rsidRDefault="000E5D59" w:rsidP="006057BE">
            <w:pPr>
              <w:spacing w:after="0" w:line="240" w:lineRule="auto"/>
              <w:rPr>
                <w:rFonts w:ascii="Arial" w:eastAsia="Calibri" w:hAnsi="Arial" w:cs="Arial"/>
                <w:b/>
                <w:bCs/>
                <w:sz w:val="20"/>
                <w:szCs w:val="20"/>
              </w:rPr>
            </w:pPr>
            <w:r w:rsidRPr="00286B34">
              <w:rPr>
                <w:rFonts w:ascii="Arial" w:eastAsia="Calibri" w:hAnsi="Arial" w:cs="Arial"/>
                <w:b/>
                <w:bCs/>
                <w:sz w:val="20"/>
                <w:szCs w:val="20"/>
              </w:rPr>
              <w:t>Female</w:t>
            </w:r>
            <w:r w:rsidRPr="00286B34">
              <w:rPr>
                <w:rFonts w:ascii="Arial" w:eastAsia="Calibri" w:hAnsi="Arial" w:cs="Arial"/>
                <w:b/>
                <w:bCs/>
                <w:sz w:val="20"/>
                <w:szCs w:val="20"/>
              </w:rPr>
              <w:br/>
            </w:r>
            <w:r w:rsidRPr="00286B34">
              <w:rPr>
                <w:rFonts w:ascii="Arial" w:eastAsia="Calibri" w:hAnsi="Arial" w:cs="Arial"/>
                <w:sz w:val="20"/>
                <w:szCs w:val="20"/>
              </w:rPr>
              <w:t>(N=3056)</w:t>
            </w:r>
          </w:p>
        </w:tc>
        <w:tc>
          <w:tcPr>
            <w:tcW w:w="990" w:type="dxa"/>
            <w:tcBorders>
              <w:top w:val="nil"/>
              <w:left w:val="nil"/>
              <w:bottom w:val="double" w:sz="6" w:space="0" w:color="auto"/>
              <w:right w:val="single" w:sz="4" w:space="0" w:color="auto"/>
            </w:tcBorders>
            <w:shd w:val="clear" w:color="auto" w:fill="auto"/>
            <w:vAlign w:val="center"/>
          </w:tcPr>
          <w:p w:rsidR="000E5D59" w:rsidRPr="00286B34" w:rsidRDefault="000E5D59" w:rsidP="006057BE">
            <w:pPr>
              <w:spacing w:after="0" w:line="240" w:lineRule="auto"/>
              <w:rPr>
                <w:rFonts w:ascii="Arial" w:eastAsia="Calibri" w:hAnsi="Arial" w:cs="Arial"/>
                <w:b/>
                <w:bCs/>
                <w:sz w:val="20"/>
                <w:szCs w:val="20"/>
              </w:rPr>
            </w:pPr>
            <w:r w:rsidRPr="00286B34">
              <w:rPr>
                <w:rFonts w:ascii="Arial" w:eastAsia="Calibri" w:hAnsi="Arial" w:cs="Arial"/>
                <w:b/>
                <w:bCs/>
                <w:sz w:val="20"/>
                <w:szCs w:val="20"/>
              </w:rPr>
              <w:t>p-value</w:t>
            </w:r>
          </w:p>
        </w:tc>
      </w:tr>
      <w:tr w:rsidR="000E5D59" w:rsidRPr="000E5D59" w:rsidTr="00784755">
        <w:trPr>
          <w:trHeight w:val="20"/>
        </w:trPr>
        <w:tc>
          <w:tcPr>
            <w:tcW w:w="4605" w:type="dxa"/>
            <w:tcBorders>
              <w:top w:val="nil"/>
              <w:left w:val="single" w:sz="4" w:space="0" w:color="auto"/>
              <w:bottom w:val="single" w:sz="4" w:space="0" w:color="auto"/>
              <w:right w:val="single" w:sz="8" w:space="0" w:color="auto"/>
            </w:tcBorders>
            <w:shd w:val="clear" w:color="auto" w:fill="auto"/>
          </w:tcPr>
          <w:p w:rsidR="000E5D59" w:rsidRPr="00286B34" w:rsidRDefault="000E5D59" w:rsidP="006057BE">
            <w:pPr>
              <w:spacing w:after="0" w:line="240" w:lineRule="auto"/>
              <w:rPr>
                <w:rFonts w:ascii="Arial" w:eastAsia="Calibri" w:hAnsi="Arial" w:cs="Arial"/>
                <w:b/>
                <w:bCs/>
                <w:sz w:val="20"/>
                <w:szCs w:val="20"/>
              </w:rPr>
            </w:pPr>
            <w:r w:rsidRPr="00286B34">
              <w:rPr>
                <w:rFonts w:ascii="Arial" w:eastAsia="Calibri" w:hAnsi="Arial" w:cs="Arial"/>
                <w:b/>
                <w:bCs/>
                <w:sz w:val="20"/>
                <w:szCs w:val="20"/>
              </w:rPr>
              <w:t xml:space="preserve">During the past 30 days, how many times did you </w:t>
            </w:r>
            <w:r w:rsidRPr="00286B34">
              <w:rPr>
                <w:rFonts w:ascii="Arial" w:eastAsia="Calibri" w:hAnsi="Arial" w:cs="Arial"/>
                <w:b/>
                <w:bCs/>
                <w:sz w:val="20"/>
                <w:szCs w:val="20"/>
                <w:u w:val="single"/>
              </w:rPr>
              <w:t>drive/operate</w:t>
            </w:r>
            <w:r w:rsidRPr="00286B34">
              <w:rPr>
                <w:rFonts w:ascii="Arial" w:eastAsia="Calibri" w:hAnsi="Arial" w:cs="Arial"/>
                <w:b/>
                <w:bCs/>
                <w:sz w:val="20"/>
                <w:szCs w:val="20"/>
              </w:rPr>
              <w:t xml:space="preserve"> a car or other motor vehicle when you were under the influence of (impaired from) marijuana or marijuana products?</w:t>
            </w:r>
          </w:p>
        </w:tc>
        <w:tc>
          <w:tcPr>
            <w:tcW w:w="900" w:type="dxa"/>
            <w:tcBorders>
              <w:top w:val="nil"/>
              <w:left w:val="nil"/>
              <w:bottom w:val="single" w:sz="4" w:space="0" w:color="auto"/>
              <w:right w:val="thickThinSmallGap" w:sz="2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6311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w:t>
            </w:r>
          </w:p>
        </w:tc>
      </w:tr>
      <w:tr w:rsidR="000E5D59" w:rsidRPr="000E5D59" w:rsidTr="00784755">
        <w:trPr>
          <w:trHeight w:val="20"/>
        </w:trPr>
        <w:tc>
          <w:tcPr>
            <w:tcW w:w="4605" w:type="dxa"/>
            <w:tcBorders>
              <w:top w:val="nil"/>
              <w:left w:val="single" w:sz="4" w:space="0" w:color="auto"/>
              <w:bottom w:val="nil"/>
              <w:right w:val="single" w:sz="8"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0 times</w:t>
            </w:r>
          </w:p>
        </w:tc>
        <w:tc>
          <w:tcPr>
            <w:tcW w:w="900" w:type="dxa"/>
            <w:tcBorders>
              <w:top w:val="nil"/>
              <w:left w:val="nil"/>
              <w:bottom w:val="nil"/>
              <w:right w:val="thickThinSmallGap" w:sz="2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5472</w:t>
            </w:r>
            <w:r w:rsidRPr="00286B34">
              <w:rPr>
                <w:rFonts w:ascii="Arial" w:eastAsia="Calibri" w:hAnsi="Arial" w:cs="Arial"/>
                <w:sz w:val="20"/>
                <w:szCs w:val="20"/>
              </w:rPr>
              <w:br/>
              <w:t>86.71</w:t>
            </w:r>
          </w:p>
        </w:tc>
        <w:tc>
          <w:tcPr>
            <w:tcW w:w="1530" w:type="dxa"/>
            <w:tcBorders>
              <w:top w:val="nil"/>
              <w:left w:val="thickThinSmallGap" w:sz="24" w:space="0" w:color="auto"/>
              <w:bottom w:val="nil"/>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2900</w:t>
            </w:r>
            <w:r w:rsidRPr="00286B34">
              <w:rPr>
                <w:rFonts w:ascii="Arial" w:eastAsia="Calibri" w:hAnsi="Arial" w:cs="Arial"/>
                <w:sz w:val="20"/>
                <w:szCs w:val="20"/>
              </w:rPr>
              <w:br/>
              <w:t>85.88</w:t>
            </w:r>
          </w:p>
        </w:tc>
        <w:tc>
          <w:tcPr>
            <w:tcW w:w="1530" w:type="dxa"/>
            <w:tcBorders>
              <w:top w:val="nil"/>
              <w:left w:val="nil"/>
              <w:bottom w:val="nil"/>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2489</w:t>
            </w:r>
            <w:r w:rsidRPr="00286B34">
              <w:rPr>
                <w:rFonts w:ascii="Arial" w:eastAsia="Calibri" w:hAnsi="Arial" w:cs="Arial"/>
                <w:sz w:val="20"/>
                <w:szCs w:val="20"/>
              </w:rPr>
              <w:br/>
              <w:t>87.73</w:t>
            </w:r>
          </w:p>
        </w:tc>
        <w:tc>
          <w:tcPr>
            <w:tcW w:w="990" w:type="dxa"/>
            <w:tcBorders>
              <w:top w:val="nil"/>
              <w:left w:val="nil"/>
              <w:bottom w:val="nil"/>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p>
        </w:tc>
      </w:tr>
      <w:tr w:rsidR="000E5D59" w:rsidRPr="000E5D59" w:rsidTr="00784755">
        <w:trPr>
          <w:trHeight w:val="20"/>
        </w:trPr>
        <w:tc>
          <w:tcPr>
            <w:tcW w:w="4605" w:type="dxa"/>
            <w:tcBorders>
              <w:top w:val="nil"/>
              <w:left w:val="single" w:sz="4" w:space="0" w:color="auto"/>
              <w:bottom w:val="nil"/>
              <w:right w:val="single" w:sz="8"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At least once</w:t>
            </w:r>
          </w:p>
        </w:tc>
        <w:tc>
          <w:tcPr>
            <w:tcW w:w="900" w:type="dxa"/>
            <w:tcBorders>
              <w:top w:val="nil"/>
              <w:left w:val="nil"/>
              <w:bottom w:val="nil"/>
              <w:right w:val="thickThinSmallGap" w:sz="2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656</w:t>
            </w:r>
            <w:r w:rsidRPr="00286B34">
              <w:rPr>
                <w:rFonts w:ascii="Arial" w:eastAsia="Calibri" w:hAnsi="Arial" w:cs="Arial"/>
                <w:sz w:val="20"/>
                <w:szCs w:val="20"/>
              </w:rPr>
              <w:br/>
              <w:t>10.39</w:t>
            </w:r>
          </w:p>
        </w:tc>
        <w:tc>
          <w:tcPr>
            <w:tcW w:w="1530" w:type="dxa"/>
            <w:tcBorders>
              <w:top w:val="nil"/>
              <w:left w:val="thickThinSmallGap" w:sz="24" w:space="0" w:color="auto"/>
              <w:bottom w:val="nil"/>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383</w:t>
            </w:r>
            <w:r w:rsidRPr="00286B34">
              <w:rPr>
                <w:rFonts w:ascii="Arial" w:eastAsia="Calibri" w:hAnsi="Arial" w:cs="Arial"/>
                <w:sz w:val="20"/>
                <w:szCs w:val="20"/>
              </w:rPr>
              <w:br/>
              <w:t>11.34</w:t>
            </w:r>
          </w:p>
        </w:tc>
        <w:tc>
          <w:tcPr>
            <w:tcW w:w="1530" w:type="dxa"/>
            <w:tcBorders>
              <w:top w:val="nil"/>
              <w:left w:val="nil"/>
              <w:bottom w:val="nil"/>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262</w:t>
            </w:r>
            <w:r w:rsidRPr="00286B34">
              <w:rPr>
                <w:rFonts w:ascii="Arial" w:eastAsia="Calibri" w:hAnsi="Arial" w:cs="Arial"/>
                <w:sz w:val="20"/>
                <w:szCs w:val="20"/>
              </w:rPr>
              <w:br/>
              <w:t>9.24</w:t>
            </w:r>
          </w:p>
        </w:tc>
        <w:tc>
          <w:tcPr>
            <w:tcW w:w="990" w:type="dxa"/>
            <w:tcBorders>
              <w:top w:val="nil"/>
              <w:left w:val="nil"/>
              <w:bottom w:val="nil"/>
              <w:right w:val="single" w:sz="4" w:space="0" w:color="auto"/>
            </w:tcBorders>
            <w:shd w:val="clear" w:color="auto" w:fill="auto"/>
            <w:noWrap/>
          </w:tcPr>
          <w:p w:rsidR="000E5D59" w:rsidRPr="00286B34" w:rsidRDefault="000E5D59" w:rsidP="006057BE">
            <w:pPr>
              <w:spacing w:after="0" w:line="240" w:lineRule="auto"/>
              <w:rPr>
                <w:rFonts w:ascii="Arial" w:eastAsia="Calibri" w:hAnsi="Arial" w:cs="Arial"/>
                <w:sz w:val="20"/>
                <w:szCs w:val="20"/>
              </w:rPr>
            </w:pPr>
          </w:p>
        </w:tc>
      </w:tr>
      <w:tr w:rsidR="000E5D59" w:rsidRPr="000E5D59" w:rsidTr="00784755">
        <w:trPr>
          <w:trHeight w:val="20"/>
        </w:trPr>
        <w:tc>
          <w:tcPr>
            <w:tcW w:w="4605" w:type="dxa"/>
            <w:tcBorders>
              <w:top w:val="nil"/>
              <w:left w:val="single" w:sz="4" w:space="0" w:color="auto"/>
              <w:bottom w:val="double" w:sz="6" w:space="0" w:color="auto"/>
              <w:right w:val="single" w:sz="8"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183</w:t>
            </w:r>
            <w:r w:rsidRPr="00286B34">
              <w:rPr>
                <w:rFonts w:ascii="Arial" w:eastAsia="Calibri" w:hAnsi="Arial" w:cs="Arial"/>
                <w:sz w:val="20"/>
                <w:szCs w:val="20"/>
              </w:rPr>
              <w:br/>
              <w:t>2.90</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94</w:t>
            </w:r>
            <w:r w:rsidRPr="00286B34">
              <w:rPr>
                <w:rFonts w:ascii="Arial" w:eastAsia="Calibri" w:hAnsi="Arial" w:cs="Arial"/>
                <w:sz w:val="20"/>
                <w:szCs w:val="20"/>
              </w:rPr>
              <w:br/>
              <w:t>2.78</w:t>
            </w:r>
          </w:p>
        </w:tc>
        <w:tc>
          <w:tcPr>
            <w:tcW w:w="1530" w:type="dxa"/>
            <w:tcBorders>
              <w:top w:val="nil"/>
              <w:left w:val="nil"/>
              <w:bottom w:val="double" w:sz="6" w:space="0" w:color="auto"/>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86</w:t>
            </w:r>
            <w:r w:rsidRPr="00286B34">
              <w:rPr>
                <w:rFonts w:ascii="Arial" w:eastAsia="Calibri" w:hAnsi="Arial" w:cs="Arial"/>
                <w:sz w:val="20"/>
                <w:szCs w:val="20"/>
              </w:rPr>
              <w:br/>
              <w:t>3.03</w:t>
            </w:r>
          </w:p>
        </w:tc>
        <w:tc>
          <w:tcPr>
            <w:tcW w:w="990" w:type="dxa"/>
            <w:tcBorders>
              <w:top w:val="nil"/>
              <w:left w:val="nil"/>
              <w:bottom w:val="double" w:sz="6" w:space="0" w:color="auto"/>
              <w:right w:val="single" w:sz="4" w:space="0" w:color="auto"/>
            </w:tcBorders>
            <w:shd w:val="clear" w:color="auto" w:fill="auto"/>
            <w:noWrap/>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single" w:sz="8" w:space="0" w:color="auto"/>
            </w:tcBorders>
            <w:shd w:val="clear" w:color="auto" w:fill="auto"/>
          </w:tcPr>
          <w:p w:rsidR="000E5D59" w:rsidRPr="00286B34" w:rsidRDefault="000E5D59" w:rsidP="006057BE">
            <w:pPr>
              <w:spacing w:after="0" w:line="240" w:lineRule="auto"/>
              <w:rPr>
                <w:rFonts w:ascii="Arial" w:eastAsia="Calibri" w:hAnsi="Arial" w:cs="Arial"/>
                <w:b/>
                <w:bCs/>
                <w:sz w:val="20"/>
                <w:szCs w:val="20"/>
              </w:rPr>
            </w:pPr>
            <w:r w:rsidRPr="00286B34">
              <w:rPr>
                <w:rFonts w:ascii="Arial" w:eastAsia="Calibri" w:hAnsi="Arial" w:cs="Arial"/>
                <w:b/>
                <w:bCs/>
                <w:sz w:val="20"/>
                <w:szCs w:val="20"/>
              </w:rPr>
              <w:t xml:space="preserve">During the past 30 days, how many times did you </w:t>
            </w:r>
            <w:r w:rsidRPr="00286B34">
              <w:rPr>
                <w:rFonts w:ascii="Arial" w:eastAsia="Calibri" w:hAnsi="Arial" w:cs="Arial"/>
                <w:b/>
                <w:bCs/>
                <w:sz w:val="20"/>
                <w:szCs w:val="20"/>
                <w:u w:val="single"/>
              </w:rPr>
              <w:t>ride as a passenger</w:t>
            </w:r>
            <w:r w:rsidRPr="00286B34">
              <w:rPr>
                <w:rFonts w:ascii="Arial" w:eastAsia="Calibri" w:hAnsi="Arial" w:cs="Arial"/>
                <w:sz w:val="20"/>
                <w:szCs w:val="20"/>
              </w:rPr>
              <w:t xml:space="preserve"> </w:t>
            </w:r>
            <w:r w:rsidRPr="00286B34">
              <w:rPr>
                <w:rFonts w:ascii="Arial" w:eastAsia="Calibri" w:hAnsi="Arial" w:cs="Arial"/>
                <w:b/>
                <w:bCs/>
                <w:sz w:val="20"/>
                <w:szCs w:val="20"/>
              </w:rPr>
              <w:t>in a car or other motor vehicle when the driver was under the influence of (impaired from) marijuana or marijuana products?</w:t>
            </w:r>
          </w:p>
        </w:tc>
        <w:tc>
          <w:tcPr>
            <w:tcW w:w="900" w:type="dxa"/>
            <w:tcBorders>
              <w:top w:val="nil"/>
              <w:left w:val="nil"/>
              <w:bottom w:val="single" w:sz="4" w:space="0" w:color="auto"/>
              <w:right w:val="thickThinSmallGap" w:sz="2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6414</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ns</w:t>
            </w:r>
          </w:p>
        </w:tc>
      </w:tr>
      <w:tr w:rsidR="000E5D59" w:rsidRPr="000E5D59" w:rsidTr="00784755">
        <w:trPr>
          <w:trHeight w:val="20"/>
        </w:trPr>
        <w:tc>
          <w:tcPr>
            <w:tcW w:w="4605" w:type="dxa"/>
            <w:tcBorders>
              <w:top w:val="nil"/>
              <w:left w:val="single" w:sz="4" w:space="0" w:color="auto"/>
              <w:bottom w:val="nil"/>
              <w:right w:val="single" w:sz="8"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0 times</w:t>
            </w:r>
          </w:p>
        </w:tc>
        <w:tc>
          <w:tcPr>
            <w:tcW w:w="900" w:type="dxa"/>
            <w:tcBorders>
              <w:top w:val="nil"/>
              <w:left w:val="nil"/>
              <w:bottom w:val="nil"/>
              <w:right w:val="thickThinSmallGap" w:sz="2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5486</w:t>
            </w:r>
            <w:r w:rsidRPr="00286B34">
              <w:rPr>
                <w:rFonts w:ascii="Arial" w:eastAsia="Calibri" w:hAnsi="Arial" w:cs="Arial"/>
                <w:sz w:val="20"/>
                <w:szCs w:val="20"/>
              </w:rPr>
              <w:br/>
              <w:t>85.53</w:t>
            </w:r>
          </w:p>
        </w:tc>
        <w:tc>
          <w:tcPr>
            <w:tcW w:w="1530" w:type="dxa"/>
            <w:tcBorders>
              <w:top w:val="nil"/>
              <w:left w:val="thickThinSmallGap" w:sz="24" w:space="0" w:color="auto"/>
              <w:bottom w:val="nil"/>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2939</w:t>
            </w:r>
            <w:r w:rsidRPr="00286B34">
              <w:rPr>
                <w:rFonts w:ascii="Arial" w:eastAsia="Calibri" w:hAnsi="Arial" w:cs="Arial"/>
                <w:sz w:val="20"/>
                <w:szCs w:val="20"/>
              </w:rPr>
              <w:br/>
              <w:t>85.56</w:t>
            </w:r>
          </w:p>
        </w:tc>
        <w:tc>
          <w:tcPr>
            <w:tcW w:w="1530" w:type="dxa"/>
            <w:tcBorders>
              <w:top w:val="nil"/>
              <w:left w:val="nil"/>
              <w:bottom w:val="nil"/>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2463</w:t>
            </w:r>
            <w:r w:rsidRPr="00286B34">
              <w:rPr>
                <w:rFonts w:ascii="Arial" w:eastAsia="Calibri" w:hAnsi="Arial" w:cs="Arial"/>
                <w:sz w:val="20"/>
                <w:szCs w:val="20"/>
              </w:rPr>
              <w:br/>
              <w:t>85.58</w:t>
            </w:r>
          </w:p>
        </w:tc>
        <w:tc>
          <w:tcPr>
            <w:tcW w:w="990" w:type="dxa"/>
            <w:tcBorders>
              <w:top w:val="nil"/>
              <w:left w:val="nil"/>
              <w:bottom w:val="nil"/>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p>
        </w:tc>
      </w:tr>
      <w:tr w:rsidR="000E5D59" w:rsidRPr="000E5D59" w:rsidTr="00784755">
        <w:trPr>
          <w:trHeight w:val="20"/>
        </w:trPr>
        <w:tc>
          <w:tcPr>
            <w:tcW w:w="4605" w:type="dxa"/>
            <w:tcBorders>
              <w:top w:val="nil"/>
              <w:left w:val="single" w:sz="4" w:space="0" w:color="auto"/>
              <w:bottom w:val="nil"/>
              <w:right w:val="single" w:sz="8"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At least once</w:t>
            </w:r>
          </w:p>
        </w:tc>
        <w:tc>
          <w:tcPr>
            <w:tcW w:w="900" w:type="dxa"/>
            <w:tcBorders>
              <w:top w:val="nil"/>
              <w:left w:val="nil"/>
              <w:bottom w:val="nil"/>
              <w:right w:val="thickThinSmallGap" w:sz="2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681</w:t>
            </w:r>
            <w:r w:rsidRPr="00286B34">
              <w:rPr>
                <w:rFonts w:ascii="Arial" w:eastAsia="Calibri" w:hAnsi="Arial" w:cs="Arial"/>
                <w:sz w:val="20"/>
                <w:szCs w:val="20"/>
              </w:rPr>
              <w:br/>
              <w:t>10.62</w:t>
            </w:r>
          </w:p>
        </w:tc>
        <w:tc>
          <w:tcPr>
            <w:tcW w:w="1530" w:type="dxa"/>
            <w:tcBorders>
              <w:top w:val="nil"/>
              <w:left w:val="thickThinSmallGap" w:sz="24" w:space="0" w:color="auto"/>
              <w:bottom w:val="nil"/>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368</w:t>
            </w:r>
            <w:r w:rsidRPr="00286B34">
              <w:rPr>
                <w:rFonts w:ascii="Arial" w:eastAsia="Calibri" w:hAnsi="Arial" w:cs="Arial"/>
                <w:sz w:val="20"/>
                <w:szCs w:val="20"/>
              </w:rPr>
              <w:br/>
              <w:t>10.71</w:t>
            </w:r>
          </w:p>
        </w:tc>
        <w:tc>
          <w:tcPr>
            <w:tcW w:w="1530" w:type="dxa"/>
            <w:tcBorders>
              <w:top w:val="nil"/>
              <w:left w:val="nil"/>
              <w:bottom w:val="nil"/>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303</w:t>
            </w:r>
            <w:r w:rsidRPr="00286B34">
              <w:rPr>
                <w:rFonts w:ascii="Arial" w:eastAsia="Calibri" w:hAnsi="Arial" w:cs="Arial"/>
                <w:sz w:val="20"/>
                <w:szCs w:val="20"/>
              </w:rPr>
              <w:br/>
              <w:t>10.53</w:t>
            </w:r>
          </w:p>
        </w:tc>
        <w:tc>
          <w:tcPr>
            <w:tcW w:w="990" w:type="dxa"/>
            <w:tcBorders>
              <w:top w:val="nil"/>
              <w:left w:val="nil"/>
              <w:bottom w:val="nil"/>
              <w:right w:val="single" w:sz="4" w:space="0" w:color="auto"/>
            </w:tcBorders>
            <w:shd w:val="clear" w:color="auto" w:fill="auto"/>
            <w:noWrap/>
          </w:tcPr>
          <w:p w:rsidR="000E5D59" w:rsidRPr="00286B34" w:rsidRDefault="000E5D59" w:rsidP="006057BE">
            <w:pPr>
              <w:spacing w:after="0" w:line="240" w:lineRule="auto"/>
              <w:rPr>
                <w:rFonts w:ascii="Arial" w:eastAsia="Calibri" w:hAnsi="Arial" w:cs="Arial"/>
                <w:sz w:val="20"/>
                <w:szCs w:val="20"/>
              </w:rPr>
            </w:pPr>
          </w:p>
        </w:tc>
      </w:tr>
      <w:tr w:rsidR="000E5D59" w:rsidRPr="000E5D59" w:rsidTr="00784755">
        <w:trPr>
          <w:trHeight w:val="20"/>
        </w:trPr>
        <w:tc>
          <w:tcPr>
            <w:tcW w:w="4605" w:type="dxa"/>
            <w:tcBorders>
              <w:top w:val="nil"/>
              <w:left w:val="single" w:sz="4" w:space="0" w:color="auto"/>
              <w:bottom w:val="single" w:sz="4" w:space="0" w:color="auto"/>
              <w:right w:val="single" w:sz="8"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247</w:t>
            </w:r>
            <w:r w:rsidRPr="00286B34">
              <w:rPr>
                <w:rFonts w:ascii="Arial" w:eastAsia="Calibri" w:hAnsi="Arial" w:cs="Arial"/>
                <w:sz w:val="20"/>
                <w:szCs w:val="20"/>
              </w:rPr>
              <w:br/>
              <w:t>3.85</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128</w:t>
            </w:r>
            <w:r w:rsidRPr="00286B34">
              <w:rPr>
                <w:rFonts w:ascii="Arial" w:eastAsia="Calibri" w:hAnsi="Arial" w:cs="Arial"/>
                <w:sz w:val="20"/>
                <w:szCs w:val="20"/>
              </w:rPr>
              <w:br/>
              <w:t>3.73</w:t>
            </w:r>
          </w:p>
        </w:tc>
        <w:tc>
          <w:tcPr>
            <w:tcW w:w="1530" w:type="dxa"/>
            <w:tcBorders>
              <w:top w:val="nil"/>
              <w:left w:val="nil"/>
              <w:bottom w:val="single" w:sz="4" w:space="0" w:color="auto"/>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112</w:t>
            </w:r>
            <w:r w:rsidRPr="00286B34">
              <w:rPr>
                <w:rFonts w:ascii="Arial" w:eastAsia="Calibri" w:hAnsi="Arial" w:cs="Arial"/>
                <w:sz w:val="20"/>
                <w:szCs w:val="20"/>
              </w:rPr>
              <w:br/>
              <w:t>3.89</w:t>
            </w:r>
          </w:p>
        </w:tc>
        <w:tc>
          <w:tcPr>
            <w:tcW w:w="990" w:type="dxa"/>
            <w:tcBorders>
              <w:top w:val="nil"/>
              <w:left w:val="nil"/>
              <w:bottom w:val="single" w:sz="4" w:space="0" w:color="auto"/>
              <w:right w:val="single" w:sz="4" w:space="0" w:color="auto"/>
            </w:tcBorders>
            <w:shd w:val="clear" w:color="auto" w:fill="auto"/>
            <w:noWrap/>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286B34" w:rsidRDefault="000E5D59" w:rsidP="006057BE">
            <w:pPr>
              <w:spacing w:after="0" w:line="240" w:lineRule="auto"/>
              <w:rPr>
                <w:rFonts w:ascii="Arial" w:eastAsia="Calibri" w:hAnsi="Arial" w:cs="Arial"/>
                <w:sz w:val="20"/>
                <w:szCs w:val="20"/>
              </w:rPr>
            </w:pPr>
            <w:r w:rsidRPr="00286B34">
              <w:rPr>
                <w:rFonts w:ascii="Arial" w:eastAsia="Calibri"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Default="009047AC" w:rsidP="009047AC">
      <w:pPr>
        <w:spacing w:after="0" w:line="240" w:lineRule="auto"/>
        <w:rPr>
          <w:rFonts w:ascii="Arial" w:eastAsia="Calibri" w:hAnsi="Arial" w:cs="Arial"/>
          <w:b/>
          <w:sz w:val="24"/>
          <w:szCs w:val="24"/>
        </w:rPr>
      </w:pPr>
    </w:p>
    <w:p w:rsidR="009047AC" w:rsidRPr="009047AC" w:rsidRDefault="009047AC" w:rsidP="009047AC">
      <w:pPr>
        <w:spacing w:after="0" w:line="240" w:lineRule="auto"/>
        <w:rPr>
          <w:rFonts w:ascii="Arial" w:eastAsia="Calibri" w:hAnsi="Arial" w:cs="Arial"/>
          <w:sz w:val="24"/>
          <w:szCs w:val="24"/>
        </w:rPr>
      </w:pPr>
      <w:r w:rsidRPr="009047AC">
        <w:rPr>
          <w:rFonts w:ascii="Arial" w:eastAsia="Calibri" w:hAnsi="Arial" w:cs="Arial"/>
          <w:b/>
          <w:sz w:val="24"/>
          <w:szCs w:val="24"/>
        </w:rPr>
        <w:t>Table 17</w:t>
      </w:r>
      <w:r>
        <w:rPr>
          <w:rFonts w:ascii="Arial" w:eastAsia="Calibri" w:hAnsi="Arial" w:cs="Arial"/>
          <w:b/>
          <w:sz w:val="24"/>
          <w:szCs w:val="24"/>
        </w:rPr>
        <w:t>B</w:t>
      </w:r>
      <w:r w:rsidRPr="009047AC">
        <w:rPr>
          <w:rFonts w:ascii="Arial" w:eastAsia="Calibri" w:hAnsi="Arial" w:cs="Arial"/>
          <w:b/>
          <w:sz w:val="24"/>
          <w:szCs w:val="24"/>
        </w:rPr>
        <w:t>: DPH Patient Survey Driving Issued Related to Marijuana Use by Age Group (Among All 6,934 Respondents)</w:t>
      </w:r>
    </w:p>
    <w:tbl>
      <w:tblPr>
        <w:tblW w:w="9555" w:type="dxa"/>
        <w:tblInd w:w="93" w:type="dxa"/>
        <w:tblLook w:val="04A0" w:firstRow="1" w:lastRow="0" w:firstColumn="1" w:lastColumn="0" w:noHBand="0" w:noVBand="1"/>
      </w:tblPr>
      <w:tblGrid>
        <w:gridCol w:w="4605"/>
        <w:gridCol w:w="900"/>
        <w:gridCol w:w="1530"/>
        <w:gridCol w:w="1530"/>
        <w:gridCol w:w="990"/>
      </w:tblGrid>
      <w:tr w:rsidR="009047AC" w:rsidRPr="009047AC" w:rsidTr="00626599">
        <w:trPr>
          <w:trHeight w:val="20"/>
        </w:trPr>
        <w:tc>
          <w:tcPr>
            <w:tcW w:w="460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9047AC" w:rsidRPr="009047AC" w:rsidRDefault="009047AC" w:rsidP="009047AC">
            <w:pPr>
              <w:spacing w:after="0" w:line="240" w:lineRule="auto"/>
              <w:rPr>
                <w:rFonts w:ascii="Arial" w:eastAsia="Calibri" w:hAnsi="Arial" w:cs="Arial"/>
                <w:b/>
                <w:bCs/>
                <w:sz w:val="20"/>
                <w:szCs w:val="20"/>
              </w:rPr>
            </w:pPr>
            <w:r w:rsidRPr="009047AC">
              <w:rPr>
                <w:rFonts w:ascii="Arial" w:eastAsia="Calibri" w:hAnsi="Arial" w:cs="Arial"/>
                <w:b/>
                <w:bCs/>
                <w:sz w:val="20"/>
                <w:szCs w:val="20"/>
              </w:rPr>
              <w:t> </w:t>
            </w:r>
          </w:p>
        </w:tc>
        <w:tc>
          <w:tcPr>
            <w:tcW w:w="90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9047AC" w:rsidRPr="009047AC" w:rsidRDefault="009047AC" w:rsidP="009047AC">
            <w:pPr>
              <w:spacing w:after="0" w:line="240" w:lineRule="auto"/>
              <w:rPr>
                <w:rFonts w:ascii="Arial" w:eastAsia="Calibri" w:hAnsi="Arial" w:cs="Arial"/>
                <w:b/>
                <w:sz w:val="20"/>
                <w:szCs w:val="20"/>
              </w:rPr>
            </w:pPr>
            <w:r w:rsidRPr="009047AC">
              <w:rPr>
                <w:rFonts w:ascii="Arial" w:eastAsia="Calibri" w:hAnsi="Arial" w:cs="Arial"/>
                <w:b/>
                <w:sz w:val="20"/>
                <w:szCs w:val="20"/>
              </w:rPr>
              <w:t>Total</w:t>
            </w:r>
          </w:p>
          <w:p w:rsidR="009047AC" w:rsidRPr="009047AC" w:rsidRDefault="009047AC" w:rsidP="009047AC">
            <w:pPr>
              <w:spacing w:after="0" w:line="240" w:lineRule="auto"/>
              <w:rPr>
                <w:rFonts w:ascii="Arial" w:eastAsia="Calibri" w:hAnsi="Arial" w:cs="Arial"/>
                <w:b/>
                <w:sz w:val="20"/>
                <w:szCs w:val="20"/>
              </w:rPr>
            </w:pPr>
            <w:r w:rsidRPr="009047AC">
              <w:rPr>
                <w:rFonts w:ascii="Arial" w:eastAsia="Calibri" w:hAnsi="Arial" w:cs="Arial"/>
                <w:b/>
                <w:sz w:val="20"/>
                <w:szCs w:val="20"/>
              </w:rPr>
              <w:t>N</w:t>
            </w:r>
          </w:p>
          <w:p w:rsidR="009047AC" w:rsidRPr="009047AC" w:rsidRDefault="009047AC" w:rsidP="009047AC">
            <w:pPr>
              <w:spacing w:after="0" w:line="240" w:lineRule="auto"/>
              <w:rPr>
                <w:rFonts w:ascii="Arial" w:eastAsia="Calibri" w:hAnsi="Arial" w:cs="Arial"/>
                <w:b/>
                <w:bCs/>
                <w:sz w:val="20"/>
                <w:szCs w:val="20"/>
              </w:rPr>
            </w:pPr>
            <w:r w:rsidRPr="009047AC">
              <w:rPr>
                <w:rFonts w:ascii="Arial" w:eastAsia="Calibri" w:hAnsi="Arial" w:cs="Arial"/>
                <w:b/>
                <w:sz w:val="20"/>
                <w:szCs w:val="20"/>
              </w:rPr>
              <w:t>%</w:t>
            </w:r>
          </w:p>
        </w:tc>
        <w:tc>
          <w:tcPr>
            <w:tcW w:w="405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9047AC" w:rsidRPr="009047AC" w:rsidRDefault="009047AC" w:rsidP="009047AC">
            <w:pPr>
              <w:spacing w:after="0" w:line="240" w:lineRule="auto"/>
              <w:rPr>
                <w:rFonts w:ascii="Arial" w:eastAsia="Calibri" w:hAnsi="Arial" w:cs="Arial"/>
                <w:b/>
                <w:bCs/>
                <w:sz w:val="20"/>
                <w:szCs w:val="20"/>
              </w:rPr>
            </w:pPr>
            <w:r w:rsidRPr="009047AC">
              <w:rPr>
                <w:rFonts w:ascii="Arial" w:eastAsia="Calibri" w:hAnsi="Arial" w:cs="Arial"/>
                <w:b/>
                <w:bCs/>
                <w:sz w:val="20"/>
                <w:szCs w:val="20"/>
              </w:rPr>
              <w:t>Age Group</w:t>
            </w:r>
          </w:p>
        </w:tc>
      </w:tr>
      <w:tr w:rsidR="009047AC" w:rsidRPr="009047AC" w:rsidTr="00626599">
        <w:trPr>
          <w:trHeight w:val="20"/>
        </w:trPr>
        <w:tc>
          <w:tcPr>
            <w:tcW w:w="4605" w:type="dxa"/>
            <w:vMerge/>
            <w:tcBorders>
              <w:top w:val="nil"/>
              <w:left w:val="single" w:sz="4" w:space="0" w:color="auto"/>
              <w:bottom w:val="double" w:sz="6" w:space="0" w:color="000000"/>
              <w:right w:val="single" w:sz="8" w:space="0" w:color="auto"/>
            </w:tcBorders>
            <w:shd w:val="clear" w:color="auto" w:fill="auto"/>
            <w:vAlign w:val="center"/>
          </w:tcPr>
          <w:p w:rsidR="009047AC" w:rsidRPr="009047AC" w:rsidRDefault="009047AC" w:rsidP="009047AC">
            <w:pPr>
              <w:spacing w:after="0" w:line="240" w:lineRule="auto"/>
              <w:rPr>
                <w:rFonts w:ascii="Arial" w:eastAsia="Calibri" w:hAnsi="Arial" w:cs="Arial"/>
                <w:b/>
                <w:bCs/>
                <w:sz w:val="20"/>
                <w:szCs w:val="20"/>
              </w:rPr>
            </w:pPr>
          </w:p>
        </w:tc>
        <w:tc>
          <w:tcPr>
            <w:tcW w:w="900" w:type="dxa"/>
            <w:vMerge/>
            <w:tcBorders>
              <w:top w:val="nil"/>
              <w:left w:val="single" w:sz="8" w:space="0" w:color="auto"/>
              <w:bottom w:val="double" w:sz="6" w:space="0" w:color="000000"/>
              <w:right w:val="thickThinSmallGap" w:sz="24" w:space="0" w:color="auto"/>
            </w:tcBorders>
            <w:shd w:val="clear" w:color="auto" w:fill="auto"/>
            <w:vAlign w:val="center"/>
          </w:tcPr>
          <w:p w:rsidR="009047AC" w:rsidRPr="009047AC" w:rsidRDefault="009047AC" w:rsidP="009047AC">
            <w:pPr>
              <w:spacing w:after="0" w:line="240" w:lineRule="auto"/>
              <w:rPr>
                <w:rFonts w:ascii="Arial" w:eastAsia="Calibri"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9047AC" w:rsidRPr="009047AC" w:rsidRDefault="009047AC" w:rsidP="009047AC">
            <w:pPr>
              <w:spacing w:after="0" w:line="240" w:lineRule="auto"/>
              <w:rPr>
                <w:rFonts w:ascii="Arial" w:eastAsia="Calibri" w:hAnsi="Arial" w:cs="Arial"/>
                <w:b/>
                <w:bCs/>
                <w:sz w:val="20"/>
                <w:szCs w:val="20"/>
              </w:rPr>
            </w:pPr>
            <w:r w:rsidRPr="009047AC">
              <w:rPr>
                <w:rFonts w:ascii="Arial" w:eastAsia="Calibri" w:hAnsi="Arial" w:cs="Arial"/>
                <w:b/>
                <w:bCs/>
                <w:sz w:val="20"/>
                <w:szCs w:val="20"/>
              </w:rPr>
              <w:t>≤ 50 years</w:t>
            </w:r>
            <w:r w:rsidRPr="009047AC">
              <w:rPr>
                <w:rFonts w:ascii="Arial" w:eastAsia="Calibri" w:hAnsi="Arial" w:cs="Arial"/>
                <w:b/>
                <w:bCs/>
                <w:sz w:val="20"/>
                <w:szCs w:val="20"/>
              </w:rPr>
              <w:br/>
            </w:r>
            <w:r w:rsidRPr="009047AC">
              <w:rPr>
                <w:rFonts w:ascii="Arial" w:eastAsia="Calibri" w:hAnsi="Arial" w:cs="Arial"/>
                <w:sz w:val="20"/>
                <w:szCs w:val="20"/>
              </w:rPr>
              <w:t>(N=3584)</w:t>
            </w:r>
          </w:p>
        </w:tc>
        <w:tc>
          <w:tcPr>
            <w:tcW w:w="1530" w:type="dxa"/>
            <w:tcBorders>
              <w:top w:val="nil"/>
              <w:left w:val="nil"/>
              <w:bottom w:val="double" w:sz="6" w:space="0" w:color="auto"/>
              <w:right w:val="single" w:sz="4" w:space="0" w:color="auto"/>
            </w:tcBorders>
            <w:shd w:val="clear" w:color="auto" w:fill="auto"/>
            <w:vAlign w:val="center"/>
          </w:tcPr>
          <w:p w:rsidR="009047AC" w:rsidRPr="009047AC" w:rsidRDefault="009047AC" w:rsidP="009047AC">
            <w:pPr>
              <w:spacing w:after="0" w:line="240" w:lineRule="auto"/>
              <w:rPr>
                <w:rFonts w:ascii="Arial" w:eastAsia="Calibri" w:hAnsi="Arial" w:cs="Arial"/>
                <w:b/>
                <w:bCs/>
                <w:sz w:val="20"/>
                <w:szCs w:val="20"/>
              </w:rPr>
            </w:pPr>
            <w:r w:rsidRPr="009047AC">
              <w:rPr>
                <w:rFonts w:ascii="Arial" w:eastAsia="Calibri" w:hAnsi="Arial" w:cs="Arial"/>
                <w:b/>
                <w:bCs/>
                <w:sz w:val="20"/>
                <w:szCs w:val="20"/>
              </w:rPr>
              <w:t>≥ 51 years</w:t>
            </w:r>
            <w:r w:rsidRPr="009047AC">
              <w:rPr>
                <w:rFonts w:ascii="Arial" w:eastAsia="Calibri" w:hAnsi="Arial" w:cs="Arial"/>
                <w:b/>
                <w:bCs/>
                <w:sz w:val="20"/>
                <w:szCs w:val="20"/>
              </w:rPr>
              <w:br/>
            </w:r>
            <w:r w:rsidRPr="009047AC">
              <w:rPr>
                <w:rFonts w:ascii="Arial" w:eastAsia="Calibri" w:hAnsi="Arial" w:cs="Arial"/>
                <w:sz w:val="20"/>
                <w:szCs w:val="20"/>
              </w:rPr>
              <w:t>(N=3188)</w:t>
            </w:r>
          </w:p>
        </w:tc>
        <w:tc>
          <w:tcPr>
            <w:tcW w:w="990" w:type="dxa"/>
            <w:tcBorders>
              <w:top w:val="nil"/>
              <w:left w:val="nil"/>
              <w:bottom w:val="double" w:sz="6" w:space="0" w:color="auto"/>
              <w:right w:val="single" w:sz="4" w:space="0" w:color="auto"/>
            </w:tcBorders>
            <w:shd w:val="clear" w:color="auto" w:fill="auto"/>
            <w:vAlign w:val="center"/>
          </w:tcPr>
          <w:p w:rsidR="009047AC" w:rsidRPr="009047AC" w:rsidRDefault="009047AC" w:rsidP="009047AC">
            <w:pPr>
              <w:spacing w:after="0" w:line="240" w:lineRule="auto"/>
              <w:rPr>
                <w:rFonts w:ascii="Arial" w:eastAsia="Calibri" w:hAnsi="Arial" w:cs="Arial"/>
                <w:b/>
                <w:bCs/>
                <w:sz w:val="20"/>
                <w:szCs w:val="20"/>
              </w:rPr>
            </w:pPr>
            <w:r w:rsidRPr="009047AC">
              <w:rPr>
                <w:rFonts w:ascii="Arial" w:eastAsia="Calibri" w:hAnsi="Arial" w:cs="Arial"/>
                <w:b/>
                <w:bCs/>
                <w:sz w:val="20"/>
                <w:szCs w:val="20"/>
              </w:rPr>
              <w:t>p-value</w:t>
            </w:r>
          </w:p>
        </w:tc>
      </w:tr>
      <w:tr w:rsidR="009047AC" w:rsidRPr="009047AC" w:rsidTr="00626599">
        <w:trPr>
          <w:trHeight w:val="20"/>
        </w:trPr>
        <w:tc>
          <w:tcPr>
            <w:tcW w:w="4605" w:type="dxa"/>
            <w:tcBorders>
              <w:top w:val="nil"/>
              <w:left w:val="single" w:sz="4" w:space="0" w:color="auto"/>
              <w:bottom w:val="single" w:sz="4" w:space="0" w:color="auto"/>
              <w:right w:val="single" w:sz="8" w:space="0" w:color="auto"/>
            </w:tcBorders>
            <w:shd w:val="clear" w:color="auto" w:fill="auto"/>
          </w:tcPr>
          <w:p w:rsidR="009047AC" w:rsidRPr="009047AC" w:rsidRDefault="009047AC" w:rsidP="009047AC">
            <w:pPr>
              <w:spacing w:after="0" w:line="240" w:lineRule="auto"/>
              <w:rPr>
                <w:rFonts w:ascii="Arial" w:eastAsia="Calibri" w:hAnsi="Arial" w:cs="Arial"/>
                <w:b/>
                <w:bCs/>
                <w:sz w:val="20"/>
                <w:szCs w:val="20"/>
              </w:rPr>
            </w:pPr>
            <w:r w:rsidRPr="009047AC">
              <w:rPr>
                <w:rFonts w:ascii="Arial" w:eastAsia="Calibri" w:hAnsi="Arial" w:cs="Arial"/>
                <w:b/>
                <w:bCs/>
                <w:sz w:val="20"/>
                <w:szCs w:val="20"/>
              </w:rPr>
              <w:t xml:space="preserve">During the past 30 days, how many times did you </w:t>
            </w:r>
            <w:r w:rsidRPr="009047AC">
              <w:rPr>
                <w:rFonts w:ascii="Arial" w:eastAsia="Calibri" w:hAnsi="Arial" w:cs="Arial"/>
                <w:b/>
                <w:bCs/>
                <w:sz w:val="20"/>
                <w:szCs w:val="20"/>
                <w:u w:val="single"/>
              </w:rPr>
              <w:t>drive/operate</w:t>
            </w:r>
            <w:r w:rsidRPr="009047AC">
              <w:rPr>
                <w:rFonts w:ascii="Arial" w:eastAsia="Calibri" w:hAnsi="Arial" w:cs="Arial"/>
                <w:b/>
                <w:bCs/>
                <w:sz w:val="20"/>
                <w:szCs w:val="20"/>
              </w:rPr>
              <w:t xml:space="preserve"> a car or other motor vehicle when you were under the influence of (impaired from) marijuana or marijuana products?</w:t>
            </w:r>
          </w:p>
        </w:tc>
        <w:tc>
          <w:tcPr>
            <w:tcW w:w="900" w:type="dxa"/>
            <w:tcBorders>
              <w:top w:val="nil"/>
              <w:left w:val="nil"/>
              <w:bottom w:val="single" w:sz="4" w:space="0" w:color="auto"/>
              <w:right w:val="thickThinSmallGap" w:sz="2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6311</w:t>
            </w:r>
          </w:p>
        </w:tc>
        <w:tc>
          <w:tcPr>
            <w:tcW w:w="1530" w:type="dxa"/>
            <w:tcBorders>
              <w:top w:val="nil"/>
              <w:left w:val="thickThinSmallGap" w:sz="24" w:space="0" w:color="auto"/>
              <w:bottom w:val="single" w:sz="4" w:space="0" w:color="auto"/>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w:t>
            </w:r>
          </w:p>
        </w:tc>
      </w:tr>
      <w:tr w:rsidR="009047AC" w:rsidRPr="009047AC" w:rsidTr="00626599">
        <w:trPr>
          <w:trHeight w:val="20"/>
        </w:trPr>
        <w:tc>
          <w:tcPr>
            <w:tcW w:w="4605" w:type="dxa"/>
            <w:tcBorders>
              <w:top w:val="nil"/>
              <w:left w:val="single" w:sz="4" w:space="0" w:color="auto"/>
              <w:bottom w:val="nil"/>
              <w:right w:val="single" w:sz="8"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0 times</w:t>
            </w:r>
          </w:p>
        </w:tc>
        <w:tc>
          <w:tcPr>
            <w:tcW w:w="900" w:type="dxa"/>
            <w:tcBorders>
              <w:top w:val="nil"/>
              <w:left w:val="nil"/>
              <w:bottom w:val="nil"/>
              <w:right w:val="thickThinSmallGap" w:sz="2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5472</w:t>
            </w:r>
            <w:r w:rsidRPr="009047AC">
              <w:rPr>
                <w:rFonts w:ascii="Arial" w:eastAsia="Calibri" w:hAnsi="Arial" w:cs="Arial"/>
                <w:sz w:val="20"/>
                <w:szCs w:val="20"/>
              </w:rPr>
              <w:br/>
              <w:t>86.71</w:t>
            </w:r>
          </w:p>
        </w:tc>
        <w:tc>
          <w:tcPr>
            <w:tcW w:w="1530" w:type="dxa"/>
            <w:tcBorders>
              <w:top w:val="nil"/>
              <w:left w:val="thickThinSmallGap" w:sz="24" w:space="0" w:color="auto"/>
              <w:bottom w:val="nil"/>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2766</w:t>
            </w:r>
            <w:r w:rsidRPr="009047AC">
              <w:rPr>
                <w:rFonts w:ascii="Arial" w:eastAsia="Calibri" w:hAnsi="Arial" w:cs="Arial"/>
                <w:sz w:val="20"/>
                <w:szCs w:val="20"/>
              </w:rPr>
              <w:br/>
              <w:t>85.27</w:t>
            </w:r>
          </w:p>
        </w:tc>
        <w:tc>
          <w:tcPr>
            <w:tcW w:w="1530" w:type="dxa"/>
            <w:tcBorders>
              <w:top w:val="nil"/>
              <w:left w:val="nil"/>
              <w:bottom w:val="nil"/>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2612</w:t>
            </w:r>
            <w:r w:rsidRPr="009047AC">
              <w:rPr>
                <w:rFonts w:ascii="Arial" w:eastAsia="Calibri" w:hAnsi="Arial" w:cs="Arial"/>
                <w:sz w:val="20"/>
                <w:szCs w:val="20"/>
              </w:rPr>
              <w:br/>
              <w:t>88.30</w:t>
            </w:r>
          </w:p>
        </w:tc>
        <w:tc>
          <w:tcPr>
            <w:tcW w:w="990" w:type="dxa"/>
            <w:tcBorders>
              <w:top w:val="nil"/>
              <w:left w:val="nil"/>
              <w:bottom w:val="nil"/>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 </w:t>
            </w:r>
          </w:p>
        </w:tc>
      </w:tr>
      <w:tr w:rsidR="009047AC" w:rsidRPr="009047AC" w:rsidTr="00626599">
        <w:trPr>
          <w:trHeight w:val="20"/>
        </w:trPr>
        <w:tc>
          <w:tcPr>
            <w:tcW w:w="4605" w:type="dxa"/>
            <w:tcBorders>
              <w:top w:val="nil"/>
              <w:left w:val="single" w:sz="4" w:space="0" w:color="auto"/>
              <w:bottom w:val="nil"/>
              <w:right w:val="single" w:sz="8"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At least once</w:t>
            </w:r>
          </w:p>
        </w:tc>
        <w:tc>
          <w:tcPr>
            <w:tcW w:w="900" w:type="dxa"/>
            <w:tcBorders>
              <w:top w:val="nil"/>
              <w:left w:val="nil"/>
              <w:bottom w:val="nil"/>
              <w:right w:val="thickThinSmallGap" w:sz="2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656</w:t>
            </w:r>
            <w:r w:rsidRPr="009047AC">
              <w:rPr>
                <w:rFonts w:ascii="Arial" w:eastAsia="Calibri" w:hAnsi="Arial" w:cs="Arial"/>
                <w:sz w:val="20"/>
                <w:szCs w:val="20"/>
              </w:rPr>
              <w:br/>
              <w:t>10.39</w:t>
            </w:r>
          </w:p>
        </w:tc>
        <w:tc>
          <w:tcPr>
            <w:tcW w:w="1530" w:type="dxa"/>
            <w:tcBorders>
              <w:top w:val="nil"/>
              <w:left w:val="thickThinSmallGap" w:sz="24" w:space="0" w:color="auto"/>
              <w:bottom w:val="nil"/>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377</w:t>
            </w:r>
            <w:r w:rsidRPr="009047AC">
              <w:rPr>
                <w:rFonts w:ascii="Arial" w:eastAsia="Calibri" w:hAnsi="Arial" w:cs="Arial"/>
                <w:sz w:val="20"/>
                <w:szCs w:val="20"/>
              </w:rPr>
              <w:br/>
              <w:t>11.62</w:t>
            </w:r>
          </w:p>
        </w:tc>
        <w:tc>
          <w:tcPr>
            <w:tcW w:w="1530" w:type="dxa"/>
            <w:tcBorders>
              <w:top w:val="nil"/>
              <w:left w:val="nil"/>
              <w:bottom w:val="nil"/>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270</w:t>
            </w:r>
            <w:r w:rsidRPr="009047AC">
              <w:rPr>
                <w:rFonts w:ascii="Arial" w:eastAsia="Calibri" w:hAnsi="Arial" w:cs="Arial"/>
                <w:sz w:val="20"/>
                <w:szCs w:val="20"/>
              </w:rPr>
              <w:br/>
              <w:t>9.13</w:t>
            </w:r>
          </w:p>
        </w:tc>
        <w:tc>
          <w:tcPr>
            <w:tcW w:w="990" w:type="dxa"/>
            <w:tcBorders>
              <w:top w:val="nil"/>
              <w:left w:val="nil"/>
              <w:bottom w:val="nil"/>
              <w:right w:val="single" w:sz="4" w:space="0" w:color="auto"/>
            </w:tcBorders>
            <w:shd w:val="clear" w:color="auto" w:fill="auto"/>
            <w:noWrap/>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 </w:t>
            </w:r>
          </w:p>
        </w:tc>
      </w:tr>
      <w:tr w:rsidR="009047AC" w:rsidRPr="009047AC" w:rsidTr="00626599">
        <w:trPr>
          <w:trHeight w:val="20"/>
        </w:trPr>
        <w:tc>
          <w:tcPr>
            <w:tcW w:w="4605" w:type="dxa"/>
            <w:tcBorders>
              <w:top w:val="nil"/>
              <w:left w:val="single" w:sz="4" w:space="0" w:color="auto"/>
              <w:bottom w:val="double" w:sz="6" w:space="0" w:color="auto"/>
              <w:right w:val="single" w:sz="8"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183</w:t>
            </w:r>
            <w:r w:rsidRPr="009047AC">
              <w:rPr>
                <w:rFonts w:ascii="Arial" w:eastAsia="Calibri" w:hAnsi="Arial" w:cs="Arial"/>
                <w:sz w:val="20"/>
                <w:szCs w:val="20"/>
              </w:rPr>
              <w:br/>
              <w:t>2.90</w:t>
            </w:r>
          </w:p>
        </w:tc>
        <w:tc>
          <w:tcPr>
            <w:tcW w:w="1530" w:type="dxa"/>
            <w:tcBorders>
              <w:top w:val="nil"/>
              <w:left w:val="thickThinSmallGap" w:sz="24" w:space="0" w:color="auto"/>
              <w:bottom w:val="double" w:sz="6" w:space="0" w:color="auto"/>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101</w:t>
            </w:r>
            <w:r w:rsidRPr="009047AC">
              <w:rPr>
                <w:rFonts w:ascii="Arial" w:eastAsia="Calibri" w:hAnsi="Arial" w:cs="Arial"/>
                <w:sz w:val="20"/>
                <w:szCs w:val="20"/>
              </w:rPr>
              <w:br/>
              <w:t>3.11</w:t>
            </w:r>
          </w:p>
        </w:tc>
        <w:tc>
          <w:tcPr>
            <w:tcW w:w="1530" w:type="dxa"/>
            <w:tcBorders>
              <w:top w:val="nil"/>
              <w:left w:val="nil"/>
              <w:bottom w:val="double" w:sz="6" w:space="0" w:color="auto"/>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76</w:t>
            </w:r>
            <w:r w:rsidRPr="009047AC">
              <w:rPr>
                <w:rFonts w:ascii="Arial" w:eastAsia="Calibri" w:hAnsi="Arial" w:cs="Arial"/>
                <w:sz w:val="20"/>
                <w:szCs w:val="20"/>
              </w:rPr>
              <w:br/>
              <w:t>2.57</w:t>
            </w:r>
          </w:p>
        </w:tc>
        <w:tc>
          <w:tcPr>
            <w:tcW w:w="990" w:type="dxa"/>
            <w:tcBorders>
              <w:top w:val="nil"/>
              <w:left w:val="nil"/>
              <w:bottom w:val="double" w:sz="6" w:space="0" w:color="auto"/>
              <w:right w:val="single" w:sz="4" w:space="0" w:color="auto"/>
            </w:tcBorders>
            <w:shd w:val="clear" w:color="auto" w:fill="auto"/>
            <w:noWrap/>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 </w:t>
            </w:r>
          </w:p>
        </w:tc>
      </w:tr>
      <w:tr w:rsidR="009047AC" w:rsidRPr="009047AC" w:rsidTr="00626599">
        <w:trPr>
          <w:trHeight w:val="20"/>
        </w:trPr>
        <w:tc>
          <w:tcPr>
            <w:tcW w:w="4605" w:type="dxa"/>
            <w:tcBorders>
              <w:top w:val="nil"/>
              <w:left w:val="single" w:sz="4" w:space="0" w:color="auto"/>
              <w:bottom w:val="single" w:sz="4" w:space="0" w:color="auto"/>
              <w:right w:val="single" w:sz="8" w:space="0" w:color="auto"/>
            </w:tcBorders>
            <w:shd w:val="clear" w:color="auto" w:fill="auto"/>
          </w:tcPr>
          <w:p w:rsidR="009047AC" w:rsidRPr="009047AC" w:rsidRDefault="009047AC" w:rsidP="009047AC">
            <w:pPr>
              <w:spacing w:after="0" w:line="240" w:lineRule="auto"/>
              <w:rPr>
                <w:rFonts w:ascii="Arial" w:eastAsia="Calibri" w:hAnsi="Arial" w:cs="Arial"/>
                <w:b/>
                <w:bCs/>
                <w:sz w:val="20"/>
                <w:szCs w:val="20"/>
              </w:rPr>
            </w:pPr>
            <w:r w:rsidRPr="009047AC">
              <w:rPr>
                <w:rFonts w:ascii="Arial" w:eastAsia="Calibri" w:hAnsi="Arial" w:cs="Arial"/>
                <w:b/>
                <w:bCs/>
                <w:sz w:val="20"/>
                <w:szCs w:val="20"/>
              </w:rPr>
              <w:t xml:space="preserve">During the past 30 days, how many times did you </w:t>
            </w:r>
            <w:r w:rsidRPr="009047AC">
              <w:rPr>
                <w:rFonts w:ascii="Arial" w:eastAsia="Calibri" w:hAnsi="Arial" w:cs="Arial"/>
                <w:b/>
                <w:bCs/>
                <w:sz w:val="20"/>
                <w:szCs w:val="20"/>
                <w:u w:val="single"/>
              </w:rPr>
              <w:t>ride as a passenger</w:t>
            </w:r>
            <w:r w:rsidRPr="009047AC">
              <w:rPr>
                <w:rFonts w:ascii="Arial" w:eastAsia="Calibri" w:hAnsi="Arial" w:cs="Arial"/>
                <w:sz w:val="20"/>
                <w:szCs w:val="20"/>
              </w:rPr>
              <w:t xml:space="preserve"> </w:t>
            </w:r>
            <w:r w:rsidRPr="009047AC">
              <w:rPr>
                <w:rFonts w:ascii="Arial" w:eastAsia="Calibri" w:hAnsi="Arial" w:cs="Arial"/>
                <w:b/>
                <w:bCs/>
                <w:sz w:val="20"/>
                <w:szCs w:val="20"/>
              </w:rPr>
              <w:t>in a car or other motor vehicle when the driver was under the influence of (impaired from) marijuana or marijuana products?</w:t>
            </w:r>
          </w:p>
        </w:tc>
        <w:tc>
          <w:tcPr>
            <w:tcW w:w="900" w:type="dxa"/>
            <w:tcBorders>
              <w:top w:val="nil"/>
              <w:left w:val="nil"/>
              <w:bottom w:val="single" w:sz="4" w:space="0" w:color="auto"/>
              <w:right w:val="thickThinSmallGap" w:sz="2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6414</w:t>
            </w:r>
          </w:p>
        </w:tc>
        <w:tc>
          <w:tcPr>
            <w:tcW w:w="1530" w:type="dxa"/>
            <w:tcBorders>
              <w:top w:val="nil"/>
              <w:left w:val="thickThinSmallGap" w:sz="24" w:space="0" w:color="auto"/>
              <w:bottom w:val="single" w:sz="4" w:space="0" w:color="auto"/>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w:t>
            </w:r>
          </w:p>
        </w:tc>
      </w:tr>
      <w:tr w:rsidR="009047AC" w:rsidRPr="009047AC" w:rsidTr="00626599">
        <w:trPr>
          <w:trHeight w:val="20"/>
        </w:trPr>
        <w:tc>
          <w:tcPr>
            <w:tcW w:w="4605" w:type="dxa"/>
            <w:tcBorders>
              <w:top w:val="nil"/>
              <w:left w:val="single" w:sz="4" w:space="0" w:color="auto"/>
              <w:bottom w:val="nil"/>
              <w:right w:val="single" w:sz="8"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0 times</w:t>
            </w:r>
          </w:p>
        </w:tc>
        <w:tc>
          <w:tcPr>
            <w:tcW w:w="900" w:type="dxa"/>
            <w:tcBorders>
              <w:top w:val="nil"/>
              <w:left w:val="nil"/>
              <w:bottom w:val="nil"/>
              <w:right w:val="thickThinSmallGap" w:sz="2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5486</w:t>
            </w:r>
            <w:r w:rsidRPr="009047AC">
              <w:rPr>
                <w:rFonts w:ascii="Arial" w:eastAsia="Calibri" w:hAnsi="Arial" w:cs="Arial"/>
                <w:sz w:val="20"/>
                <w:szCs w:val="20"/>
              </w:rPr>
              <w:br/>
              <w:t>85.53</w:t>
            </w:r>
          </w:p>
        </w:tc>
        <w:tc>
          <w:tcPr>
            <w:tcW w:w="1530" w:type="dxa"/>
            <w:tcBorders>
              <w:top w:val="nil"/>
              <w:left w:val="thickThinSmallGap" w:sz="24" w:space="0" w:color="auto"/>
              <w:bottom w:val="nil"/>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2687</w:t>
            </w:r>
            <w:r w:rsidRPr="009047AC">
              <w:rPr>
                <w:rFonts w:ascii="Arial" w:eastAsia="Calibri" w:hAnsi="Arial" w:cs="Arial"/>
                <w:sz w:val="20"/>
                <w:szCs w:val="20"/>
              </w:rPr>
              <w:br/>
              <w:t>81.45</w:t>
            </w:r>
          </w:p>
        </w:tc>
        <w:tc>
          <w:tcPr>
            <w:tcW w:w="1530" w:type="dxa"/>
            <w:tcBorders>
              <w:top w:val="nil"/>
              <w:left w:val="nil"/>
              <w:bottom w:val="nil"/>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2700</w:t>
            </w:r>
            <w:r w:rsidRPr="009047AC">
              <w:rPr>
                <w:rFonts w:ascii="Arial" w:eastAsia="Calibri" w:hAnsi="Arial" w:cs="Arial"/>
                <w:sz w:val="20"/>
                <w:szCs w:val="20"/>
              </w:rPr>
              <w:br/>
              <w:t>89.91</w:t>
            </w:r>
          </w:p>
        </w:tc>
        <w:tc>
          <w:tcPr>
            <w:tcW w:w="990" w:type="dxa"/>
            <w:tcBorders>
              <w:top w:val="nil"/>
              <w:left w:val="nil"/>
              <w:bottom w:val="nil"/>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 </w:t>
            </w:r>
          </w:p>
        </w:tc>
      </w:tr>
      <w:tr w:rsidR="009047AC" w:rsidRPr="009047AC" w:rsidTr="00626599">
        <w:trPr>
          <w:trHeight w:val="20"/>
        </w:trPr>
        <w:tc>
          <w:tcPr>
            <w:tcW w:w="4605" w:type="dxa"/>
            <w:tcBorders>
              <w:top w:val="nil"/>
              <w:left w:val="single" w:sz="4" w:space="0" w:color="auto"/>
              <w:bottom w:val="nil"/>
              <w:right w:val="single" w:sz="8"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At least once</w:t>
            </w:r>
          </w:p>
        </w:tc>
        <w:tc>
          <w:tcPr>
            <w:tcW w:w="900" w:type="dxa"/>
            <w:tcBorders>
              <w:top w:val="nil"/>
              <w:left w:val="nil"/>
              <w:bottom w:val="nil"/>
              <w:right w:val="thickThinSmallGap" w:sz="2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681</w:t>
            </w:r>
            <w:r w:rsidRPr="009047AC">
              <w:rPr>
                <w:rFonts w:ascii="Arial" w:eastAsia="Calibri" w:hAnsi="Arial" w:cs="Arial"/>
                <w:sz w:val="20"/>
                <w:szCs w:val="20"/>
              </w:rPr>
              <w:br/>
              <w:t>10.62</w:t>
            </w:r>
          </w:p>
        </w:tc>
        <w:tc>
          <w:tcPr>
            <w:tcW w:w="1530" w:type="dxa"/>
            <w:tcBorders>
              <w:top w:val="nil"/>
              <w:left w:val="thickThinSmallGap" w:sz="24" w:space="0" w:color="auto"/>
              <w:bottom w:val="nil"/>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465</w:t>
            </w:r>
            <w:r w:rsidRPr="009047AC">
              <w:rPr>
                <w:rFonts w:ascii="Arial" w:eastAsia="Calibri" w:hAnsi="Arial" w:cs="Arial"/>
                <w:sz w:val="20"/>
                <w:szCs w:val="20"/>
              </w:rPr>
              <w:br/>
              <w:t>14.10</w:t>
            </w:r>
          </w:p>
        </w:tc>
        <w:tc>
          <w:tcPr>
            <w:tcW w:w="1530" w:type="dxa"/>
            <w:tcBorders>
              <w:top w:val="nil"/>
              <w:left w:val="nil"/>
              <w:bottom w:val="nil"/>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207</w:t>
            </w:r>
            <w:r w:rsidRPr="009047AC">
              <w:rPr>
                <w:rFonts w:ascii="Arial" w:eastAsia="Calibri" w:hAnsi="Arial" w:cs="Arial"/>
                <w:sz w:val="20"/>
                <w:szCs w:val="20"/>
              </w:rPr>
              <w:br/>
              <w:t>6.89</w:t>
            </w:r>
          </w:p>
        </w:tc>
        <w:tc>
          <w:tcPr>
            <w:tcW w:w="990" w:type="dxa"/>
            <w:tcBorders>
              <w:top w:val="nil"/>
              <w:left w:val="nil"/>
              <w:bottom w:val="nil"/>
              <w:right w:val="single" w:sz="4" w:space="0" w:color="auto"/>
            </w:tcBorders>
            <w:shd w:val="clear" w:color="auto" w:fill="auto"/>
            <w:noWrap/>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 </w:t>
            </w:r>
          </w:p>
        </w:tc>
      </w:tr>
      <w:tr w:rsidR="009047AC" w:rsidRPr="009047AC" w:rsidTr="00626599">
        <w:trPr>
          <w:trHeight w:val="20"/>
        </w:trPr>
        <w:tc>
          <w:tcPr>
            <w:tcW w:w="4605" w:type="dxa"/>
            <w:tcBorders>
              <w:top w:val="nil"/>
              <w:left w:val="single" w:sz="4" w:space="0" w:color="auto"/>
              <w:bottom w:val="single" w:sz="4" w:space="0" w:color="auto"/>
              <w:right w:val="single" w:sz="8"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247</w:t>
            </w:r>
            <w:r w:rsidRPr="009047AC">
              <w:rPr>
                <w:rFonts w:ascii="Arial" w:eastAsia="Calibri" w:hAnsi="Arial" w:cs="Arial"/>
                <w:sz w:val="20"/>
                <w:szCs w:val="20"/>
              </w:rPr>
              <w:br/>
              <w:t>3.85</w:t>
            </w:r>
          </w:p>
        </w:tc>
        <w:tc>
          <w:tcPr>
            <w:tcW w:w="1530" w:type="dxa"/>
            <w:tcBorders>
              <w:top w:val="nil"/>
              <w:left w:val="thickThinSmallGap" w:sz="24" w:space="0" w:color="auto"/>
              <w:bottom w:val="single" w:sz="4" w:space="0" w:color="auto"/>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147</w:t>
            </w:r>
            <w:r w:rsidRPr="009047AC">
              <w:rPr>
                <w:rFonts w:ascii="Arial" w:eastAsia="Calibri" w:hAnsi="Arial" w:cs="Arial"/>
                <w:sz w:val="20"/>
                <w:szCs w:val="20"/>
              </w:rPr>
              <w:br/>
              <w:t>4.46</w:t>
            </w:r>
          </w:p>
        </w:tc>
        <w:tc>
          <w:tcPr>
            <w:tcW w:w="1530" w:type="dxa"/>
            <w:tcBorders>
              <w:top w:val="nil"/>
              <w:left w:val="nil"/>
              <w:bottom w:val="single" w:sz="4" w:space="0" w:color="auto"/>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96</w:t>
            </w:r>
            <w:r w:rsidRPr="009047AC">
              <w:rPr>
                <w:rFonts w:ascii="Arial" w:eastAsia="Calibri" w:hAnsi="Arial" w:cs="Arial"/>
                <w:sz w:val="20"/>
                <w:szCs w:val="20"/>
              </w:rPr>
              <w:br/>
              <w:t>3.20</w:t>
            </w:r>
          </w:p>
        </w:tc>
        <w:tc>
          <w:tcPr>
            <w:tcW w:w="990" w:type="dxa"/>
            <w:tcBorders>
              <w:top w:val="nil"/>
              <w:left w:val="nil"/>
              <w:bottom w:val="single" w:sz="4" w:space="0" w:color="auto"/>
              <w:right w:val="single" w:sz="4" w:space="0" w:color="auto"/>
            </w:tcBorders>
            <w:shd w:val="clear" w:color="auto" w:fill="auto"/>
            <w:noWrap/>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sz w:val="20"/>
                <w:szCs w:val="20"/>
              </w:rPr>
              <w:t> </w:t>
            </w:r>
          </w:p>
        </w:tc>
      </w:tr>
      <w:tr w:rsidR="009047AC" w:rsidRPr="009047AC" w:rsidTr="00626599">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9047AC" w:rsidRPr="009047AC" w:rsidRDefault="009047AC" w:rsidP="009047AC">
            <w:pPr>
              <w:spacing w:after="0" w:line="240" w:lineRule="auto"/>
              <w:rPr>
                <w:rFonts w:ascii="Arial" w:eastAsia="Calibri" w:hAnsi="Arial" w:cs="Arial"/>
                <w:sz w:val="20"/>
                <w:szCs w:val="20"/>
              </w:rPr>
            </w:pPr>
            <w:r w:rsidRPr="009047AC">
              <w:rPr>
                <w:rFonts w:ascii="Arial" w:eastAsia="Calibri" w:hAnsi="Arial" w:cs="Arial"/>
                <w:i/>
                <w:iCs/>
                <w:sz w:val="20"/>
                <w:szCs w:val="20"/>
              </w:rPr>
              <w:t>*p&lt;0.05; **p&lt;0.01; ***p&lt;0.001; ****p&lt;0.0001; ns=not significant</w:t>
            </w:r>
          </w:p>
        </w:tc>
      </w:tr>
    </w:tbl>
    <w:p w:rsidR="009047AC" w:rsidRPr="009047AC" w:rsidRDefault="009047AC" w:rsidP="009047AC">
      <w:pPr>
        <w:spacing w:after="0" w:line="240" w:lineRule="auto"/>
        <w:rPr>
          <w:rFonts w:ascii="Arial" w:eastAsia="Calibri" w:hAnsi="Arial" w:cs="Arial"/>
          <w:b/>
          <w:sz w:val="24"/>
          <w:szCs w:val="24"/>
        </w:rPr>
        <w:sectPr w:rsidR="009047AC" w:rsidRPr="009047AC" w:rsidSect="009047AC">
          <w:pgSz w:w="12240" w:h="15840"/>
          <w:pgMar w:top="1440" w:right="1440" w:bottom="1440" w:left="1440" w:header="630" w:footer="0" w:gutter="0"/>
          <w:cols w:space="720"/>
          <w:docGrid w:linePitch="360"/>
        </w:sectPr>
      </w:pPr>
    </w:p>
    <w:p w:rsidR="000E5D59" w:rsidRPr="000941B7"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17C: DPH Patient Survey Driving Issued Related to Marijuana Use by Educatio</w:t>
      </w:r>
      <w:r w:rsidR="000941B7">
        <w:rPr>
          <w:rFonts w:ascii="Arial" w:eastAsia="Calibri" w:hAnsi="Arial" w:cs="Arial"/>
          <w:b/>
          <w:sz w:val="24"/>
          <w:szCs w:val="24"/>
        </w:rPr>
        <w:t>n (Among All 6,934 Respondents)</w:t>
      </w:r>
    </w:p>
    <w:tbl>
      <w:tblPr>
        <w:tblW w:w="9555" w:type="dxa"/>
        <w:tblInd w:w="93" w:type="dxa"/>
        <w:tblLook w:val="04A0" w:firstRow="1" w:lastRow="0" w:firstColumn="1" w:lastColumn="0" w:noHBand="0" w:noVBand="1"/>
        <w:tblCaption w:val="DPH Patient Survey Driving Issued Related to Marijuana Use by Education (Among All 6,934 Respondents)"/>
      </w:tblPr>
      <w:tblGrid>
        <w:gridCol w:w="4605"/>
        <w:gridCol w:w="900"/>
        <w:gridCol w:w="1530"/>
        <w:gridCol w:w="1530"/>
        <w:gridCol w:w="990"/>
      </w:tblGrid>
      <w:tr w:rsidR="000E5D59" w:rsidRPr="000E5D59" w:rsidTr="00784755">
        <w:trPr>
          <w:trHeight w:val="20"/>
        </w:trPr>
        <w:tc>
          <w:tcPr>
            <w:tcW w:w="460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05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60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(N=3282)</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(N=3595)</w:t>
            </w:r>
          </w:p>
        </w:tc>
        <w:tc>
          <w:tcPr>
            <w:tcW w:w="99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60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During the past 30 days, how many times did you </w:t>
            </w:r>
            <w:r w:rsidRPr="000E5D59">
              <w:rPr>
                <w:rFonts w:ascii="Arial" w:eastAsia="Times New Roman" w:hAnsi="Arial" w:cs="Arial"/>
                <w:b/>
                <w:bCs/>
                <w:sz w:val="20"/>
                <w:szCs w:val="20"/>
                <w:u w:val="single"/>
              </w:rPr>
              <w:t>drive/operate</w:t>
            </w:r>
            <w:r w:rsidRPr="000E5D59">
              <w:rPr>
                <w:rFonts w:ascii="Arial" w:eastAsia="Times New Roman" w:hAnsi="Arial" w:cs="Arial"/>
                <w:b/>
                <w:bCs/>
                <w:sz w:val="20"/>
                <w:szCs w:val="20"/>
              </w:rPr>
              <w:t xml:space="preserve"> a car or other motor vehicle when you were under the influence of (impaired from) marijuana or marijuana products?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6311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0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times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5472</w:t>
            </w:r>
            <w:r w:rsidRPr="000E5D59">
              <w:rPr>
                <w:rFonts w:ascii="Arial" w:eastAsia="Times New Roman" w:hAnsi="Arial" w:cs="Arial"/>
                <w:sz w:val="20"/>
                <w:szCs w:val="20"/>
              </w:rPr>
              <w:br/>
              <w:t>86.71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2548</w:t>
            </w:r>
            <w:r w:rsidRPr="000E5D59">
              <w:rPr>
                <w:rFonts w:ascii="Arial" w:eastAsia="Times New Roman" w:hAnsi="Arial" w:cs="Arial"/>
                <w:sz w:val="20"/>
                <w:szCs w:val="20"/>
              </w:rPr>
              <w:br/>
              <w:t>84.96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2912</w:t>
            </w:r>
            <w:r w:rsidRPr="000E5D59">
              <w:rPr>
                <w:rFonts w:ascii="Arial" w:eastAsia="Times New Roman" w:hAnsi="Arial" w:cs="Arial"/>
                <w:sz w:val="20"/>
                <w:szCs w:val="20"/>
              </w:rPr>
              <w:br/>
              <w:t>88.35</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At least once</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656</w:t>
            </w:r>
            <w:r w:rsidRPr="000E5D59">
              <w:rPr>
                <w:rFonts w:ascii="Arial" w:eastAsia="Times New Roman" w:hAnsi="Arial" w:cs="Arial"/>
                <w:sz w:val="20"/>
                <w:szCs w:val="20"/>
              </w:rPr>
              <w:br/>
              <w:t>10.39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336</w:t>
            </w:r>
            <w:r w:rsidRPr="000E5D59">
              <w:rPr>
                <w:rFonts w:ascii="Arial" w:eastAsia="Times New Roman" w:hAnsi="Arial" w:cs="Arial"/>
                <w:sz w:val="20"/>
                <w:szCs w:val="20"/>
              </w:rPr>
              <w:br/>
              <w:t>11.20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317</w:t>
            </w:r>
            <w:r w:rsidRPr="000E5D59">
              <w:rPr>
                <w:rFonts w:ascii="Arial" w:eastAsia="Times New Roman" w:hAnsi="Arial" w:cs="Arial"/>
                <w:sz w:val="20"/>
                <w:szCs w:val="20"/>
              </w:rPr>
              <w:br/>
              <w:t>9.62</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183</w:t>
            </w:r>
            <w:r w:rsidRPr="000E5D59">
              <w:rPr>
                <w:rFonts w:ascii="Arial" w:eastAsia="Times New Roman" w:hAnsi="Arial" w:cs="Arial"/>
                <w:sz w:val="20"/>
                <w:szCs w:val="20"/>
              </w:rPr>
              <w:br/>
              <w:t>2.90</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115</w:t>
            </w:r>
            <w:r w:rsidRPr="000E5D59">
              <w:rPr>
                <w:rFonts w:ascii="Arial" w:eastAsia="Times New Roman" w:hAnsi="Arial" w:cs="Arial"/>
                <w:sz w:val="20"/>
                <w:szCs w:val="20"/>
              </w:rPr>
              <w:br/>
              <w:t>3.83</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67</w:t>
            </w:r>
            <w:r w:rsidRPr="000E5D59">
              <w:rPr>
                <w:rFonts w:ascii="Arial" w:eastAsia="Times New Roman" w:hAnsi="Arial" w:cs="Arial"/>
                <w:sz w:val="20"/>
                <w:szCs w:val="20"/>
              </w:rPr>
              <w:br/>
              <w:t>2.03</w:t>
            </w:r>
          </w:p>
        </w:tc>
        <w:tc>
          <w:tcPr>
            <w:tcW w:w="99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During the past 30 days, how many times did you </w:t>
            </w:r>
            <w:r w:rsidRPr="000E5D59">
              <w:rPr>
                <w:rFonts w:ascii="Arial" w:eastAsia="Times New Roman" w:hAnsi="Arial" w:cs="Arial"/>
                <w:b/>
                <w:bCs/>
                <w:sz w:val="20"/>
                <w:szCs w:val="20"/>
                <w:u w:val="single"/>
              </w:rPr>
              <w:t>ride as a passenger</w:t>
            </w:r>
            <w:r w:rsidRPr="000E5D59">
              <w:rPr>
                <w:rFonts w:ascii="Arial" w:eastAsia="Times New Roman" w:hAnsi="Arial" w:cs="Arial"/>
                <w:sz w:val="20"/>
                <w:szCs w:val="20"/>
              </w:rPr>
              <w:t xml:space="preserve"> </w:t>
            </w:r>
            <w:r w:rsidRPr="000E5D59">
              <w:rPr>
                <w:rFonts w:ascii="Arial" w:eastAsia="Times New Roman" w:hAnsi="Arial" w:cs="Arial"/>
                <w:b/>
                <w:bCs/>
                <w:sz w:val="20"/>
                <w:szCs w:val="20"/>
              </w:rPr>
              <w:t>in a car or other motor vehicle when the driver was under the influence of (impaired from) marijuana or marijuana products?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6414</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0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times</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5486</w:t>
            </w:r>
            <w:r w:rsidRPr="000E5D59">
              <w:rPr>
                <w:rFonts w:ascii="Arial" w:eastAsia="Times New Roman" w:hAnsi="Arial" w:cs="Arial"/>
                <w:sz w:val="20"/>
                <w:szCs w:val="20"/>
              </w:rPr>
              <w:br/>
              <w:t>85.53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2505</w:t>
            </w:r>
            <w:r w:rsidRPr="000E5D59">
              <w:rPr>
                <w:rFonts w:ascii="Arial" w:eastAsia="Times New Roman" w:hAnsi="Arial" w:cs="Arial"/>
                <w:sz w:val="20"/>
                <w:szCs w:val="20"/>
              </w:rPr>
              <w:br/>
              <w:t>82.35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2968</w:t>
            </w:r>
            <w:r w:rsidRPr="000E5D59">
              <w:rPr>
                <w:rFonts w:ascii="Arial" w:eastAsia="Times New Roman" w:hAnsi="Arial" w:cs="Arial"/>
                <w:sz w:val="20"/>
                <w:szCs w:val="20"/>
              </w:rPr>
              <w:br/>
              <w:t>88.44</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At least once</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681</w:t>
            </w:r>
            <w:r w:rsidRPr="000E5D59">
              <w:rPr>
                <w:rFonts w:ascii="Arial" w:eastAsia="Times New Roman" w:hAnsi="Arial" w:cs="Arial"/>
                <w:sz w:val="20"/>
                <w:szCs w:val="20"/>
              </w:rPr>
              <w:br/>
              <w:t>10.62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393</w:t>
            </w:r>
            <w:r w:rsidRPr="000E5D59">
              <w:rPr>
                <w:rFonts w:ascii="Arial" w:eastAsia="Times New Roman" w:hAnsi="Arial" w:cs="Arial"/>
                <w:sz w:val="20"/>
                <w:szCs w:val="20"/>
              </w:rPr>
              <w:br/>
              <w:t>12.92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286</w:t>
            </w:r>
            <w:r w:rsidRPr="000E5D59">
              <w:rPr>
                <w:rFonts w:ascii="Arial" w:eastAsia="Times New Roman" w:hAnsi="Arial" w:cs="Arial"/>
                <w:sz w:val="20"/>
                <w:szCs w:val="20"/>
              </w:rPr>
              <w:br/>
              <w:t>8.52</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247</w:t>
            </w:r>
            <w:r w:rsidRPr="000E5D59">
              <w:rPr>
                <w:rFonts w:ascii="Arial" w:eastAsia="Times New Roman" w:hAnsi="Arial" w:cs="Arial"/>
                <w:sz w:val="20"/>
                <w:szCs w:val="20"/>
              </w:rPr>
              <w:br/>
              <w:t>3.85</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144</w:t>
            </w:r>
            <w:r w:rsidRPr="000E5D59">
              <w:rPr>
                <w:rFonts w:ascii="Arial" w:eastAsia="Times New Roman" w:hAnsi="Arial" w:cs="Arial"/>
                <w:sz w:val="20"/>
                <w:szCs w:val="20"/>
              </w:rPr>
              <w:br/>
              <w:t>4.73</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102</w:t>
            </w:r>
            <w:r w:rsidRPr="000E5D59">
              <w:rPr>
                <w:rFonts w:ascii="Arial" w:eastAsia="Times New Roman" w:hAnsi="Arial" w:cs="Arial"/>
                <w:sz w:val="20"/>
                <w:szCs w:val="20"/>
              </w:rPr>
              <w:br/>
              <w:t>3.04</w:t>
            </w:r>
          </w:p>
        </w:tc>
        <w:tc>
          <w:tcPr>
            <w:tcW w:w="99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pPr>
    </w:p>
    <w:p w:rsidR="000E5D59" w:rsidRDefault="000E5D59" w:rsidP="00AC40A7">
      <w:pPr>
        <w:pStyle w:val="Heading3"/>
      </w:pPr>
      <w:bookmarkStart w:id="237" w:name="_Toc11765961"/>
      <w:bookmarkStart w:id="238" w:name="_Toc11766616"/>
      <w:r w:rsidRPr="000E5D59">
        <w:t>Other Issues Related to Marijuana Use</w:t>
      </w:r>
      <w:bookmarkEnd w:id="237"/>
      <w:bookmarkEnd w:id="238"/>
    </w:p>
    <w:p w:rsidR="00A26D70" w:rsidRPr="000E5D59" w:rsidRDefault="00A26D70"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respondents were asked a series of questions pertaining to outcomes and consequences related to marijuana use, as well as other issues related to marijuana use. Results are summarized in </w:t>
      </w:r>
      <w:r w:rsidRPr="000E5D59">
        <w:rPr>
          <w:rFonts w:ascii="Arial" w:eastAsia="Calibri" w:hAnsi="Arial" w:cs="Arial"/>
          <w:i/>
          <w:sz w:val="24"/>
          <w:szCs w:val="24"/>
        </w:rPr>
        <w:t>Tables 18A, 18B, and 18C</w:t>
      </w:r>
      <w:r w:rsidRPr="000E5D59">
        <w:rPr>
          <w:rFonts w:ascii="Arial" w:eastAsia="Calibri" w:hAnsi="Arial" w:cs="Arial"/>
          <w:sz w:val="24"/>
          <w:szCs w:val="24"/>
        </w:rPr>
        <w:t>, with comparisons by gender, age group, and educational attainment, respectively.</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survey respondents were asked to choose from a list negative outcomes/consequences related to their marijuana use. 83% of respondents reported experiencing no negative outcomes related to marijuana use. A significantly larger proportion of respondents over the age of 51 than under reported no negative outcomes related to marijuana use (86% vs 80%). A significantly larger proportion of respondents under the age of 51 than over reported negative occupational/job-related issues related to marijuana use (1% vs. 0%). A significantly larger proportion of respondents with a Bachelor’s degree than without a degree reported negative changes in cognition related to marijuana use (8% vs. 5%).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survey respondents were asked to choose from a list of positive outcomes/consequences related to their marijuana use. 78% reported positive changes in mood or mental health, 67% reported improved physical health, 30% reported positive changes in cognition, 41% reported positive changes in social relationships, and 3% reported no positive outcomes or consequences. A significantly larger proportion of respondents younger than 51 years old reported positive changes in mood or mental health (87% vs. 70%), positive changes in cognition (37% vs. 22%) and positive changes in social relationships (52% vs. 29%). A larger proportion of respondents older than 50 years old reported no positive outcomes (4% vs. 2%). A significantly larger proportion of respondents without a Bachelor’s degree than with a degree reported positive changes in cognition (35% vs. 25%) and positive changes in social relationships (46% vs. 38%).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Less than 1% of survey respondents indicated being treated in an emergency room or urgent care facility for reasons related to marijuana use. 14% of respondents who have used marijuana or marijuana products for medical purposes for at least 6 months reported needing to consume larger amounts of marijuana in the past 12 months in order to feel the same effects. A significantly larger proportion of respondents under the age of 51 than older respondents reported needing to consume larger amounts (19% vs. 8%).</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Eighteen percent of respondents who have used marijuana or marijuana products for medical purposes for at least 6 months reported trying to cut down on their use of marijuana in the past 12 months. A significantly larger proportion of male respondents than female reported trying to cut down on their use of marijuana (20% vs. 16%), and a larger proportion of respondents under the age of 51 than older respondents reported trying to cut down their use of marijuana (23% vs. 13%). 9% of respondents have used marijuana or marijuana products for medical purposes for at least 6 months and who indicated trying to cut down on their marijuana use in the past 12 months reported feeling sick or experiencing withdrawal symptoms because of reduced marijuana use. There were no significant differences by gender, age, or education.</w:t>
      </w: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A3309E"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18A: DPH Patient Survey Other Issues Related to Marijuana Use by Gender (Among All 6,934 Respond</w:t>
      </w:r>
      <w:r w:rsidR="00A3309E">
        <w:rPr>
          <w:rFonts w:ascii="Arial" w:eastAsia="Calibri" w:hAnsi="Arial" w:cs="Arial"/>
          <w:b/>
          <w:sz w:val="24"/>
          <w:szCs w:val="24"/>
        </w:rPr>
        <w:t>ents)</w:t>
      </w:r>
    </w:p>
    <w:tbl>
      <w:tblPr>
        <w:tblW w:w="9555" w:type="dxa"/>
        <w:tblInd w:w="93" w:type="dxa"/>
        <w:tblLook w:val="04A0" w:firstRow="1" w:lastRow="0" w:firstColumn="1" w:lastColumn="0" w:noHBand="0" w:noVBand="1"/>
        <w:tblCaption w:val="DPH Patient Survey Other Issues Related to Marijuana Use by Gender (Among All 6,934 Respondents)"/>
      </w:tblPr>
      <w:tblGrid>
        <w:gridCol w:w="4690"/>
        <w:gridCol w:w="817"/>
        <w:gridCol w:w="1529"/>
        <w:gridCol w:w="1529"/>
        <w:gridCol w:w="990"/>
      </w:tblGrid>
      <w:tr w:rsidR="000E5D59" w:rsidRPr="000E5D59" w:rsidTr="00784755">
        <w:trPr>
          <w:trHeight w:val="20"/>
        </w:trPr>
        <w:tc>
          <w:tcPr>
            <w:tcW w:w="4690"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817"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048"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690"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817"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29"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(N=3732)</w:t>
            </w:r>
          </w:p>
        </w:tc>
        <w:tc>
          <w:tcPr>
            <w:tcW w:w="1529"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(N=3056)</w:t>
            </w:r>
          </w:p>
        </w:tc>
        <w:tc>
          <w:tcPr>
            <w:tcW w:w="99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690"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Have you noticed any of the following </w:t>
            </w:r>
            <w:r w:rsidRPr="000E5D59">
              <w:rPr>
                <w:rFonts w:ascii="Arial" w:eastAsia="Times New Roman" w:hAnsi="Arial" w:cs="Arial"/>
                <w:b/>
                <w:bCs/>
                <w:i/>
                <w:iCs/>
                <w:sz w:val="20"/>
                <w:szCs w:val="20"/>
              </w:rPr>
              <w:t>negative</w:t>
            </w:r>
            <w:r w:rsidRPr="000E5D59">
              <w:rPr>
                <w:rFonts w:ascii="Arial" w:eastAsia="Times New Roman" w:hAnsi="Arial" w:cs="Arial"/>
                <w:b/>
                <w:bCs/>
                <w:sz w:val="20"/>
                <w:szCs w:val="20"/>
              </w:rPr>
              <w:t xml:space="preserve"> outcomes/consequences related to your marijuana use?</w:t>
            </w:r>
          </w:p>
        </w:tc>
        <w:tc>
          <w:tcPr>
            <w:tcW w:w="817"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6572</w:t>
            </w:r>
          </w:p>
        </w:tc>
        <w:tc>
          <w:tcPr>
            <w:tcW w:w="1529"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29"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Negative changes in mood or mental health </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141</w:t>
            </w:r>
            <w:r w:rsidRPr="000E5D59">
              <w:rPr>
                <w:rFonts w:ascii="Arial" w:eastAsia="Times New Roman" w:hAnsi="Arial" w:cs="Arial"/>
                <w:sz w:val="20"/>
                <w:szCs w:val="20"/>
              </w:rPr>
              <w:br/>
              <w:t>2.15</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w:t>
            </w:r>
            <w:r w:rsidRPr="000E5D59">
              <w:rPr>
                <w:rFonts w:ascii="Arial" w:eastAsia="Times New Roman" w:hAnsi="Arial" w:cs="Arial"/>
                <w:sz w:val="20"/>
                <w:szCs w:val="20"/>
              </w:rPr>
              <w:br/>
              <w:t>1.84</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71</w:t>
            </w:r>
            <w:r w:rsidRPr="000E5D59">
              <w:rPr>
                <w:rFonts w:ascii="Arial" w:eastAsia="Times New Roman" w:hAnsi="Arial" w:cs="Arial"/>
                <w:sz w:val="20"/>
                <w:szCs w:val="20"/>
              </w:rPr>
              <w:br/>
              <w:t>2.42</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Reduction in physical health </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w:t>
            </w:r>
            <w:r w:rsidRPr="000E5D59">
              <w:rPr>
                <w:rFonts w:ascii="Arial" w:eastAsia="Times New Roman" w:hAnsi="Arial" w:cs="Arial"/>
                <w:sz w:val="20"/>
                <w:szCs w:val="20"/>
              </w:rPr>
              <w:br/>
              <w:t>0.87</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w:t>
            </w:r>
            <w:r w:rsidRPr="000E5D59">
              <w:rPr>
                <w:rFonts w:ascii="Arial" w:eastAsia="Times New Roman" w:hAnsi="Arial" w:cs="Arial"/>
                <w:sz w:val="20"/>
                <w:szCs w:val="20"/>
              </w:rPr>
              <w:br/>
              <w:t>0.76</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w:t>
            </w:r>
            <w:r w:rsidRPr="000E5D59">
              <w:rPr>
                <w:rFonts w:ascii="Arial" w:eastAsia="Times New Roman" w:hAnsi="Arial" w:cs="Arial"/>
                <w:sz w:val="20"/>
                <w:szCs w:val="20"/>
              </w:rPr>
              <w:br/>
              <w:t>0.96</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Negative changes in cognition </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435</w:t>
            </w:r>
            <w:r w:rsidRPr="000E5D59">
              <w:rPr>
                <w:rFonts w:ascii="Arial" w:eastAsia="Times New Roman" w:hAnsi="Arial" w:cs="Arial"/>
                <w:sz w:val="20"/>
                <w:szCs w:val="20"/>
              </w:rPr>
              <w:br/>
              <w:t>6.62</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223</w:t>
            </w:r>
            <w:r w:rsidRPr="000E5D59">
              <w:rPr>
                <w:rFonts w:ascii="Arial" w:eastAsia="Times New Roman" w:hAnsi="Arial" w:cs="Arial"/>
                <w:sz w:val="20"/>
                <w:szCs w:val="20"/>
              </w:rPr>
              <w:br/>
              <w:t>6.32</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191</w:t>
            </w:r>
            <w:r w:rsidRPr="000E5D59">
              <w:rPr>
                <w:rFonts w:ascii="Arial" w:eastAsia="Times New Roman" w:hAnsi="Arial" w:cs="Arial"/>
                <w:sz w:val="20"/>
                <w:szCs w:val="20"/>
              </w:rPr>
              <w:br/>
              <w:t>6.52</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Negative changes in social relationships</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75</w:t>
            </w:r>
            <w:r w:rsidRPr="000E5D59">
              <w:rPr>
                <w:rFonts w:ascii="Arial" w:eastAsia="Times New Roman" w:hAnsi="Arial" w:cs="Arial"/>
                <w:sz w:val="20"/>
                <w:szCs w:val="20"/>
              </w:rPr>
              <w:br/>
              <w:t>1.14</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w:t>
            </w:r>
            <w:r w:rsidRPr="000E5D59">
              <w:rPr>
                <w:rFonts w:ascii="Arial" w:eastAsia="Times New Roman" w:hAnsi="Arial" w:cs="Arial"/>
                <w:sz w:val="20"/>
                <w:szCs w:val="20"/>
              </w:rPr>
              <w:br/>
              <w:t>1.47</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w:t>
            </w:r>
            <w:r w:rsidRPr="000E5D59">
              <w:rPr>
                <w:rFonts w:ascii="Arial" w:eastAsia="Times New Roman" w:hAnsi="Arial" w:cs="Arial"/>
                <w:sz w:val="20"/>
                <w:szCs w:val="20"/>
              </w:rPr>
              <w:br/>
              <w:t>0.75</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Occupation/job-related issues</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w:t>
            </w:r>
            <w:r w:rsidRPr="000E5D59">
              <w:rPr>
                <w:rFonts w:ascii="Arial" w:eastAsia="Times New Roman" w:hAnsi="Arial" w:cs="Arial"/>
                <w:sz w:val="20"/>
                <w:szCs w:val="20"/>
              </w:rPr>
              <w:br/>
              <w:t>0.88</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w:t>
            </w:r>
            <w:r w:rsidRPr="000E5D59">
              <w:rPr>
                <w:rFonts w:ascii="Arial" w:eastAsia="Times New Roman" w:hAnsi="Arial" w:cs="Arial"/>
                <w:sz w:val="20"/>
                <w:szCs w:val="20"/>
              </w:rPr>
              <w:br/>
              <w:t>1.22</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w:t>
            </w:r>
            <w:r w:rsidRPr="000E5D59">
              <w:rPr>
                <w:rFonts w:ascii="Arial" w:eastAsia="Times New Roman" w:hAnsi="Arial" w:cs="Arial"/>
                <w:sz w:val="20"/>
                <w:szCs w:val="20"/>
              </w:rPr>
              <w:br/>
              <w:t>0.48</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Other outcomes/consequences</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370</w:t>
            </w:r>
            <w:r w:rsidRPr="000E5D59">
              <w:rPr>
                <w:rFonts w:ascii="Arial" w:eastAsia="Times New Roman" w:hAnsi="Arial" w:cs="Arial"/>
                <w:sz w:val="20"/>
                <w:szCs w:val="20"/>
              </w:rPr>
              <w:br/>
              <w:t>5.63</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178</w:t>
            </w:r>
            <w:r w:rsidRPr="000E5D59">
              <w:rPr>
                <w:rFonts w:ascii="Arial" w:eastAsia="Times New Roman" w:hAnsi="Arial" w:cs="Arial"/>
                <w:sz w:val="20"/>
                <w:szCs w:val="20"/>
              </w:rPr>
              <w:br/>
              <w:t>5.04</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183</w:t>
            </w:r>
            <w:r w:rsidRPr="000E5D59">
              <w:rPr>
                <w:rFonts w:ascii="Arial" w:eastAsia="Times New Roman" w:hAnsi="Arial" w:cs="Arial"/>
                <w:sz w:val="20"/>
                <w:szCs w:val="20"/>
              </w:rPr>
              <w:br/>
              <w:t>6.24</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 negative outcomes/consequences</w:t>
            </w:r>
          </w:p>
        </w:tc>
        <w:tc>
          <w:tcPr>
            <w:tcW w:w="817"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5452</w:t>
            </w:r>
            <w:r w:rsidRPr="000E5D59">
              <w:rPr>
                <w:rFonts w:ascii="Arial" w:eastAsia="Times New Roman" w:hAnsi="Arial" w:cs="Arial"/>
                <w:sz w:val="20"/>
                <w:szCs w:val="20"/>
              </w:rPr>
              <w:br/>
              <w:t>82.96</w:t>
            </w:r>
          </w:p>
        </w:tc>
        <w:tc>
          <w:tcPr>
            <w:tcW w:w="1529"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2952</w:t>
            </w:r>
            <w:r w:rsidRPr="000E5D59">
              <w:rPr>
                <w:rFonts w:ascii="Arial" w:eastAsia="Times New Roman" w:hAnsi="Arial" w:cs="Arial"/>
                <w:sz w:val="20"/>
                <w:szCs w:val="20"/>
              </w:rPr>
              <w:br/>
              <w:t>83.63</w:t>
            </w:r>
          </w:p>
        </w:tc>
        <w:tc>
          <w:tcPr>
            <w:tcW w:w="1529"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2426</w:t>
            </w:r>
            <w:r w:rsidRPr="000E5D59">
              <w:rPr>
                <w:rFonts w:ascii="Arial" w:eastAsia="Times New Roman" w:hAnsi="Arial" w:cs="Arial"/>
                <w:sz w:val="20"/>
                <w:szCs w:val="20"/>
              </w:rPr>
              <w:br/>
              <w:t>82.77</w:t>
            </w:r>
          </w:p>
        </w:tc>
        <w:tc>
          <w:tcPr>
            <w:tcW w:w="99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90"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Have you noticed any of the following </w:t>
            </w:r>
            <w:r w:rsidRPr="000E5D59">
              <w:rPr>
                <w:rFonts w:ascii="Arial" w:eastAsia="Times New Roman" w:hAnsi="Arial" w:cs="Arial"/>
                <w:b/>
                <w:bCs/>
                <w:i/>
                <w:iCs/>
                <w:sz w:val="20"/>
                <w:szCs w:val="20"/>
              </w:rPr>
              <w:t xml:space="preserve">positive </w:t>
            </w:r>
            <w:r w:rsidRPr="000E5D59">
              <w:rPr>
                <w:rFonts w:ascii="Arial" w:eastAsia="Times New Roman" w:hAnsi="Arial" w:cs="Arial"/>
                <w:b/>
                <w:bCs/>
                <w:sz w:val="20"/>
                <w:szCs w:val="20"/>
              </w:rPr>
              <w:t>outcomes/consequences related to your marijuana use?</w:t>
            </w:r>
          </w:p>
        </w:tc>
        <w:tc>
          <w:tcPr>
            <w:tcW w:w="817"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6572</w:t>
            </w:r>
          </w:p>
        </w:tc>
        <w:tc>
          <w:tcPr>
            <w:tcW w:w="1529"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29"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Positive changes in mood or mental health </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5158</w:t>
            </w:r>
            <w:r w:rsidRPr="000E5D59">
              <w:rPr>
                <w:rFonts w:ascii="Arial" w:eastAsia="Times New Roman" w:hAnsi="Arial" w:cs="Arial"/>
                <w:sz w:val="20"/>
                <w:szCs w:val="20"/>
              </w:rPr>
              <w:br/>
              <w:t>78.48</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2804</w:t>
            </w:r>
            <w:r w:rsidRPr="000E5D59">
              <w:rPr>
                <w:rFonts w:ascii="Arial" w:eastAsia="Times New Roman" w:hAnsi="Arial" w:cs="Arial"/>
                <w:sz w:val="20"/>
                <w:szCs w:val="20"/>
              </w:rPr>
              <w:br/>
              <w:t>79.43</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2261</w:t>
            </w:r>
            <w:r w:rsidRPr="000E5D59">
              <w:rPr>
                <w:rFonts w:ascii="Arial" w:eastAsia="Times New Roman" w:hAnsi="Arial" w:cs="Arial"/>
                <w:sz w:val="20"/>
                <w:szCs w:val="20"/>
              </w:rPr>
              <w:br/>
              <w:t>77.14</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Improved physical health</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4435</w:t>
            </w:r>
            <w:r w:rsidRPr="000E5D59">
              <w:rPr>
                <w:rFonts w:ascii="Arial" w:eastAsia="Times New Roman" w:hAnsi="Arial" w:cs="Arial"/>
                <w:sz w:val="20"/>
                <w:szCs w:val="20"/>
              </w:rPr>
              <w:br/>
              <w:t>67.48</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2354</w:t>
            </w:r>
            <w:r w:rsidRPr="000E5D59">
              <w:rPr>
                <w:rFonts w:ascii="Arial" w:eastAsia="Times New Roman" w:hAnsi="Arial" w:cs="Arial"/>
                <w:sz w:val="20"/>
                <w:szCs w:val="20"/>
              </w:rPr>
              <w:br/>
              <w:t>66.69</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2010</w:t>
            </w:r>
            <w:r w:rsidRPr="000E5D59">
              <w:rPr>
                <w:rFonts w:ascii="Arial" w:eastAsia="Times New Roman" w:hAnsi="Arial" w:cs="Arial"/>
                <w:sz w:val="20"/>
                <w:szCs w:val="20"/>
              </w:rPr>
              <w:br/>
              <w:t>68.58</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Positive changes in cognition</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1979</w:t>
            </w:r>
            <w:r w:rsidRPr="000E5D59">
              <w:rPr>
                <w:rFonts w:ascii="Arial" w:eastAsia="Times New Roman" w:hAnsi="Arial" w:cs="Arial"/>
                <w:sz w:val="20"/>
                <w:szCs w:val="20"/>
              </w:rPr>
              <w:br/>
              <w:t>30.11</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1109</w:t>
            </w:r>
            <w:r w:rsidRPr="000E5D59">
              <w:rPr>
                <w:rFonts w:ascii="Arial" w:eastAsia="Times New Roman" w:hAnsi="Arial" w:cs="Arial"/>
                <w:sz w:val="20"/>
                <w:szCs w:val="20"/>
              </w:rPr>
              <w:br/>
              <w:t>31.42</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823</w:t>
            </w:r>
            <w:r w:rsidRPr="000E5D59">
              <w:rPr>
                <w:rFonts w:ascii="Arial" w:eastAsia="Times New Roman" w:hAnsi="Arial" w:cs="Arial"/>
                <w:sz w:val="20"/>
                <w:szCs w:val="20"/>
              </w:rPr>
              <w:br/>
              <w:t>28.08</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Positive changes in social relationships</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2717</w:t>
            </w:r>
            <w:r w:rsidRPr="000E5D59">
              <w:rPr>
                <w:rFonts w:ascii="Arial" w:eastAsia="Times New Roman" w:hAnsi="Arial" w:cs="Arial"/>
                <w:sz w:val="20"/>
                <w:szCs w:val="20"/>
              </w:rPr>
              <w:br/>
              <w:t>41.34</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1509</w:t>
            </w:r>
            <w:r w:rsidRPr="000E5D59">
              <w:rPr>
                <w:rFonts w:ascii="Arial" w:eastAsia="Times New Roman" w:hAnsi="Arial" w:cs="Arial"/>
                <w:sz w:val="20"/>
                <w:szCs w:val="20"/>
              </w:rPr>
              <w:br/>
              <w:t>42.75</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1145</w:t>
            </w:r>
            <w:r w:rsidRPr="000E5D59">
              <w:rPr>
                <w:rFonts w:ascii="Arial" w:eastAsia="Times New Roman" w:hAnsi="Arial" w:cs="Arial"/>
                <w:sz w:val="20"/>
                <w:szCs w:val="20"/>
              </w:rPr>
              <w:br/>
              <w:t>39.07</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Other outcomes/consequences</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1005</w:t>
            </w:r>
            <w:r w:rsidRPr="000E5D59">
              <w:rPr>
                <w:rFonts w:ascii="Arial" w:eastAsia="Times New Roman" w:hAnsi="Arial" w:cs="Arial"/>
                <w:sz w:val="20"/>
                <w:szCs w:val="20"/>
              </w:rPr>
              <w:br/>
              <w:t>15.29</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492</w:t>
            </w:r>
            <w:r w:rsidRPr="000E5D59">
              <w:rPr>
                <w:rFonts w:ascii="Arial" w:eastAsia="Times New Roman" w:hAnsi="Arial" w:cs="Arial"/>
                <w:sz w:val="20"/>
                <w:szCs w:val="20"/>
              </w:rPr>
              <w:br/>
              <w:t>13.94</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487</w:t>
            </w:r>
            <w:r w:rsidRPr="000E5D59">
              <w:rPr>
                <w:rFonts w:ascii="Arial" w:eastAsia="Times New Roman" w:hAnsi="Arial" w:cs="Arial"/>
                <w:sz w:val="20"/>
                <w:szCs w:val="20"/>
              </w:rPr>
              <w:br/>
              <w:t>16.62</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 positive outcomes/consequences</w:t>
            </w:r>
          </w:p>
        </w:tc>
        <w:tc>
          <w:tcPr>
            <w:tcW w:w="817"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168</w:t>
            </w:r>
            <w:r w:rsidRPr="000E5D59">
              <w:rPr>
                <w:rFonts w:ascii="Arial" w:eastAsia="Times New Roman" w:hAnsi="Arial" w:cs="Arial"/>
                <w:sz w:val="20"/>
                <w:szCs w:val="20"/>
              </w:rPr>
              <w:br/>
              <w:t>2.56</w:t>
            </w:r>
          </w:p>
        </w:tc>
        <w:tc>
          <w:tcPr>
            <w:tcW w:w="1529"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84</w:t>
            </w:r>
            <w:r w:rsidRPr="000E5D59">
              <w:rPr>
                <w:rFonts w:ascii="Arial" w:eastAsia="Times New Roman" w:hAnsi="Arial" w:cs="Arial"/>
                <w:sz w:val="20"/>
                <w:szCs w:val="20"/>
              </w:rPr>
              <w:br/>
              <w:t>2.38</w:t>
            </w:r>
          </w:p>
        </w:tc>
        <w:tc>
          <w:tcPr>
            <w:tcW w:w="1529"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82</w:t>
            </w:r>
            <w:r w:rsidRPr="000E5D59">
              <w:rPr>
                <w:rFonts w:ascii="Arial" w:eastAsia="Times New Roman" w:hAnsi="Arial" w:cs="Arial"/>
                <w:sz w:val="20"/>
                <w:szCs w:val="20"/>
              </w:rPr>
              <w:br/>
              <w:t>2.80</w:t>
            </w:r>
          </w:p>
        </w:tc>
        <w:tc>
          <w:tcPr>
            <w:tcW w:w="99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A3309E"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Table 18A: DPH Patient Survey Other Issues Related to Marijuana Use by Gender (Among the 5433 Respondents who have Used Medical Use of Marijuana or Marijuana </w:t>
      </w:r>
      <w:r w:rsidR="00A3309E">
        <w:rPr>
          <w:rFonts w:ascii="Arial" w:eastAsia="Calibri" w:hAnsi="Arial" w:cs="Arial"/>
          <w:b/>
          <w:sz w:val="24"/>
          <w:szCs w:val="24"/>
        </w:rPr>
        <w:t>Products for at least 6 Months)</w:t>
      </w:r>
    </w:p>
    <w:tbl>
      <w:tblPr>
        <w:tblW w:w="9555" w:type="dxa"/>
        <w:tblInd w:w="93" w:type="dxa"/>
        <w:tblLook w:val="04A0" w:firstRow="1" w:lastRow="0" w:firstColumn="1" w:lastColumn="0" w:noHBand="0" w:noVBand="1"/>
        <w:tblCaption w:val="Continued: DPH Patient Survey Other Issues Related to Marijuana Use by Gender (Among All 6,934 Respondents)"/>
      </w:tblPr>
      <w:tblGrid>
        <w:gridCol w:w="4515"/>
        <w:gridCol w:w="900"/>
        <w:gridCol w:w="1530"/>
        <w:gridCol w:w="1530"/>
        <w:gridCol w:w="1080"/>
      </w:tblGrid>
      <w:tr w:rsidR="000E5D59" w:rsidRPr="000E5D59" w:rsidTr="00784755">
        <w:trPr>
          <w:trHeight w:val="20"/>
        </w:trPr>
        <w:tc>
          <w:tcPr>
            <w:tcW w:w="451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sz w:val="20"/>
                <w:szCs w:val="20"/>
              </w:rPr>
              <w:t>%</w:t>
            </w:r>
            <w:r w:rsidRPr="000E5D59">
              <w:rPr>
                <w:rFonts w:ascii="Arial" w:eastAsia="Times New Roman" w:hAnsi="Arial" w:cs="Arial"/>
                <w:sz w:val="20"/>
                <w:szCs w:val="20"/>
              </w:rPr>
              <w:t>  </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51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(N=3732)</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(N=3056)</w:t>
            </w:r>
          </w:p>
        </w:tc>
        <w:tc>
          <w:tcPr>
            <w:tcW w:w="108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51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Treated in an emergency room or urgent care facility for any reason related to marijuana or marijuana product use?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6499</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single" w:sz="4" w:space="0" w:color="auto"/>
              <w:left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times</w:t>
            </w:r>
          </w:p>
        </w:tc>
        <w:tc>
          <w:tcPr>
            <w:tcW w:w="900" w:type="dxa"/>
            <w:tcBorders>
              <w:top w:val="single" w:sz="4" w:space="0" w:color="auto"/>
              <w:left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6492</w:t>
            </w:r>
            <w:r w:rsidRPr="000E5D59">
              <w:rPr>
                <w:rFonts w:ascii="Arial" w:eastAsia="Times New Roman" w:hAnsi="Arial" w:cs="Arial"/>
                <w:sz w:val="20"/>
                <w:szCs w:val="20"/>
              </w:rPr>
              <w:br/>
              <w:t>99.89</w:t>
            </w:r>
          </w:p>
        </w:tc>
        <w:tc>
          <w:tcPr>
            <w:tcW w:w="1530" w:type="dxa"/>
            <w:tcBorders>
              <w:top w:val="single" w:sz="4" w:space="0" w:color="auto"/>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3486</w:t>
            </w:r>
            <w:r w:rsidRPr="000E5D59">
              <w:rPr>
                <w:rFonts w:ascii="Arial" w:eastAsia="Times New Roman" w:hAnsi="Arial" w:cs="Arial"/>
                <w:sz w:val="20"/>
                <w:szCs w:val="20"/>
              </w:rPr>
              <w:br/>
              <w:t>99.89</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2901</w:t>
            </w:r>
            <w:r w:rsidRPr="000E5D59">
              <w:rPr>
                <w:rFonts w:ascii="Arial" w:eastAsia="Times New Roman" w:hAnsi="Arial" w:cs="Arial"/>
                <w:sz w:val="20"/>
                <w:szCs w:val="20"/>
              </w:rPr>
              <w:br/>
              <w:t>99.90</w:t>
            </w:r>
          </w:p>
        </w:tc>
        <w:tc>
          <w:tcPr>
            <w:tcW w:w="108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515" w:type="dxa"/>
            <w:tcBorders>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At least once</w:t>
            </w:r>
          </w:p>
        </w:tc>
        <w:tc>
          <w:tcPr>
            <w:tcW w:w="900" w:type="dxa"/>
            <w:tcBorders>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0.11</w:t>
            </w:r>
          </w:p>
        </w:tc>
        <w:tc>
          <w:tcPr>
            <w:tcW w:w="1530" w:type="dxa"/>
            <w:tcBorders>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0.11</w:t>
            </w:r>
          </w:p>
        </w:tc>
        <w:tc>
          <w:tcPr>
            <w:tcW w:w="1530" w:type="dxa"/>
            <w:tcBorders>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0.10</w:t>
            </w:r>
          </w:p>
        </w:tc>
        <w:tc>
          <w:tcPr>
            <w:tcW w:w="1080" w:type="dxa"/>
            <w:tcBorders>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In the past 12 months, have you needed to consume larger amounts of marijuana or marijuana products in order to feel the same effects?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5011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4313</w:t>
            </w:r>
            <w:r w:rsidRPr="000E5D59">
              <w:rPr>
                <w:rFonts w:ascii="Arial" w:eastAsia="Times New Roman" w:hAnsi="Arial" w:cs="Arial"/>
                <w:sz w:val="20"/>
                <w:szCs w:val="20"/>
              </w:rPr>
              <w:br/>
              <w:t>86.07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2381</w:t>
            </w:r>
            <w:r w:rsidRPr="000E5D59">
              <w:rPr>
                <w:rFonts w:ascii="Arial" w:eastAsia="Times New Roman" w:hAnsi="Arial" w:cs="Arial"/>
                <w:sz w:val="20"/>
                <w:szCs w:val="20"/>
              </w:rPr>
              <w:br/>
              <w:t>86.55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1864</w:t>
            </w:r>
            <w:r w:rsidRPr="000E5D59">
              <w:rPr>
                <w:rFonts w:ascii="Arial" w:eastAsia="Times New Roman" w:hAnsi="Arial" w:cs="Arial"/>
                <w:sz w:val="20"/>
                <w:szCs w:val="20"/>
              </w:rPr>
              <w:br/>
              <w:t>85.62</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51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698</w:t>
            </w:r>
            <w:r w:rsidRPr="000E5D59">
              <w:rPr>
                <w:rFonts w:ascii="Arial" w:eastAsia="Times New Roman" w:hAnsi="Arial" w:cs="Arial"/>
                <w:sz w:val="20"/>
                <w:szCs w:val="20"/>
              </w:rPr>
              <w:br/>
              <w:t>13.93</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370</w:t>
            </w:r>
            <w:r w:rsidRPr="000E5D59">
              <w:rPr>
                <w:rFonts w:ascii="Arial" w:eastAsia="Times New Roman" w:hAnsi="Arial" w:cs="Arial"/>
                <w:sz w:val="20"/>
                <w:szCs w:val="20"/>
              </w:rPr>
              <w:br/>
              <w:t>13.45</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313</w:t>
            </w:r>
            <w:r w:rsidRPr="000E5D59">
              <w:rPr>
                <w:rFonts w:ascii="Arial" w:eastAsia="Times New Roman" w:hAnsi="Arial" w:cs="Arial"/>
                <w:sz w:val="20"/>
                <w:szCs w:val="20"/>
              </w:rPr>
              <w:br/>
              <w:t>14.38</w:t>
            </w:r>
          </w:p>
        </w:tc>
        <w:tc>
          <w:tcPr>
            <w:tcW w:w="108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In the past 12 months, have you tried to cut down on your marijuana or marijuana product use?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5010</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51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4094</w:t>
            </w:r>
            <w:r w:rsidRPr="000E5D59">
              <w:rPr>
                <w:rFonts w:ascii="Arial" w:eastAsia="Times New Roman" w:hAnsi="Arial" w:cs="Arial"/>
                <w:sz w:val="20"/>
                <w:szCs w:val="20"/>
              </w:rPr>
              <w:br/>
              <w:t>81.72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2187</w:t>
            </w:r>
            <w:r w:rsidRPr="000E5D59">
              <w:rPr>
                <w:rFonts w:ascii="Arial" w:eastAsia="Times New Roman" w:hAnsi="Arial" w:cs="Arial"/>
                <w:sz w:val="20"/>
                <w:szCs w:val="20"/>
              </w:rPr>
              <w:br/>
              <w:t>79.76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1847</w:t>
            </w:r>
            <w:r w:rsidRPr="000E5D59">
              <w:rPr>
                <w:rFonts w:ascii="Arial" w:eastAsia="Times New Roman" w:hAnsi="Arial" w:cs="Arial"/>
                <w:sz w:val="20"/>
                <w:szCs w:val="20"/>
              </w:rPr>
              <w:br/>
              <w:t>84.18</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51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916</w:t>
            </w:r>
            <w:r w:rsidRPr="000E5D59">
              <w:rPr>
                <w:rFonts w:ascii="Arial" w:eastAsia="Times New Roman" w:hAnsi="Arial" w:cs="Arial"/>
                <w:sz w:val="20"/>
                <w:szCs w:val="20"/>
              </w:rPr>
              <w:br/>
              <w:t>18.28</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555</w:t>
            </w:r>
            <w:r w:rsidRPr="000E5D59">
              <w:rPr>
                <w:rFonts w:ascii="Arial" w:eastAsia="Times New Roman" w:hAnsi="Arial" w:cs="Arial"/>
                <w:sz w:val="20"/>
                <w:szCs w:val="20"/>
              </w:rPr>
              <w:br/>
              <w:t>20.24</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347</w:t>
            </w:r>
            <w:r w:rsidRPr="000E5D59">
              <w:rPr>
                <w:rFonts w:ascii="Arial" w:eastAsia="Times New Roman" w:hAnsi="Arial" w:cs="Arial"/>
                <w:sz w:val="20"/>
                <w:szCs w:val="20"/>
              </w:rPr>
              <w:br/>
              <w:t>15.82</w:t>
            </w:r>
          </w:p>
        </w:tc>
        <w:tc>
          <w:tcPr>
            <w:tcW w:w="108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In the past 12 months, have you felt sick or had withdrawal symptoms because you stopped or cut down on your marijuana or marijuana product use?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863</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786</w:t>
            </w:r>
            <w:r w:rsidRPr="000E5D59">
              <w:rPr>
                <w:rFonts w:ascii="Arial" w:eastAsia="Times New Roman" w:hAnsi="Arial" w:cs="Arial"/>
                <w:sz w:val="20"/>
                <w:szCs w:val="20"/>
              </w:rPr>
              <w:br/>
              <w:t>91.08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472</w:t>
            </w:r>
            <w:r w:rsidRPr="000E5D59">
              <w:rPr>
                <w:rFonts w:ascii="Arial" w:eastAsia="Times New Roman" w:hAnsi="Arial" w:cs="Arial"/>
                <w:sz w:val="20"/>
                <w:szCs w:val="20"/>
              </w:rPr>
              <w:br/>
              <w:t>90.08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300</w:t>
            </w:r>
            <w:r w:rsidRPr="000E5D59">
              <w:rPr>
                <w:rFonts w:ascii="Arial" w:eastAsia="Times New Roman" w:hAnsi="Arial" w:cs="Arial"/>
                <w:sz w:val="20"/>
                <w:szCs w:val="20"/>
              </w:rPr>
              <w:br/>
              <w:t>92.59</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51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77</w:t>
            </w:r>
            <w:r w:rsidRPr="000E5D59">
              <w:rPr>
                <w:rFonts w:ascii="Arial" w:eastAsia="Times New Roman" w:hAnsi="Arial" w:cs="Arial"/>
                <w:sz w:val="20"/>
                <w:szCs w:val="20"/>
              </w:rPr>
              <w:br/>
              <w:t>8.92</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w:t>
            </w:r>
            <w:r w:rsidRPr="000E5D59">
              <w:rPr>
                <w:rFonts w:ascii="Arial" w:eastAsia="Times New Roman" w:hAnsi="Arial" w:cs="Arial"/>
                <w:sz w:val="20"/>
                <w:szCs w:val="20"/>
              </w:rPr>
              <w:br/>
              <w:t>9.92</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w:t>
            </w:r>
            <w:r w:rsidRPr="000E5D59">
              <w:rPr>
                <w:rFonts w:ascii="Arial" w:eastAsia="Times New Roman" w:hAnsi="Arial" w:cs="Arial"/>
                <w:sz w:val="20"/>
                <w:szCs w:val="20"/>
              </w:rPr>
              <w:br/>
              <w:t>7.41</w:t>
            </w:r>
          </w:p>
        </w:tc>
        <w:tc>
          <w:tcPr>
            <w:tcW w:w="108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tabs>
                <w:tab w:val="left" w:pos="3435"/>
              </w:tabs>
              <w:spacing w:after="0" w:line="240" w:lineRule="auto"/>
              <w:rPr>
                <w:rFonts w:ascii="Arial" w:eastAsia="Times New Roman" w:hAnsi="Arial" w:cs="Arial"/>
                <w:sz w:val="20"/>
                <w:szCs w:val="20"/>
              </w:rPr>
            </w:pPr>
            <w:r w:rsidRPr="000E5D59">
              <w:rPr>
                <w:rFonts w:ascii="Arial" w:eastAsia="Times New Roman" w:hAnsi="Arial" w:cs="Arial"/>
                <w:b/>
                <w:bCs/>
                <w:sz w:val="20"/>
                <w:szCs w:val="20"/>
              </w:rPr>
              <w:t>†</w:t>
            </w:r>
            <w:r w:rsidRPr="000E5D59">
              <w:rPr>
                <w:rFonts w:ascii="Arial" w:eastAsia="Times New Roman" w:hAnsi="Arial" w:cs="Arial"/>
                <w:i/>
                <w:iCs/>
                <w:sz w:val="20"/>
                <w:szCs w:val="20"/>
              </w:rPr>
              <w:t xml:space="preserve"> Among respondents who reported trying to cut down on marijuana or marijuana product use in the past 12 months</w:t>
            </w:r>
            <w:r w:rsidRPr="000E5D59">
              <w:rPr>
                <w:rFonts w:ascii="Arial" w:eastAsia="Times New Roman" w:hAnsi="Arial" w:cs="Arial"/>
                <w:i/>
                <w:iCs/>
                <w:sz w:val="20"/>
                <w:szCs w:val="20"/>
              </w:rPr>
              <w:br/>
              <w:t>*p&lt;0.05; **p&lt;0.01; ***p&lt;0.001; ****p&lt;0.0001; ns=not significant</w:t>
            </w:r>
          </w:p>
        </w:tc>
      </w:tr>
    </w:tbl>
    <w:p w:rsidR="009047AC" w:rsidRDefault="009047AC" w:rsidP="009047AC">
      <w:pPr>
        <w:spacing w:after="0" w:line="240" w:lineRule="auto"/>
        <w:rPr>
          <w:rFonts w:ascii="Arial" w:eastAsia="Calibri" w:hAnsi="Arial" w:cs="Arial"/>
          <w:b/>
          <w:sz w:val="24"/>
          <w:szCs w:val="24"/>
          <w:highlight w:val="yellow"/>
        </w:rPr>
      </w:pPr>
    </w:p>
    <w:p w:rsidR="009047AC" w:rsidRDefault="009047AC" w:rsidP="009047AC">
      <w:pPr>
        <w:spacing w:after="0" w:line="240" w:lineRule="auto"/>
        <w:rPr>
          <w:rFonts w:ascii="Arial" w:eastAsia="Calibri" w:hAnsi="Arial" w:cs="Arial"/>
          <w:b/>
          <w:sz w:val="24"/>
          <w:szCs w:val="24"/>
          <w:highlight w:val="yellow"/>
        </w:rPr>
      </w:pPr>
    </w:p>
    <w:p w:rsidR="009047AC" w:rsidRDefault="009047AC" w:rsidP="009047AC">
      <w:pPr>
        <w:spacing w:after="0" w:line="240" w:lineRule="auto"/>
        <w:rPr>
          <w:rFonts w:ascii="Arial" w:eastAsia="Calibri" w:hAnsi="Arial" w:cs="Arial"/>
          <w:b/>
          <w:sz w:val="24"/>
          <w:szCs w:val="24"/>
          <w:highlight w:val="yellow"/>
        </w:rPr>
      </w:pPr>
    </w:p>
    <w:p w:rsidR="009047AC" w:rsidRDefault="009047AC" w:rsidP="009047AC">
      <w:pPr>
        <w:spacing w:after="0" w:line="240" w:lineRule="auto"/>
        <w:rPr>
          <w:rFonts w:ascii="Arial" w:eastAsia="Calibri" w:hAnsi="Arial" w:cs="Arial"/>
          <w:b/>
          <w:sz w:val="24"/>
          <w:szCs w:val="24"/>
          <w:highlight w:val="yellow"/>
        </w:rPr>
      </w:pPr>
    </w:p>
    <w:p w:rsidR="009047AC" w:rsidRDefault="009047AC" w:rsidP="009047AC">
      <w:pPr>
        <w:spacing w:after="0" w:line="240" w:lineRule="auto"/>
        <w:rPr>
          <w:rFonts w:ascii="Arial" w:eastAsia="Calibri" w:hAnsi="Arial" w:cs="Arial"/>
          <w:b/>
          <w:sz w:val="24"/>
          <w:szCs w:val="24"/>
          <w:highlight w:val="yellow"/>
        </w:rPr>
      </w:pPr>
    </w:p>
    <w:p w:rsidR="009047AC" w:rsidRDefault="009047AC" w:rsidP="009047AC">
      <w:pPr>
        <w:spacing w:after="0" w:line="240" w:lineRule="auto"/>
        <w:rPr>
          <w:rFonts w:ascii="Arial" w:eastAsia="Calibri" w:hAnsi="Arial" w:cs="Arial"/>
          <w:b/>
          <w:sz w:val="24"/>
          <w:szCs w:val="24"/>
          <w:highlight w:val="yellow"/>
        </w:rPr>
      </w:pPr>
    </w:p>
    <w:p w:rsidR="009047AC" w:rsidRDefault="009047AC" w:rsidP="009047AC">
      <w:pPr>
        <w:spacing w:after="0" w:line="240" w:lineRule="auto"/>
        <w:rPr>
          <w:rFonts w:ascii="Arial" w:eastAsia="Calibri" w:hAnsi="Arial" w:cs="Arial"/>
          <w:b/>
          <w:sz w:val="24"/>
          <w:szCs w:val="24"/>
          <w:highlight w:val="yellow"/>
        </w:rPr>
      </w:pPr>
    </w:p>
    <w:p w:rsidR="009047AC" w:rsidRDefault="009047AC" w:rsidP="009047AC">
      <w:pPr>
        <w:spacing w:after="0" w:line="240" w:lineRule="auto"/>
        <w:rPr>
          <w:rFonts w:ascii="Arial" w:eastAsia="Calibri" w:hAnsi="Arial" w:cs="Arial"/>
          <w:b/>
          <w:sz w:val="24"/>
          <w:szCs w:val="24"/>
          <w:highlight w:val="yellow"/>
        </w:rPr>
      </w:pPr>
    </w:p>
    <w:p w:rsidR="009047AC" w:rsidRDefault="009047AC" w:rsidP="009047AC">
      <w:pPr>
        <w:spacing w:after="0" w:line="240" w:lineRule="auto"/>
        <w:rPr>
          <w:rFonts w:ascii="Arial" w:eastAsia="Calibri" w:hAnsi="Arial" w:cs="Arial"/>
          <w:b/>
          <w:sz w:val="24"/>
          <w:szCs w:val="24"/>
          <w:highlight w:val="yellow"/>
        </w:rPr>
      </w:pPr>
    </w:p>
    <w:p w:rsidR="009047AC" w:rsidRDefault="009047AC" w:rsidP="009047AC">
      <w:pPr>
        <w:spacing w:after="0" w:line="240" w:lineRule="auto"/>
        <w:rPr>
          <w:rFonts w:ascii="Arial" w:eastAsia="Calibri" w:hAnsi="Arial" w:cs="Arial"/>
          <w:b/>
          <w:sz w:val="24"/>
          <w:szCs w:val="24"/>
          <w:highlight w:val="yellow"/>
        </w:rPr>
      </w:pPr>
    </w:p>
    <w:p w:rsidR="009047AC" w:rsidRDefault="009047AC" w:rsidP="009047AC">
      <w:pPr>
        <w:spacing w:after="0" w:line="240" w:lineRule="auto"/>
        <w:rPr>
          <w:rFonts w:ascii="Arial" w:eastAsia="Calibri" w:hAnsi="Arial" w:cs="Arial"/>
          <w:b/>
          <w:sz w:val="24"/>
          <w:szCs w:val="24"/>
          <w:highlight w:val="yellow"/>
        </w:rPr>
      </w:pPr>
    </w:p>
    <w:p w:rsidR="00C54D53" w:rsidRDefault="00C54D53" w:rsidP="006057BE">
      <w:pPr>
        <w:spacing w:after="0" w:line="240" w:lineRule="auto"/>
        <w:rPr>
          <w:rFonts w:ascii="Arial" w:eastAsia="Calibri" w:hAnsi="Arial" w:cs="Arial"/>
          <w:b/>
          <w:sz w:val="24"/>
          <w:szCs w:val="24"/>
        </w:rPr>
      </w:pPr>
    </w:p>
    <w:p w:rsidR="000E5D59" w:rsidRPr="00A3309E"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18B: DPH Patient Survey Other Issues Related to Marijuana Use by Age Grou</w:t>
      </w:r>
      <w:r w:rsidR="00A3309E">
        <w:rPr>
          <w:rFonts w:ascii="Arial" w:eastAsia="Calibri" w:hAnsi="Arial" w:cs="Arial"/>
          <w:b/>
          <w:sz w:val="24"/>
          <w:szCs w:val="24"/>
        </w:rPr>
        <w:t>p (Among All 6,934 Respondents)</w:t>
      </w:r>
    </w:p>
    <w:tbl>
      <w:tblPr>
        <w:tblW w:w="9555" w:type="dxa"/>
        <w:tblInd w:w="93" w:type="dxa"/>
        <w:tblLook w:val="04A0" w:firstRow="1" w:lastRow="0" w:firstColumn="1" w:lastColumn="0" w:noHBand="0" w:noVBand="1"/>
        <w:tblCaption w:val="DPH Patient Survey Other Issues Related to Marijuana Use by Age Group (Among All 6,934 Respondents)"/>
      </w:tblPr>
      <w:tblGrid>
        <w:gridCol w:w="4690"/>
        <w:gridCol w:w="817"/>
        <w:gridCol w:w="1529"/>
        <w:gridCol w:w="1529"/>
        <w:gridCol w:w="990"/>
      </w:tblGrid>
      <w:tr w:rsidR="000E5D59" w:rsidRPr="000E5D59" w:rsidTr="00784755">
        <w:trPr>
          <w:trHeight w:val="20"/>
        </w:trPr>
        <w:tc>
          <w:tcPr>
            <w:tcW w:w="4690"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817"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048"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690"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817"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29"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(N=3584)</w:t>
            </w:r>
          </w:p>
        </w:tc>
        <w:tc>
          <w:tcPr>
            <w:tcW w:w="1529"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(N=3188)</w:t>
            </w:r>
          </w:p>
        </w:tc>
        <w:tc>
          <w:tcPr>
            <w:tcW w:w="99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690"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Have you noticed any of the following </w:t>
            </w:r>
            <w:r w:rsidRPr="000E5D59">
              <w:rPr>
                <w:rFonts w:ascii="Arial" w:eastAsia="Times New Roman" w:hAnsi="Arial" w:cs="Arial"/>
                <w:b/>
                <w:bCs/>
                <w:i/>
                <w:iCs/>
                <w:sz w:val="20"/>
                <w:szCs w:val="20"/>
              </w:rPr>
              <w:t>negative</w:t>
            </w:r>
            <w:r w:rsidRPr="000E5D59">
              <w:rPr>
                <w:rFonts w:ascii="Arial" w:eastAsia="Times New Roman" w:hAnsi="Arial" w:cs="Arial"/>
                <w:b/>
                <w:bCs/>
                <w:sz w:val="20"/>
                <w:szCs w:val="20"/>
              </w:rPr>
              <w:t xml:space="preserve"> outcomes/consequences related to your marijuana use?</w:t>
            </w:r>
          </w:p>
        </w:tc>
        <w:tc>
          <w:tcPr>
            <w:tcW w:w="817"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6572</w:t>
            </w:r>
          </w:p>
        </w:tc>
        <w:tc>
          <w:tcPr>
            <w:tcW w:w="1529"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29"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Negative changes in mood or mental health </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141</w:t>
            </w:r>
            <w:r w:rsidRPr="000E5D59">
              <w:rPr>
                <w:rFonts w:ascii="Arial" w:eastAsia="Times New Roman" w:hAnsi="Arial" w:cs="Arial"/>
                <w:sz w:val="20"/>
                <w:szCs w:val="20"/>
              </w:rPr>
              <w:br/>
              <w:t>2.15</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92</w:t>
            </w:r>
            <w:r w:rsidRPr="000E5D59">
              <w:rPr>
                <w:rFonts w:ascii="Arial" w:eastAsia="Times New Roman" w:hAnsi="Arial" w:cs="Arial"/>
                <w:sz w:val="20"/>
                <w:szCs w:val="20"/>
              </w:rPr>
              <w:br/>
              <w:t>2.70</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48</w:t>
            </w:r>
            <w:r w:rsidRPr="000E5D59">
              <w:rPr>
                <w:rFonts w:ascii="Arial" w:eastAsia="Times New Roman" w:hAnsi="Arial" w:cs="Arial"/>
                <w:sz w:val="20"/>
                <w:szCs w:val="20"/>
              </w:rPr>
              <w:br/>
              <w:t>1.58</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Reduction in physical health </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w:t>
            </w:r>
            <w:r w:rsidRPr="000E5D59">
              <w:rPr>
                <w:rFonts w:ascii="Arial" w:eastAsia="Times New Roman" w:hAnsi="Arial" w:cs="Arial"/>
                <w:sz w:val="20"/>
                <w:szCs w:val="20"/>
              </w:rPr>
              <w:br/>
              <w:t>0.87</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w:t>
            </w:r>
            <w:r w:rsidRPr="000E5D59">
              <w:rPr>
                <w:rFonts w:ascii="Arial" w:eastAsia="Times New Roman" w:hAnsi="Arial" w:cs="Arial"/>
                <w:sz w:val="20"/>
                <w:szCs w:val="20"/>
              </w:rPr>
              <w:br/>
              <w:t>1.17</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w:t>
            </w:r>
            <w:r w:rsidRPr="000E5D59">
              <w:rPr>
                <w:rFonts w:ascii="Arial" w:eastAsia="Times New Roman" w:hAnsi="Arial" w:cs="Arial"/>
                <w:sz w:val="20"/>
                <w:szCs w:val="20"/>
              </w:rPr>
              <w:br/>
              <w:t>0.56</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Negative changes in cognition </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435</w:t>
            </w:r>
            <w:r w:rsidRPr="000E5D59">
              <w:rPr>
                <w:rFonts w:ascii="Arial" w:eastAsia="Times New Roman" w:hAnsi="Arial" w:cs="Arial"/>
                <w:sz w:val="20"/>
                <w:szCs w:val="20"/>
              </w:rPr>
              <w:br/>
              <w:t>6.62</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257</w:t>
            </w:r>
            <w:r w:rsidRPr="000E5D59">
              <w:rPr>
                <w:rFonts w:ascii="Arial" w:eastAsia="Times New Roman" w:hAnsi="Arial" w:cs="Arial"/>
                <w:sz w:val="20"/>
                <w:szCs w:val="20"/>
              </w:rPr>
              <w:br/>
              <w:t>7.54</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174</w:t>
            </w:r>
            <w:r w:rsidRPr="000E5D59">
              <w:rPr>
                <w:rFonts w:ascii="Arial" w:eastAsia="Times New Roman" w:hAnsi="Arial" w:cs="Arial"/>
                <w:sz w:val="20"/>
                <w:szCs w:val="20"/>
              </w:rPr>
              <w:br/>
              <w:t>5.71</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Negative changes in social relationships</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75</w:t>
            </w:r>
            <w:r w:rsidRPr="000E5D59">
              <w:rPr>
                <w:rFonts w:ascii="Arial" w:eastAsia="Times New Roman" w:hAnsi="Arial" w:cs="Arial"/>
                <w:sz w:val="20"/>
                <w:szCs w:val="20"/>
              </w:rPr>
              <w:br/>
              <w:t>1.14</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w:t>
            </w:r>
            <w:r w:rsidRPr="000E5D59">
              <w:rPr>
                <w:rFonts w:ascii="Arial" w:eastAsia="Times New Roman" w:hAnsi="Arial" w:cs="Arial"/>
                <w:sz w:val="20"/>
                <w:szCs w:val="20"/>
              </w:rPr>
              <w:br/>
              <w:t>1.32</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w:t>
            </w:r>
            <w:r w:rsidRPr="000E5D59">
              <w:rPr>
                <w:rFonts w:ascii="Arial" w:eastAsia="Times New Roman" w:hAnsi="Arial" w:cs="Arial"/>
                <w:sz w:val="20"/>
                <w:szCs w:val="20"/>
              </w:rPr>
              <w:br/>
              <w:t>0.98</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Occupation/job-related issues</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w:t>
            </w:r>
            <w:r w:rsidRPr="000E5D59">
              <w:rPr>
                <w:rFonts w:ascii="Arial" w:eastAsia="Times New Roman" w:hAnsi="Arial" w:cs="Arial"/>
                <w:sz w:val="20"/>
                <w:szCs w:val="20"/>
              </w:rPr>
              <w:br/>
              <w:t>0.88</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w:t>
            </w:r>
            <w:r w:rsidRPr="000E5D59">
              <w:rPr>
                <w:rFonts w:ascii="Arial" w:eastAsia="Times New Roman" w:hAnsi="Arial" w:cs="Arial"/>
                <w:sz w:val="20"/>
                <w:szCs w:val="20"/>
              </w:rPr>
              <w:br/>
              <w:t>1.32</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w:t>
            </w:r>
            <w:r w:rsidRPr="000E5D59">
              <w:rPr>
                <w:rFonts w:ascii="Arial" w:eastAsia="Times New Roman" w:hAnsi="Arial" w:cs="Arial"/>
                <w:sz w:val="20"/>
                <w:szCs w:val="20"/>
              </w:rPr>
              <w:br/>
              <w:t>0.39</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Other outcomes/consequences</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370</w:t>
            </w:r>
            <w:r w:rsidRPr="000E5D59">
              <w:rPr>
                <w:rFonts w:ascii="Arial" w:eastAsia="Times New Roman" w:hAnsi="Arial" w:cs="Arial"/>
                <w:sz w:val="20"/>
                <w:szCs w:val="20"/>
              </w:rPr>
              <w:br/>
              <w:t>5.63</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208</w:t>
            </w:r>
            <w:r w:rsidRPr="000E5D59">
              <w:rPr>
                <w:rFonts w:ascii="Arial" w:eastAsia="Times New Roman" w:hAnsi="Arial" w:cs="Arial"/>
                <w:sz w:val="20"/>
                <w:szCs w:val="20"/>
              </w:rPr>
              <w:br/>
              <w:t>6.10</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156</w:t>
            </w:r>
            <w:r w:rsidRPr="000E5D59">
              <w:rPr>
                <w:rFonts w:ascii="Arial" w:eastAsia="Times New Roman" w:hAnsi="Arial" w:cs="Arial"/>
                <w:sz w:val="20"/>
                <w:szCs w:val="20"/>
              </w:rPr>
              <w:br/>
              <w:t>5.12</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90"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 negative outcomes/consequences</w:t>
            </w:r>
          </w:p>
        </w:tc>
        <w:tc>
          <w:tcPr>
            <w:tcW w:w="817"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5452</w:t>
            </w:r>
            <w:r w:rsidRPr="000E5D59">
              <w:rPr>
                <w:rFonts w:ascii="Arial" w:eastAsia="Times New Roman" w:hAnsi="Arial" w:cs="Arial"/>
                <w:sz w:val="20"/>
                <w:szCs w:val="20"/>
              </w:rPr>
              <w:br/>
              <w:t>82.96</w:t>
            </w:r>
          </w:p>
        </w:tc>
        <w:tc>
          <w:tcPr>
            <w:tcW w:w="1529"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2741</w:t>
            </w:r>
            <w:r w:rsidRPr="000E5D59">
              <w:rPr>
                <w:rFonts w:ascii="Arial" w:eastAsia="Times New Roman" w:hAnsi="Arial" w:cs="Arial"/>
                <w:sz w:val="20"/>
                <w:szCs w:val="20"/>
              </w:rPr>
              <w:br/>
              <w:t>80.40</w:t>
            </w:r>
          </w:p>
        </w:tc>
        <w:tc>
          <w:tcPr>
            <w:tcW w:w="1529"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2611</w:t>
            </w:r>
            <w:r w:rsidRPr="000E5D59">
              <w:rPr>
                <w:rFonts w:ascii="Arial" w:eastAsia="Times New Roman" w:hAnsi="Arial" w:cs="Arial"/>
                <w:sz w:val="20"/>
                <w:szCs w:val="20"/>
              </w:rPr>
              <w:br/>
              <w:t>85.72</w:t>
            </w:r>
          </w:p>
        </w:tc>
        <w:tc>
          <w:tcPr>
            <w:tcW w:w="99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Have you noticed any of the following </w:t>
            </w:r>
            <w:r w:rsidRPr="000E5D59">
              <w:rPr>
                <w:rFonts w:ascii="Arial" w:eastAsia="Times New Roman" w:hAnsi="Arial" w:cs="Arial"/>
                <w:b/>
                <w:bCs/>
                <w:i/>
                <w:iCs/>
                <w:sz w:val="20"/>
                <w:szCs w:val="20"/>
              </w:rPr>
              <w:t xml:space="preserve">positive </w:t>
            </w:r>
            <w:r w:rsidRPr="000E5D59">
              <w:rPr>
                <w:rFonts w:ascii="Arial" w:eastAsia="Times New Roman" w:hAnsi="Arial" w:cs="Arial"/>
                <w:b/>
                <w:bCs/>
                <w:sz w:val="20"/>
                <w:szCs w:val="20"/>
              </w:rPr>
              <w:t>outcomes/consequences related to your marijuana use?</w:t>
            </w:r>
          </w:p>
        </w:tc>
        <w:tc>
          <w:tcPr>
            <w:tcW w:w="817"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6572</w:t>
            </w:r>
          </w:p>
        </w:tc>
        <w:tc>
          <w:tcPr>
            <w:tcW w:w="1529"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29"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Positive changes in mood or mental health </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5158</w:t>
            </w:r>
            <w:r w:rsidRPr="000E5D59">
              <w:rPr>
                <w:rFonts w:ascii="Arial" w:eastAsia="Times New Roman" w:hAnsi="Arial" w:cs="Arial"/>
                <w:sz w:val="20"/>
                <w:szCs w:val="20"/>
              </w:rPr>
              <w:br/>
              <w:t>78.48</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2955</w:t>
            </w:r>
            <w:r w:rsidRPr="000E5D59">
              <w:rPr>
                <w:rFonts w:ascii="Arial" w:eastAsia="Times New Roman" w:hAnsi="Arial" w:cs="Arial"/>
                <w:sz w:val="20"/>
                <w:szCs w:val="20"/>
              </w:rPr>
              <w:br/>
              <w:t>86.68</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2123</w:t>
            </w:r>
            <w:r w:rsidRPr="000E5D59">
              <w:rPr>
                <w:rFonts w:ascii="Arial" w:eastAsia="Times New Roman" w:hAnsi="Arial" w:cs="Arial"/>
                <w:sz w:val="20"/>
                <w:szCs w:val="20"/>
              </w:rPr>
              <w:br/>
              <w:t>69.70</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Improved physical health</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4435</w:t>
            </w:r>
            <w:r w:rsidRPr="000E5D59">
              <w:rPr>
                <w:rFonts w:ascii="Arial" w:eastAsia="Times New Roman" w:hAnsi="Arial" w:cs="Arial"/>
                <w:sz w:val="20"/>
                <w:szCs w:val="20"/>
              </w:rPr>
              <w:br/>
              <w:t>67.48</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2330</w:t>
            </w:r>
            <w:r w:rsidRPr="000E5D59">
              <w:rPr>
                <w:rFonts w:ascii="Arial" w:eastAsia="Times New Roman" w:hAnsi="Arial" w:cs="Arial"/>
                <w:sz w:val="20"/>
                <w:szCs w:val="20"/>
              </w:rPr>
              <w:br/>
              <w:t>68.35</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2033</w:t>
            </w:r>
            <w:r w:rsidRPr="000E5D59">
              <w:rPr>
                <w:rFonts w:ascii="Arial" w:eastAsia="Times New Roman" w:hAnsi="Arial" w:cs="Arial"/>
                <w:sz w:val="20"/>
                <w:szCs w:val="20"/>
              </w:rPr>
              <w:br/>
              <w:t>66.74</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Positive changes in cognition</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1979</w:t>
            </w:r>
            <w:r w:rsidRPr="000E5D59">
              <w:rPr>
                <w:rFonts w:ascii="Arial" w:eastAsia="Times New Roman" w:hAnsi="Arial" w:cs="Arial"/>
                <w:sz w:val="20"/>
                <w:szCs w:val="20"/>
              </w:rPr>
              <w:br/>
              <w:t>30.11</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1266</w:t>
            </w:r>
            <w:r w:rsidRPr="000E5D59">
              <w:rPr>
                <w:rFonts w:ascii="Arial" w:eastAsia="Times New Roman" w:hAnsi="Arial" w:cs="Arial"/>
                <w:sz w:val="20"/>
                <w:szCs w:val="20"/>
              </w:rPr>
              <w:br/>
              <w:t>37.14</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678</w:t>
            </w:r>
            <w:r w:rsidRPr="000E5D59">
              <w:rPr>
                <w:rFonts w:ascii="Arial" w:eastAsia="Times New Roman" w:hAnsi="Arial" w:cs="Arial"/>
                <w:sz w:val="20"/>
                <w:szCs w:val="20"/>
              </w:rPr>
              <w:br/>
              <w:t>22.26</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Positive changes in social relationships</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2717</w:t>
            </w:r>
            <w:r w:rsidRPr="000E5D59">
              <w:rPr>
                <w:rFonts w:ascii="Arial" w:eastAsia="Times New Roman" w:hAnsi="Arial" w:cs="Arial"/>
                <w:sz w:val="20"/>
                <w:szCs w:val="20"/>
              </w:rPr>
              <w:br/>
              <w:t>41.34</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1784</w:t>
            </w:r>
            <w:r w:rsidRPr="000E5D59">
              <w:rPr>
                <w:rFonts w:ascii="Arial" w:eastAsia="Times New Roman" w:hAnsi="Arial" w:cs="Arial"/>
                <w:sz w:val="20"/>
                <w:szCs w:val="20"/>
              </w:rPr>
              <w:br/>
              <w:t>52.33</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891</w:t>
            </w:r>
            <w:r w:rsidRPr="000E5D59">
              <w:rPr>
                <w:rFonts w:ascii="Arial" w:eastAsia="Times New Roman" w:hAnsi="Arial" w:cs="Arial"/>
                <w:sz w:val="20"/>
                <w:szCs w:val="20"/>
              </w:rPr>
              <w:br/>
              <w:t>29.25</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Other outcomes/consequences</w:t>
            </w:r>
          </w:p>
        </w:tc>
        <w:tc>
          <w:tcPr>
            <w:tcW w:w="817"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1005</w:t>
            </w:r>
            <w:r w:rsidRPr="000E5D59">
              <w:rPr>
                <w:rFonts w:ascii="Arial" w:eastAsia="Times New Roman" w:hAnsi="Arial" w:cs="Arial"/>
                <w:sz w:val="20"/>
                <w:szCs w:val="20"/>
              </w:rPr>
              <w:br/>
              <w:t>15.29</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441</w:t>
            </w:r>
            <w:r w:rsidRPr="000E5D59">
              <w:rPr>
                <w:rFonts w:ascii="Arial" w:eastAsia="Times New Roman" w:hAnsi="Arial" w:cs="Arial"/>
                <w:sz w:val="20"/>
                <w:szCs w:val="20"/>
              </w:rPr>
              <w:br/>
              <w:t>12.94</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551</w:t>
            </w:r>
            <w:r w:rsidRPr="000E5D59">
              <w:rPr>
                <w:rFonts w:ascii="Arial" w:eastAsia="Times New Roman" w:hAnsi="Arial" w:cs="Arial"/>
                <w:sz w:val="20"/>
                <w:szCs w:val="20"/>
              </w:rPr>
              <w:br/>
              <w:t>18.09</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 positive outcomes/consequences</w:t>
            </w:r>
          </w:p>
        </w:tc>
        <w:tc>
          <w:tcPr>
            <w:tcW w:w="817"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168</w:t>
            </w:r>
            <w:r w:rsidRPr="000E5D59">
              <w:rPr>
                <w:rFonts w:ascii="Arial" w:eastAsia="Times New Roman" w:hAnsi="Arial" w:cs="Arial"/>
                <w:sz w:val="20"/>
                <w:szCs w:val="20"/>
              </w:rPr>
              <w:br/>
              <w:t>2.56</w:t>
            </w:r>
          </w:p>
        </w:tc>
        <w:tc>
          <w:tcPr>
            <w:tcW w:w="1529"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w:t>
            </w:r>
            <w:r w:rsidRPr="000E5D59">
              <w:rPr>
                <w:rFonts w:ascii="Arial" w:eastAsia="Times New Roman" w:hAnsi="Arial" w:cs="Arial"/>
                <w:sz w:val="20"/>
                <w:szCs w:val="20"/>
              </w:rPr>
              <w:br/>
              <w:t>1.55</w:t>
            </w:r>
          </w:p>
        </w:tc>
        <w:tc>
          <w:tcPr>
            <w:tcW w:w="1529"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112</w:t>
            </w:r>
            <w:r w:rsidRPr="000E5D59">
              <w:rPr>
                <w:rFonts w:ascii="Arial" w:eastAsia="Times New Roman" w:hAnsi="Arial" w:cs="Arial"/>
                <w:sz w:val="20"/>
                <w:szCs w:val="20"/>
              </w:rPr>
              <w:br/>
              <w:t>3.68</w:t>
            </w:r>
          </w:p>
        </w:tc>
        <w:tc>
          <w:tcPr>
            <w:tcW w:w="99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i/>
                <w:iCs/>
                <w:sz w:val="20"/>
                <w:szCs w:val="20"/>
              </w:rPr>
              <w:t>*p&lt;0.05; **p&lt;0.01; ***p&lt;0.001; ****p&lt;0.0001; ns=not significant</w:t>
            </w:r>
          </w:p>
        </w:tc>
      </w:tr>
    </w:tbl>
    <w:p w:rsidR="00C54D53" w:rsidRDefault="00C54D53" w:rsidP="00C54D53">
      <w:pPr>
        <w:spacing w:after="0" w:line="240" w:lineRule="auto"/>
        <w:rPr>
          <w:rFonts w:ascii="Arial" w:eastAsia="Calibri" w:hAnsi="Arial" w:cs="Arial"/>
          <w:b/>
          <w:sz w:val="24"/>
          <w:szCs w:val="24"/>
        </w:rPr>
      </w:pPr>
    </w:p>
    <w:p w:rsidR="00C54D53" w:rsidRDefault="00C54D53" w:rsidP="00C54D53">
      <w:pPr>
        <w:spacing w:after="0" w:line="240" w:lineRule="auto"/>
        <w:rPr>
          <w:rFonts w:ascii="Arial" w:eastAsia="Calibri" w:hAnsi="Arial" w:cs="Arial"/>
          <w:b/>
          <w:sz w:val="24"/>
          <w:szCs w:val="24"/>
        </w:rPr>
      </w:pPr>
    </w:p>
    <w:p w:rsidR="00C54D53" w:rsidRDefault="00C54D53" w:rsidP="00C54D53">
      <w:pPr>
        <w:spacing w:after="0" w:line="240" w:lineRule="auto"/>
        <w:rPr>
          <w:rFonts w:ascii="Arial" w:eastAsia="Calibri" w:hAnsi="Arial" w:cs="Arial"/>
          <w:b/>
          <w:sz w:val="24"/>
          <w:szCs w:val="24"/>
        </w:rPr>
      </w:pPr>
    </w:p>
    <w:p w:rsidR="00C54D53" w:rsidRDefault="00C54D53" w:rsidP="00C54D53">
      <w:pPr>
        <w:spacing w:after="0" w:line="240" w:lineRule="auto"/>
        <w:rPr>
          <w:rFonts w:ascii="Arial" w:eastAsia="Calibri" w:hAnsi="Arial" w:cs="Arial"/>
          <w:b/>
          <w:sz w:val="24"/>
          <w:szCs w:val="24"/>
        </w:rPr>
      </w:pPr>
    </w:p>
    <w:p w:rsidR="00C54D53" w:rsidRDefault="00C54D53" w:rsidP="00C54D53">
      <w:pPr>
        <w:spacing w:after="0" w:line="240" w:lineRule="auto"/>
        <w:rPr>
          <w:rFonts w:ascii="Arial" w:eastAsia="Calibri" w:hAnsi="Arial" w:cs="Arial"/>
          <w:b/>
          <w:sz w:val="24"/>
          <w:szCs w:val="24"/>
        </w:rPr>
      </w:pPr>
    </w:p>
    <w:p w:rsidR="00C54D53" w:rsidRDefault="00C54D53" w:rsidP="00C54D53">
      <w:pPr>
        <w:spacing w:after="0" w:line="240" w:lineRule="auto"/>
        <w:rPr>
          <w:rFonts w:ascii="Arial" w:eastAsia="Calibri" w:hAnsi="Arial" w:cs="Arial"/>
          <w:b/>
          <w:sz w:val="24"/>
          <w:szCs w:val="24"/>
        </w:rPr>
      </w:pPr>
    </w:p>
    <w:p w:rsidR="00C54D53" w:rsidRDefault="00C54D53" w:rsidP="00C54D53">
      <w:pPr>
        <w:spacing w:after="0" w:line="240" w:lineRule="auto"/>
        <w:rPr>
          <w:rFonts w:ascii="Arial" w:eastAsia="Calibri" w:hAnsi="Arial" w:cs="Arial"/>
          <w:b/>
          <w:sz w:val="24"/>
          <w:szCs w:val="24"/>
        </w:rPr>
      </w:pPr>
    </w:p>
    <w:p w:rsidR="00C54D53" w:rsidRDefault="00C54D53" w:rsidP="00C54D53">
      <w:pPr>
        <w:spacing w:after="0" w:line="240" w:lineRule="auto"/>
        <w:rPr>
          <w:rFonts w:ascii="Arial" w:eastAsia="Calibri" w:hAnsi="Arial" w:cs="Arial"/>
          <w:b/>
          <w:sz w:val="24"/>
          <w:szCs w:val="24"/>
        </w:rPr>
      </w:pPr>
    </w:p>
    <w:p w:rsidR="00C54D53" w:rsidRDefault="00C54D53" w:rsidP="00C54D53">
      <w:pPr>
        <w:spacing w:after="0" w:line="240" w:lineRule="auto"/>
        <w:rPr>
          <w:rFonts w:ascii="Arial" w:eastAsia="Calibri" w:hAnsi="Arial" w:cs="Arial"/>
          <w:b/>
          <w:sz w:val="24"/>
          <w:szCs w:val="24"/>
        </w:rPr>
      </w:pPr>
    </w:p>
    <w:p w:rsidR="00C54D53" w:rsidRDefault="00C54D53" w:rsidP="00C54D53">
      <w:pPr>
        <w:spacing w:after="0" w:line="240" w:lineRule="auto"/>
        <w:rPr>
          <w:rFonts w:ascii="Arial" w:eastAsia="Calibri" w:hAnsi="Arial" w:cs="Arial"/>
          <w:b/>
          <w:sz w:val="24"/>
          <w:szCs w:val="24"/>
        </w:rPr>
      </w:pPr>
    </w:p>
    <w:p w:rsidR="00C54D53" w:rsidRDefault="00C54D53" w:rsidP="00C54D53">
      <w:pPr>
        <w:spacing w:after="0" w:line="240" w:lineRule="auto"/>
        <w:rPr>
          <w:rFonts w:ascii="Arial" w:eastAsia="Calibri" w:hAnsi="Arial" w:cs="Arial"/>
          <w:b/>
          <w:sz w:val="24"/>
          <w:szCs w:val="24"/>
        </w:rPr>
      </w:pPr>
    </w:p>
    <w:p w:rsidR="00C54D53" w:rsidRDefault="00C54D53" w:rsidP="00C54D53">
      <w:pPr>
        <w:spacing w:after="0" w:line="240" w:lineRule="auto"/>
        <w:rPr>
          <w:rFonts w:ascii="Arial" w:eastAsia="Calibri" w:hAnsi="Arial" w:cs="Arial"/>
          <w:b/>
          <w:sz w:val="24"/>
          <w:szCs w:val="24"/>
        </w:rPr>
      </w:pPr>
    </w:p>
    <w:p w:rsidR="00C54D53" w:rsidRPr="009047AC" w:rsidRDefault="00C54D53" w:rsidP="00C54D53">
      <w:pPr>
        <w:spacing w:after="0" w:line="240" w:lineRule="auto"/>
        <w:rPr>
          <w:rFonts w:ascii="Arial" w:eastAsia="Calibri" w:hAnsi="Arial" w:cs="Arial"/>
          <w:b/>
          <w:sz w:val="24"/>
          <w:szCs w:val="24"/>
        </w:rPr>
      </w:pPr>
      <w:r w:rsidRPr="009047AC">
        <w:rPr>
          <w:rFonts w:ascii="Arial" w:eastAsia="Calibri" w:hAnsi="Arial" w:cs="Arial"/>
          <w:b/>
          <w:sz w:val="24"/>
          <w:szCs w:val="24"/>
        </w:rPr>
        <w:t>(Continued) Table 18</w:t>
      </w:r>
      <w:r>
        <w:rPr>
          <w:rFonts w:ascii="Arial" w:eastAsia="Calibri" w:hAnsi="Arial" w:cs="Arial"/>
          <w:b/>
          <w:sz w:val="24"/>
          <w:szCs w:val="24"/>
        </w:rPr>
        <w:t>B</w:t>
      </w:r>
      <w:r w:rsidRPr="009047AC">
        <w:rPr>
          <w:rFonts w:ascii="Arial" w:eastAsia="Calibri" w:hAnsi="Arial" w:cs="Arial"/>
          <w:b/>
          <w:sz w:val="24"/>
          <w:szCs w:val="24"/>
        </w:rPr>
        <w:t xml:space="preserve">: DPH Patient Survey Other Issues Related to Marijuana Use by </w:t>
      </w:r>
      <w:r>
        <w:rPr>
          <w:rFonts w:ascii="Arial" w:eastAsia="Calibri" w:hAnsi="Arial" w:cs="Arial"/>
          <w:b/>
          <w:sz w:val="24"/>
          <w:szCs w:val="24"/>
        </w:rPr>
        <w:t>Age Group</w:t>
      </w:r>
      <w:r w:rsidRPr="009047AC">
        <w:rPr>
          <w:rFonts w:ascii="Arial" w:eastAsia="Calibri" w:hAnsi="Arial" w:cs="Arial"/>
          <w:b/>
          <w:sz w:val="24"/>
          <w:szCs w:val="24"/>
        </w:rPr>
        <w:t xml:space="preserve"> (Among the 5433 Respondents who have Used Medical Use of Marijuana or Marijuana Products for at least 6 Months)</w:t>
      </w:r>
    </w:p>
    <w:tbl>
      <w:tblPr>
        <w:tblW w:w="9555" w:type="dxa"/>
        <w:tblInd w:w="93" w:type="dxa"/>
        <w:tblLook w:val="04A0" w:firstRow="1" w:lastRow="0" w:firstColumn="1" w:lastColumn="0" w:noHBand="0" w:noVBand="1"/>
        <w:tblCaption w:val="Continued: DPH Patient Survey Other Issues Related to Marijuana Use by Age Group (Among All 6,934 Respondents)"/>
      </w:tblPr>
      <w:tblGrid>
        <w:gridCol w:w="4515"/>
        <w:gridCol w:w="900"/>
        <w:gridCol w:w="1530"/>
        <w:gridCol w:w="1530"/>
        <w:gridCol w:w="1080"/>
      </w:tblGrid>
      <w:tr w:rsidR="00C54D53" w:rsidRPr="009047AC" w:rsidTr="00626599">
        <w:trPr>
          <w:trHeight w:val="20"/>
        </w:trPr>
        <w:tc>
          <w:tcPr>
            <w:tcW w:w="451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C54D53" w:rsidRPr="009047AC" w:rsidRDefault="00C54D53" w:rsidP="00626599">
            <w:pPr>
              <w:spacing w:after="0" w:line="240" w:lineRule="auto"/>
              <w:jc w:val="center"/>
              <w:rPr>
                <w:rFonts w:ascii="Arial" w:eastAsia="Times New Roman" w:hAnsi="Arial" w:cs="Arial"/>
                <w:b/>
                <w:bCs/>
                <w:sz w:val="20"/>
                <w:szCs w:val="20"/>
              </w:rPr>
            </w:pPr>
            <w:r w:rsidRPr="009047AC">
              <w:rPr>
                <w:rFonts w:ascii="Arial" w:eastAsia="Times New Roman" w:hAnsi="Arial" w:cs="Arial"/>
                <w:b/>
                <w:bCs/>
                <w:sz w:val="20"/>
                <w:szCs w:val="20"/>
              </w:rPr>
              <w:t> </w:t>
            </w:r>
          </w:p>
        </w:tc>
        <w:tc>
          <w:tcPr>
            <w:tcW w:w="90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C54D53" w:rsidRPr="009047AC" w:rsidRDefault="00C54D53" w:rsidP="00626599">
            <w:pPr>
              <w:spacing w:after="0" w:line="240" w:lineRule="auto"/>
              <w:jc w:val="center"/>
              <w:rPr>
                <w:rFonts w:ascii="Arial" w:eastAsia="Times New Roman" w:hAnsi="Arial" w:cs="Arial"/>
                <w:b/>
                <w:sz w:val="20"/>
                <w:szCs w:val="20"/>
              </w:rPr>
            </w:pPr>
            <w:r w:rsidRPr="009047AC">
              <w:rPr>
                <w:rFonts w:ascii="Arial" w:eastAsia="Times New Roman" w:hAnsi="Arial" w:cs="Arial"/>
                <w:b/>
                <w:sz w:val="20"/>
                <w:szCs w:val="20"/>
              </w:rPr>
              <w:t>Total</w:t>
            </w:r>
          </w:p>
          <w:p w:rsidR="00C54D53" w:rsidRPr="009047AC" w:rsidRDefault="00C54D53" w:rsidP="00626599">
            <w:pPr>
              <w:spacing w:after="0" w:line="240" w:lineRule="auto"/>
              <w:jc w:val="center"/>
              <w:rPr>
                <w:rFonts w:ascii="Arial" w:eastAsia="Times New Roman" w:hAnsi="Arial" w:cs="Arial"/>
                <w:b/>
                <w:sz w:val="20"/>
                <w:szCs w:val="20"/>
              </w:rPr>
            </w:pPr>
            <w:r w:rsidRPr="009047AC">
              <w:rPr>
                <w:rFonts w:ascii="Arial" w:eastAsia="Times New Roman" w:hAnsi="Arial" w:cs="Arial"/>
                <w:b/>
                <w:sz w:val="20"/>
                <w:szCs w:val="20"/>
              </w:rPr>
              <w:t>N</w:t>
            </w:r>
          </w:p>
          <w:p w:rsidR="00C54D53" w:rsidRPr="009047AC" w:rsidRDefault="00C54D53" w:rsidP="00626599">
            <w:pPr>
              <w:spacing w:after="0" w:line="240" w:lineRule="auto"/>
              <w:jc w:val="center"/>
              <w:rPr>
                <w:rFonts w:ascii="Arial" w:eastAsia="Times New Roman" w:hAnsi="Arial" w:cs="Arial"/>
                <w:b/>
                <w:bCs/>
                <w:sz w:val="20"/>
                <w:szCs w:val="20"/>
              </w:rPr>
            </w:pPr>
            <w:r w:rsidRPr="009047AC">
              <w:rPr>
                <w:rFonts w:ascii="Arial" w:eastAsia="Times New Roman" w:hAnsi="Arial" w:cs="Arial"/>
                <w:b/>
                <w:sz w:val="20"/>
                <w:szCs w:val="20"/>
              </w:rPr>
              <w:t>%</w:t>
            </w:r>
            <w:r w:rsidRPr="009047AC">
              <w:rPr>
                <w:rFonts w:ascii="Arial" w:eastAsia="Times New Roman" w:hAnsi="Arial" w:cs="Arial"/>
                <w:sz w:val="20"/>
                <w:szCs w:val="20"/>
              </w:rPr>
              <w:t>  </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C54D53" w:rsidRPr="009047AC" w:rsidRDefault="00C54D53" w:rsidP="00626599">
            <w:pPr>
              <w:spacing w:after="0" w:line="240" w:lineRule="auto"/>
              <w:jc w:val="center"/>
              <w:rPr>
                <w:rFonts w:ascii="Arial" w:eastAsia="Times New Roman" w:hAnsi="Arial" w:cs="Arial"/>
                <w:b/>
                <w:bCs/>
                <w:sz w:val="20"/>
                <w:szCs w:val="20"/>
              </w:rPr>
            </w:pPr>
            <w:r w:rsidRPr="009047AC">
              <w:rPr>
                <w:rFonts w:ascii="Arial" w:eastAsia="Times New Roman" w:hAnsi="Arial" w:cs="Arial"/>
                <w:b/>
                <w:bCs/>
                <w:sz w:val="20"/>
                <w:szCs w:val="20"/>
              </w:rPr>
              <w:t>Age Group</w:t>
            </w:r>
          </w:p>
        </w:tc>
      </w:tr>
      <w:tr w:rsidR="00C54D53" w:rsidRPr="009047AC" w:rsidTr="00626599">
        <w:trPr>
          <w:trHeight w:val="20"/>
        </w:trPr>
        <w:tc>
          <w:tcPr>
            <w:tcW w:w="4515" w:type="dxa"/>
            <w:vMerge/>
            <w:tcBorders>
              <w:top w:val="nil"/>
              <w:left w:val="single" w:sz="4" w:space="0" w:color="auto"/>
              <w:bottom w:val="double" w:sz="6" w:space="0" w:color="000000"/>
              <w:right w:val="single" w:sz="8" w:space="0" w:color="auto"/>
            </w:tcBorders>
            <w:shd w:val="clear" w:color="auto" w:fill="auto"/>
            <w:vAlign w:val="center"/>
          </w:tcPr>
          <w:p w:rsidR="00C54D53" w:rsidRPr="009047AC" w:rsidRDefault="00C54D53" w:rsidP="00626599">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double" w:sz="6" w:space="0" w:color="000000"/>
              <w:right w:val="thickThinSmallGap" w:sz="24" w:space="0" w:color="auto"/>
            </w:tcBorders>
            <w:shd w:val="clear" w:color="auto" w:fill="auto"/>
            <w:vAlign w:val="center"/>
          </w:tcPr>
          <w:p w:rsidR="00C54D53" w:rsidRPr="009047AC" w:rsidRDefault="00C54D53" w:rsidP="00626599">
            <w:pPr>
              <w:spacing w:after="0" w:line="240" w:lineRule="auto"/>
              <w:rPr>
                <w:rFonts w:ascii="Arial" w:eastAsia="Times New Roman"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C54D53" w:rsidRPr="009047AC" w:rsidRDefault="00C54D53" w:rsidP="00626599">
            <w:pPr>
              <w:spacing w:after="0" w:line="240" w:lineRule="auto"/>
              <w:jc w:val="center"/>
              <w:rPr>
                <w:rFonts w:ascii="Arial" w:eastAsia="Times New Roman" w:hAnsi="Arial" w:cs="Arial"/>
                <w:b/>
                <w:bCs/>
                <w:sz w:val="20"/>
                <w:szCs w:val="20"/>
              </w:rPr>
            </w:pPr>
            <w:r w:rsidRPr="009047AC">
              <w:rPr>
                <w:rFonts w:ascii="Arial" w:eastAsia="Times New Roman" w:hAnsi="Arial" w:cs="Arial"/>
                <w:b/>
                <w:bCs/>
                <w:sz w:val="20"/>
                <w:szCs w:val="20"/>
              </w:rPr>
              <w:t>≤ 50 years</w:t>
            </w:r>
            <w:r w:rsidRPr="009047AC">
              <w:rPr>
                <w:rFonts w:ascii="Arial" w:eastAsia="Times New Roman" w:hAnsi="Arial" w:cs="Arial"/>
                <w:b/>
                <w:bCs/>
                <w:sz w:val="20"/>
                <w:szCs w:val="20"/>
              </w:rPr>
              <w:br/>
            </w:r>
            <w:r w:rsidRPr="009047AC">
              <w:rPr>
                <w:rFonts w:ascii="Arial" w:eastAsia="Times New Roman" w:hAnsi="Arial" w:cs="Arial"/>
                <w:sz w:val="20"/>
                <w:szCs w:val="20"/>
              </w:rPr>
              <w:t>(N=3584)</w:t>
            </w:r>
          </w:p>
        </w:tc>
        <w:tc>
          <w:tcPr>
            <w:tcW w:w="1530" w:type="dxa"/>
            <w:tcBorders>
              <w:top w:val="nil"/>
              <w:left w:val="nil"/>
              <w:bottom w:val="double" w:sz="6" w:space="0" w:color="auto"/>
              <w:right w:val="single" w:sz="4" w:space="0" w:color="auto"/>
            </w:tcBorders>
            <w:shd w:val="clear" w:color="auto" w:fill="auto"/>
            <w:vAlign w:val="center"/>
          </w:tcPr>
          <w:p w:rsidR="00C54D53" w:rsidRPr="009047AC" w:rsidRDefault="00C54D53" w:rsidP="00626599">
            <w:pPr>
              <w:spacing w:after="0" w:line="240" w:lineRule="auto"/>
              <w:jc w:val="center"/>
              <w:rPr>
                <w:rFonts w:ascii="Arial" w:eastAsia="Times New Roman" w:hAnsi="Arial" w:cs="Arial"/>
                <w:b/>
                <w:bCs/>
                <w:sz w:val="20"/>
                <w:szCs w:val="20"/>
              </w:rPr>
            </w:pPr>
            <w:r w:rsidRPr="009047AC">
              <w:rPr>
                <w:rFonts w:ascii="Arial" w:eastAsia="Times New Roman" w:hAnsi="Arial" w:cs="Arial"/>
                <w:b/>
                <w:bCs/>
                <w:sz w:val="20"/>
                <w:szCs w:val="20"/>
              </w:rPr>
              <w:t>≥ 51 years</w:t>
            </w:r>
            <w:r w:rsidRPr="009047AC">
              <w:rPr>
                <w:rFonts w:ascii="Arial" w:eastAsia="Times New Roman" w:hAnsi="Arial" w:cs="Arial"/>
                <w:b/>
                <w:bCs/>
                <w:sz w:val="20"/>
                <w:szCs w:val="20"/>
              </w:rPr>
              <w:br/>
            </w:r>
            <w:r w:rsidRPr="009047AC">
              <w:rPr>
                <w:rFonts w:ascii="Arial" w:eastAsia="Times New Roman" w:hAnsi="Arial" w:cs="Arial"/>
                <w:sz w:val="20"/>
                <w:szCs w:val="20"/>
              </w:rPr>
              <w:t>(N=3188)</w:t>
            </w:r>
          </w:p>
        </w:tc>
        <w:tc>
          <w:tcPr>
            <w:tcW w:w="1080" w:type="dxa"/>
            <w:tcBorders>
              <w:top w:val="nil"/>
              <w:left w:val="nil"/>
              <w:bottom w:val="double" w:sz="6" w:space="0" w:color="auto"/>
              <w:right w:val="single" w:sz="4" w:space="0" w:color="auto"/>
            </w:tcBorders>
            <w:shd w:val="clear" w:color="auto" w:fill="auto"/>
            <w:vAlign w:val="center"/>
          </w:tcPr>
          <w:p w:rsidR="00C54D53" w:rsidRPr="009047AC" w:rsidRDefault="00C54D53" w:rsidP="00626599">
            <w:pPr>
              <w:spacing w:after="0" w:line="240" w:lineRule="auto"/>
              <w:jc w:val="center"/>
              <w:rPr>
                <w:rFonts w:ascii="Arial" w:eastAsia="Times New Roman" w:hAnsi="Arial" w:cs="Arial"/>
                <w:b/>
                <w:bCs/>
                <w:sz w:val="20"/>
                <w:szCs w:val="20"/>
              </w:rPr>
            </w:pPr>
            <w:r w:rsidRPr="009047AC">
              <w:rPr>
                <w:rFonts w:ascii="Arial" w:eastAsia="Times New Roman" w:hAnsi="Arial" w:cs="Arial"/>
                <w:b/>
                <w:bCs/>
                <w:sz w:val="20"/>
                <w:szCs w:val="20"/>
              </w:rPr>
              <w:t>p-value</w:t>
            </w:r>
          </w:p>
        </w:tc>
      </w:tr>
      <w:tr w:rsidR="00C54D53" w:rsidRPr="009047AC" w:rsidTr="00626599">
        <w:trPr>
          <w:trHeight w:val="20"/>
        </w:trPr>
        <w:tc>
          <w:tcPr>
            <w:tcW w:w="4515" w:type="dxa"/>
            <w:tcBorders>
              <w:top w:val="nil"/>
              <w:left w:val="single" w:sz="4" w:space="0" w:color="auto"/>
              <w:bottom w:val="single" w:sz="4" w:space="0" w:color="auto"/>
              <w:right w:val="single" w:sz="8" w:space="0" w:color="auto"/>
            </w:tcBorders>
            <w:shd w:val="clear" w:color="auto" w:fill="auto"/>
          </w:tcPr>
          <w:p w:rsidR="00C54D53" w:rsidRPr="009047AC" w:rsidRDefault="00C54D53" w:rsidP="00626599">
            <w:pPr>
              <w:spacing w:after="0" w:line="240" w:lineRule="auto"/>
              <w:rPr>
                <w:rFonts w:ascii="Arial" w:eastAsia="Times New Roman" w:hAnsi="Arial" w:cs="Arial"/>
                <w:b/>
                <w:bCs/>
                <w:sz w:val="20"/>
                <w:szCs w:val="20"/>
              </w:rPr>
            </w:pPr>
            <w:r w:rsidRPr="009047AC">
              <w:rPr>
                <w:rFonts w:ascii="Arial" w:eastAsia="Times New Roman" w:hAnsi="Arial" w:cs="Arial"/>
                <w:b/>
                <w:bCs/>
                <w:sz w:val="20"/>
                <w:szCs w:val="20"/>
              </w:rPr>
              <w:t>Treated in an emergency room or urgent care facility for any reason related to marijuana or marijuana product use?</w:t>
            </w:r>
          </w:p>
        </w:tc>
        <w:tc>
          <w:tcPr>
            <w:tcW w:w="900" w:type="dxa"/>
            <w:tcBorders>
              <w:top w:val="nil"/>
              <w:left w:val="nil"/>
              <w:bottom w:val="single" w:sz="4" w:space="0" w:color="auto"/>
              <w:right w:val="thickThinSmallGap" w:sz="2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6499</w:t>
            </w:r>
          </w:p>
        </w:tc>
        <w:tc>
          <w:tcPr>
            <w:tcW w:w="1530" w:type="dxa"/>
            <w:tcBorders>
              <w:top w:val="nil"/>
              <w:left w:val="thickThinSmallGap" w:sz="24" w:space="0" w:color="auto"/>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ns</w:t>
            </w:r>
          </w:p>
        </w:tc>
      </w:tr>
      <w:tr w:rsidR="00C54D53" w:rsidRPr="009047AC" w:rsidTr="00626599">
        <w:trPr>
          <w:trHeight w:val="20"/>
        </w:trPr>
        <w:tc>
          <w:tcPr>
            <w:tcW w:w="4515" w:type="dxa"/>
            <w:tcBorders>
              <w:top w:val="single" w:sz="4" w:space="0" w:color="auto"/>
              <w:left w:val="single" w:sz="4" w:space="0" w:color="auto"/>
              <w:right w:val="single" w:sz="8"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0 times</w:t>
            </w:r>
          </w:p>
        </w:tc>
        <w:tc>
          <w:tcPr>
            <w:tcW w:w="900" w:type="dxa"/>
            <w:tcBorders>
              <w:top w:val="single" w:sz="4" w:space="0" w:color="auto"/>
              <w:left w:val="nil"/>
              <w:right w:val="thickThinSmallGap" w:sz="2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6492</w:t>
            </w:r>
            <w:r w:rsidRPr="009047AC">
              <w:rPr>
                <w:rFonts w:ascii="Arial" w:eastAsia="Times New Roman" w:hAnsi="Arial" w:cs="Arial"/>
                <w:sz w:val="20"/>
                <w:szCs w:val="20"/>
              </w:rPr>
              <w:br/>
              <w:t>99.89</w:t>
            </w:r>
          </w:p>
        </w:tc>
        <w:tc>
          <w:tcPr>
            <w:tcW w:w="1530" w:type="dxa"/>
            <w:tcBorders>
              <w:top w:val="single" w:sz="4" w:space="0" w:color="auto"/>
              <w:left w:val="thickThinSmallGap" w:sz="2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3363</w:t>
            </w:r>
            <w:r w:rsidRPr="009047AC">
              <w:rPr>
                <w:rFonts w:ascii="Arial" w:eastAsia="Times New Roman" w:hAnsi="Arial" w:cs="Arial"/>
                <w:sz w:val="20"/>
                <w:szCs w:val="20"/>
              </w:rPr>
              <w:br/>
              <w:t>99.88</w:t>
            </w:r>
          </w:p>
        </w:tc>
        <w:tc>
          <w:tcPr>
            <w:tcW w:w="1530" w:type="dxa"/>
            <w:tcBorders>
              <w:top w:val="single" w:sz="4" w:space="0" w:color="auto"/>
              <w:left w:val="nil"/>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3016</w:t>
            </w:r>
            <w:r w:rsidRPr="009047AC">
              <w:rPr>
                <w:rFonts w:ascii="Arial" w:eastAsia="Times New Roman" w:hAnsi="Arial" w:cs="Arial"/>
                <w:sz w:val="20"/>
                <w:szCs w:val="20"/>
              </w:rPr>
              <w:br/>
              <w:t>99.90</w:t>
            </w:r>
          </w:p>
        </w:tc>
        <w:tc>
          <w:tcPr>
            <w:tcW w:w="1080" w:type="dxa"/>
            <w:tcBorders>
              <w:top w:val="single" w:sz="4" w:space="0" w:color="auto"/>
              <w:left w:val="nil"/>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r>
      <w:tr w:rsidR="00C54D53" w:rsidRPr="009047AC" w:rsidTr="00626599">
        <w:trPr>
          <w:trHeight w:val="20"/>
        </w:trPr>
        <w:tc>
          <w:tcPr>
            <w:tcW w:w="4515" w:type="dxa"/>
            <w:tcBorders>
              <w:left w:val="single" w:sz="4" w:space="0" w:color="auto"/>
              <w:bottom w:val="single" w:sz="4" w:space="0" w:color="auto"/>
              <w:right w:val="single" w:sz="8"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At least once</w:t>
            </w:r>
          </w:p>
        </w:tc>
        <w:tc>
          <w:tcPr>
            <w:tcW w:w="900" w:type="dxa"/>
            <w:tcBorders>
              <w:left w:val="nil"/>
              <w:bottom w:val="single" w:sz="4" w:space="0" w:color="auto"/>
              <w:right w:val="thickThinSmallGap" w:sz="2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7</w:t>
            </w:r>
            <w:r w:rsidRPr="009047AC">
              <w:rPr>
                <w:rFonts w:ascii="Arial" w:eastAsia="Times New Roman" w:hAnsi="Arial" w:cs="Arial"/>
                <w:sz w:val="20"/>
                <w:szCs w:val="20"/>
              </w:rPr>
              <w:br/>
              <w:t>0.11</w:t>
            </w:r>
          </w:p>
        </w:tc>
        <w:tc>
          <w:tcPr>
            <w:tcW w:w="1530" w:type="dxa"/>
            <w:tcBorders>
              <w:left w:val="thickThinSmallGap" w:sz="24" w:space="0" w:color="auto"/>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4</w:t>
            </w:r>
            <w:r w:rsidRPr="009047AC">
              <w:rPr>
                <w:rFonts w:ascii="Arial" w:eastAsia="Times New Roman" w:hAnsi="Arial" w:cs="Arial"/>
                <w:sz w:val="20"/>
                <w:szCs w:val="20"/>
              </w:rPr>
              <w:br/>
              <w:t>0.12</w:t>
            </w:r>
          </w:p>
        </w:tc>
        <w:tc>
          <w:tcPr>
            <w:tcW w:w="1530" w:type="dxa"/>
            <w:tcBorders>
              <w:left w:val="nil"/>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3</w:t>
            </w:r>
            <w:r w:rsidRPr="009047AC">
              <w:rPr>
                <w:rFonts w:ascii="Arial" w:eastAsia="Times New Roman" w:hAnsi="Arial" w:cs="Arial"/>
                <w:sz w:val="20"/>
                <w:szCs w:val="20"/>
              </w:rPr>
              <w:br/>
              <w:t>0.10</w:t>
            </w:r>
          </w:p>
        </w:tc>
        <w:tc>
          <w:tcPr>
            <w:tcW w:w="1080" w:type="dxa"/>
            <w:tcBorders>
              <w:left w:val="nil"/>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r>
      <w:tr w:rsidR="00C54D53" w:rsidRPr="009047AC" w:rsidTr="00626599">
        <w:trPr>
          <w:trHeight w:val="20"/>
        </w:trPr>
        <w:tc>
          <w:tcPr>
            <w:tcW w:w="4515" w:type="dxa"/>
            <w:tcBorders>
              <w:top w:val="nil"/>
              <w:left w:val="single" w:sz="4" w:space="0" w:color="auto"/>
              <w:bottom w:val="single" w:sz="4" w:space="0" w:color="auto"/>
              <w:right w:val="single" w:sz="8" w:space="0" w:color="auto"/>
            </w:tcBorders>
            <w:shd w:val="clear" w:color="auto" w:fill="auto"/>
          </w:tcPr>
          <w:p w:rsidR="00C54D53" w:rsidRPr="009047AC" w:rsidRDefault="00C54D53" w:rsidP="00626599">
            <w:pPr>
              <w:spacing w:after="0" w:line="240" w:lineRule="auto"/>
              <w:rPr>
                <w:rFonts w:ascii="Arial" w:eastAsia="Times New Roman" w:hAnsi="Arial" w:cs="Arial"/>
                <w:b/>
                <w:bCs/>
                <w:sz w:val="20"/>
                <w:szCs w:val="20"/>
              </w:rPr>
            </w:pPr>
            <w:r w:rsidRPr="009047AC">
              <w:rPr>
                <w:rFonts w:ascii="Arial" w:eastAsia="Times New Roman" w:hAnsi="Arial" w:cs="Arial"/>
                <w:b/>
                <w:bCs/>
                <w:sz w:val="20"/>
                <w:szCs w:val="20"/>
              </w:rPr>
              <w:t xml:space="preserve">In the past 12 months, have you needed to consume larger amounts of marijuana or marijuana products in order to feel the same effects?  </w:t>
            </w:r>
          </w:p>
        </w:tc>
        <w:tc>
          <w:tcPr>
            <w:tcW w:w="900" w:type="dxa"/>
            <w:tcBorders>
              <w:top w:val="nil"/>
              <w:left w:val="nil"/>
              <w:bottom w:val="single" w:sz="4" w:space="0" w:color="auto"/>
              <w:right w:val="thickThinSmallGap" w:sz="2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5011</w:t>
            </w:r>
          </w:p>
        </w:tc>
        <w:tc>
          <w:tcPr>
            <w:tcW w:w="1530" w:type="dxa"/>
            <w:tcBorders>
              <w:top w:val="nil"/>
              <w:left w:val="thickThinSmallGap" w:sz="24" w:space="0" w:color="auto"/>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w:t>
            </w:r>
          </w:p>
        </w:tc>
      </w:tr>
      <w:tr w:rsidR="00C54D53" w:rsidRPr="009047AC" w:rsidTr="00626599">
        <w:trPr>
          <w:trHeight w:val="20"/>
        </w:trPr>
        <w:tc>
          <w:tcPr>
            <w:tcW w:w="4515" w:type="dxa"/>
            <w:tcBorders>
              <w:top w:val="nil"/>
              <w:left w:val="single" w:sz="4" w:space="0" w:color="auto"/>
              <w:bottom w:val="nil"/>
              <w:right w:val="single" w:sz="8"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4313</w:t>
            </w:r>
            <w:r w:rsidRPr="009047AC">
              <w:rPr>
                <w:rFonts w:ascii="Arial" w:eastAsia="Times New Roman" w:hAnsi="Arial" w:cs="Arial"/>
                <w:sz w:val="20"/>
                <w:szCs w:val="20"/>
              </w:rPr>
              <w:br/>
              <w:t>86.07</w:t>
            </w:r>
          </w:p>
        </w:tc>
        <w:tc>
          <w:tcPr>
            <w:tcW w:w="1530" w:type="dxa"/>
            <w:tcBorders>
              <w:top w:val="nil"/>
              <w:left w:val="thickThinSmallGap" w:sz="24" w:space="0" w:color="auto"/>
              <w:bottom w:val="nil"/>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2097</w:t>
            </w:r>
            <w:r w:rsidRPr="009047AC">
              <w:rPr>
                <w:rFonts w:ascii="Arial" w:eastAsia="Times New Roman" w:hAnsi="Arial" w:cs="Arial"/>
                <w:sz w:val="20"/>
                <w:szCs w:val="20"/>
              </w:rPr>
              <w:br/>
              <w:t>81.09</w:t>
            </w:r>
          </w:p>
        </w:tc>
        <w:tc>
          <w:tcPr>
            <w:tcW w:w="1530" w:type="dxa"/>
            <w:tcBorders>
              <w:top w:val="nil"/>
              <w:left w:val="nil"/>
              <w:bottom w:val="nil"/>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2141</w:t>
            </w:r>
            <w:r w:rsidRPr="009047AC">
              <w:rPr>
                <w:rFonts w:ascii="Arial" w:eastAsia="Times New Roman" w:hAnsi="Arial" w:cs="Arial"/>
                <w:sz w:val="20"/>
                <w:szCs w:val="20"/>
              </w:rPr>
              <w:br/>
              <w:t>91.65</w:t>
            </w:r>
          </w:p>
        </w:tc>
        <w:tc>
          <w:tcPr>
            <w:tcW w:w="1080" w:type="dxa"/>
            <w:tcBorders>
              <w:top w:val="nil"/>
              <w:left w:val="nil"/>
              <w:bottom w:val="nil"/>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r>
      <w:tr w:rsidR="00C54D53" w:rsidRPr="009047AC" w:rsidTr="00626599">
        <w:trPr>
          <w:trHeight w:val="20"/>
        </w:trPr>
        <w:tc>
          <w:tcPr>
            <w:tcW w:w="4515" w:type="dxa"/>
            <w:tcBorders>
              <w:top w:val="nil"/>
              <w:left w:val="single" w:sz="4" w:space="0" w:color="auto"/>
              <w:bottom w:val="double" w:sz="6" w:space="0" w:color="auto"/>
              <w:right w:val="single" w:sz="8"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698</w:t>
            </w:r>
            <w:r w:rsidRPr="009047AC">
              <w:rPr>
                <w:rFonts w:ascii="Arial" w:eastAsia="Times New Roman" w:hAnsi="Arial" w:cs="Arial"/>
                <w:sz w:val="20"/>
                <w:szCs w:val="20"/>
              </w:rPr>
              <w:br/>
              <w:t>13.93</w:t>
            </w:r>
          </w:p>
        </w:tc>
        <w:tc>
          <w:tcPr>
            <w:tcW w:w="1530" w:type="dxa"/>
            <w:tcBorders>
              <w:top w:val="nil"/>
              <w:left w:val="thickThinSmallGap" w:sz="24" w:space="0" w:color="auto"/>
              <w:bottom w:val="double" w:sz="6"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489</w:t>
            </w:r>
            <w:r w:rsidRPr="009047AC">
              <w:rPr>
                <w:rFonts w:ascii="Arial" w:eastAsia="Times New Roman" w:hAnsi="Arial" w:cs="Arial"/>
                <w:sz w:val="20"/>
                <w:szCs w:val="20"/>
              </w:rPr>
              <w:br/>
              <w:t>18.91</w:t>
            </w:r>
          </w:p>
        </w:tc>
        <w:tc>
          <w:tcPr>
            <w:tcW w:w="1530" w:type="dxa"/>
            <w:tcBorders>
              <w:top w:val="nil"/>
              <w:left w:val="nil"/>
              <w:bottom w:val="double" w:sz="6"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195</w:t>
            </w:r>
            <w:r w:rsidRPr="009047AC">
              <w:rPr>
                <w:rFonts w:ascii="Arial" w:eastAsia="Times New Roman" w:hAnsi="Arial" w:cs="Arial"/>
                <w:sz w:val="20"/>
                <w:szCs w:val="20"/>
              </w:rPr>
              <w:br/>
              <w:t>8.35</w:t>
            </w:r>
          </w:p>
        </w:tc>
        <w:tc>
          <w:tcPr>
            <w:tcW w:w="1080" w:type="dxa"/>
            <w:tcBorders>
              <w:top w:val="nil"/>
              <w:left w:val="nil"/>
              <w:bottom w:val="double" w:sz="6" w:space="0" w:color="auto"/>
              <w:right w:val="single" w:sz="4" w:space="0" w:color="auto"/>
            </w:tcBorders>
            <w:shd w:val="clear" w:color="auto" w:fill="auto"/>
            <w:noWrap/>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r>
      <w:tr w:rsidR="00C54D53" w:rsidRPr="009047AC" w:rsidTr="00626599">
        <w:trPr>
          <w:trHeight w:val="20"/>
        </w:trPr>
        <w:tc>
          <w:tcPr>
            <w:tcW w:w="4515" w:type="dxa"/>
            <w:tcBorders>
              <w:top w:val="nil"/>
              <w:left w:val="single" w:sz="4" w:space="0" w:color="auto"/>
              <w:bottom w:val="single" w:sz="4" w:space="0" w:color="auto"/>
              <w:right w:val="single" w:sz="8" w:space="0" w:color="auto"/>
            </w:tcBorders>
            <w:shd w:val="clear" w:color="auto" w:fill="auto"/>
          </w:tcPr>
          <w:p w:rsidR="00C54D53" w:rsidRPr="009047AC" w:rsidRDefault="00C54D53" w:rsidP="00626599">
            <w:pPr>
              <w:spacing w:after="0" w:line="240" w:lineRule="auto"/>
              <w:rPr>
                <w:rFonts w:ascii="Arial" w:eastAsia="Times New Roman" w:hAnsi="Arial" w:cs="Arial"/>
                <w:b/>
                <w:bCs/>
                <w:sz w:val="20"/>
                <w:szCs w:val="20"/>
              </w:rPr>
            </w:pPr>
            <w:r w:rsidRPr="009047AC">
              <w:rPr>
                <w:rFonts w:ascii="Arial" w:eastAsia="Times New Roman" w:hAnsi="Arial" w:cs="Arial"/>
                <w:b/>
                <w:bCs/>
                <w:sz w:val="20"/>
                <w:szCs w:val="20"/>
              </w:rPr>
              <w:t xml:space="preserve">In the past 12 months, have you tried to cut down on your marijuana or marijuana product use? </w:t>
            </w:r>
          </w:p>
        </w:tc>
        <w:tc>
          <w:tcPr>
            <w:tcW w:w="900" w:type="dxa"/>
            <w:tcBorders>
              <w:top w:val="nil"/>
              <w:left w:val="nil"/>
              <w:bottom w:val="single" w:sz="4" w:space="0" w:color="auto"/>
              <w:right w:val="thickThinSmallGap" w:sz="2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5010</w:t>
            </w:r>
          </w:p>
        </w:tc>
        <w:tc>
          <w:tcPr>
            <w:tcW w:w="1530" w:type="dxa"/>
            <w:tcBorders>
              <w:top w:val="nil"/>
              <w:left w:val="thickThinSmallGap" w:sz="24" w:space="0" w:color="auto"/>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w:t>
            </w:r>
          </w:p>
        </w:tc>
      </w:tr>
      <w:tr w:rsidR="00C54D53" w:rsidRPr="009047AC" w:rsidTr="00626599">
        <w:trPr>
          <w:trHeight w:val="20"/>
        </w:trPr>
        <w:tc>
          <w:tcPr>
            <w:tcW w:w="4515" w:type="dxa"/>
            <w:tcBorders>
              <w:top w:val="nil"/>
              <w:left w:val="single" w:sz="4" w:space="0" w:color="auto"/>
              <w:bottom w:val="nil"/>
              <w:right w:val="single" w:sz="8"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4094</w:t>
            </w:r>
            <w:r w:rsidRPr="009047AC">
              <w:rPr>
                <w:rFonts w:ascii="Arial" w:eastAsia="Times New Roman" w:hAnsi="Arial" w:cs="Arial"/>
                <w:sz w:val="20"/>
                <w:szCs w:val="20"/>
              </w:rPr>
              <w:br/>
              <w:t>81.72</w:t>
            </w:r>
          </w:p>
        </w:tc>
        <w:tc>
          <w:tcPr>
            <w:tcW w:w="1530" w:type="dxa"/>
            <w:tcBorders>
              <w:top w:val="nil"/>
              <w:left w:val="thickThinSmallGap" w:sz="24" w:space="0" w:color="auto"/>
              <w:bottom w:val="nil"/>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1990</w:t>
            </w:r>
            <w:r w:rsidRPr="009047AC">
              <w:rPr>
                <w:rFonts w:ascii="Arial" w:eastAsia="Times New Roman" w:hAnsi="Arial" w:cs="Arial"/>
                <w:sz w:val="20"/>
                <w:szCs w:val="20"/>
              </w:rPr>
              <w:br/>
              <w:t>77.04</w:t>
            </w:r>
          </w:p>
        </w:tc>
        <w:tc>
          <w:tcPr>
            <w:tcW w:w="1530" w:type="dxa"/>
            <w:tcBorders>
              <w:top w:val="nil"/>
              <w:left w:val="nil"/>
              <w:bottom w:val="nil"/>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2030</w:t>
            </w:r>
            <w:r w:rsidRPr="009047AC">
              <w:rPr>
                <w:rFonts w:ascii="Arial" w:eastAsia="Times New Roman" w:hAnsi="Arial" w:cs="Arial"/>
                <w:sz w:val="20"/>
                <w:szCs w:val="20"/>
              </w:rPr>
              <w:br/>
              <w:t>86.83</w:t>
            </w:r>
          </w:p>
        </w:tc>
        <w:tc>
          <w:tcPr>
            <w:tcW w:w="1080" w:type="dxa"/>
            <w:tcBorders>
              <w:top w:val="nil"/>
              <w:left w:val="nil"/>
              <w:bottom w:val="nil"/>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r>
      <w:tr w:rsidR="00C54D53" w:rsidRPr="009047AC" w:rsidTr="00626599">
        <w:trPr>
          <w:trHeight w:val="20"/>
        </w:trPr>
        <w:tc>
          <w:tcPr>
            <w:tcW w:w="4515" w:type="dxa"/>
            <w:tcBorders>
              <w:top w:val="nil"/>
              <w:left w:val="single" w:sz="4" w:space="0" w:color="auto"/>
              <w:bottom w:val="double" w:sz="6" w:space="0" w:color="auto"/>
              <w:right w:val="single" w:sz="8"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916</w:t>
            </w:r>
            <w:r w:rsidRPr="009047AC">
              <w:rPr>
                <w:rFonts w:ascii="Arial" w:eastAsia="Times New Roman" w:hAnsi="Arial" w:cs="Arial"/>
                <w:sz w:val="20"/>
                <w:szCs w:val="20"/>
              </w:rPr>
              <w:br/>
              <w:t>18.28</w:t>
            </w:r>
          </w:p>
        </w:tc>
        <w:tc>
          <w:tcPr>
            <w:tcW w:w="1530" w:type="dxa"/>
            <w:tcBorders>
              <w:top w:val="nil"/>
              <w:left w:val="thickThinSmallGap" w:sz="24" w:space="0" w:color="auto"/>
              <w:bottom w:val="double" w:sz="6"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593</w:t>
            </w:r>
            <w:r w:rsidRPr="009047AC">
              <w:rPr>
                <w:rFonts w:ascii="Arial" w:eastAsia="Times New Roman" w:hAnsi="Arial" w:cs="Arial"/>
                <w:sz w:val="20"/>
                <w:szCs w:val="20"/>
              </w:rPr>
              <w:br/>
              <w:t>22.96</w:t>
            </w:r>
          </w:p>
        </w:tc>
        <w:tc>
          <w:tcPr>
            <w:tcW w:w="1530" w:type="dxa"/>
            <w:tcBorders>
              <w:top w:val="nil"/>
              <w:left w:val="nil"/>
              <w:bottom w:val="double" w:sz="6"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308</w:t>
            </w:r>
            <w:r w:rsidRPr="009047AC">
              <w:rPr>
                <w:rFonts w:ascii="Arial" w:eastAsia="Times New Roman" w:hAnsi="Arial" w:cs="Arial"/>
                <w:sz w:val="20"/>
                <w:szCs w:val="20"/>
              </w:rPr>
              <w:br/>
              <w:t>13.17</w:t>
            </w:r>
          </w:p>
        </w:tc>
        <w:tc>
          <w:tcPr>
            <w:tcW w:w="1080" w:type="dxa"/>
            <w:tcBorders>
              <w:top w:val="nil"/>
              <w:left w:val="nil"/>
              <w:bottom w:val="double" w:sz="6" w:space="0" w:color="auto"/>
              <w:right w:val="single" w:sz="4" w:space="0" w:color="auto"/>
            </w:tcBorders>
            <w:shd w:val="clear" w:color="auto" w:fill="auto"/>
            <w:noWrap/>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r>
      <w:tr w:rsidR="00C54D53" w:rsidRPr="009047AC" w:rsidTr="00626599">
        <w:trPr>
          <w:trHeight w:val="20"/>
        </w:trPr>
        <w:tc>
          <w:tcPr>
            <w:tcW w:w="4515" w:type="dxa"/>
            <w:tcBorders>
              <w:top w:val="nil"/>
              <w:left w:val="single" w:sz="4" w:space="0" w:color="auto"/>
              <w:bottom w:val="single" w:sz="4" w:space="0" w:color="auto"/>
              <w:right w:val="single" w:sz="8" w:space="0" w:color="auto"/>
            </w:tcBorders>
            <w:shd w:val="clear" w:color="auto" w:fill="auto"/>
          </w:tcPr>
          <w:p w:rsidR="00C54D53" w:rsidRPr="009047AC" w:rsidRDefault="00C54D53" w:rsidP="00626599">
            <w:pPr>
              <w:spacing w:after="0" w:line="240" w:lineRule="auto"/>
              <w:rPr>
                <w:rFonts w:ascii="Arial" w:eastAsia="Times New Roman" w:hAnsi="Arial" w:cs="Arial"/>
                <w:b/>
                <w:bCs/>
                <w:sz w:val="20"/>
                <w:szCs w:val="20"/>
              </w:rPr>
            </w:pPr>
            <w:r w:rsidRPr="009047AC">
              <w:rPr>
                <w:rFonts w:ascii="Arial" w:eastAsia="Times New Roman" w:hAnsi="Arial" w:cs="Arial"/>
                <w:b/>
                <w:bCs/>
                <w:sz w:val="20"/>
                <w:szCs w:val="20"/>
              </w:rPr>
              <w:t>In the past 12 months, have you felt sick or had withdrawal symptoms because you stopped or cut down on your marijuana or marijuana product use? †</w:t>
            </w:r>
          </w:p>
        </w:tc>
        <w:tc>
          <w:tcPr>
            <w:tcW w:w="900" w:type="dxa"/>
            <w:tcBorders>
              <w:top w:val="nil"/>
              <w:left w:val="nil"/>
              <w:bottom w:val="single" w:sz="4" w:space="0" w:color="auto"/>
              <w:right w:val="thickThinSmallGap" w:sz="2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863</w:t>
            </w:r>
          </w:p>
        </w:tc>
        <w:tc>
          <w:tcPr>
            <w:tcW w:w="1530" w:type="dxa"/>
            <w:tcBorders>
              <w:top w:val="nil"/>
              <w:left w:val="thickThinSmallGap" w:sz="24" w:space="0" w:color="auto"/>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ns</w:t>
            </w:r>
          </w:p>
        </w:tc>
      </w:tr>
      <w:tr w:rsidR="00C54D53" w:rsidRPr="009047AC" w:rsidTr="00626599">
        <w:trPr>
          <w:trHeight w:val="20"/>
        </w:trPr>
        <w:tc>
          <w:tcPr>
            <w:tcW w:w="4515" w:type="dxa"/>
            <w:tcBorders>
              <w:top w:val="nil"/>
              <w:left w:val="single" w:sz="4" w:space="0" w:color="auto"/>
              <w:bottom w:val="nil"/>
              <w:right w:val="single" w:sz="8"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786</w:t>
            </w:r>
            <w:r w:rsidRPr="009047AC">
              <w:rPr>
                <w:rFonts w:ascii="Arial" w:eastAsia="Times New Roman" w:hAnsi="Arial" w:cs="Arial"/>
                <w:sz w:val="20"/>
                <w:szCs w:val="20"/>
              </w:rPr>
              <w:br/>
              <w:t>91.08</w:t>
            </w:r>
          </w:p>
        </w:tc>
        <w:tc>
          <w:tcPr>
            <w:tcW w:w="1530" w:type="dxa"/>
            <w:tcBorders>
              <w:top w:val="nil"/>
              <w:left w:val="thickThinSmallGap" w:sz="24" w:space="0" w:color="auto"/>
              <w:bottom w:val="nil"/>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499</w:t>
            </w:r>
            <w:r w:rsidRPr="009047AC">
              <w:rPr>
                <w:rFonts w:ascii="Arial" w:eastAsia="Times New Roman" w:hAnsi="Arial" w:cs="Arial"/>
                <w:sz w:val="20"/>
                <w:szCs w:val="20"/>
              </w:rPr>
              <w:br/>
              <w:t>89.75</w:t>
            </w:r>
          </w:p>
        </w:tc>
        <w:tc>
          <w:tcPr>
            <w:tcW w:w="1530" w:type="dxa"/>
            <w:tcBorders>
              <w:top w:val="nil"/>
              <w:left w:val="nil"/>
              <w:bottom w:val="nil"/>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270</w:t>
            </w:r>
            <w:r w:rsidRPr="009047AC">
              <w:rPr>
                <w:rFonts w:ascii="Arial" w:eastAsia="Times New Roman" w:hAnsi="Arial" w:cs="Arial"/>
                <w:sz w:val="20"/>
                <w:szCs w:val="20"/>
              </w:rPr>
              <w:br/>
              <w:t>93.10</w:t>
            </w:r>
          </w:p>
        </w:tc>
        <w:tc>
          <w:tcPr>
            <w:tcW w:w="1080" w:type="dxa"/>
            <w:tcBorders>
              <w:top w:val="nil"/>
              <w:left w:val="nil"/>
              <w:bottom w:val="nil"/>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r>
      <w:tr w:rsidR="00C54D53" w:rsidRPr="009047AC" w:rsidTr="00626599">
        <w:trPr>
          <w:trHeight w:val="20"/>
        </w:trPr>
        <w:tc>
          <w:tcPr>
            <w:tcW w:w="4515" w:type="dxa"/>
            <w:tcBorders>
              <w:top w:val="nil"/>
              <w:left w:val="single" w:sz="4" w:space="0" w:color="auto"/>
              <w:bottom w:val="single" w:sz="4" w:space="0" w:color="auto"/>
              <w:right w:val="single" w:sz="8"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Yes</w:t>
            </w:r>
          </w:p>
        </w:tc>
        <w:tc>
          <w:tcPr>
            <w:tcW w:w="900" w:type="dxa"/>
            <w:tcBorders>
              <w:top w:val="nil"/>
              <w:left w:val="nil"/>
              <w:bottom w:val="single" w:sz="4" w:space="0" w:color="auto"/>
              <w:right w:val="thickThinSmallGap" w:sz="2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77</w:t>
            </w:r>
            <w:r w:rsidRPr="009047AC">
              <w:rPr>
                <w:rFonts w:ascii="Arial" w:eastAsia="Times New Roman" w:hAnsi="Arial" w:cs="Arial"/>
                <w:sz w:val="20"/>
                <w:szCs w:val="20"/>
              </w:rPr>
              <w:br/>
              <w:t>8.92</w:t>
            </w:r>
          </w:p>
        </w:tc>
        <w:tc>
          <w:tcPr>
            <w:tcW w:w="1530" w:type="dxa"/>
            <w:tcBorders>
              <w:top w:val="nil"/>
              <w:left w:val="thickThinSmallGap" w:sz="24" w:space="0" w:color="auto"/>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57</w:t>
            </w:r>
            <w:r w:rsidRPr="009047AC">
              <w:rPr>
                <w:rFonts w:ascii="Arial" w:eastAsia="Times New Roman" w:hAnsi="Arial" w:cs="Arial"/>
                <w:sz w:val="20"/>
                <w:szCs w:val="20"/>
              </w:rPr>
              <w:br/>
              <w:t>10.25</w:t>
            </w:r>
          </w:p>
        </w:tc>
        <w:tc>
          <w:tcPr>
            <w:tcW w:w="1530" w:type="dxa"/>
            <w:tcBorders>
              <w:top w:val="nil"/>
              <w:left w:val="nil"/>
              <w:bottom w:val="single" w:sz="4" w:space="0" w:color="auto"/>
              <w:right w:val="single" w:sz="4" w:space="0" w:color="auto"/>
            </w:tcBorders>
            <w:shd w:val="clear" w:color="auto" w:fill="auto"/>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20</w:t>
            </w:r>
            <w:r w:rsidRPr="009047AC">
              <w:rPr>
                <w:rFonts w:ascii="Arial" w:eastAsia="Times New Roman" w:hAnsi="Arial" w:cs="Arial"/>
                <w:sz w:val="20"/>
                <w:szCs w:val="20"/>
              </w:rPr>
              <w:br/>
              <w:t>6.90</w:t>
            </w:r>
          </w:p>
        </w:tc>
        <w:tc>
          <w:tcPr>
            <w:tcW w:w="1080" w:type="dxa"/>
            <w:tcBorders>
              <w:top w:val="nil"/>
              <w:left w:val="nil"/>
              <w:bottom w:val="single" w:sz="4" w:space="0" w:color="auto"/>
              <w:right w:val="single" w:sz="4" w:space="0" w:color="auto"/>
            </w:tcBorders>
            <w:shd w:val="clear" w:color="auto" w:fill="auto"/>
            <w:noWrap/>
          </w:tcPr>
          <w:p w:rsidR="00C54D53" w:rsidRPr="009047AC" w:rsidRDefault="00C54D53" w:rsidP="00626599">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r>
      <w:tr w:rsidR="00C54D53" w:rsidRPr="009047AC" w:rsidTr="00626599">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C54D53" w:rsidRPr="009047AC" w:rsidRDefault="00C54D53" w:rsidP="00626599">
            <w:pPr>
              <w:tabs>
                <w:tab w:val="left" w:pos="3435"/>
              </w:tabs>
              <w:spacing w:after="0" w:line="240" w:lineRule="auto"/>
              <w:rPr>
                <w:rFonts w:ascii="Arial" w:eastAsia="Times New Roman" w:hAnsi="Arial" w:cs="Arial"/>
                <w:sz w:val="20"/>
                <w:szCs w:val="20"/>
              </w:rPr>
            </w:pPr>
            <w:r w:rsidRPr="009047AC">
              <w:rPr>
                <w:rFonts w:ascii="Arial" w:eastAsia="Times New Roman" w:hAnsi="Arial" w:cs="Arial"/>
                <w:b/>
                <w:bCs/>
                <w:sz w:val="20"/>
                <w:szCs w:val="20"/>
              </w:rPr>
              <w:t>†</w:t>
            </w:r>
            <w:r w:rsidRPr="009047AC">
              <w:rPr>
                <w:rFonts w:ascii="Arial" w:eastAsia="Times New Roman" w:hAnsi="Arial" w:cs="Arial"/>
                <w:i/>
                <w:iCs/>
                <w:sz w:val="20"/>
                <w:szCs w:val="20"/>
              </w:rPr>
              <w:t xml:space="preserve"> Among respondents who reported trying to cut down on marijuana or marijuana product use in the past 12 months</w:t>
            </w:r>
            <w:r w:rsidRPr="009047AC">
              <w:rPr>
                <w:rFonts w:ascii="Arial" w:eastAsia="Times New Roman" w:hAnsi="Arial" w:cs="Arial"/>
                <w:i/>
                <w:iCs/>
                <w:sz w:val="20"/>
                <w:szCs w:val="20"/>
              </w:rPr>
              <w:br/>
              <w:t>*p&lt;0.05; **p&lt;0.01; ***p&lt;0.001; ****p&lt;0.0001; ns=not significant</w:t>
            </w:r>
          </w:p>
        </w:tc>
      </w:tr>
    </w:tbl>
    <w:p w:rsidR="00C54D53" w:rsidRPr="009047AC" w:rsidRDefault="00C54D53" w:rsidP="00C54D53">
      <w:pPr>
        <w:spacing w:after="0" w:line="240" w:lineRule="auto"/>
        <w:rPr>
          <w:rFonts w:ascii="Arial" w:eastAsia="Calibri" w:hAnsi="Arial" w:cs="Arial"/>
          <w:sz w:val="24"/>
          <w:szCs w:val="24"/>
        </w:rPr>
        <w:sectPr w:rsidR="00C54D53" w:rsidRPr="009047AC" w:rsidSect="00465399">
          <w:pgSz w:w="12240" w:h="15840"/>
          <w:pgMar w:top="1440" w:right="1440" w:bottom="1440" w:left="1440" w:header="630" w:footer="0" w:gutter="0"/>
          <w:cols w:space="720"/>
          <w:docGrid w:linePitch="360"/>
        </w:sectPr>
      </w:pPr>
    </w:p>
    <w:p w:rsidR="000E5D59" w:rsidRPr="009047AC" w:rsidRDefault="009047AC" w:rsidP="006057BE">
      <w:pPr>
        <w:spacing w:after="0" w:line="240" w:lineRule="auto"/>
        <w:rPr>
          <w:rFonts w:ascii="Arial" w:eastAsia="Calibri" w:hAnsi="Arial" w:cs="Arial"/>
          <w:b/>
          <w:sz w:val="24"/>
          <w:szCs w:val="24"/>
        </w:rPr>
      </w:pPr>
      <w:r w:rsidRPr="009047AC">
        <w:rPr>
          <w:rFonts w:ascii="Arial" w:eastAsia="Calibri" w:hAnsi="Arial" w:cs="Arial"/>
          <w:b/>
          <w:sz w:val="24"/>
          <w:szCs w:val="24"/>
        </w:rPr>
        <w:t>Table 18C</w:t>
      </w:r>
      <w:r w:rsidR="000E5D59" w:rsidRPr="009047AC">
        <w:rPr>
          <w:rFonts w:ascii="Arial" w:eastAsia="Calibri" w:hAnsi="Arial" w:cs="Arial"/>
          <w:b/>
          <w:sz w:val="24"/>
          <w:szCs w:val="24"/>
        </w:rPr>
        <w:t>: DPH Patient Survey Other Issues Related to Marijuana Use by Educatio</w:t>
      </w:r>
      <w:r w:rsidR="00A3309E" w:rsidRPr="009047AC">
        <w:rPr>
          <w:rFonts w:ascii="Arial" w:eastAsia="Calibri" w:hAnsi="Arial" w:cs="Arial"/>
          <w:b/>
          <w:sz w:val="24"/>
          <w:szCs w:val="24"/>
        </w:rPr>
        <w:t>n (Among All 6,934 Respondents)</w:t>
      </w:r>
    </w:p>
    <w:tbl>
      <w:tblPr>
        <w:tblW w:w="9555" w:type="dxa"/>
        <w:tblInd w:w="93" w:type="dxa"/>
        <w:tblLook w:val="04A0" w:firstRow="1" w:lastRow="0" w:firstColumn="1" w:lastColumn="0" w:noHBand="0" w:noVBand="1"/>
        <w:tblCaption w:val="DPH Patient Survey Other Issues Related to Marijuana Use by Education (Among All 6,934 Respondents)"/>
      </w:tblPr>
      <w:tblGrid>
        <w:gridCol w:w="4688"/>
        <w:gridCol w:w="817"/>
        <w:gridCol w:w="1530"/>
        <w:gridCol w:w="1530"/>
        <w:gridCol w:w="990"/>
      </w:tblGrid>
      <w:tr w:rsidR="000E5D59" w:rsidRPr="009047AC" w:rsidTr="00784755">
        <w:trPr>
          <w:trHeight w:val="20"/>
        </w:trPr>
        <w:tc>
          <w:tcPr>
            <w:tcW w:w="4688"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9047AC" w:rsidRDefault="000E5D59" w:rsidP="006057BE">
            <w:pPr>
              <w:spacing w:after="0" w:line="240" w:lineRule="auto"/>
              <w:jc w:val="center"/>
              <w:rPr>
                <w:rFonts w:ascii="Arial" w:eastAsia="Times New Roman" w:hAnsi="Arial" w:cs="Arial"/>
                <w:b/>
                <w:bCs/>
                <w:sz w:val="20"/>
                <w:szCs w:val="20"/>
              </w:rPr>
            </w:pPr>
            <w:r w:rsidRPr="009047AC">
              <w:rPr>
                <w:rFonts w:ascii="Arial" w:eastAsia="Times New Roman" w:hAnsi="Arial" w:cs="Arial"/>
                <w:b/>
                <w:bCs/>
                <w:sz w:val="20"/>
                <w:szCs w:val="20"/>
              </w:rPr>
              <w:t> </w:t>
            </w:r>
          </w:p>
        </w:tc>
        <w:tc>
          <w:tcPr>
            <w:tcW w:w="817"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9047AC" w:rsidRDefault="000E5D59" w:rsidP="006057BE">
            <w:pPr>
              <w:spacing w:after="0" w:line="240" w:lineRule="auto"/>
              <w:jc w:val="center"/>
              <w:rPr>
                <w:rFonts w:ascii="Arial" w:eastAsia="Times New Roman" w:hAnsi="Arial" w:cs="Arial"/>
                <w:b/>
                <w:sz w:val="20"/>
                <w:szCs w:val="20"/>
              </w:rPr>
            </w:pPr>
            <w:r w:rsidRPr="009047AC">
              <w:rPr>
                <w:rFonts w:ascii="Arial" w:eastAsia="Times New Roman" w:hAnsi="Arial" w:cs="Arial"/>
                <w:b/>
                <w:sz w:val="20"/>
                <w:szCs w:val="20"/>
              </w:rPr>
              <w:t>Total</w:t>
            </w:r>
          </w:p>
          <w:p w:rsidR="000E5D59" w:rsidRPr="009047AC" w:rsidRDefault="000E5D59" w:rsidP="006057BE">
            <w:pPr>
              <w:spacing w:after="0" w:line="240" w:lineRule="auto"/>
              <w:jc w:val="right"/>
              <w:rPr>
                <w:rFonts w:ascii="Arial" w:eastAsia="Times New Roman" w:hAnsi="Arial" w:cs="Arial"/>
                <w:b/>
                <w:sz w:val="20"/>
                <w:szCs w:val="20"/>
              </w:rPr>
            </w:pPr>
            <w:r w:rsidRPr="009047AC">
              <w:rPr>
                <w:rFonts w:ascii="Arial" w:eastAsia="Times New Roman" w:hAnsi="Arial" w:cs="Arial"/>
                <w:b/>
                <w:sz w:val="20"/>
                <w:szCs w:val="20"/>
              </w:rPr>
              <w:t>N</w:t>
            </w:r>
          </w:p>
          <w:p w:rsidR="000E5D59" w:rsidRPr="009047AC" w:rsidRDefault="000E5D59" w:rsidP="006057BE">
            <w:pPr>
              <w:spacing w:after="0" w:line="240" w:lineRule="auto"/>
              <w:jc w:val="right"/>
              <w:rPr>
                <w:rFonts w:ascii="Arial" w:eastAsia="Times New Roman" w:hAnsi="Arial" w:cs="Arial"/>
                <w:b/>
                <w:bCs/>
                <w:sz w:val="20"/>
                <w:szCs w:val="20"/>
              </w:rPr>
            </w:pPr>
            <w:r w:rsidRPr="009047AC">
              <w:rPr>
                <w:rFonts w:ascii="Arial" w:eastAsia="Times New Roman" w:hAnsi="Arial" w:cs="Arial"/>
                <w:b/>
                <w:sz w:val="20"/>
                <w:szCs w:val="20"/>
              </w:rPr>
              <w:t>%</w:t>
            </w:r>
          </w:p>
        </w:tc>
        <w:tc>
          <w:tcPr>
            <w:tcW w:w="405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9047AC" w:rsidRDefault="000E5D59" w:rsidP="006057BE">
            <w:pPr>
              <w:spacing w:after="0" w:line="240" w:lineRule="auto"/>
              <w:jc w:val="center"/>
              <w:rPr>
                <w:rFonts w:ascii="Arial" w:eastAsia="Times New Roman" w:hAnsi="Arial" w:cs="Arial"/>
                <w:b/>
                <w:bCs/>
                <w:sz w:val="20"/>
                <w:szCs w:val="20"/>
              </w:rPr>
            </w:pPr>
            <w:r w:rsidRPr="009047AC">
              <w:rPr>
                <w:rFonts w:ascii="Arial" w:eastAsia="Times New Roman" w:hAnsi="Arial" w:cs="Arial"/>
                <w:b/>
                <w:bCs/>
                <w:sz w:val="20"/>
                <w:szCs w:val="20"/>
              </w:rPr>
              <w:t>Education</w:t>
            </w:r>
          </w:p>
        </w:tc>
      </w:tr>
      <w:tr w:rsidR="000E5D59" w:rsidRPr="009047AC" w:rsidTr="00784755">
        <w:trPr>
          <w:trHeight w:val="20"/>
        </w:trPr>
        <w:tc>
          <w:tcPr>
            <w:tcW w:w="4688" w:type="dxa"/>
            <w:vMerge/>
            <w:tcBorders>
              <w:top w:val="nil"/>
              <w:left w:val="single" w:sz="4" w:space="0" w:color="auto"/>
              <w:bottom w:val="double" w:sz="6" w:space="0" w:color="000000"/>
              <w:right w:val="single" w:sz="8" w:space="0" w:color="auto"/>
            </w:tcBorders>
            <w:shd w:val="clear" w:color="auto" w:fill="auto"/>
            <w:vAlign w:val="center"/>
          </w:tcPr>
          <w:p w:rsidR="000E5D59" w:rsidRPr="009047AC" w:rsidRDefault="000E5D59" w:rsidP="006057BE">
            <w:pPr>
              <w:spacing w:after="0" w:line="240" w:lineRule="auto"/>
              <w:rPr>
                <w:rFonts w:ascii="Arial" w:eastAsia="Times New Roman" w:hAnsi="Arial" w:cs="Arial"/>
                <w:b/>
                <w:bCs/>
                <w:sz w:val="20"/>
                <w:szCs w:val="20"/>
              </w:rPr>
            </w:pPr>
          </w:p>
        </w:tc>
        <w:tc>
          <w:tcPr>
            <w:tcW w:w="817"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9047AC" w:rsidRDefault="000E5D59" w:rsidP="006057BE">
            <w:pPr>
              <w:spacing w:after="0" w:line="240" w:lineRule="auto"/>
              <w:rPr>
                <w:rFonts w:ascii="Arial" w:eastAsia="Times New Roman"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0E5D59" w:rsidRPr="009047AC" w:rsidRDefault="000E5D59" w:rsidP="006057BE">
            <w:pPr>
              <w:spacing w:after="0" w:line="240" w:lineRule="auto"/>
              <w:jc w:val="center"/>
              <w:rPr>
                <w:rFonts w:ascii="Arial" w:eastAsia="Times New Roman" w:hAnsi="Arial" w:cs="Arial"/>
                <w:b/>
                <w:bCs/>
                <w:sz w:val="20"/>
                <w:szCs w:val="20"/>
              </w:rPr>
            </w:pPr>
            <w:r w:rsidRPr="009047AC">
              <w:rPr>
                <w:rFonts w:ascii="Arial" w:eastAsia="Times New Roman" w:hAnsi="Arial" w:cs="Arial"/>
                <w:b/>
                <w:bCs/>
                <w:sz w:val="20"/>
                <w:szCs w:val="20"/>
              </w:rPr>
              <w:t>&lt; Bachelor's</w:t>
            </w:r>
            <w:r w:rsidRPr="009047AC">
              <w:rPr>
                <w:rFonts w:ascii="Arial" w:eastAsia="Times New Roman" w:hAnsi="Arial" w:cs="Arial"/>
                <w:b/>
                <w:bCs/>
                <w:sz w:val="20"/>
                <w:szCs w:val="20"/>
              </w:rPr>
              <w:br/>
            </w:r>
            <w:r w:rsidRPr="009047AC">
              <w:rPr>
                <w:rFonts w:ascii="Arial" w:eastAsia="Times New Roman" w:hAnsi="Arial" w:cs="Arial"/>
                <w:sz w:val="20"/>
                <w:szCs w:val="20"/>
              </w:rPr>
              <w:t>(N=3282)</w:t>
            </w:r>
          </w:p>
        </w:tc>
        <w:tc>
          <w:tcPr>
            <w:tcW w:w="1530" w:type="dxa"/>
            <w:tcBorders>
              <w:top w:val="nil"/>
              <w:left w:val="nil"/>
              <w:bottom w:val="double" w:sz="6" w:space="0" w:color="auto"/>
              <w:right w:val="single" w:sz="4" w:space="0" w:color="auto"/>
            </w:tcBorders>
            <w:shd w:val="clear" w:color="auto" w:fill="auto"/>
            <w:vAlign w:val="center"/>
          </w:tcPr>
          <w:p w:rsidR="000E5D59" w:rsidRPr="009047AC" w:rsidRDefault="000E5D59" w:rsidP="006057BE">
            <w:pPr>
              <w:spacing w:after="0" w:line="240" w:lineRule="auto"/>
              <w:jc w:val="center"/>
              <w:rPr>
                <w:rFonts w:ascii="Arial" w:eastAsia="Times New Roman" w:hAnsi="Arial" w:cs="Arial"/>
                <w:b/>
                <w:bCs/>
                <w:sz w:val="20"/>
                <w:szCs w:val="20"/>
              </w:rPr>
            </w:pPr>
            <w:r w:rsidRPr="009047AC">
              <w:rPr>
                <w:rFonts w:ascii="Arial" w:eastAsia="Times New Roman" w:hAnsi="Arial" w:cs="Arial"/>
                <w:b/>
                <w:bCs/>
                <w:sz w:val="20"/>
                <w:szCs w:val="20"/>
              </w:rPr>
              <w:t>≥ Bachelor's</w:t>
            </w:r>
            <w:r w:rsidRPr="009047AC">
              <w:rPr>
                <w:rFonts w:ascii="Arial" w:eastAsia="Times New Roman" w:hAnsi="Arial" w:cs="Arial"/>
                <w:b/>
                <w:bCs/>
                <w:sz w:val="20"/>
                <w:szCs w:val="20"/>
              </w:rPr>
              <w:br/>
            </w:r>
            <w:r w:rsidRPr="009047AC">
              <w:rPr>
                <w:rFonts w:ascii="Arial" w:eastAsia="Times New Roman" w:hAnsi="Arial" w:cs="Arial"/>
                <w:sz w:val="20"/>
                <w:szCs w:val="20"/>
              </w:rPr>
              <w:t>(N=3595)</w:t>
            </w:r>
          </w:p>
        </w:tc>
        <w:tc>
          <w:tcPr>
            <w:tcW w:w="990" w:type="dxa"/>
            <w:tcBorders>
              <w:top w:val="nil"/>
              <w:left w:val="nil"/>
              <w:bottom w:val="double" w:sz="6" w:space="0" w:color="auto"/>
              <w:right w:val="single" w:sz="4" w:space="0" w:color="auto"/>
            </w:tcBorders>
            <w:shd w:val="clear" w:color="auto" w:fill="auto"/>
            <w:vAlign w:val="center"/>
          </w:tcPr>
          <w:p w:rsidR="000E5D59" w:rsidRPr="009047AC" w:rsidRDefault="000E5D59" w:rsidP="006057BE">
            <w:pPr>
              <w:spacing w:after="0" w:line="240" w:lineRule="auto"/>
              <w:jc w:val="center"/>
              <w:rPr>
                <w:rFonts w:ascii="Arial" w:eastAsia="Times New Roman" w:hAnsi="Arial" w:cs="Arial"/>
                <w:b/>
                <w:bCs/>
                <w:sz w:val="20"/>
                <w:szCs w:val="20"/>
              </w:rPr>
            </w:pPr>
            <w:r w:rsidRPr="009047AC">
              <w:rPr>
                <w:rFonts w:ascii="Arial" w:eastAsia="Times New Roman" w:hAnsi="Arial" w:cs="Arial"/>
                <w:b/>
                <w:bCs/>
                <w:sz w:val="20"/>
                <w:szCs w:val="20"/>
              </w:rPr>
              <w:t>p-value</w:t>
            </w:r>
          </w:p>
        </w:tc>
      </w:tr>
      <w:tr w:rsidR="000E5D59" w:rsidRPr="009047AC" w:rsidTr="00784755">
        <w:trPr>
          <w:trHeight w:val="20"/>
        </w:trPr>
        <w:tc>
          <w:tcPr>
            <w:tcW w:w="4688" w:type="dxa"/>
            <w:tcBorders>
              <w:top w:val="nil"/>
              <w:left w:val="single" w:sz="4" w:space="0" w:color="auto"/>
              <w:bottom w:val="single" w:sz="4" w:space="0" w:color="auto"/>
              <w:right w:val="single" w:sz="8" w:space="0" w:color="auto"/>
            </w:tcBorders>
            <w:shd w:val="clear" w:color="auto" w:fill="auto"/>
          </w:tcPr>
          <w:p w:rsidR="000E5D59" w:rsidRPr="009047AC" w:rsidRDefault="000E5D59" w:rsidP="006057BE">
            <w:pPr>
              <w:spacing w:after="0" w:line="240" w:lineRule="auto"/>
              <w:rPr>
                <w:rFonts w:ascii="Arial" w:eastAsia="Times New Roman" w:hAnsi="Arial" w:cs="Arial"/>
                <w:b/>
                <w:bCs/>
                <w:sz w:val="20"/>
                <w:szCs w:val="20"/>
              </w:rPr>
            </w:pPr>
            <w:r w:rsidRPr="009047AC">
              <w:rPr>
                <w:rFonts w:ascii="Arial" w:eastAsia="Times New Roman" w:hAnsi="Arial" w:cs="Arial"/>
                <w:b/>
                <w:bCs/>
                <w:sz w:val="20"/>
                <w:szCs w:val="20"/>
              </w:rPr>
              <w:t xml:space="preserve">Have you noticed any of the following </w:t>
            </w:r>
            <w:r w:rsidRPr="009047AC">
              <w:rPr>
                <w:rFonts w:ascii="Arial" w:eastAsia="Times New Roman" w:hAnsi="Arial" w:cs="Arial"/>
                <w:b/>
                <w:bCs/>
                <w:i/>
                <w:iCs/>
                <w:sz w:val="20"/>
                <w:szCs w:val="20"/>
              </w:rPr>
              <w:t>negative</w:t>
            </w:r>
            <w:r w:rsidRPr="009047AC">
              <w:rPr>
                <w:rFonts w:ascii="Arial" w:eastAsia="Times New Roman" w:hAnsi="Arial" w:cs="Arial"/>
                <w:b/>
                <w:bCs/>
                <w:sz w:val="20"/>
                <w:szCs w:val="20"/>
              </w:rPr>
              <w:t xml:space="preserve"> outcomes/consequences related to your marijuana use?</w:t>
            </w:r>
          </w:p>
        </w:tc>
        <w:tc>
          <w:tcPr>
            <w:tcW w:w="817" w:type="dxa"/>
            <w:tcBorders>
              <w:top w:val="nil"/>
              <w:left w:val="nil"/>
              <w:bottom w:val="single" w:sz="4" w:space="0" w:color="auto"/>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6572</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r>
      <w:tr w:rsidR="000E5D59" w:rsidRPr="009047AC" w:rsidTr="00784755">
        <w:trPr>
          <w:trHeight w:val="20"/>
        </w:trPr>
        <w:tc>
          <w:tcPr>
            <w:tcW w:w="4688" w:type="dxa"/>
            <w:tcBorders>
              <w:top w:val="nil"/>
              <w:left w:val="single" w:sz="4" w:space="0" w:color="auto"/>
              <w:bottom w:val="nil"/>
              <w:right w:val="single" w:sz="8"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xml:space="preserve">Negative changes in mood or mental health </w:t>
            </w:r>
          </w:p>
        </w:tc>
        <w:tc>
          <w:tcPr>
            <w:tcW w:w="817" w:type="dxa"/>
            <w:tcBorders>
              <w:top w:val="nil"/>
              <w:left w:val="nil"/>
              <w:bottom w:val="nil"/>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141</w:t>
            </w:r>
            <w:r w:rsidRPr="009047AC">
              <w:rPr>
                <w:rFonts w:ascii="Arial" w:eastAsia="Times New Roman" w:hAnsi="Arial" w:cs="Arial"/>
                <w:sz w:val="20"/>
                <w:szCs w:val="20"/>
              </w:rPr>
              <w:br/>
              <w:t>2.15</w:t>
            </w:r>
          </w:p>
        </w:tc>
        <w:tc>
          <w:tcPr>
            <w:tcW w:w="1530" w:type="dxa"/>
            <w:tcBorders>
              <w:top w:val="nil"/>
              <w:left w:val="thickThinSmallGap" w:sz="24" w:space="0" w:color="auto"/>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65</w:t>
            </w:r>
            <w:r w:rsidRPr="009047AC">
              <w:rPr>
                <w:rFonts w:ascii="Arial" w:eastAsia="Times New Roman" w:hAnsi="Arial" w:cs="Arial"/>
                <w:sz w:val="20"/>
                <w:szCs w:val="20"/>
              </w:rPr>
              <w:br/>
              <w:t>2.08</w:t>
            </w:r>
          </w:p>
        </w:tc>
        <w:tc>
          <w:tcPr>
            <w:tcW w:w="153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75</w:t>
            </w:r>
            <w:r w:rsidRPr="009047AC">
              <w:rPr>
                <w:rFonts w:ascii="Arial" w:eastAsia="Times New Roman" w:hAnsi="Arial" w:cs="Arial"/>
                <w:sz w:val="20"/>
                <w:szCs w:val="20"/>
              </w:rPr>
              <w:br/>
              <w:t>2.18</w:t>
            </w:r>
          </w:p>
        </w:tc>
        <w:tc>
          <w:tcPr>
            <w:tcW w:w="99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ns</w:t>
            </w:r>
          </w:p>
        </w:tc>
      </w:tr>
      <w:tr w:rsidR="000E5D59" w:rsidRPr="009047AC" w:rsidTr="00784755">
        <w:trPr>
          <w:trHeight w:val="20"/>
        </w:trPr>
        <w:tc>
          <w:tcPr>
            <w:tcW w:w="4688" w:type="dxa"/>
            <w:tcBorders>
              <w:top w:val="nil"/>
              <w:left w:val="single" w:sz="4" w:space="0" w:color="auto"/>
              <w:bottom w:val="nil"/>
              <w:right w:val="single" w:sz="8"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xml:space="preserve">Reduction in physical health </w:t>
            </w:r>
          </w:p>
        </w:tc>
        <w:tc>
          <w:tcPr>
            <w:tcW w:w="817" w:type="dxa"/>
            <w:tcBorders>
              <w:top w:val="nil"/>
              <w:left w:val="nil"/>
              <w:bottom w:val="nil"/>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57</w:t>
            </w:r>
            <w:r w:rsidRPr="009047AC">
              <w:rPr>
                <w:rFonts w:ascii="Arial" w:eastAsia="Times New Roman" w:hAnsi="Arial" w:cs="Arial"/>
                <w:sz w:val="20"/>
                <w:szCs w:val="20"/>
              </w:rPr>
              <w:br/>
              <w:t>0.87</w:t>
            </w:r>
          </w:p>
        </w:tc>
        <w:tc>
          <w:tcPr>
            <w:tcW w:w="1530" w:type="dxa"/>
            <w:tcBorders>
              <w:top w:val="nil"/>
              <w:left w:val="thickThinSmallGap" w:sz="24" w:space="0" w:color="auto"/>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28</w:t>
            </w:r>
            <w:r w:rsidRPr="009047AC">
              <w:rPr>
                <w:rFonts w:ascii="Arial" w:eastAsia="Times New Roman" w:hAnsi="Arial" w:cs="Arial"/>
                <w:sz w:val="20"/>
                <w:szCs w:val="20"/>
              </w:rPr>
              <w:br/>
              <w:t>0.90</w:t>
            </w:r>
          </w:p>
        </w:tc>
        <w:tc>
          <w:tcPr>
            <w:tcW w:w="153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29</w:t>
            </w:r>
            <w:r w:rsidRPr="009047AC">
              <w:rPr>
                <w:rFonts w:ascii="Arial" w:eastAsia="Times New Roman" w:hAnsi="Arial" w:cs="Arial"/>
                <w:sz w:val="20"/>
                <w:szCs w:val="20"/>
              </w:rPr>
              <w:br/>
              <w:t>0.84</w:t>
            </w:r>
          </w:p>
        </w:tc>
        <w:tc>
          <w:tcPr>
            <w:tcW w:w="990" w:type="dxa"/>
            <w:tcBorders>
              <w:top w:val="nil"/>
              <w:left w:val="nil"/>
              <w:bottom w:val="nil"/>
              <w:right w:val="single" w:sz="4" w:space="0" w:color="auto"/>
            </w:tcBorders>
            <w:shd w:val="clear" w:color="auto" w:fill="auto"/>
            <w:noWrap/>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ns</w:t>
            </w:r>
          </w:p>
        </w:tc>
      </w:tr>
      <w:tr w:rsidR="000E5D59" w:rsidRPr="009047AC" w:rsidTr="00784755">
        <w:trPr>
          <w:trHeight w:val="20"/>
        </w:trPr>
        <w:tc>
          <w:tcPr>
            <w:tcW w:w="4688" w:type="dxa"/>
            <w:tcBorders>
              <w:top w:val="nil"/>
              <w:left w:val="single" w:sz="4" w:space="0" w:color="auto"/>
              <w:bottom w:val="nil"/>
              <w:right w:val="single" w:sz="8"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xml:space="preserve">Negative changes in cognition </w:t>
            </w:r>
          </w:p>
        </w:tc>
        <w:tc>
          <w:tcPr>
            <w:tcW w:w="817" w:type="dxa"/>
            <w:tcBorders>
              <w:top w:val="nil"/>
              <w:left w:val="nil"/>
              <w:bottom w:val="nil"/>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435</w:t>
            </w:r>
            <w:r w:rsidRPr="009047AC">
              <w:rPr>
                <w:rFonts w:ascii="Arial" w:eastAsia="Times New Roman" w:hAnsi="Arial" w:cs="Arial"/>
                <w:sz w:val="20"/>
                <w:szCs w:val="20"/>
              </w:rPr>
              <w:br/>
              <w:t>6.62</w:t>
            </w:r>
          </w:p>
        </w:tc>
        <w:tc>
          <w:tcPr>
            <w:tcW w:w="1530" w:type="dxa"/>
            <w:tcBorders>
              <w:top w:val="nil"/>
              <w:left w:val="thickThinSmallGap" w:sz="24" w:space="0" w:color="auto"/>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163</w:t>
            </w:r>
            <w:r w:rsidRPr="009047AC">
              <w:rPr>
                <w:rFonts w:ascii="Arial" w:eastAsia="Times New Roman" w:hAnsi="Arial" w:cs="Arial"/>
                <w:sz w:val="20"/>
                <w:szCs w:val="20"/>
              </w:rPr>
              <w:br/>
              <w:t>5.23</w:t>
            </w:r>
          </w:p>
        </w:tc>
        <w:tc>
          <w:tcPr>
            <w:tcW w:w="153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271</w:t>
            </w:r>
            <w:r w:rsidRPr="009047AC">
              <w:rPr>
                <w:rFonts w:ascii="Arial" w:eastAsia="Times New Roman" w:hAnsi="Arial" w:cs="Arial"/>
                <w:sz w:val="20"/>
                <w:szCs w:val="20"/>
              </w:rPr>
              <w:br/>
              <w:t>7.89</w:t>
            </w:r>
          </w:p>
        </w:tc>
        <w:tc>
          <w:tcPr>
            <w:tcW w:w="99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w:t>
            </w:r>
          </w:p>
        </w:tc>
      </w:tr>
      <w:tr w:rsidR="000E5D59" w:rsidRPr="009047AC" w:rsidTr="00784755">
        <w:trPr>
          <w:trHeight w:val="20"/>
        </w:trPr>
        <w:tc>
          <w:tcPr>
            <w:tcW w:w="4688" w:type="dxa"/>
            <w:tcBorders>
              <w:top w:val="nil"/>
              <w:left w:val="single" w:sz="4" w:space="0" w:color="auto"/>
              <w:bottom w:val="nil"/>
              <w:right w:val="single" w:sz="8"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Negative changes in social relationships</w:t>
            </w:r>
          </w:p>
        </w:tc>
        <w:tc>
          <w:tcPr>
            <w:tcW w:w="817" w:type="dxa"/>
            <w:tcBorders>
              <w:top w:val="nil"/>
              <w:left w:val="nil"/>
              <w:bottom w:val="nil"/>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75</w:t>
            </w:r>
            <w:r w:rsidRPr="009047AC">
              <w:rPr>
                <w:rFonts w:ascii="Arial" w:eastAsia="Times New Roman" w:hAnsi="Arial" w:cs="Arial"/>
                <w:sz w:val="20"/>
                <w:szCs w:val="20"/>
              </w:rPr>
              <w:br/>
              <w:t>1.14</w:t>
            </w:r>
          </w:p>
        </w:tc>
        <w:tc>
          <w:tcPr>
            <w:tcW w:w="1530" w:type="dxa"/>
            <w:tcBorders>
              <w:top w:val="nil"/>
              <w:left w:val="thickThinSmallGap" w:sz="24" w:space="0" w:color="auto"/>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38</w:t>
            </w:r>
            <w:r w:rsidRPr="009047AC">
              <w:rPr>
                <w:rFonts w:ascii="Arial" w:eastAsia="Times New Roman" w:hAnsi="Arial" w:cs="Arial"/>
                <w:sz w:val="20"/>
                <w:szCs w:val="20"/>
              </w:rPr>
              <w:br/>
              <w:t>1.22</w:t>
            </w:r>
          </w:p>
        </w:tc>
        <w:tc>
          <w:tcPr>
            <w:tcW w:w="153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37</w:t>
            </w:r>
            <w:r w:rsidRPr="009047AC">
              <w:rPr>
                <w:rFonts w:ascii="Arial" w:eastAsia="Times New Roman" w:hAnsi="Arial" w:cs="Arial"/>
                <w:sz w:val="20"/>
                <w:szCs w:val="20"/>
              </w:rPr>
              <w:br/>
              <w:t>1.08</w:t>
            </w:r>
          </w:p>
        </w:tc>
        <w:tc>
          <w:tcPr>
            <w:tcW w:w="990" w:type="dxa"/>
            <w:tcBorders>
              <w:top w:val="nil"/>
              <w:left w:val="nil"/>
              <w:bottom w:val="nil"/>
              <w:right w:val="single" w:sz="4" w:space="0" w:color="auto"/>
            </w:tcBorders>
            <w:shd w:val="clear" w:color="auto" w:fill="auto"/>
            <w:noWrap/>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ns</w:t>
            </w:r>
          </w:p>
        </w:tc>
      </w:tr>
      <w:tr w:rsidR="000E5D59" w:rsidRPr="009047AC" w:rsidTr="00784755">
        <w:trPr>
          <w:trHeight w:val="20"/>
        </w:trPr>
        <w:tc>
          <w:tcPr>
            <w:tcW w:w="4688" w:type="dxa"/>
            <w:tcBorders>
              <w:top w:val="nil"/>
              <w:left w:val="single" w:sz="4" w:space="0" w:color="auto"/>
              <w:bottom w:val="nil"/>
              <w:right w:val="single" w:sz="8"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Occupation/job-related issues</w:t>
            </w:r>
          </w:p>
        </w:tc>
        <w:tc>
          <w:tcPr>
            <w:tcW w:w="817" w:type="dxa"/>
            <w:tcBorders>
              <w:top w:val="nil"/>
              <w:left w:val="nil"/>
              <w:bottom w:val="nil"/>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58</w:t>
            </w:r>
            <w:r w:rsidRPr="009047AC">
              <w:rPr>
                <w:rFonts w:ascii="Arial" w:eastAsia="Times New Roman" w:hAnsi="Arial" w:cs="Arial"/>
                <w:sz w:val="20"/>
                <w:szCs w:val="20"/>
              </w:rPr>
              <w:br/>
              <w:t>0.88</w:t>
            </w:r>
          </w:p>
        </w:tc>
        <w:tc>
          <w:tcPr>
            <w:tcW w:w="1530" w:type="dxa"/>
            <w:tcBorders>
              <w:top w:val="nil"/>
              <w:left w:val="thickThinSmallGap" w:sz="24" w:space="0" w:color="auto"/>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38</w:t>
            </w:r>
            <w:r w:rsidRPr="009047AC">
              <w:rPr>
                <w:rFonts w:ascii="Arial" w:eastAsia="Times New Roman" w:hAnsi="Arial" w:cs="Arial"/>
                <w:sz w:val="20"/>
                <w:szCs w:val="20"/>
              </w:rPr>
              <w:br/>
              <w:t>1.22</w:t>
            </w:r>
          </w:p>
        </w:tc>
        <w:tc>
          <w:tcPr>
            <w:tcW w:w="153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19</w:t>
            </w:r>
            <w:r w:rsidRPr="009047AC">
              <w:rPr>
                <w:rFonts w:ascii="Arial" w:eastAsia="Times New Roman" w:hAnsi="Arial" w:cs="Arial"/>
                <w:sz w:val="20"/>
                <w:szCs w:val="20"/>
              </w:rPr>
              <w:br/>
              <w:t>0.55</w:t>
            </w:r>
          </w:p>
        </w:tc>
        <w:tc>
          <w:tcPr>
            <w:tcW w:w="99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w:t>
            </w:r>
          </w:p>
        </w:tc>
      </w:tr>
      <w:tr w:rsidR="000E5D59" w:rsidRPr="009047AC" w:rsidTr="00784755">
        <w:trPr>
          <w:trHeight w:val="20"/>
        </w:trPr>
        <w:tc>
          <w:tcPr>
            <w:tcW w:w="4688" w:type="dxa"/>
            <w:tcBorders>
              <w:top w:val="nil"/>
              <w:left w:val="single" w:sz="4" w:space="0" w:color="auto"/>
              <w:bottom w:val="nil"/>
              <w:right w:val="single" w:sz="8"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Other outcomes/consequences</w:t>
            </w:r>
          </w:p>
        </w:tc>
        <w:tc>
          <w:tcPr>
            <w:tcW w:w="817" w:type="dxa"/>
            <w:tcBorders>
              <w:top w:val="nil"/>
              <w:left w:val="nil"/>
              <w:bottom w:val="nil"/>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370</w:t>
            </w:r>
            <w:r w:rsidRPr="009047AC">
              <w:rPr>
                <w:rFonts w:ascii="Arial" w:eastAsia="Times New Roman" w:hAnsi="Arial" w:cs="Arial"/>
                <w:sz w:val="20"/>
                <w:szCs w:val="20"/>
              </w:rPr>
              <w:br/>
              <w:t>5.63</w:t>
            </w:r>
          </w:p>
        </w:tc>
        <w:tc>
          <w:tcPr>
            <w:tcW w:w="1530" w:type="dxa"/>
            <w:tcBorders>
              <w:top w:val="nil"/>
              <w:left w:val="thickThinSmallGap" w:sz="24" w:space="0" w:color="auto"/>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143</w:t>
            </w:r>
            <w:r w:rsidRPr="009047AC">
              <w:rPr>
                <w:rFonts w:ascii="Arial" w:eastAsia="Times New Roman" w:hAnsi="Arial" w:cs="Arial"/>
                <w:sz w:val="20"/>
                <w:szCs w:val="20"/>
              </w:rPr>
              <w:br/>
              <w:t>4.58</w:t>
            </w:r>
          </w:p>
        </w:tc>
        <w:tc>
          <w:tcPr>
            <w:tcW w:w="153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226</w:t>
            </w:r>
            <w:r w:rsidRPr="009047AC">
              <w:rPr>
                <w:rFonts w:ascii="Arial" w:eastAsia="Times New Roman" w:hAnsi="Arial" w:cs="Arial"/>
                <w:sz w:val="20"/>
                <w:szCs w:val="20"/>
              </w:rPr>
              <w:br/>
              <w:t>6.58</w:t>
            </w:r>
          </w:p>
        </w:tc>
        <w:tc>
          <w:tcPr>
            <w:tcW w:w="990" w:type="dxa"/>
            <w:tcBorders>
              <w:top w:val="nil"/>
              <w:left w:val="nil"/>
              <w:bottom w:val="nil"/>
              <w:right w:val="single" w:sz="4" w:space="0" w:color="auto"/>
            </w:tcBorders>
            <w:shd w:val="clear" w:color="auto" w:fill="auto"/>
            <w:noWrap/>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w:t>
            </w:r>
          </w:p>
        </w:tc>
      </w:tr>
      <w:tr w:rsidR="000E5D59" w:rsidRPr="009047AC" w:rsidTr="00784755">
        <w:trPr>
          <w:trHeight w:val="20"/>
        </w:trPr>
        <w:tc>
          <w:tcPr>
            <w:tcW w:w="4688" w:type="dxa"/>
            <w:tcBorders>
              <w:top w:val="nil"/>
              <w:left w:val="single" w:sz="4" w:space="0" w:color="auto"/>
              <w:bottom w:val="double" w:sz="6" w:space="0" w:color="auto"/>
              <w:right w:val="single" w:sz="8"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No negative outcomes/consequences</w:t>
            </w:r>
          </w:p>
        </w:tc>
        <w:tc>
          <w:tcPr>
            <w:tcW w:w="817" w:type="dxa"/>
            <w:tcBorders>
              <w:top w:val="nil"/>
              <w:left w:val="nil"/>
              <w:bottom w:val="double" w:sz="6" w:space="0" w:color="auto"/>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5452</w:t>
            </w:r>
            <w:r w:rsidRPr="009047AC">
              <w:rPr>
                <w:rFonts w:ascii="Arial" w:eastAsia="Times New Roman" w:hAnsi="Arial" w:cs="Arial"/>
                <w:sz w:val="20"/>
                <w:szCs w:val="20"/>
              </w:rPr>
              <w:br/>
              <w:t>82.96</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2640</w:t>
            </w:r>
            <w:r w:rsidRPr="009047AC">
              <w:rPr>
                <w:rFonts w:ascii="Arial" w:eastAsia="Times New Roman" w:hAnsi="Arial" w:cs="Arial"/>
                <w:sz w:val="20"/>
                <w:szCs w:val="20"/>
              </w:rPr>
              <w:br/>
              <w:t>84.64</w:t>
            </w:r>
          </w:p>
        </w:tc>
        <w:tc>
          <w:tcPr>
            <w:tcW w:w="1530" w:type="dxa"/>
            <w:tcBorders>
              <w:top w:val="nil"/>
              <w:left w:val="nil"/>
              <w:bottom w:val="double" w:sz="6" w:space="0" w:color="auto"/>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2799</w:t>
            </w:r>
            <w:r w:rsidRPr="009047AC">
              <w:rPr>
                <w:rFonts w:ascii="Arial" w:eastAsia="Times New Roman" w:hAnsi="Arial" w:cs="Arial"/>
                <w:sz w:val="20"/>
                <w:szCs w:val="20"/>
              </w:rPr>
              <w:br/>
              <w:t>81.51</w:t>
            </w:r>
          </w:p>
        </w:tc>
        <w:tc>
          <w:tcPr>
            <w:tcW w:w="990" w:type="dxa"/>
            <w:tcBorders>
              <w:top w:val="nil"/>
              <w:left w:val="nil"/>
              <w:bottom w:val="double" w:sz="6" w:space="0" w:color="auto"/>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w:t>
            </w:r>
          </w:p>
        </w:tc>
      </w:tr>
      <w:tr w:rsidR="000E5D59" w:rsidRPr="009047AC" w:rsidTr="00784755">
        <w:trPr>
          <w:trHeight w:val="20"/>
        </w:trPr>
        <w:tc>
          <w:tcPr>
            <w:tcW w:w="4688" w:type="dxa"/>
            <w:tcBorders>
              <w:top w:val="nil"/>
              <w:left w:val="single" w:sz="4" w:space="0" w:color="auto"/>
              <w:bottom w:val="single" w:sz="4" w:space="0" w:color="auto"/>
              <w:right w:val="single" w:sz="8" w:space="0" w:color="auto"/>
            </w:tcBorders>
            <w:shd w:val="clear" w:color="auto" w:fill="auto"/>
          </w:tcPr>
          <w:p w:rsidR="000E5D59" w:rsidRPr="009047AC" w:rsidRDefault="000E5D59" w:rsidP="006057BE">
            <w:pPr>
              <w:spacing w:after="0" w:line="240" w:lineRule="auto"/>
              <w:rPr>
                <w:rFonts w:ascii="Arial" w:eastAsia="Times New Roman" w:hAnsi="Arial" w:cs="Arial"/>
                <w:b/>
                <w:bCs/>
                <w:sz w:val="20"/>
                <w:szCs w:val="20"/>
              </w:rPr>
            </w:pPr>
            <w:r w:rsidRPr="009047AC">
              <w:rPr>
                <w:rFonts w:ascii="Arial" w:eastAsia="Times New Roman" w:hAnsi="Arial" w:cs="Arial"/>
                <w:b/>
                <w:bCs/>
                <w:sz w:val="20"/>
                <w:szCs w:val="20"/>
              </w:rPr>
              <w:t xml:space="preserve">Have you noticed any of the following </w:t>
            </w:r>
            <w:r w:rsidRPr="009047AC">
              <w:rPr>
                <w:rFonts w:ascii="Arial" w:eastAsia="Times New Roman" w:hAnsi="Arial" w:cs="Arial"/>
                <w:b/>
                <w:bCs/>
                <w:i/>
                <w:iCs/>
                <w:sz w:val="20"/>
                <w:szCs w:val="20"/>
              </w:rPr>
              <w:t xml:space="preserve">positive </w:t>
            </w:r>
            <w:r w:rsidRPr="009047AC">
              <w:rPr>
                <w:rFonts w:ascii="Arial" w:eastAsia="Times New Roman" w:hAnsi="Arial" w:cs="Arial"/>
                <w:b/>
                <w:bCs/>
                <w:sz w:val="20"/>
                <w:szCs w:val="20"/>
              </w:rPr>
              <w:t>outcomes/consequences related to your marijuana use?</w:t>
            </w:r>
          </w:p>
        </w:tc>
        <w:tc>
          <w:tcPr>
            <w:tcW w:w="817" w:type="dxa"/>
            <w:tcBorders>
              <w:top w:val="nil"/>
              <w:left w:val="nil"/>
              <w:bottom w:val="single" w:sz="4" w:space="0" w:color="auto"/>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6572</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w:t>
            </w:r>
          </w:p>
        </w:tc>
      </w:tr>
      <w:tr w:rsidR="000E5D59" w:rsidRPr="009047AC" w:rsidTr="00784755">
        <w:trPr>
          <w:trHeight w:val="20"/>
        </w:trPr>
        <w:tc>
          <w:tcPr>
            <w:tcW w:w="4688" w:type="dxa"/>
            <w:tcBorders>
              <w:top w:val="nil"/>
              <w:left w:val="single" w:sz="4" w:space="0" w:color="auto"/>
              <w:bottom w:val="nil"/>
              <w:right w:val="single" w:sz="8"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 xml:space="preserve">Positive changes in mood or mental health </w:t>
            </w:r>
          </w:p>
        </w:tc>
        <w:tc>
          <w:tcPr>
            <w:tcW w:w="817" w:type="dxa"/>
            <w:tcBorders>
              <w:top w:val="nil"/>
              <w:left w:val="nil"/>
              <w:bottom w:val="nil"/>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5158</w:t>
            </w:r>
            <w:r w:rsidRPr="009047AC">
              <w:rPr>
                <w:rFonts w:ascii="Arial" w:eastAsia="Times New Roman" w:hAnsi="Arial" w:cs="Arial"/>
                <w:sz w:val="20"/>
                <w:szCs w:val="20"/>
              </w:rPr>
              <w:br/>
              <w:t>78.48</w:t>
            </w:r>
          </w:p>
        </w:tc>
        <w:tc>
          <w:tcPr>
            <w:tcW w:w="1530" w:type="dxa"/>
            <w:tcBorders>
              <w:top w:val="nil"/>
              <w:left w:val="thickThinSmallGap" w:sz="24" w:space="0" w:color="auto"/>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2488</w:t>
            </w:r>
            <w:r w:rsidRPr="009047AC">
              <w:rPr>
                <w:rFonts w:ascii="Arial" w:eastAsia="Times New Roman" w:hAnsi="Arial" w:cs="Arial"/>
                <w:sz w:val="20"/>
                <w:szCs w:val="20"/>
              </w:rPr>
              <w:br/>
              <w:t>79.77</w:t>
            </w:r>
          </w:p>
        </w:tc>
        <w:tc>
          <w:tcPr>
            <w:tcW w:w="153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2656</w:t>
            </w:r>
            <w:r w:rsidRPr="009047AC">
              <w:rPr>
                <w:rFonts w:ascii="Arial" w:eastAsia="Times New Roman" w:hAnsi="Arial" w:cs="Arial"/>
                <w:sz w:val="20"/>
                <w:szCs w:val="20"/>
              </w:rPr>
              <w:br/>
              <w:t>77.34</w:t>
            </w:r>
          </w:p>
        </w:tc>
        <w:tc>
          <w:tcPr>
            <w:tcW w:w="99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w:t>
            </w:r>
          </w:p>
        </w:tc>
      </w:tr>
      <w:tr w:rsidR="000E5D59" w:rsidRPr="009047AC" w:rsidTr="00784755">
        <w:trPr>
          <w:trHeight w:val="20"/>
        </w:trPr>
        <w:tc>
          <w:tcPr>
            <w:tcW w:w="4688" w:type="dxa"/>
            <w:tcBorders>
              <w:top w:val="nil"/>
              <w:left w:val="single" w:sz="4" w:space="0" w:color="auto"/>
              <w:bottom w:val="nil"/>
              <w:right w:val="single" w:sz="8"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Improved physical health</w:t>
            </w:r>
          </w:p>
        </w:tc>
        <w:tc>
          <w:tcPr>
            <w:tcW w:w="817" w:type="dxa"/>
            <w:tcBorders>
              <w:top w:val="nil"/>
              <w:left w:val="nil"/>
              <w:bottom w:val="nil"/>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4435</w:t>
            </w:r>
            <w:r w:rsidRPr="009047AC">
              <w:rPr>
                <w:rFonts w:ascii="Arial" w:eastAsia="Times New Roman" w:hAnsi="Arial" w:cs="Arial"/>
                <w:sz w:val="20"/>
                <w:szCs w:val="20"/>
              </w:rPr>
              <w:br/>
              <w:t>67.48</w:t>
            </w:r>
          </w:p>
        </w:tc>
        <w:tc>
          <w:tcPr>
            <w:tcW w:w="1530" w:type="dxa"/>
            <w:tcBorders>
              <w:top w:val="nil"/>
              <w:left w:val="thickThinSmallGap" w:sz="24" w:space="0" w:color="auto"/>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2180</w:t>
            </w:r>
            <w:r w:rsidRPr="009047AC">
              <w:rPr>
                <w:rFonts w:ascii="Arial" w:eastAsia="Times New Roman" w:hAnsi="Arial" w:cs="Arial"/>
                <w:sz w:val="20"/>
                <w:szCs w:val="20"/>
              </w:rPr>
              <w:br/>
              <w:t>69.89</w:t>
            </w:r>
          </w:p>
        </w:tc>
        <w:tc>
          <w:tcPr>
            <w:tcW w:w="153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2246</w:t>
            </w:r>
            <w:r w:rsidRPr="009047AC">
              <w:rPr>
                <w:rFonts w:ascii="Arial" w:eastAsia="Times New Roman" w:hAnsi="Arial" w:cs="Arial"/>
                <w:sz w:val="20"/>
                <w:szCs w:val="20"/>
              </w:rPr>
              <w:br/>
              <w:t>65.40</w:t>
            </w:r>
          </w:p>
        </w:tc>
        <w:tc>
          <w:tcPr>
            <w:tcW w:w="990" w:type="dxa"/>
            <w:tcBorders>
              <w:top w:val="nil"/>
              <w:left w:val="nil"/>
              <w:bottom w:val="nil"/>
              <w:right w:val="single" w:sz="4" w:space="0" w:color="auto"/>
            </w:tcBorders>
            <w:shd w:val="clear" w:color="auto" w:fill="auto"/>
            <w:noWrap/>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w:t>
            </w:r>
          </w:p>
        </w:tc>
      </w:tr>
      <w:tr w:rsidR="000E5D59" w:rsidRPr="009047AC" w:rsidTr="00784755">
        <w:trPr>
          <w:trHeight w:val="20"/>
        </w:trPr>
        <w:tc>
          <w:tcPr>
            <w:tcW w:w="4688" w:type="dxa"/>
            <w:tcBorders>
              <w:top w:val="nil"/>
              <w:left w:val="single" w:sz="4" w:space="0" w:color="auto"/>
              <w:bottom w:val="nil"/>
              <w:right w:val="single" w:sz="8"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Positive changes in cognition</w:t>
            </w:r>
          </w:p>
        </w:tc>
        <w:tc>
          <w:tcPr>
            <w:tcW w:w="817" w:type="dxa"/>
            <w:tcBorders>
              <w:top w:val="nil"/>
              <w:left w:val="nil"/>
              <w:bottom w:val="nil"/>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1979</w:t>
            </w:r>
            <w:r w:rsidRPr="009047AC">
              <w:rPr>
                <w:rFonts w:ascii="Arial" w:eastAsia="Times New Roman" w:hAnsi="Arial" w:cs="Arial"/>
                <w:sz w:val="20"/>
                <w:szCs w:val="20"/>
              </w:rPr>
              <w:br/>
              <w:t>30.11</w:t>
            </w:r>
          </w:p>
        </w:tc>
        <w:tc>
          <w:tcPr>
            <w:tcW w:w="1530" w:type="dxa"/>
            <w:tcBorders>
              <w:top w:val="nil"/>
              <w:left w:val="thickThinSmallGap" w:sz="24" w:space="0" w:color="auto"/>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1101</w:t>
            </w:r>
            <w:r w:rsidRPr="009047AC">
              <w:rPr>
                <w:rFonts w:ascii="Arial" w:eastAsia="Times New Roman" w:hAnsi="Arial" w:cs="Arial"/>
                <w:sz w:val="20"/>
                <w:szCs w:val="20"/>
              </w:rPr>
              <w:br/>
              <w:t>35.30</w:t>
            </w:r>
          </w:p>
        </w:tc>
        <w:tc>
          <w:tcPr>
            <w:tcW w:w="153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872</w:t>
            </w:r>
            <w:r w:rsidRPr="009047AC">
              <w:rPr>
                <w:rFonts w:ascii="Arial" w:eastAsia="Times New Roman" w:hAnsi="Arial" w:cs="Arial"/>
                <w:sz w:val="20"/>
                <w:szCs w:val="20"/>
              </w:rPr>
              <w:br/>
              <w:t>25.39</w:t>
            </w:r>
          </w:p>
        </w:tc>
        <w:tc>
          <w:tcPr>
            <w:tcW w:w="99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w:t>
            </w:r>
          </w:p>
        </w:tc>
      </w:tr>
      <w:tr w:rsidR="000E5D59" w:rsidRPr="009047AC" w:rsidTr="00784755">
        <w:trPr>
          <w:trHeight w:val="20"/>
        </w:trPr>
        <w:tc>
          <w:tcPr>
            <w:tcW w:w="4688" w:type="dxa"/>
            <w:tcBorders>
              <w:top w:val="nil"/>
              <w:left w:val="single" w:sz="4" w:space="0" w:color="auto"/>
              <w:bottom w:val="nil"/>
              <w:right w:val="single" w:sz="8"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Positive changes in social relationships</w:t>
            </w:r>
          </w:p>
        </w:tc>
        <w:tc>
          <w:tcPr>
            <w:tcW w:w="817" w:type="dxa"/>
            <w:tcBorders>
              <w:top w:val="nil"/>
              <w:left w:val="nil"/>
              <w:bottom w:val="nil"/>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2717</w:t>
            </w:r>
            <w:r w:rsidRPr="009047AC">
              <w:rPr>
                <w:rFonts w:ascii="Arial" w:eastAsia="Times New Roman" w:hAnsi="Arial" w:cs="Arial"/>
                <w:sz w:val="20"/>
                <w:szCs w:val="20"/>
              </w:rPr>
              <w:br/>
              <w:t>41.34</w:t>
            </w:r>
          </w:p>
        </w:tc>
        <w:tc>
          <w:tcPr>
            <w:tcW w:w="1530" w:type="dxa"/>
            <w:tcBorders>
              <w:top w:val="nil"/>
              <w:left w:val="thickThinSmallGap" w:sz="24" w:space="0" w:color="auto"/>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1420</w:t>
            </w:r>
            <w:r w:rsidRPr="009047AC">
              <w:rPr>
                <w:rFonts w:ascii="Arial" w:eastAsia="Times New Roman" w:hAnsi="Arial" w:cs="Arial"/>
                <w:sz w:val="20"/>
                <w:szCs w:val="20"/>
              </w:rPr>
              <w:br/>
              <w:t>45.53</w:t>
            </w:r>
          </w:p>
        </w:tc>
        <w:tc>
          <w:tcPr>
            <w:tcW w:w="153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1290</w:t>
            </w:r>
            <w:r w:rsidRPr="009047AC">
              <w:rPr>
                <w:rFonts w:ascii="Arial" w:eastAsia="Times New Roman" w:hAnsi="Arial" w:cs="Arial"/>
                <w:sz w:val="20"/>
                <w:szCs w:val="20"/>
              </w:rPr>
              <w:br/>
              <w:t>37.57</w:t>
            </w:r>
          </w:p>
        </w:tc>
        <w:tc>
          <w:tcPr>
            <w:tcW w:w="990" w:type="dxa"/>
            <w:tcBorders>
              <w:top w:val="nil"/>
              <w:left w:val="nil"/>
              <w:bottom w:val="nil"/>
              <w:right w:val="single" w:sz="4" w:space="0" w:color="auto"/>
            </w:tcBorders>
            <w:shd w:val="clear" w:color="auto" w:fill="auto"/>
            <w:noWrap/>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w:t>
            </w:r>
          </w:p>
        </w:tc>
      </w:tr>
      <w:tr w:rsidR="000E5D59" w:rsidRPr="009047AC" w:rsidTr="00784755">
        <w:trPr>
          <w:trHeight w:val="20"/>
        </w:trPr>
        <w:tc>
          <w:tcPr>
            <w:tcW w:w="4688" w:type="dxa"/>
            <w:tcBorders>
              <w:top w:val="nil"/>
              <w:left w:val="single" w:sz="4" w:space="0" w:color="auto"/>
              <w:bottom w:val="nil"/>
              <w:right w:val="single" w:sz="8"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Other outcomes/consequences</w:t>
            </w:r>
          </w:p>
        </w:tc>
        <w:tc>
          <w:tcPr>
            <w:tcW w:w="817" w:type="dxa"/>
            <w:tcBorders>
              <w:top w:val="nil"/>
              <w:left w:val="nil"/>
              <w:bottom w:val="nil"/>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1005</w:t>
            </w:r>
            <w:r w:rsidRPr="009047AC">
              <w:rPr>
                <w:rFonts w:ascii="Arial" w:eastAsia="Times New Roman" w:hAnsi="Arial" w:cs="Arial"/>
                <w:sz w:val="20"/>
                <w:szCs w:val="20"/>
              </w:rPr>
              <w:br/>
              <w:t>15.29</w:t>
            </w:r>
          </w:p>
        </w:tc>
        <w:tc>
          <w:tcPr>
            <w:tcW w:w="1530" w:type="dxa"/>
            <w:tcBorders>
              <w:top w:val="nil"/>
              <w:left w:val="thickThinSmallGap" w:sz="24" w:space="0" w:color="auto"/>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430</w:t>
            </w:r>
            <w:r w:rsidRPr="009047AC">
              <w:rPr>
                <w:rFonts w:ascii="Arial" w:eastAsia="Times New Roman" w:hAnsi="Arial" w:cs="Arial"/>
                <w:sz w:val="20"/>
                <w:szCs w:val="20"/>
              </w:rPr>
              <w:br/>
              <w:t>13.79</w:t>
            </w:r>
          </w:p>
        </w:tc>
        <w:tc>
          <w:tcPr>
            <w:tcW w:w="153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567</w:t>
            </w:r>
            <w:r w:rsidRPr="009047AC">
              <w:rPr>
                <w:rFonts w:ascii="Arial" w:eastAsia="Times New Roman" w:hAnsi="Arial" w:cs="Arial"/>
                <w:sz w:val="20"/>
                <w:szCs w:val="20"/>
              </w:rPr>
              <w:br/>
              <w:t>16.51</w:t>
            </w:r>
          </w:p>
        </w:tc>
        <w:tc>
          <w:tcPr>
            <w:tcW w:w="990" w:type="dxa"/>
            <w:tcBorders>
              <w:top w:val="nil"/>
              <w:left w:val="nil"/>
              <w:bottom w:val="nil"/>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w:t>
            </w:r>
          </w:p>
        </w:tc>
      </w:tr>
      <w:tr w:rsidR="000E5D59" w:rsidRPr="009047AC" w:rsidTr="00784755">
        <w:trPr>
          <w:trHeight w:val="20"/>
        </w:trPr>
        <w:tc>
          <w:tcPr>
            <w:tcW w:w="4688" w:type="dxa"/>
            <w:tcBorders>
              <w:top w:val="nil"/>
              <w:left w:val="single" w:sz="4" w:space="0" w:color="auto"/>
              <w:bottom w:val="single" w:sz="4" w:space="0" w:color="auto"/>
              <w:right w:val="single" w:sz="8"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No positive outcomes/consequences</w:t>
            </w:r>
          </w:p>
        </w:tc>
        <w:tc>
          <w:tcPr>
            <w:tcW w:w="817" w:type="dxa"/>
            <w:tcBorders>
              <w:top w:val="nil"/>
              <w:left w:val="nil"/>
              <w:bottom w:val="single" w:sz="4" w:space="0" w:color="auto"/>
              <w:right w:val="thickThinSmallGap" w:sz="2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168</w:t>
            </w:r>
            <w:r w:rsidRPr="009047AC">
              <w:rPr>
                <w:rFonts w:ascii="Arial" w:eastAsia="Times New Roman" w:hAnsi="Arial" w:cs="Arial"/>
                <w:sz w:val="20"/>
                <w:szCs w:val="20"/>
              </w:rPr>
              <w:br/>
              <w:t>2.56</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78</w:t>
            </w:r>
            <w:r w:rsidRPr="009047AC">
              <w:rPr>
                <w:rFonts w:ascii="Arial" w:eastAsia="Times New Roman" w:hAnsi="Arial" w:cs="Arial"/>
                <w:sz w:val="20"/>
                <w:szCs w:val="20"/>
              </w:rPr>
              <w:br/>
              <w:t>2.50</w:t>
            </w:r>
          </w:p>
        </w:tc>
        <w:tc>
          <w:tcPr>
            <w:tcW w:w="1530" w:type="dxa"/>
            <w:tcBorders>
              <w:top w:val="nil"/>
              <w:left w:val="nil"/>
              <w:bottom w:val="single" w:sz="4" w:space="0" w:color="auto"/>
              <w:right w:val="single" w:sz="4" w:space="0" w:color="auto"/>
            </w:tcBorders>
            <w:shd w:val="clear" w:color="auto" w:fill="auto"/>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90</w:t>
            </w:r>
            <w:r w:rsidRPr="009047AC">
              <w:rPr>
                <w:rFonts w:ascii="Arial" w:eastAsia="Times New Roman" w:hAnsi="Arial" w:cs="Arial"/>
                <w:sz w:val="20"/>
                <w:szCs w:val="20"/>
              </w:rPr>
              <w:br/>
              <w:t>2.62</w:t>
            </w:r>
          </w:p>
        </w:tc>
        <w:tc>
          <w:tcPr>
            <w:tcW w:w="990" w:type="dxa"/>
            <w:tcBorders>
              <w:top w:val="nil"/>
              <w:left w:val="nil"/>
              <w:bottom w:val="single" w:sz="4" w:space="0" w:color="auto"/>
              <w:right w:val="single" w:sz="4" w:space="0" w:color="auto"/>
            </w:tcBorders>
            <w:shd w:val="clear" w:color="auto" w:fill="auto"/>
            <w:noWrap/>
          </w:tcPr>
          <w:p w:rsidR="000E5D59" w:rsidRPr="009047AC" w:rsidRDefault="000E5D59" w:rsidP="006057BE">
            <w:pPr>
              <w:spacing w:after="0" w:line="240" w:lineRule="auto"/>
              <w:jc w:val="right"/>
              <w:rPr>
                <w:rFonts w:ascii="Arial" w:eastAsia="Times New Roman" w:hAnsi="Arial" w:cs="Arial"/>
                <w:sz w:val="20"/>
                <w:szCs w:val="20"/>
              </w:rPr>
            </w:pPr>
            <w:r w:rsidRPr="009047AC">
              <w:rPr>
                <w:rFonts w:ascii="Arial" w:eastAsia="Times New Roman" w:hAnsi="Arial" w:cs="Arial"/>
                <w:sz w:val="20"/>
                <w:szCs w:val="20"/>
              </w:rPr>
              <w:t>ns</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sz w:val="20"/>
                <w:szCs w:val="20"/>
              </w:rPr>
            </w:pPr>
            <w:r w:rsidRPr="009047AC">
              <w:rPr>
                <w:rFonts w:ascii="Arial" w:eastAsia="Times New Roman" w:hAnsi="Arial" w:cs="Arial"/>
                <w:i/>
                <w:iCs/>
                <w:sz w:val="20"/>
                <w:szCs w:val="20"/>
              </w:rPr>
              <w:t>*p&lt;0.05; **p&lt;0.01; ***p&lt;0.001; ****p&lt;0.0001; ns=not significant</w:t>
            </w:r>
          </w:p>
        </w:tc>
      </w:tr>
    </w:tbl>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A3309E"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Table 18C: DPH Patient Survey Other Issues Related to Marijuana Use by Education (Among the 5433 Respondents who have Used Medical Use of Marijuana or Marijuana </w:t>
      </w:r>
      <w:r w:rsidR="00A3309E">
        <w:rPr>
          <w:rFonts w:ascii="Arial" w:eastAsia="Calibri" w:hAnsi="Arial" w:cs="Arial"/>
          <w:b/>
          <w:sz w:val="24"/>
          <w:szCs w:val="24"/>
        </w:rPr>
        <w:t>Products for at least 6 Months)</w:t>
      </w:r>
    </w:p>
    <w:tbl>
      <w:tblPr>
        <w:tblW w:w="9555" w:type="dxa"/>
        <w:tblInd w:w="93" w:type="dxa"/>
        <w:tblLook w:val="04A0" w:firstRow="1" w:lastRow="0" w:firstColumn="1" w:lastColumn="0" w:noHBand="0" w:noVBand="1"/>
        <w:tblCaption w:val="DPH Patient Survey Other Issues Related to Marijuana Use by Education (Among the 5433 Respondents who have Used Medical Use of Marijuana or Marijuana Products for at least 6 Months)"/>
      </w:tblPr>
      <w:tblGrid>
        <w:gridCol w:w="4515"/>
        <w:gridCol w:w="900"/>
        <w:gridCol w:w="1530"/>
        <w:gridCol w:w="1530"/>
        <w:gridCol w:w="1080"/>
      </w:tblGrid>
      <w:tr w:rsidR="000E5D59" w:rsidRPr="000E5D59" w:rsidTr="00784755">
        <w:trPr>
          <w:trHeight w:val="20"/>
        </w:trPr>
        <w:tc>
          <w:tcPr>
            <w:tcW w:w="451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sz w:val="20"/>
                <w:szCs w:val="20"/>
              </w:rPr>
              <w:t>%</w:t>
            </w:r>
            <w:r w:rsidRPr="000E5D59">
              <w:rPr>
                <w:rFonts w:ascii="Arial" w:eastAsia="Times New Roman" w:hAnsi="Arial" w:cs="Arial"/>
                <w:sz w:val="20"/>
                <w:szCs w:val="20"/>
              </w:rPr>
              <w:t>  </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51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(N=3282)</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(N=3595)</w:t>
            </w:r>
          </w:p>
        </w:tc>
        <w:tc>
          <w:tcPr>
            <w:tcW w:w="108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51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Treated in an emergency room or urgent care facility for any reason related to marijuana or marijuana product use?</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6499</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515" w:type="dxa"/>
            <w:tcBorders>
              <w:top w:val="single" w:sz="4" w:space="0" w:color="auto"/>
              <w:left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times</w:t>
            </w:r>
          </w:p>
        </w:tc>
        <w:tc>
          <w:tcPr>
            <w:tcW w:w="900" w:type="dxa"/>
            <w:tcBorders>
              <w:top w:val="single" w:sz="4" w:space="0" w:color="auto"/>
              <w:left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6492</w:t>
            </w:r>
            <w:r w:rsidRPr="000E5D59">
              <w:rPr>
                <w:rFonts w:ascii="Arial" w:eastAsia="Times New Roman" w:hAnsi="Arial" w:cs="Arial"/>
                <w:sz w:val="20"/>
                <w:szCs w:val="20"/>
              </w:rPr>
              <w:br/>
              <w:t>99.89</w:t>
            </w:r>
          </w:p>
        </w:tc>
        <w:tc>
          <w:tcPr>
            <w:tcW w:w="1530" w:type="dxa"/>
            <w:tcBorders>
              <w:top w:val="single" w:sz="4" w:space="0" w:color="auto"/>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3077</w:t>
            </w:r>
            <w:r w:rsidRPr="000E5D59">
              <w:rPr>
                <w:rFonts w:ascii="Arial" w:eastAsia="Times New Roman" w:hAnsi="Arial" w:cs="Arial"/>
                <w:sz w:val="20"/>
                <w:szCs w:val="20"/>
              </w:rPr>
              <w:br/>
              <w:t>99.77</w:t>
            </w:r>
          </w:p>
        </w:tc>
        <w:tc>
          <w:tcPr>
            <w:tcW w:w="153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3399</w:t>
            </w:r>
            <w:r w:rsidRPr="000E5D59">
              <w:rPr>
                <w:rFonts w:ascii="Arial" w:eastAsia="Times New Roman" w:hAnsi="Arial" w:cs="Arial"/>
                <w:sz w:val="20"/>
                <w:szCs w:val="20"/>
              </w:rPr>
              <w:br/>
              <w:t>100.00</w:t>
            </w:r>
          </w:p>
        </w:tc>
        <w:tc>
          <w:tcPr>
            <w:tcW w:w="1080" w:type="dxa"/>
            <w:tcBorders>
              <w:top w:val="single" w:sz="4" w:space="0" w:color="auto"/>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At least once</w:t>
            </w:r>
          </w:p>
        </w:tc>
        <w:tc>
          <w:tcPr>
            <w:tcW w:w="900" w:type="dxa"/>
            <w:tcBorders>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0.11</w:t>
            </w:r>
          </w:p>
        </w:tc>
        <w:tc>
          <w:tcPr>
            <w:tcW w:w="1530" w:type="dxa"/>
            <w:tcBorders>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0.23</w:t>
            </w:r>
          </w:p>
        </w:tc>
        <w:tc>
          <w:tcPr>
            <w:tcW w:w="1530" w:type="dxa"/>
            <w:tcBorders>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1080" w:type="dxa"/>
            <w:tcBorders>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In the past 12 months, have you needed to consume larger amounts of marijuana or marijuana products in order to feel the same effects?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5011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4313</w:t>
            </w:r>
            <w:r w:rsidRPr="000E5D59">
              <w:rPr>
                <w:rFonts w:ascii="Arial" w:eastAsia="Times New Roman" w:hAnsi="Arial" w:cs="Arial"/>
                <w:sz w:val="20"/>
                <w:szCs w:val="20"/>
              </w:rPr>
              <w:br/>
              <w:t>86.07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2065</w:t>
            </w:r>
            <w:r w:rsidRPr="000E5D59">
              <w:rPr>
                <w:rFonts w:ascii="Arial" w:eastAsia="Times New Roman" w:hAnsi="Arial" w:cs="Arial"/>
                <w:sz w:val="20"/>
                <w:szCs w:val="20"/>
              </w:rPr>
              <w:br/>
              <w:t>85.12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2240</w:t>
            </w:r>
            <w:r w:rsidRPr="000E5D59">
              <w:rPr>
                <w:rFonts w:ascii="Arial" w:eastAsia="Times New Roman" w:hAnsi="Arial" w:cs="Arial"/>
                <w:sz w:val="20"/>
                <w:szCs w:val="20"/>
              </w:rPr>
              <w:br/>
              <w:t>86.96</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698</w:t>
            </w:r>
            <w:r w:rsidRPr="000E5D59">
              <w:rPr>
                <w:rFonts w:ascii="Arial" w:eastAsia="Times New Roman" w:hAnsi="Arial" w:cs="Arial"/>
                <w:sz w:val="20"/>
                <w:szCs w:val="20"/>
              </w:rPr>
              <w:br/>
              <w:t>13.93</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361</w:t>
            </w:r>
            <w:r w:rsidRPr="000E5D59">
              <w:rPr>
                <w:rFonts w:ascii="Arial" w:eastAsia="Times New Roman" w:hAnsi="Arial" w:cs="Arial"/>
                <w:sz w:val="20"/>
                <w:szCs w:val="20"/>
              </w:rPr>
              <w:br/>
              <w:t>14.88</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336</w:t>
            </w:r>
            <w:r w:rsidRPr="000E5D59">
              <w:rPr>
                <w:rFonts w:ascii="Arial" w:eastAsia="Times New Roman" w:hAnsi="Arial" w:cs="Arial"/>
                <w:sz w:val="20"/>
                <w:szCs w:val="20"/>
              </w:rPr>
              <w:br/>
              <w:t>13.04</w:t>
            </w:r>
          </w:p>
        </w:tc>
        <w:tc>
          <w:tcPr>
            <w:tcW w:w="108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In the past 12 months, have you tried to cut down on your marijuana or marijuana product use?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5010</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51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4094</w:t>
            </w:r>
            <w:r w:rsidRPr="000E5D59">
              <w:rPr>
                <w:rFonts w:ascii="Arial" w:eastAsia="Times New Roman" w:hAnsi="Arial" w:cs="Arial"/>
                <w:sz w:val="20"/>
                <w:szCs w:val="20"/>
              </w:rPr>
              <w:br/>
              <w:t>81.72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1930</w:t>
            </w:r>
            <w:r w:rsidRPr="000E5D59">
              <w:rPr>
                <w:rFonts w:ascii="Arial" w:eastAsia="Times New Roman" w:hAnsi="Arial" w:cs="Arial"/>
                <w:sz w:val="20"/>
                <w:szCs w:val="20"/>
              </w:rPr>
              <w:br/>
              <w:t>80.32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2156</w:t>
            </w:r>
            <w:r w:rsidRPr="000E5D59">
              <w:rPr>
                <w:rFonts w:ascii="Arial" w:eastAsia="Times New Roman" w:hAnsi="Arial" w:cs="Arial"/>
                <w:sz w:val="20"/>
                <w:szCs w:val="20"/>
              </w:rPr>
              <w:br/>
              <w:t>82.99</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double" w:sz="6"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916</w:t>
            </w:r>
            <w:r w:rsidRPr="000E5D59">
              <w:rPr>
                <w:rFonts w:ascii="Arial" w:eastAsia="Times New Roman" w:hAnsi="Arial" w:cs="Arial"/>
                <w:sz w:val="20"/>
                <w:szCs w:val="20"/>
              </w:rPr>
              <w:br/>
              <w:t>18.28</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473</w:t>
            </w:r>
            <w:r w:rsidRPr="000E5D59">
              <w:rPr>
                <w:rFonts w:ascii="Arial" w:eastAsia="Times New Roman" w:hAnsi="Arial" w:cs="Arial"/>
                <w:sz w:val="20"/>
                <w:szCs w:val="20"/>
              </w:rPr>
              <w:br/>
              <w:t>19.68</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442</w:t>
            </w:r>
            <w:r w:rsidRPr="000E5D59">
              <w:rPr>
                <w:rFonts w:ascii="Arial" w:eastAsia="Times New Roman" w:hAnsi="Arial" w:cs="Arial"/>
                <w:sz w:val="20"/>
                <w:szCs w:val="20"/>
              </w:rPr>
              <w:br/>
              <w:t>17.01</w:t>
            </w:r>
          </w:p>
        </w:tc>
        <w:tc>
          <w:tcPr>
            <w:tcW w:w="108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In the past 12 months, have you felt sick or had withdrawal symptoms because you stopped or cut down on your marijuana or marijuana product use? †</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863</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nil"/>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786</w:t>
            </w:r>
            <w:r w:rsidRPr="000E5D59">
              <w:rPr>
                <w:rFonts w:ascii="Arial" w:eastAsia="Times New Roman" w:hAnsi="Arial" w:cs="Arial"/>
                <w:sz w:val="20"/>
                <w:szCs w:val="20"/>
              </w:rPr>
              <w:br/>
              <w:t>91.08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406</w:t>
            </w:r>
            <w:r w:rsidRPr="000E5D59">
              <w:rPr>
                <w:rFonts w:ascii="Arial" w:eastAsia="Times New Roman" w:hAnsi="Arial" w:cs="Arial"/>
                <w:sz w:val="20"/>
                <w:szCs w:val="20"/>
              </w:rPr>
              <w:br/>
              <w:t>90.83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377</w:t>
            </w:r>
            <w:r w:rsidRPr="000E5D59">
              <w:rPr>
                <w:rFonts w:ascii="Arial" w:eastAsia="Times New Roman" w:hAnsi="Arial" w:cs="Arial"/>
                <w:sz w:val="20"/>
                <w:szCs w:val="20"/>
              </w:rPr>
              <w:br/>
              <w:t>91.28</w:t>
            </w:r>
          </w:p>
        </w:tc>
        <w:tc>
          <w:tcPr>
            <w:tcW w:w="108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single" w:sz="4" w:space="0" w:color="auto"/>
              <w:right w:val="single" w:sz="8"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nil"/>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77</w:t>
            </w:r>
            <w:r w:rsidRPr="000E5D59">
              <w:rPr>
                <w:rFonts w:ascii="Arial" w:eastAsia="Times New Roman" w:hAnsi="Arial" w:cs="Arial"/>
                <w:sz w:val="20"/>
                <w:szCs w:val="20"/>
              </w:rPr>
              <w:br/>
              <w:t>8.92</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w:t>
            </w:r>
            <w:r w:rsidRPr="000E5D59">
              <w:rPr>
                <w:rFonts w:ascii="Arial" w:eastAsia="Times New Roman" w:hAnsi="Arial" w:cs="Arial"/>
                <w:sz w:val="20"/>
                <w:szCs w:val="20"/>
              </w:rPr>
              <w:br/>
              <w:t>9.17</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36</w:t>
            </w:r>
            <w:r w:rsidRPr="000E5D59">
              <w:rPr>
                <w:rFonts w:ascii="Arial" w:eastAsia="Times New Roman" w:hAnsi="Arial" w:cs="Arial"/>
                <w:sz w:val="20"/>
                <w:szCs w:val="20"/>
              </w:rPr>
              <w:br/>
              <w:t>8.72</w:t>
            </w:r>
          </w:p>
        </w:tc>
        <w:tc>
          <w:tcPr>
            <w:tcW w:w="108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tabs>
                <w:tab w:val="left" w:pos="3435"/>
              </w:tabs>
              <w:spacing w:after="0" w:line="240" w:lineRule="auto"/>
              <w:rPr>
                <w:rFonts w:ascii="Arial" w:eastAsia="Times New Roman" w:hAnsi="Arial" w:cs="Arial"/>
                <w:sz w:val="20"/>
                <w:szCs w:val="20"/>
              </w:rPr>
            </w:pPr>
            <w:r w:rsidRPr="000E5D59">
              <w:rPr>
                <w:rFonts w:ascii="Arial" w:eastAsia="Times New Roman" w:hAnsi="Arial" w:cs="Arial"/>
                <w:b/>
                <w:bCs/>
                <w:sz w:val="20"/>
                <w:szCs w:val="20"/>
              </w:rPr>
              <w:t>†</w:t>
            </w:r>
            <w:r w:rsidRPr="000E5D59">
              <w:rPr>
                <w:rFonts w:ascii="Arial" w:eastAsia="Times New Roman" w:hAnsi="Arial" w:cs="Arial"/>
                <w:i/>
                <w:iCs/>
                <w:sz w:val="20"/>
                <w:szCs w:val="20"/>
              </w:rPr>
              <w:t xml:space="preserve"> Among respondents who reported trying to cut down on marijuana or marijuana product use in the past 12 months</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i/>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AC40A7">
      <w:pPr>
        <w:pStyle w:val="Heading3"/>
      </w:pPr>
      <w:bookmarkStart w:id="239" w:name="_Toc11765962"/>
      <w:bookmarkStart w:id="240" w:name="_Toc11766617"/>
      <w:r w:rsidRPr="000E5D59">
        <w:t>Alcohol Consumption</w:t>
      </w:r>
      <w:bookmarkEnd w:id="239"/>
      <w:bookmarkEnd w:id="240"/>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respondents were asked to report on their alcohol consumption in the past 30 days and other related behaviors. Results are summarized in </w:t>
      </w:r>
      <w:r w:rsidRPr="000E5D59">
        <w:rPr>
          <w:rFonts w:ascii="Arial" w:eastAsia="Calibri" w:hAnsi="Arial" w:cs="Arial"/>
          <w:i/>
          <w:sz w:val="24"/>
          <w:szCs w:val="24"/>
        </w:rPr>
        <w:t>Tables 19A, 19B, and 19C</w:t>
      </w:r>
      <w:r w:rsidRPr="000E5D59">
        <w:rPr>
          <w:rFonts w:ascii="Arial" w:eastAsia="Calibri" w:hAnsi="Arial" w:cs="Arial"/>
          <w:sz w:val="24"/>
          <w:szCs w:val="24"/>
        </w:rPr>
        <w:t>, with comparisons by gender, age group, and educational attainment, respectively.</w:t>
      </w: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Forty-one percent of survey respondents reported no days in the past 30 days in which they consumed an alcoholic beverage, 42% reported consuming alcohol between 1 and 10 days, and 17% reported consuming alcohol more than 10 days in the past 30. A larger proportion of respondents over the age of 50 than younger respondents reported consuming no alcoholic beverages in the past 30 days (43% vs. 39%) and consuming alcohol for at least 21 days out of the past 30 (10% vs. 4%). A larger proportion of respondents under the age of 51 than older respondents reported consuming an alcoholic beverage between 1 and 10 days out of the past 30 (47% vs. 36%). A larger proportion of respondents without a Bachelor’s degree than respondents with a degree reported consuming no alcoholic beverages in the past 30 days (53% vs. 31%), while a larger proportion of respondents with a Bachelor’s degree than respondents without a degree reported consuming an alcoholic beverage between 1 and 10 days out of the past 30 (47% vs. 36%), between 11 and 20 days out of the past 30 (14% vs. 6%), and over 21 days out of the past 30 (8% vs. 5%).</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Fifty-one percent of survey respondents reported spending $0 on alcohol in the past 30 days, 42% of respondents reported spending between $1 and $100, and 6% reported spending more than $100. A larger proportion of females than males reported spending $0 (54% vs. 49%), and a larger proportion of males than females reported spending more than $100 (8% vs. 4%). A larger proportion of respondents over the age of 51 than under reported spending $0 on alcohol in the last 30 days (54% vs. 48%), while a larger proportion of younger respondents reported spending between $1 and $100 (44% vs. 41%). A larger proportion of respondents without a Bachelor’s degree than with a degree reported spending $0 on alcohol in the past 30 days (63% vs. 41%), while a larger proportion of respondents with a degree reported spending between $1 and $100 (50% vs. 35%), between $101 and $200 (7% vs. 2%) and over $200 (3% vs. 1%).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Ninety-four percent of respondents who reported having at least one alcoholic beverage in the past 30 days reported that they did not drive while under the influence of alcohol in the last 30 days, while 6% reported that they had. There were no significant differences in the proportion of respondents driving under the influence of alcohol by gender, age, or education. 7% of survey respondents reported riding as a passenger in a vehicle while the driver was under the influence in the past 30 days.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Only 0.1% of survey respondents indicated being treated in an emergency room or urgent care facility for reasons related to alcohol use in the past 30 days. There were no significant differences in the proportion of respondents treated in an emergency room or urgent care facility for any reason related to alcohol use by gender, age, or education.</w:t>
      </w:r>
    </w:p>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19A: DPH Patient Survey Alcohol Consumption by Gende</w:t>
      </w:r>
      <w:r w:rsidR="00A3309E">
        <w:rPr>
          <w:rFonts w:ascii="Arial" w:eastAsia="Calibri" w:hAnsi="Arial" w:cs="Arial"/>
          <w:b/>
          <w:sz w:val="24"/>
          <w:szCs w:val="24"/>
        </w:rPr>
        <w:t>r (Among All 6,934 Respondents)</w:t>
      </w:r>
    </w:p>
    <w:tbl>
      <w:tblPr>
        <w:tblW w:w="9555" w:type="dxa"/>
        <w:tblInd w:w="93" w:type="dxa"/>
        <w:tblLook w:val="04A0" w:firstRow="1" w:lastRow="0" w:firstColumn="1" w:lastColumn="0" w:noHBand="0" w:noVBand="1"/>
        <w:tblCaption w:val="DPH Patient Survey Alcohol Consumption by Gender (Among All 6,934 Respondents)"/>
      </w:tblPr>
      <w:tblGrid>
        <w:gridCol w:w="4425"/>
        <w:gridCol w:w="900"/>
        <w:gridCol w:w="1530"/>
        <w:gridCol w:w="1530"/>
        <w:gridCol w:w="1170"/>
      </w:tblGrid>
      <w:tr w:rsidR="000E5D59" w:rsidRPr="000E5D59" w:rsidTr="00784755">
        <w:trPr>
          <w:trHeight w:val="20"/>
        </w:trPr>
        <w:tc>
          <w:tcPr>
            <w:tcW w:w="442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double" w:sz="4" w:space="0" w:color="auto"/>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23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42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double" w:sz="4" w:space="0" w:color="auto"/>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(N=3732)</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(N=3056)</w:t>
            </w:r>
          </w:p>
        </w:tc>
        <w:tc>
          <w:tcPr>
            <w:tcW w:w="117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Number of days respondent consumed an alcoholic beverage in past 30 days</w:t>
            </w:r>
          </w:p>
        </w:tc>
        <w:tc>
          <w:tcPr>
            <w:tcW w:w="900" w:type="dxa"/>
            <w:tcBorders>
              <w:top w:val="double" w:sz="4" w:space="0" w:color="auto"/>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6252</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days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2569</w:t>
            </w:r>
            <w:r w:rsidRPr="000E5D59">
              <w:rPr>
                <w:rFonts w:ascii="Arial" w:eastAsia="Times New Roman" w:hAnsi="Arial" w:cs="Arial"/>
                <w:sz w:val="20"/>
                <w:szCs w:val="20"/>
              </w:rPr>
              <w:br/>
              <w:t>41.09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1376</w:t>
            </w:r>
            <w:r w:rsidRPr="000E5D59">
              <w:rPr>
                <w:rFonts w:ascii="Arial" w:eastAsia="Times New Roman" w:hAnsi="Arial" w:cs="Arial"/>
                <w:sz w:val="20"/>
                <w:szCs w:val="20"/>
              </w:rPr>
              <w:br/>
              <w:t>41.15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1146</w:t>
            </w:r>
            <w:r w:rsidRPr="000E5D59">
              <w:rPr>
                <w:rFonts w:ascii="Arial" w:eastAsia="Times New Roman" w:hAnsi="Arial" w:cs="Arial"/>
                <w:sz w:val="20"/>
                <w:szCs w:val="20"/>
              </w:rPr>
              <w:br/>
              <w:t>40.84</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1-10 days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2609</w:t>
            </w:r>
            <w:r w:rsidRPr="000E5D59">
              <w:rPr>
                <w:rFonts w:ascii="Arial" w:eastAsia="Times New Roman" w:hAnsi="Arial" w:cs="Arial"/>
                <w:sz w:val="20"/>
                <w:szCs w:val="20"/>
              </w:rPr>
              <w:br/>
              <w:t>41.73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1337</w:t>
            </w:r>
            <w:r w:rsidRPr="000E5D59">
              <w:rPr>
                <w:rFonts w:ascii="Arial" w:eastAsia="Times New Roman" w:hAnsi="Arial" w:cs="Arial"/>
                <w:sz w:val="20"/>
                <w:szCs w:val="20"/>
              </w:rPr>
              <w:br/>
              <w:t>39.98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1233</w:t>
            </w:r>
            <w:r w:rsidRPr="000E5D59">
              <w:rPr>
                <w:rFonts w:ascii="Arial" w:eastAsia="Times New Roman" w:hAnsi="Arial" w:cs="Arial"/>
                <w:sz w:val="20"/>
                <w:szCs w:val="20"/>
              </w:rPr>
              <w:br/>
              <w:t>43.94</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11-20 days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656</w:t>
            </w:r>
            <w:r w:rsidRPr="000E5D59">
              <w:rPr>
                <w:rFonts w:ascii="Arial" w:eastAsia="Times New Roman" w:hAnsi="Arial" w:cs="Arial"/>
                <w:sz w:val="20"/>
                <w:szCs w:val="20"/>
              </w:rPr>
              <w:br/>
              <w:t>10.49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389</w:t>
            </w:r>
            <w:r w:rsidRPr="000E5D59">
              <w:rPr>
                <w:rFonts w:ascii="Arial" w:eastAsia="Times New Roman" w:hAnsi="Arial" w:cs="Arial"/>
                <w:sz w:val="20"/>
                <w:szCs w:val="20"/>
              </w:rPr>
              <w:br/>
              <w:t>11.63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253</w:t>
            </w:r>
            <w:r w:rsidRPr="000E5D59">
              <w:rPr>
                <w:rFonts w:ascii="Arial" w:eastAsia="Times New Roman" w:hAnsi="Arial" w:cs="Arial"/>
                <w:sz w:val="20"/>
                <w:szCs w:val="20"/>
              </w:rPr>
              <w:br/>
              <w:t>9.02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21-30 days</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418</w:t>
            </w:r>
            <w:r w:rsidRPr="000E5D59">
              <w:rPr>
                <w:rFonts w:ascii="Arial" w:eastAsia="Times New Roman" w:hAnsi="Arial" w:cs="Arial"/>
                <w:sz w:val="20"/>
                <w:szCs w:val="20"/>
              </w:rPr>
              <w:br/>
              <w:t>6.69</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242</w:t>
            </w:r>
            <w:r w:rsidRPr="000E5D59">
              <w:rPr>
                <w:rFonts w:ascii="Arial" w:eastAsia="Times New Roman" w:hAnsi="Arial" w:cs="Arial"/>
                <w:sz w:val="20"/>
                <w:szCs w:val="20"/>
              </w:rPr>
              <w:br/>
              <w:t>7.24</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174</w:t>
            </w:r>
            <w:r w:rsidRPr="000E5D59">
              <w:rPr>
                <w:rFonts w:ascii="Arial" w:eastAsia="Times New Roman" w:hAnsi="Arial" w:cs="Arial"/>
                <w:sz w:val="20"/>
                <w:szCs w:val="20"/>
              </w:rPr>
              <w:br/>
              <w:t>6.20</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Money spent on alcohol in past 30 days</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5328</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$0 </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2727</w:t>
            </w:r>
            <w:r w:rsidRPr="000E5D59">
              <w:rPr>
                <w:rFonts w:ascii="Arial" w:eastAsia="Times New Roman" w:hAnsi="Arial" w:cs="Arial"/>
                <w:sz w:val="20"/>
                <w:szCs w:val="20"/>
              </w:rPr>
              <w:br/>
              <w:t>51.18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1409</w:t>
            </w:r>
            <w:r w:rsidRPr="000E5D59">
              <w:rPr>
                <w:rFonts w:ascii="Arial" w:eastAsia="Times New Roman" w:hAnsi="Arial" w:cs="Arial"/>
                <w:sz w:val="20"/>
                <w:szCs w:val="20"/>
              </w:rPr>
              <w:br/>
              <w:t>48.86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1267</w:t>
            </w:r>
            <w:r w:rsidRPr="000E5D59">
              <w:rPr>
                <w:rFonts w:ascii="Arial" w:eastAsia="Times New Roman" w:hAnsi="Arial" w:cs="Arial"/>
                <w:sz w:val="20"/>
                <w:szCs w:val="20"/>
              </w:rPr>
              <w:br/>
              <w:t>53.71</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 to $100</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2260</w:t>
            </w:r>
            <w:r w:rsidRPr="000E5D59">
              <w:rPr>
                <w:rFonts w:ascii="Arial" w:eastAsia="Times New Roman" w:hAnsi="Arial" w:cs="Arial"/>
                <w:sz w:val="20"/>
                <w:szCs w:val="20"/>
              </w:rPr>
              <w:br/>
              <w:t>42.42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1234</w:t>
            </w:r>
            <w:r w:rsidRPr="000E5D59">
              <w:rPr>
                <w:rFonts w:ascii="Arial" w:eastAsia="Times New Roman" w:hAnsi="Arial" w:cs="Arial"/>
                <w:sz w:val="20"/>
                <w:szCs w:val="20"/>
              </w:rPr>
              <w:br/>
              <w:t>42.79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996</w:t>
            </w:r>
            <w:r w:rsidRPr="000E5D59">
              <w:rPr>
                <w:rFonts w:ascii="Arial" w:eastAsia="Times New Roman" w:hAnsi="Arial" w:cs="Arial"/>
                <w:sz w:val="20"/>
                <w:szCs w:val="20"/>
              </w:rPr>
              <w:br/>
              <w:t>42.22</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$101 to $200</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240</w:t>
            </w:r>
            <w:r w:rsidRPr="000E5D59">
              <w:rPr>
                <w:rFonts w:ascii="Arial" w:eastAsia="Times New Roman" w:hAnsi="Arial" w:cs="Arial"/>
                <w:sz w:val="20"/>
                <w:szCs w:val="20"/>
              </w:rPr>
              <w:br/>
              <w:t>4.50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167</w:t>
            </w:r>
            <w:r w:rsidRPr="000E5D59">
              <w:rPr>
                <w:rFonts w:ascii="Arial" w:eastAsia="Times New Roman" w:hAnsi="Arial" w:cs="Arial"/>
                <w:sz w:val="20"/>
                <w:szCs w:val="20"/>
              </w:rPr>
              <w:br/>
              <w:t>5.79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w:t>
            </w:r>
            <w:r w:rsidRPr="000E5D59">
              <w:rPr>
                <w:rFonts w:ascii="Arial" w:eastAsia="Times New Roman" w:hAnsi="Arial" w:cs="Arial"/>
                <w:sz w:val="20"/>
                <w:szCs w:val="20"/>
              </w:rPr>
              <w:br/>
              <w:t>2.97</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$201 or more</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101</w:t>
            </w:r>
            <w:r w:rsidRPr="000E5D59">
              <w:rPr>
                <w:rFonts w:ascii="Arial" w:eastAsia="Times New Roman" w:hAnsi="Arial" w:cs="Arial"/>
                <w:sz w:val="20"/>
                <w:szCs w:val="20"/>
              </w:rPr>
              <w:br/>
              <w:t>1.90</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w:t>
            </w:r>
            <w:r w:rsidRPr="000E5D59">
              <w:rPr>
                <w:rFonts w:ascii="Arial" w:eastAsia="Times New Roman" w:hAnsi="Arial" w:cs="Arial"/>
                <w:sz w:val="20"/>
                <w:szCs w:val="20"/>
              </w:rPr>
              <w:br/>
              <w:t>2.57</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w:t>
            </w:r>
            <w:r w:rsidRPr="000E5D59">
              <w:rPr>
                <w:rFonts w:ascii="Arial" w:eastAsia="Times New Roman" w:hAnsi="Arial" w:cs="Arial"/>
                <w:sz w:val="20"/>
                <w:szCs w:val="20"/>
              </w:rPr>
              <w:br/>
              <w:t>1.10</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u w:val="single"/>
              </w:rPr>
              <w:t>Drove/operated</w:t>
            </w:r>
            <w:r w:rsidRPr="000E5D59">
              <w:rPr>
                <w:rFonts w:ascii="Arial" w:eastAsia="Times New Roman" w:hAnsi="Arial" w:cs="Arial"/>
                <w:b/>
                <w:bCs/>
                <w:sz w:val="20"/>
                <w:szCs w:val="20"/>
              </w:rPr>
              <w:t xml:space="preserve"> motor vehicle while under the influence of alcohol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3211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3016</w:t>
            </w:r>
            <w:r w:rsidRPr="000E5D59">
              <w:rPr>
                <w:rFonts w:ascii="Arial" w:eastAsia="Times New Roman" w:hAnsi="Arial" w:cs="Arial"/>
                <w:sz w:val="20"/>
                <w:szCs w:val="20"/>
              </w:rPr>
              <w:br/>
              <w:t>93.93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1579</w:t>
            </w:r>
            <w:r w:rsidRPr="000E5D59">
              <w:rPr>
                <w:rFonts w:ascii="Arial" w:eastAsia="Times New Roman" w:hAnsi="Arial" w:cs="Arial"/>
                <w:sz w:val="20"/>
                <w:szCs w:val="20"/>
              </w:rPr>
              <w:br/>
              <w:t>93.32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1392</w:t>
            </w:r>
            <w:r w:rsidRPr="000E5D59">
              <w:rPr>
                <w:rFonts w:ascii="Arial" w:eastAsia="Times New Roman" w:hAnsi="Arial" w:cs="Arial"/>
                <w:sz w:val="20"/>
                <w:szCs w:val="20"/>
              </w:rPr>
              <w:br/>
              <w:t>94.76</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182</w:t>
            </w:r>
            <w:r w:rsidRPr="000E5D59">
              <w:rPr>
                <w:rFonts w:ascii="Arial" w:eastAsia="Times New Roman" w:hAnsi="Arial" w:cs="Arial"/>
                <w:sz w:val="20"/>
                <w:szCs w:val="20"/>
              </w:rPr>
              <w:br/>
              <w:t>5.67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104</w:t>
            </w:r>
            <w:r w:rsidRPr="000E5D59">
              <w:rPr>
                <w:rFonts w:ascii="Arial" w:eastAsia="Times New Roman" w:hAnsi="Arial" w:cs="Arial"/>
                <w:sz w:val="20"/>
                <w:szCs w:val="20"/>
              </w:rPr>
              <w:br/>
              <w:t>6.15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73</w:t>
            </w:r>
            <w:r w:rsidRPr="000E5D59">
              <w:rPr>
                <w:rFonts w:ascii="Arial" w:eastAsia="Times New Roman" w:hAnsi="Arial" w:cs="Arial"/>
                <w:sz w:val="20"/>
                <w:szCs w:val="20"/>
              </w:rPr>
              <w:br/>
              <w:t>4.97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w:t>
            </w:r>
            <w:r w:rsidRPr="000E5D59">
              <w:rPr>
                <w:rFonts w:ascii="Arial" w:eastAsia="Times New Roman" w:hAnsi="Arial" w:cs="Arial"/>
                <w:sz w:val="20"/>
                <w:szCs w:val="20"/>
              </w:rPr>
              <w:br/>
              <w:t>0.40</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w:t>
            </w:r>
            <w:r w:rsidRPr="000E5D59">
              <w:rPr>
                <w:rFonts w:ascii="Arial" w:eastAsia="Times New Roman" w:hAnsi="Arial" w:cs="Arial"/>
                <w:sz w:val="20"/>
                <w:szCs w:val="20"/>
              </w:rPr>
              <w:br/>
              <w:t>0.53</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0.27</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u w:val="single"/>
              </w:rPr>
              <w:t>Rode as a passenger</w:t>
            </w:r>
            <w:r w:rsidRPr="000E5D59">
              <w:rPr>
                <w:rFonts w:ascii="Arial" w:eastAsia="Times New Roman" w:hAnsi="Arial" w:cs="Arial"/>
                <w:b/>
                <w:bCs/>
                <w:sz w:val="20"/>
                <w:szCs w:val="20"/>
              </w:rPr>
              <w:t xml:space="preserve"> in motor vehicle when driver under influence of alcohol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6343</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5901</w:t>
            </w:r>
            <w:r w:rsidRPr="000E5D59">
              <w:rPr>
                <w:rFonts w:ascii="Arial" w:eastAsia="Times New Roman" w:hAnsi="Arial" w:cs="Arial"/>
                <w:sz w:val="20"/>
                <w:szCs w:val="20"/>
              </w:rPr>
              <w:br/>
              <w:t>93.03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3188</w:t>
            </w:r>
            <w:r w:rsidRPr="000E5D59">
              <w:rPr>
                <w:rFonts w:ascii="Arial" w:eastAsia="Times New Roman" w:hAnsi="Arial" w:cs="Arial"/>
                <w:sz w:val="20"/>
                <w:szCs w:val="20"/>
              </w:rPr>
              <w:br/>
              <w:t>93.85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2621</w:t>
            </w:r>
            <w:r w:rsidRPr="000E5D59">
              <w:rPr>
                <w:rFonts w:ascii="Arial" w:eastAsia="Times New Roman" w:hAnsi="Arial" w:cs="Arial"/>
                <w:sz w:val="20"/>
                <w:szCs w:val="20"/>
              </w:rPr>
              <w:br/>
              <w:t>92.03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442</w:t>
            </w:r>
            <w:r w:rsidRPr="000E5D59">
              <w:rPr>
                <w:rFonts w:ascii="Arial" w:eastAsia="Times New Roman" w:hAnsi="Arial" w:cs="Arial"/>
                <w:sz w:val="20"/>
                <w:szCs w:val="20"/>
              </w:rPr>
              <w:br/>
              <w:t>6.97</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209</w:t>
            </w:r>
            <w:r w:rsidRPr="000E5D59">
              <w:rPr>
                <w:rFonts w:ascii="Arial" w:eastAsia="Times New Roman" w:hAnsi="Arial" w:cs="Arial"/>
                <w:sz w:val="20"/>
                <w:szCs w:val="20"/>
              </w:rPr>
              <w:br/>
              <w:t>6.15</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227</w:t>
            </w:r>
            <w:r w:rsidRPr="000E5D59">
              <w:rPr>
                <w:rFonts w:ascii="Arial" w:eastAsia="Times New Roman" w:hAnsi="Arial" w:cs="Arial"/>
                <w:sz w:val="20"/>
                <w:szCs w:val="20"/>
              </w:rPr>
              <w:br/>
              <w:t>7.97</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Treated in emergency room for any reason related to alcohol use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6461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6454</w:t>
            </w:r>
            <w:r w:rsidRPr="000E5D59">
              <w:rPr>
                <w:rFonts w:ascii="Arial" w:eastAsia="Times New Roman" w:hAnsi="Arial" w:cs="Arial"/>
                <w:sz w:val="20"/>
                <w:szCs w:val="20"/>
              </w:rPr>
              <w:br/>
              <w:t>99.89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3459</w:t>
            </w:r>
            <w:r w:rsidRPr="000E5D59">
              <w:rPr>
                <w:rFonts w:ascii="Arial" w:eastAsia="Times New Roman" w:hAnsi="Arial" w:cs="Arial"/>
                <w:sz w:val="20"/>
                <w:szCs w:val="20"/>
              </w:rPr>
              <w:br/>
              <w:t>99.86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2890</w:t>
            </w:r>
            <w:r w:rsidRPr="000E5D59">
              <w:rPr>
                <w:rFonts w:ascii="Arial" w:eastAsia="Times New Roman" w:hAnsi="Arial" w:cs="Arial"/>
                <w:sz w:val="20"/>
                <w:szCs w:val="20"/>
              </w:rPr>
              <w:br/>
              <w:t>99.93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0.11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0.14</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0.07</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 xml:space="preserve">† </w:t>
            </w:r>
            <w:r w:rsidRPr="000E5D59">
              <w:rPr>
                <w:rFonts w:ascii="Arial" w:eastAsia="Times New Roman" w:hAnsi="Arial" w:cs="Arial"/>
                <w:i/>
                <w:iCs/>
                <w:sz w:val="20"/>
                <w:szCs w:val="20"/>
              </w:rPr>
              <w:t>Among respondents indicating consuming at least one drink of any alcoholic beverage in the past 30 days</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19B: DPH Patient Survey Alcohol Consumption by Age Grou</w:t>
      </w:r>
      <w:r w:rsidR="00A3309E">
        <w:rPr>
          <w:rFonts w:ascii="Arial" w:eastAsia="Calibri" w:hAnsi="Arial" w:cs="Arial"/>
          <w:b/>
          <w:sz w:val="24"/>
          <w:szCs w:val="24"/>
        </w:rPr>
        <w:t>p (Among All 6,934 Respondents)</w:t>
      </w:r>
    </w:p>
    <w:tbl>
      <w:tblPr>
        <w:tblW w:w="9555" w:type="dxa"/>
        <w:tblInd w:w="93" w:type="dxa"/>
        <w:tblLook w:val="04A0" w:firstRow="1" w:lastRow="0" w:firstColumn="1" w:lastColumn="0" w:noHBand="0" w:noVBand="1"/>
        <w:tblCaption w:val="DPH Patient Survey Alcohol Consumption by Age Group (Among All 6,934 Respondents)"/>
      </w:tblPr>
      <w:tblGrid>
        <w:gridCol w:w="4425"/>
        <w:gridCol w:w="900"/>
        <w:gridCol w:w="1530"/>
        <w:gridCol w:w="1530"/>
        <w:gridCol w:w="1170"/>
      </w:tblGrid>
      <w:tr w:rsidR="000E5D59" w:rsidRPr="000E5D59" w:rsidTr="00784755">
        <w:trPr>
          <w:trHeight w:val="20"/>
        </w:trPr>
        <w:tc>
          <w:tcPr>
            <w:tcW w:w="442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double" w:sz="4" w:space="0" w:color="auto"/>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23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42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double" w:sz="4" w:space="0" w:color="auto"/>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(N=3584)</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(N=3188)</w:t>
            </w:r>
          </w:p>
        </w:tc>
        <w:tc>
          <w:tcPr>
            <w:tcW w:w="117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Number of days respondent consumed an alcoholic beverage in past 30 days</w:t>
            </w:r>
          </w:p>
        </w:tc>
        <w:tc>
          <w:tcPr>
            <w:tcW w:w="900" w:type="dxa"/>
            <w:tcBorders>
              <w:top w:val="double" w:sz="4" w:space="0" w:color="auto"/>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6252</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days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2569</w:t>
            </w:r>
            <w:r w:rsidRPr="000E5D59">
              <w:rPr>
                <w:rFonts w:ascii="Arial" w:eastAsia="Times New Roman" w:hAnsi="Arial" w:cs="Arial"/>
                <w:sz w:val="20"/>
                <w:szCs w:val="20"/>
              </w:rPr>
              <w:br/>
              <w:t>41.09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1267</w:t>
            </w:r>
            <w:r w:rsidRPr="000E5D59">
              <w:rPr>
                <w:rFonts w:ascii="Arial" w:eastAsia="Times New Roman" w:hAnsi="Arial" w:cs="Arial"/>
                <w:sz w:val="20"/>
                <w:szCs w:val="20"/>
              </w:rPr>
              <w:br/>
              <w:t>39.19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1251</w:t>
            </w:r>
            <w:r w:rsidRPr="000E5D59">
              <w:rPr>
                <w:rFonts w:ascii="Arial" w:eastAsia="Times New Roman" w:hAnsi="Arial" w:cs="Arial"/>
                <w:sz w:val="20"/>
                <w:szCs w:val="20"/>
              </w:rPr>
              <w:br/>
              <w:t>42.97</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1-10 days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2609</w:t>
            </w:r>
            <w:r w:rsidRPr="000E5D59">
              <w:rPr>
                <w:rFonts w:ascii="Arial" w:eastAsia="Times New Roman" w:hAnsi="Arial" w:cs="Arial"/>
                <w:sz w:val="20"/>
                <w:szCs w:val="20"/>
              </w:rPr>
              <w:br/>
              <w:t>41.73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1509</w:t>
            </w:r>
            <w:r w:rsidRPr="000E5D59">
              <w:rPr>
                <w:rFonts w:ascii="Arial" w:eastAsia="Times New Roman" w:hAnsi="Arial" w:cs="Arial"/>
                <w:sz w:val="20"/>
                <w:szCs w:val="20"/>
              </w:rPr>
              <w:br/>
              <w:t>46.67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1056</w:t>
            </w:r>
            <w:r w:rsidRPr="000E5D59">
              <w:rPr>
                <w:rFonts w:ascii="Arial" w:eastAsia="Times New Roman" w:hAnsi="Arial" w:cs="Arial"/>
                <w:sz w:val="20"/>
                <w:szCs w:val="20"/>
              </w:rPr>
              <w:br/>
              <w:t>36.28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11-20 days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656</w:t>
            </w:r>
            <w:r w:rsidRPr="000E5D59">
              <w:rPr>
                <w:rFonts w:ascii="Arial" w:eastAsia="Times New Roman" w:hAnsi="Arial" w:cs="Arial"/>
                <w:sz w:val="20"/>
                <w:szCs w:val="20"/>
              </w:rPr>
              <w:br/>
              <w:t>10.49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332</w:t>
            </w:r>
            <w:r w:rsidRPr="000E5D59">
              <w:rPr>
                <w:rFonts w:ascii="Arial" w:eastAsia="Times New Roman" w:hAnsi="Arial" w:cs="Arial"/>
                <w:sz w:val="20"/>
                <w:szCs w:val="20"/>
              </w:rPr>
              <w:br/>
              <w:t>10.27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318</w:t>
            </w:r>
            <w:r w:rsidRPr="000E5D59">
              <w:rPr>
                <w:rFonts w:ascii="Arial" w:eastAsia="Times New Roman" w:hAnsi="Arial" w:cs="Arial"/>
                <w:sz w:val="20"/>
                <w:szCs w:val="20"/>
              </w:rPr>
              <w:br/>
              <w:t>10.92</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21-30 days</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418</w:t>
            </w:r>
            <w:r w:rsidRPr="000E5D59">
              <w:rPr>
                <w:rFonts w:ascii="Arial" w:eastAsia="Times New Roman" w:hAnsi="Arial" w:cs="Arial"/>
                <w:sz w:val="20"/>
                <w:szCs w:val="20"/>
              </w:rPr>
              <w:br/>
              <w:t>6.69</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125</w:t>
            </w:r>
            <w:r w:rsidRPr="000E5D59">
              <w:rPr>
                <w:rFonts w:ascii="Arial" w:eastAsia="Times New Roman" w:hAnsi="Arial" w:cs="Arial"/>
                <w:sz w:val="20"/>
                <w:szCs w:val="20"/>
              </w:rPr>
              <w:br/>
              <w:t>3.87</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286</w:t>
            </w:r>
            <w:r w:rsidRPr="000E5D59">
              <w:rPr>
                <w:rFonts w:ascii="Arial" w:eastAsia="Times New Roman" w:hAnsi="Arial" w:cs="Arial"/>
                <w:sz w:val="20"/>
                <w:szCs w:val="20"/>
              </w:rPr>
              <w:br/>
              <w:t>9.82</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Money spent on alcohol in past 30 days</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5328</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$0 </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2727</w:t>
            </w:r>
            <w:r w:rsidRPr="000E5D59">
              <w:rPr>
                <w:rFonts w:ascii="Arial" w:eastAsia="Times New Roman" w:hAnsi="Arial" w:cs="Arial"/>
                <w:sz w:val="20"/>
                <w:szCs w:val="20"/>
              </w:rPr>
              <w:br/>
              <w:t>51.18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1338</w:t>
            </w:r>
            <w:r w:rsidRPr="000E5D59">
              <w:rPr>
                <w:rFonts w:ascii="Arial" w:eastAsia="Times New Roman" w:hAnsi="Arial" w:cs="Arial"/>
                <w:sz w:val="20"/>
                <w:szCs w:val="20"/>
              </w:rPr>
              <w:br/>
              <w:t>48.44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1334</w:t>
            </w:r>
            <w:r w:rsidRPr="000E5D59">
              <w:rPr>
                <w:rFonts w:ascii="Arial" w:eastAsia="Times New Roman" w:hAnsi="Arial" w:cs="Arial"/>
                <w:sz w:val="20"/>
                <w:szCs w:val="20"/>
              </w:rPr>
              <w:br/>
              <w:t>53.79</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 to $100</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2260</w:t>
            </w:r>
            <w:r w:rsidRPr="000E5D59">
              <w:rPr>
                <w:rFonts w:ascii="Arial" w:eastAsia="Times New Roman" w:hAnsi="Arial" w:cs="Arial"/>
                <w:sz w:val="20"/>
                <w:szCs w:val="20"/>
              </w:rPr>
              <w:br/>
              <w:t>42.42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1206</w:t>
            </w:r>
            <w:r w:rsidRPr="000E5D59">
              <w:rPr>
                <w:rFonts w:ascii="Arial" w:eastAsia="Times New Roman" w:hAnsi="Arial" w:cs="Arial"/>
                <w:sz w:val="20"/>
                <w:szCs w:val="20"/>
              </w:rPr>
              <w:br/>
              <w:t>43.66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1024</w:t>
            </w:r>
            <w:r w:rsidRPr="000E5D59">
              <w:rPr>
                <w:rFonts w:ascii="Arial" w:eastAsia="Times New Roman" w:hAnsi="Arial" w:cs="Arial"/>
                <w:sz w:val="20"/>
                <w:szCs w:val="20"/>
              </w:rPr>
              <w:br/>
              <w:t>41.29</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$101 to $200</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240</w:t>
            </w:r>
            <w:r w:rsidRPr="000E5D59">
              <w:rPr>
                <w:rFonts w:ascii="Arial" w:eastAsia="Times New Roman" w:hAnsi="Arial" w:cs="Arial"/>
                <w:sz w:val="20"/>
                <w:szCs w:val="20"/>
              </w:rPr>
              <w:br/>
              <w:t>4.50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150</w:t>
            </w:r>
            <w:r w:rsidRPr="000E5D59">
              <w:rPr>
                <w:rFonts w:ascii="Arial" w:eastAsia="Times New Roman" w:hAnsi="Arial" w:cs="Arial"/>
                <w:sz w:val="20"/>
                <w:szCs w:val="20"/>
              </w:rPr>
              <w:br/>
              <w:t>5.43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89</w:t>
            </w:r>
            <w:r w:rsidRPr="000E5D59">
              <w:rPr>
                <w:rFonts w:ascii="Arial" w:eastAsia="Times New Roman" w:hAnsi="Arial" w:cs="Arial"/>
                <w:sz w:val="20"/>
                <w:szCs w:val="20"/>
              </w:rPr>
              <w:br/>
              <w:t>3.59</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$201 or more</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101</w:t>
            </w:r>
            <w:r w:rsidRPr="000E5D59">
              <w:rPr>
                <w:rFonts w:ascii="Arial" w:eastAsia="Times New Roman" w:hAnsi="Arial" w:cs="Arial"/>
                <w:sz w:val="20"/>
                <w:szCs w:val="20"/>
              </w:rPr>
              <w:br/>
              <w:t>1.90</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68</w:t>
            </w:r>
            <w:r w:rsidRPr="000E5D59">
              <w:rPr>
                <w:rFonts w:ascii="Arial" w:eastAsia="Times New Roman" w:hAnsi="Arial" w:cs="Arial"/>
                <w:sz w:val="20"/>
                <w:szCs w:val="20"/>
              </w:rPr>
              <w:br/>
              <w:t>2.46</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w:t>
            </w:r>
            <w:r w:rsidRPr="000E5D59">
              <w:rPr>
                <w:rFonts w:ascii="Arial" w:eastAsia="Times New Roman" w:hAnsi="Arial" w:cs="Arial"/>
                <w:sz w:val="20"/>
                <w:szCs w:val="20"/>
              </w:rPr>
              <w:br/>
              <w:t>1.33</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u w:val="single"/>
              </w:rPr>
              <w:t>Drove/operated</w:t>
            </w:r>
            <w:r w:rsidRPr="000E5D59">
              <w:rPr>
                <w:rFonts w:ascii="Arial" w:eastAsia="Times New Roman" w:hAnsi="Arial" w:cs="Arial"/>
                <w:b/>
                <w:bCs/>
                <w:sz w:val="20"/>
                <w:szCs w:val="20"/>
              </w:rPr>
              <w:t xml:space="preserve"> motor vehicle while under the influence of alcohol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3211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3016</w:t>
            </w:r>
            <w:r w:rsidRPr="000E5D59">
              <w:rPr>
                <w:rFonts w:ascii="Arial" w:eastAsia="Times New Roman" w:hAnsi="Arial" w:cs="Arial"/>
                <w:sz w:val="20"/>
                <w:szCs w:val="20"/>
              </w:rPr>
              <w:br/>
              <w:t>93.93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1703</w:t>
            </w:r>
            <w:r w:rsidRPr="000E5D59">
              <w:rPr>
                <w:rFonts w:ascii="Arial" w:eastAsia="Times New Roman" w:hAnsi="Arial" w:cs="Arial"/>
                <w:sz w:val="20"/>
                <w:szCs w:val="20"/>
              </w:rPr>
              <w:br/>
              <w:t>94.04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1265</w:t>
            </w:r>
            <w:r w:rsidRPr="000E5D59">
              <w:rPr>
                <w:rFonts w:ascii="Arial" w:eastAsia="Times New Roman" w:hAnsi="Arial" w:cs="Arial"/>
                <w:sz w:val="20"/>
                <w:szCs w:val="20"/>
              </w:rPr>
              <w:br/>
              <w:t>93.70</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182</w:t>
            </w:r>
            <w:r w:rsidRPr="000E5D59">
              <w:rPr>
                <w:rFonts w:ascii="Arial" w:eastAsia="Times New Roman" w:hAnsi="Arial" w:cs="Arial"/>
                <w:sz w:val="20"/>
                <w:szCs w:val="20"/>
              </w:rPr>
              <w:br/>
              <w:t>5.67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98</w:t>
            </w:r>
            <w:r w:rsidRPr="000E5D59">
              <w:rPr>
                <w:rFonts w:ascii="Arial" w:eastAsia="Times New Roman" w:hAnsi="Arial" w:cs="Arial"/>
                <w:sz w:val="20"/>
                <w:szCs w:val="20"/>
              </w:rPr>
              <w:br/>
              <w:t>5.41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82</w:t>
            </w:r>
            <w:r w:rsidRPr="000E5D59">
              <w:rPr>
                <w:rFonts w:ascii="Arial" w:eastAsia="Times New Roman" w:hAnsi="Arial" w:cs="Arial"/>
                <w:sz w:val="20"/>
                <w:szCs w:val="20"/>
              </w:rPr>
              <w:br/>
              <w:t>6.07</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w:t>
            </w:r>
            <w:r w:rsidRPr="000E5D59">
              <w:rPr>
                <w:rFonts w:ascii="Arial" w:eastAsia="Times New Roman" w:hAnsi="Arial" w:cs="Arial"/>
                <w:sz w:val="20"/>
                <w:szCs w:val="20"/>
              </w:rPr>
              <w:br/>
              <w:t>0.40</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0.55</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0.22</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u w:val="single"/>
              </w:rPr>
              <w:t>Rode as a passenger</w:t>
            </w:r>
            <w:r w:rsidRPr="000E5D59">
              <w:rPr>
                <w:rFonts w:ascii="Arial" w:eastAsia="Times New Roman" w:hAnsi="Arial" w:cs="Arial"/>
                <w:b/>
                <w:bCs/>
                <w:sz w:val="20"/>
                <w:szCs w:val="20"/>
              </w:rPr>
              <w:t xml:space="preserve"> in motor vehicle when driver under influence of alcohol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6343</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5901</w:t>
            </w:r>
            <w:r w:rsidRPr="000E5D59">
              <w:rPr>
                <w:rFonts w:ascii="Arial" w:eastAsia="Times New Roman" w:hAnsi="Arial" w:cs="Arial"/>
                <w:sz w:val="20"/>
                <w:szCs w:val="20"/>
              </w:rPr>
              <w:br/>
              <w:t>93.03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3030</w:t>
            </w:r>
            <w:r w:rsidRPr="000E5D59">
              <w:rPr>
                <w:rFonts w:ascii="Arial" w:eastAsia="Times New Roman" w:hAnsi="Arial" w:cs="Arial"/>
                <w:sz w:val="20"/>
                <w:szCs w:val="20"/>
              </w:rPr>
              <w:br/>
              <w:t>92.24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2767</w:t>
            </w:r>
            <w:r w:rsidRPr="000E5D59">
              <w:rPr>
                <w:rFonts w:ascii="Arial" w:eastAsia="Times New Roman" w:hAnsi="Arial" w:cs="Arial"/>
                <w:sz w:val="20"/>
                <w:szCs w:val="20"/>
              </w:rPr>
              <w:br/>
              <w:t>93.86</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442</w:t>
            </w:r>
            <w:r w:rsidRPr="000E5D59">
              <w:rPr>
                <w:rFonts w:ascii="Arial" w:eastAsia="Times New Roman" w:hAnsi="Arial" w:cs="Arial"/>
                <w:sz w:val="20"/>
                <w:szCs w:val="20"/>
              </w:rPr>
              <w:br/>
              <w:t>6.97</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255</w:t>
            </w:r>
            <w:r w:rsidRPr="000E5D59">
              <w:rPr>
                <w:rFonts w:ascii="Arial" w:eastAsia="Times New Roman" w:hAnsi="Arial" w:cs="Arial"/>
                <w:sz w:val="20"/>
                <w:szCs w:val="20"/>
              </w:rPr>
              <w:br/>
              <w:t>7.76</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181</w:t>
            </w:r>
            <w:r w:rsidRPr="000E5D59">
              <w:rPr>
                <w:rFonts w:ascii="Arial" w:eastAsia="Times New Roman" w:hAnsi="Arial" w:cs="Arial"/>
                <w:sz w:val="20"/>
                <w:szCs w:val="20"/>
              </w:rPr>
              <w:br/>
              <w:t>6.14</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Treated in emergency room for any reason related to alcohol use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6461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6454</w:t>
            </w:r>
            <w:r w:rsidRPr="000E5D59">
              <w:rPr>
                <w:rFonts w:ascii="Arial" w:eastAsia="Times New Roman" w:hAnsi="Arial" w:cs="Arial"/>
                <w:sz w:val="20"/>
                <w:szCs w:val="20"/>
              </w:rPr>
              <w:br/>
              <w:t>99.89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3345</w:t>
            </w:r>
            <w:r w:rsidRPr="000E5D59">
              <w:rPr>
                <w:rFonts w:ascii="Arial" w:eastAsia="Times New Roman" w:hAnsi="Arial" w:cs="Arial"/>
                <w:sz w:val="20"/>
                <w:szCs w:val="20"/>
              </w:rPr>
              <w:br/>
              <w:t>99.85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2996</w:t>
            </w:r>
            <w:r w:rsidRPr="000E5D59">
              <w:rPr>
                <w:rFonts w:ascii="Arial" w:eastAsia="Times New Roman" w:hAnsi="Arial" w:cs="Arial"/>
                <w:sz w:val="20"/>
                <w:szCs w:val="20"/>
              </w:rPr>
              <w:br/>
              <w:t>99.93</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0.11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0.15</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0.07</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 xml:space="preserve">† </w:t>
            </w:r>
            <w:r w:rsidRPr="000E5D59">
              <w:rPr>
                <w:rFonts w:ascii="Arial" w:eastAsia="Times New Roman" w:hAnsi="Arial" w:cs="Arial"/>
                <w:i/>
                <w:iCs/>
                <w:sz w:val="20"/>
                <w:szCs w:val="20"/>
              </w:rPr>
              <w:t>Among respondents indicating consuming at least one drink of any alcoholic beverage in the past 30 days</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19C: DPH Patient Survey Alcohol Consumption by Education (</w:t>
      </w:r>
      <w:r w:rsidR="00A3309E">
        <w:rPr>
          <w:rFonts w:ascii="Arial" w:eastAsia="Calibri" w:hAnsi="Arial" w:cs="Arial"/>
          <w:b/>
          <w:sz w:val="24"/>
          <w:szCs w:val="24"/>
        </w:rPr>
        <w:t>Among All 6,934 Respondents)</w:t>
      </w:r>
    </w:p>
    <w:tbl>
      <w:tblPr>
        <w:tblW w:w="9555" w:type="dxa"/>
        <w:tblInd w:w="93" w:type="dxa"/>
        <w:tblLook w:val="04A0" w:firstRow="1" w:lastRow="0" w:firstColumn="1" w:lastColumn="0" w:noHBand="0" w:noVBand="1"/>
        <w:tblCaption w:val="DPH Patient Survey Alcohol Consumption by Education (Among All 6,934 Respondents)"/>
      </w:tblPr>
      <w:tblGrid>
        <w:gridCol w:w="4425"/>
        <w:gridCol w:w="900"/>
        <w:gridCol w:w="1530"/>
        <w:gridCol w:w="1530"/>
        <w:gridCol w:w="1170"/>
      </w:tblGrid>
      <w:tr w:rsidR="000E5D59" w:rsidRPr="000E5D59" w:rsidTr="00784755">
        <w:trPr>
          <w:trHeight w:val="20"/>
        </w:trPr>
        <w:tc>
          <w:tcPr>
            <w:tcW w:w="442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double" w:sz="4" w:space="0" w:color="auto"/>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23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42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double" w:sz="4" w:space="0" w:color="auto"/>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(N=3282)</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(N=3595)</w:t>
            </w:r>
          </w:p>
        </w:tc>
        <w:tc>
          <w:tcPr>
            <w:tcW w:w="117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Number of days respondent consumed an alcoholic beverage in past 30 days</w:t>
            </w:r>
          </w:p>
        </w:tc>
        <w:tc>
          <w:tcPr>
            <w:tcW w:w="900" w:type="dxa"/>
            <w:tcBorders>
              <w:top w:val="double" w:sz="4" w:space="0" w:color="auto"/>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6252</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 days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2569</w:t>
            </w:r>
            <w:r w:rsidRPr="000E5D59">
              <w:rPr>
                <w:rFonts w:ascii="Arial" w:eastAsia="Times New Roman" w:hAnsi="Arial" w:cs="Arial"/>
                <w:sz w:val="20"/>
                <w:szCs w:val="20"/>
              </w:rPr>
              <w:br/>
              <w:t>41.09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1555</w:t>
            </w:r>
            <w:r w:rsidRPr="000E5D59">
              <w:rPr>
                <w:rFonts w:ascii="Arial" w:eastAsia="Times New Roman" w:hAnsi="Arial" w:cs="Arial"/>
                <w:sz w:val="20"/>
                <w:szCs w:val="20"/>
              </w:rPr>
              <w:br/>
              <w:t>52.78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1007</w:t>
            </w:r>
            <w:r w:rsidRPr="000E5D59">
              <w:rPr>
                <w:rFonts w:ascii="Arial" w:eastAsia="Times New Roman" w:hAnsi="Arial" w:cs="Arial"/>
                <w:sz w:val="20"/>
                <w:szCs w:val="20"/>
              </w:rPr>
              <w:br/>
              <w:t>30.59</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1-10 days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2609</w:t>
            </w:r>
            <w:r w:rsidRPr="000E5D59">
              <w:rPr>
                <w:rFonts w:ascii="Arial" w:eastAsia="Times New Roman" w:hAnsi="Arial" w:cs="Arial"/>
                <w:sz w:val="20"/>
                <w:szCs w:val="20"/>
              </w:rPr>
              <w:br/>
              <w:t>41.73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1066</w:t>
            </w:r>
            <w:r w:rsidRPr="000E5D59">
              <w:rPr>
                <w:rFonts w:ascii="Arial" w:eastAsia="Times New Roman" w:hAnsi="Arial" w:cs="Arial"/>
                <w:sz w:val="20"/>
                <w:szCs w:val="20"/>
              </w:rPr>
              <w:br/>
              <w:t>36.18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1537</w:t>
            </w:r>
            <w:r w:rsidRPr="000E5D59">
              <w:rPr>
                <w:rFonts w:ascii="Arial" w:eastAsia="Times New Roman" w:hAnsi="Arial" w:cs="Arial"/>
                <w:sz w:val="20"/>
                <w:szCs w:val="20"/>
              </w:rPr>
              <w:br/>
              <w:t>46.69</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11-20 days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656</w:t>
            </w:r>
            <w:r w:rsidRPr="000E5D59">
              <w:rPr>
                <w:rFonts w:ascii="Arial" w:eastAsia="Times New Roman" w:hAnsi="Arial" w:cs="Arial"/>
                <w:sz w:val="20"/>
                <w:szCs w:val="20"/>
              </w:rPr>
              <w:br/>
              <w:t>10.49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187</w:t>
            </w:r>
            <w:r w:rsidRPr="000E5D59">
              <w:rPr>
                <w:rFonts w:ascii="Arial" w:eastAsia="Times New Roman" w:hAnsi="Arial" w:cs="Arial"/>
                <w:sz w:val="20"/>
                <w:szCs w:val="20"/>
              </w:rPr>
              <w:br/>
              <w:t>6.35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469</w:t>
            </w:r>
            <w:r w:rsidRPr="000E5D59">
              <w:rPr>
                <w:rFonts w:ascii="Arial" w:eastAsia="Times New Roman" w:hAnsi="Arial" w:cs="Arial"/>
                <w:sz w:val="20"/>
                <w:szCs w:val="20"/>
              </w:rPr>
              <w:br/>
              <w:t>14.25</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21-30 days</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418</w:t>
            </w:r>
            <w:r w:rsidRPr="000E5D59">
              <w:rPr>
                <w:rFonts w:ascii="Arial" w:eastAsia="Times New Roman" w:hAnsi="Arial" w:cs="Arial"/>
                <w:sz w:val="20"/>
                <w:szCs w:val="20"/>
              </w:rPr>
              <w:br/>
              <w:t>6.69</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138</w:t>
            </w:r>
            <w:r w:rsidRPr="000E5D59">
              <w:rPr>
                <w:rFonts w:ascii="Arial" w:eastAsia="Times New Roman" w:hAnsi="Arial" w:cs="Arial"/>
                <w:sz w:val="20"/>
                <w:szCs w:val="20"/>
              </w:rPr>
              <w:br/>
              <w:t>4.68</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279</w:t>
            </w:r>
            <w:r w:rsidRPr="000E5D59">
              <w:rPr>
                <w:rFonts w:ascii="Arial" w:eastAsia="Times New Roman" w:hAnsi="Arial" w:cs="Arial"/>
                <w:sz w:val="20"/>
                <w:szCs w:val="20"/>
              </w:rPr>
              <w:br/>
              <w:t>8.48</w:t>
            </w:r>
          </w:p>
        </w:tc>
        <w:tc>
          <w:tcPr>
            <w:tcW w:w="117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Money spent on alcohol in past 30 days</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5328</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$0 </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2727</w:t>
            </w:r>
            <w:r w:rsidRPr="000E5D59">
              <w:rPr>
                <w:rFonts w:ascii="Arial" w:eastAsia="Times New Roman" w:hAnsi="Arial" w:cs="Arial"/>
                <w:sz w:val="20"/>
                <w:szCs w:val="20"/>
              </w:rPr>
              <w:br/>
              <w:t>51.18</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1604</w:t>
            </w:r>
            <w:r w:rsidRPr="000E5D59">
              <w:rPr>
                <w:rFonts w:ascii="Arial" w:eastAsia="Times New Roman" w:hAnsi="Arial" w:cs="Arial"/>
                <w:sz w:val="20"/>
                <w:szCs w:val="20"/>
              </w:rPr>
              <w:br/>
              <w:t>62.51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1114</w:t>
            </w:r>
            <w:r w:rsidRPr="000E5D59">
              <w:rPr>
                <w:rFonts w:ascii="Arial" w:eastAsia="Times New Roman" w:hAnsi="Arial" w:cs="Arial"/>
                <w:sz w:val="20"/>
                <w:szCs w:val="20"/>
              </w:rPr>
              <w:br/>
              <w:t>40.51</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 to $100</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2260</w:t>
            </w:r>
            <w:r w:rsidRPr="000E5D59">
              <w:rPr>
                <w:rFonts w:ascii="Arial" w:eastAsia="Times New Roman" w:hAnsi="Arial" w:cs="Arial"/>
                <w:sz w:val="20"/>
                <w:szCs w:val="20"/>
              </w:rPr>
              <w:br/>
              <w:t>42.42</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889</w:t>
            </w:r>
            <w:r w:rsidRPr="000E5D59">
              <w:rPr>
                <w:rFonts w:ascii="Arial" w:eastAsia="Times New Roman" w:hAnsi="Arial" w:cs="Arial"/>
                <w:sz w:val="20"/>
                <w:szCs w:val="20"/>
              </w:rPr>
              <w:br/>
              <w:t>34.65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1369</w:t>
            </w:r>
            <w:r w:rsidRPr="000E5D59">
              <w:rPr>
                <w:rFonts w:ascii="Arial" w:eastAsia="Times New Roman" w:hAnsi="Arial" w:cs="Arial"/>
                <w:sz w:val="20"/>
                <w:szCs w:val="20"/>
              </w:rPr>
              <w:br/>
              <w:t>49.78</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$101 to $200</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240</w:t>
            </w:r>
            <w:r w:rsidRPr="000E5D59">
              <w:rPr>
                <w:rFonts w:ascii="Arial" w:eastAsia="Times New Roman" w:hAnsi="Arial" w:cs="Arial"/>
                <w:sz w:val="20"/>
                <w:szCs w:val="20"/>
              </w:rPr>
              <w:br/>
              <w:t>4.50</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w:t>
            </w:r>
            <w:r w:rsidRPr="000E5D59">
              <w:rPr>
                <w:rFonts w:ascii="Arial" w:eastAsia="Times New Roman" w:hAnsi="Arial" w:cs="Arial"/>
                <w:sz w:val="20"/>
                <w:szCs w:val="20"/>
              </w:rPr>
              <w:br/>
              <w:t>1.75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194</w:t>
            </w:r>
            <w:r w:rsidRPr="000E5D59">
              <w:rPr>
                <w:rFonts w:ascii="Arial" w:eastAsia="Times New Roman" w:hAnsi="Arial" w:cs="Arial"/>
                <w:sz w:val="20"/>
                <w:szCs w:val="20"/>
              </w:rPr>
              <w:br/>
              <w:t>7.05</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$201 or more</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101</w:t>
            </w:r>
            <w:r w:rsidRPr="000E5D59">
              <w:rPr>
                <w:rFonts w:ascii="Arial" w:eastAsia="Times New Roman" w:hAnsi="Arial" w:cs="Arial"/>
                <w:sz w:val="20"/>
                <w:szCs w:val="20"/>
              </w:rPr>
              <w:br/>
              <w:t>1.90</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w:t>
            </w:r>
            <w:r w:rsidRPr="000E5D59">
              <w:rPr>
                <w:rFonts w:ascii="Arial" w:eastAsia="Times New Roman" w:hAnsi="Arial" w:cs="Arial"/>
                <w:sz w:val="20"/>
                <w:szCs w:val="20"/>
              </w:rPr>
              <w:br/>
              <w:t>1.09</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73</w:t>
            </w:r>
            <w:r w:rsidRPr="000E5D59">
              <w:rPr>
                <w:rFonts w:ascii="Arial" w:eastAsia="Times New Roman" w:hAnsi="Arial" w:cs="Arial"/>
                <w:sz w:val="20"/>
                <w:szCs w:val="20"/>
              </w:rPr>
              <w:br/>
              <w:t>2.65</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u w:val="single"/>
              </w:rPr>
              <w:t>Drove/operated</w:t>
            </w:r>
            <w:r w:rsidRPr="000E5D59">
              <w:rPr>
                <w:rFonts w:ascii="Arial" w:eastAsia="Times New Roman" w:hAnsi="Arial" w:cs="Arial"/>
                <w:b/>
                <w:bCs/>
                <w:sz w:val="20"/>
                <w:szCs w:val="20"/>
              </w:rPr>
              <w:t xml:space="preserve"> motor vehicle while under the influence of alcohol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3211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3016</w:t>
            </w:r>
            <w:r w:rsidRPr="000E5D59">
              <w:rPr>
                <w:rFonts w:ascii="Arial" w:eastAsia="Times New Roman" w:hAnsi="Arial" w:cs="Arial"/>
                <w:sz w:val="20"/>
                <w:szCs w:val="20"/>
              </w:rPr>
              <w:br/>
              <w:t>93.93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1160</w:t>
            </w:r>
            <w:r w:rsidRPr="000E5D59">
              <w:rPr>
                <w:rFonts w:ascii="Arial" w:eastAsia="Times New Roman" w:hAnsi="Arial" w:cs="Arial"/>
                <w:sz w:val="20"/>
                <w:szCs w:val="20"/>
              </w:rPr>
              <w:br/>
              <w:t>94.16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1851</w:t>
            </w:r>
            <w:r w:rsidRPr="000E5D59">
              <w:rPr>
                <w:rFonts w:ascii="Arial" w:eastAsia="Times New Roman" w:hAnsi="Arial" w:cs="Arial"/>
                <w:sz w:val="20"/>
                <w:szCs w:val="20"/>
              </w:rPr>
              <w:br/>
              <w:t>93.77</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182</w:t>
            </w:r>
            <w:r w:rsidRPr="000E5D59">
              <w:rPr>
                <w:rFonts w:ascii="Arial" w:eastAsia="Times New Roman" w:hAnsi="Arial" w:cs="Arial"/>
                <w:sz w:val="20"/>
                <w:szCs w:val="20"/>
              </w:rPr>
              <w:br/>
              <w:t>5.67</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66</w:t>
            </w:r>
            <w:r w:rsidRPr="000E5D59">
              <w:rPr>
                <w:rFonts w:ascii="Arial" w:eastAsia="Times New Roman" w:hAnsi="Arial" w:cs="Arial"/>
                <w:sz w:val="20"/>
                <w:szCs w:val="20"/>
              </w:rPr>
              <w:br/>
              <w:t>5.36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116</w:t>
            </w:r>
            <w:r w:rsidRPr="000E5D59">
              <w:rPr>
                <w:rFonts w:ascii="Arial" w:eastAsia="Times New Roman" w:hAnsi="Arial" w:cs="Arial"/>
                <w:sz w:val="20"/>
                <w:szCs w:val="20"/>
              </w:rPr>
              <w:br/>
              <w:t>5.88</w:t>
            </w:r>
          </w:p>
        </w:tc>
        <w:tc>
          <w:tcPr>
            <w:tcW w:w="117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w:t>
            </w:r>
            <w:r w:rsidRPr="000E5D59">
              <w:rPr>
                <w:rFonts w:ascii="Arial" w:eastAsia="Times New Roman" w:hAnsi="Arial" w:cs="Arial"/>
                <w:sz w:val="20"/>
                <w:szCs w:val="20"/>
              </w:rPr>
              <w:br/>
              <w:t>0.40</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0.49</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0.35</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u w:val="single"/>
              </w:rPr>
              <w:t>Rode as a passenger</w:t>
            </w:r>
            <w:r w:rsidRPr="000E5D59">
              <w:rPr>
                <w:rFonts w:ascii="Arial" w:eastAsia="Times New Roman" w:hAnsi="Arial" w:cs="Arial"/>
                <w:b/>
                <w:bCs/>
                <w:sz w:val="20"/>
                <w:szCs w:val="20"/>
              </w:rPr>
              <w:t xml:space="preserve"> in motor vehicle when driver under influence of alcohol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6343</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5901</w:t>
            </w:r>
            <w:r w:rsidRPr="000E5D59">
              <w:rPr>
                <w:rFonts w:ascii="Arial" w:eastAsia="Times New Roman" w:hAnsi="Arial" w:cs="Arial"/>
                <w:sz w:val="20"/>
                <w:szCs w:val="20"/>
              </w:rPr>
              <w:br/>
              <w:t>93.03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2853</w:t>
            </w:r>
            <w:r w:rsidRPr="000E5D59">
              <w:rPr>
                <w:rFonts w:ascii="Arial" w:eastAsia="Times New Roman" w:hAnsi="Arial" w:cs="Arial"/>
                <w:sz w:val="20"/>
                <w:szCs w:val="20"/>
              </w:rPr>
              <w:br/>
              <w:t>94.10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3034</w:t>
            </w:r>
            <w:r w:rsidRPr="000E5D59">
              <w:rPr>
                <w:rFonts w:ascii="Arial" w:eastAsia="Times New Roman" w:hAnsi="Arial" w:cs="Arial"/>
                <w:sz w:val="20"/>
                <w:szCs w:val="20"/>
              </w:rPr>
              <w:br/>
              <w:t>92.02</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442</w:t>
            </w:r>
            <w:r w:rsidRPr="000E5D59">
              <w:rPr>
                <w:rFonts w:ascii="Arial" w:eastAsia="Times New Roman" w:hAnsi="Arial" w:cs="Arial"/>
                <w:sz w:val="20"/>
                <w:szCs w:val="20"/>
              </w:rPr>
              <w:br/>
              <w:t>6.97</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179</w:t>
            </w:r>
            <w:r w:rsidRPr="000E5D59">
              <w:rPr>
                <w:rFonts w:ascii="Arial" w:eastAsia="Times New Roman" w:hAnsi="Arial" w:cs="Arial"/>
                <w:sz w:val="20"/>
                <w:szCs w:val="20"/>
              </w:rPr>
              <w:br/>
              <w:t>5.90</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263</w:t>
            </w:r>
            <w:r w:rsidRPr="000E5D59">
              <w:rPr>
                <w:rFonts w:ascii="Arial" w:eastAsia="Times New Roman" w:hAnsi="Arial" w:cs="Arial"/>
                <w:sz w:val="20"/>
                <w:szCs w:val="20"/>
              </w:rPr>
              <w:br/>
              <w:t>7.98</w:t>
            </w:r>
          </w:p>
        </w:tc>
        <w:tc>
          <w:tcPr>
            <w:tcW w:w="117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Treated in emergency room for any reason related to alcohol use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6461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42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6454</w:t>
            </w:r>
            <w:r w:rsidRPr="000E5D59">
              <w:rPr>
                <w:rFonts w:ascii="Arial" w:eastAsia="Times New Roman" w:hAnsi="Arial" w:cs="Arial"/>
                <w:sz w:val="20"/>
                <w:szCs w:val="20"/>
              </w:rPr>
              <w:br/>
              <w:t>99.89</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3062</w:t>
            </w:r>
            <w:r w:rsidRPr="000E5D59">
              <w:rPr>
                <w:rFonts w:ascii="Arial" w:eastAsia="Times New Roman" w:hAnsi="Arial" w:cs="Arial"/>
                <w:sz w:val="20"/>
                <w:szCs w:val="20"/>
              </w:rPr>
              <w:br/>
              <w:t>99.87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3377</w:t>
            </w:r>
            <w:r w:rsidRPr="000E5D59">
              <w:rPr>
                <w:rFonts w:ascii="Arial" w:eastAsia="Times New Roman" w:hAnsi="Arial" w:cs="Arial"/>
                <w:sz w:val="20"/>
                <w:szCs w:val="20"/>
              </w:rPr>
              <w:br/>
              <w:t>99.91</w:t>
            </w:r>
          </w:p>
        </w:tc>
        <w:tc>
          <w:tcPr>
            <w:tcW w:w="117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42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0.11</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0.13</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0.09</w:t>
            </w:r>
          </w:p>
        </w:tc>
        <w:tc>
          <w:tcPr>
            <w:tcW w:w="117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 xml:space="preserve">† </w:t>
            </w:r>
            <w:r w:rsidRPr="000E5D59">
              <w:rPr>
                <w:rFonts w:ascii="Arial" w:eastAsia="Times New Roman" w:hAnsi="Arial" w:cs="Arial"/>
                <w:i/>
                <w:iCs/>
                <w:sz w:val="20"/>
                <w:szCs w:val="20"/>
              </w:rPr>
              <w:t>Among respondents indicating consuming at least one drink of any alcoholic beverage in the past 30 days</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AC40A7">
      <w:pPr>
        <w:pStyle w:val="Heading3"/>
      </w:pPr>
      <w:bookmarkStart w:id="241" w:name="_Toc11765963"/>
      <w:bookmarkStart w:id="242" w:name="_Toc11766618"/>
      <w:r w:rsidRPr="000E5D59">
        <w:t>Non-Medical Use of Prescription Drugs and Other Substances</w:t>
      </w:r>
      <w:bookmarkEnd w:id="241"/>
      <w:bookmarkEnd w:id="242"/>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respondents were asked to report on their non-medical use or and behaviors related to prescription drugs and other substances in the past 30 days. Results are summarized in </w:t>
      </w:r>
      <w:r w:rsidRPr="000E5D59">
        <w:rPr>
          <w:rFonts w:ascii="Arial" w:eastAsia="Calibri" w:hAnsi="Arial" w:cs="Arial"/>
          <w:i/>
          <w:sz w:val="24"/>
          <w:szCs w:val="24"/>
        </w:rPr>
        <w:t>Tables 20A, 20B, and 20C</w:t>
      </w:r>
      <w:r w:rsidRPr="000E5D59">
        <w:rPr>
          <w:rFonts w:ascii="Arial" w:eastAsia="Calibri" w:hAnsi="Arial" w:cs="Arial"/>
          <w:sz w:val="24"/>
          <w:szCs w:val="24"/>
        </w:rPr>
        <w:t>, with comparisons by gender, age group, and educational attainment, respectively.</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Ninety percent of survey respondents reported no use of cocaine or crack, heroin, anxiety drugs, sleeping drugs, prescription opioids, or other drugs for non-medical purposes in the past 30 days. 3% of respondents reported using anxiety drugs such as sedatives , tranquilizers, and anxiolytics, and 2% reported using sleeping drugs such as benzodiazepines and barbiturates in the past 30 days. Less than 2% reported using prescription opioids such as Oxycodone, OxyContin, Hydrocodone, Vicodin, Morphine, Methadone, or Fentanyl in the past 30 days. Less than 1% reported using cocaine, crack, or heroin in the past 30 days.</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Thirty-five percent of respondents who reported any use of cocaine or crack, heroin, anxiety drugs, sleeping drugs, prescription opioids, or other drugs for non-medical purposes in the past 30 days reported non-medical use of prescription drugs between 1 and 10 days out of the past 30, while 65% reported non-medical use of prescription drugs and other substances for more than 10 out of 30 days.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One percent of respondents who reported any use of cocaine or crack, heroin, anxiety drugs, sleeping drugs, prescription opioids, or other drugs for non-medical purposes in the past 30 days being treated in an emergency room or urgent care facility for reasons related to non-medical use of prescription drugs and other substances in the past 30 days. There were no significant differences in the proportion of respondents treated in emergency rooms for non-medical use of prescription drugs or other substances in the past 30 days by gender, age, or education.</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Fifty-nine percent of survey respondents reported cutting down or stopping the use of other prescription drugs, over the counter medications, or other substances since beginning marijuana use. A significantly larger proportion of female respondents compared to male (63% vs. 55%).</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Sixty percent of survey respondents reported spending $0 on prescription drugs or other substances, and 31% of respondents reported spending between $1 and $100, and 9% reported spending over $100 in the past 30 days. A larger proportion of male respondents than female reported spending $0 on any other prescription drugs (63% vs. 57%), while a larger proportion of female respondents than male reported spending between $1 and $100 on any other prescription drugs (34% vs. 28%) in the past 30 days. A larger proportion of respondents under age 51 than over reported spending $0 on any other prescription drugs (67% vs. 53%), while a larger proportion of older respondents than younger reported spending between $1 and $100 on any other prescription drugs in the past 30 days (36% vs. 25%). A larger proportion of respondents without a Bachelor’s degree than respondents with a degree reported spending $0 on any other prescription drugs in the past 30 days (65% vs. 56%), while a larger percent of respondents with a Bachelor’s degree than without reported spending between $1 and $100 (34% vs. 27%).</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Four percent of respondents </w:t>
      </w:r>
      <w:r w:rsidRPr="000E5D59">
        <w:rPr>
          <w:rFonts w:ascii="Arial" w:eastAsia="Times New Roman" w:hAnsi="Arial" w:cs="Arial"/>
          <w:iCs/>
          <w:sz w:val="24"/>
          <w:szCs w:val="24"/>
        </w:rPr>
        <w:t>who indicated using prescription drugs or other substances for non-medical purposes in the past 30 days</w:t>
      </w:r>
      <w:r w:rsidRPr="000E5D59">
        <w:rPr>
          <w:rFonts w:ascii="Arial" w:eastAsia="Calibri" w:hAnsi="Arial" w:cs="Arial"/>
          <w:sz w:val="24"/>
          <w:szCs w:val="24"/>
        </w:rPr>
        <w:t xml:space="preserve"> reported operating a vehicle while under the influence or prescription or other drugs in the past 30 days. 2% of survey respondents reported riding as a passenger in a vehicle while the driver was under the influence or prescription or other drugs in the past 30 days.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20A: DPH Patient Survey Non-Medical Use of Prescription Drugs and Other Substances by Gender (Among All 6,934 Respondents)</w:t>
      </w:r>
    </w:p>
    <w:tbl>
      <w:tblPr>
        <w:tblW w:w="9555" w:type="dxa"/>
        <w:tblInd w:w="93" w:type="dxa"/>
        <w:tblLook w:val="04A0" w:firstRow="1" w:lastRow="0" w:firstColumn="1" w:lastColumn="0" w:noHBand="0" w:noVBand="1"/>
        <w:tblCaption w:val="DPH Patient Survey Non-Medical Use of Prescription Drugs and Other Substances by Gender (Among All 6,934 Respondents)"/>
      </w:tblPr>
      <w:tblGrid>
        <w:gridCol w:w="4515"/>
        <w:gridCol w:w="900"/>
        <w:gridCol w:w="1620"/>
        <w:gridCol w:w="1530"/>
        <w:gridCol w:w="990"/>
      </w:tblGrid>
      <w:tr w:rsidR="000E5D59" w:rsidRPr="000E5D59" w:rsidTr="00784755">
        <w:trPr>
          <w:trHeight w:val="20"/>
        </w:trPr>
        <w:tc>
          <w:tcPr>
            <w:tcW w:w="451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51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(N=3732)</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(N=3056)</w:t>
            </w:r>
          </w:p>
        </w:tc>
        <w:tc>
          <w:tcPr>
            <w:tcW w:w="99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51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Used any of the following drugs for non-medical purposes †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6435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None</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5852</w:t>
            </w:r>
            <w:r w:rsidRPr="000E5D59">
              <w:rPr>
                <w:rFonts w:ascii="Arial" w:eastAsia="Times New Roman" w:hAnsi="Arial" w:cs="Arial"/>
                <w:sz w:val="20"/>
                <w:szCs w:val="20"/>
              </w:rPr>
              <w:br/>
              <w:t>90.07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3175</w:t>
            </w:r>
            <w:r w:rsidRPr="000E5D59">
              <w:rPr>
                <w:rFonts w:ascii="Arial" w:eastAsia="Times New Roman" w:hAnsi="Arial" w:cs="Arial"/>
                <w:sz w:val="20"/>
                <w:szCs w:val="20"/>
              </w:rPr>
              <w:br/>
              <w:t>90.92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2585</w:t>
            </w:r>
            <w:r w:rsidRPr="000E5D59">
              <w:rPr>
                <w:rFonts w:ascii="Arial" w:eastAsia="Times New Roman" w:hAnsi="Arial" w:cs="Arial"/>
                <w:sz w:val="20"/>
                <w:szCs w:val="20"/>
              </w:rPr>
              <w:br/>
              <w:t>89.20</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Cocaine or Crack</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w:t>
            </w:r>
            <w:r w:rsidRPr="000E5D59">
              <w:rPr>
                <w:rFonts w:ascii="Arial" w:eastAsia="Times New Roman" w:hAnsi="Arial" w:cs="Arial"/>
                <w:sz w:val="20"/>
                <w:szCs w:val="20"/>
              </w:rPr>
              <w:br/>
              <w:t>0.25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w:t>
            </w:r>
            <w:r w:rsidRPr="000E5D59">
              <w:rPr>
                <w:rFonts w:ascii="Arial" w:eastAsia="Times New Roman" w:hAnsi="Arial" w:cs="Arial"/>
                <w:sz w:val="20"/>
                <w:szCs w:val="20"/>
              </w:rPr>
              <w:br/>
              <w:t>0.26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w:t>
            </w:r>
            <w:r w:rsidRPr="000E5D59">
              <w:rPr>
                <w:rFonts w:ascii="Arial" w:eastAsia="Times New Roman" w:hAnsi="Arial" w:cs="Arial"/>
                <w:sz w:val="20"/>
                <w:szCs w:val="20"/>
              </w:rPr>
              <w:br/>
              <w:t>0.24</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Heroin</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0.03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0.03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0.03</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Antianxiety drugs (sedatives, Tranquilizers, Anxiolytics)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185</w:t>
            </w:r>
            <w:r w:rsidRPr="000E5D59">
              <w:rPr>
                <w:rFonts w:ascii="Arial" w:eastAsia="Times New Roman" w:hAnsi="Arial" w:cs="Arial"/>
                <w:sz w:val="20"/>
                <w:szCs w:val="20"/>
              </w:rPr>
              <w:br/>
              <w:t>2.85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84</w:t>
            </w:r>
            <w:r w:rsidRPr="000E5D59">
              <w:rPr>
                <w:rFonts w:ascii="Arial" w:eastAsia="Times New Roman" w:hAnsi="Arial" w:cs="Arial"/>
                <w:sz w:val="20"/>
                <w:szCs w:val="20"/>
              </w:rPr>
              <w:br/>
              <w:t>2.41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99</w:t>
            </w:r>
            <w:r w:rsidRPr="000E5D59">
              <w:rPr>
                <w:rFonts w:ascii="Arial" w:eastAsia="Times New Roman" w:hAnsi="Arial" w:cs="Arial"/>
                <w:sz w:val="20"/>
                <w:szCs w:val="20"/>
              </w:rPr>
              <w:br/>
              <w:t>3.42</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Sleeping drugs (Benzodiazepines, Barbiturates)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145</w:t>
            </w:r>
            <w:r w:rsidRPr="000E5D59">
              <w:rPr>
                <w:rFonts w:ascii="Arial" w:eastAsia="Times New Roman" w:hAnsi="Arial" w:cs="Arial"/>
                <w:sz w:val="20"/>
                <w:szCs w:val="20"/>
              </w:rPr>
              <w:br/>
              <w:t>2.23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69</w:t>
            </w:r>
            <w:r w:rsidRPr="000E5D59">
              <w:rPr>
                <w:rFonts w:ascii="Arial" w:eastAsia="Times New Roman" w:hAnsi="Arial" w:cs="Arial"/>
                <w:sz w:val="20"/>
                <w:szCs w:val="20"/>
              </w:rPr>
              <w:br/>
              <w:t>1.98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w:t>
            </w:r>
            <w:r w:rsidRPr="000E5D59">
              <w:rPr>
                <w:rFonts w:ascii="Arial" w:eastAsia="Times New Roman" w:hAnsi="Arial" w:cs="Arial"/>
                <w:sz w:val="20"/>
                <w:szCs w:val="20"/>
              </w:rPr>
              <w:br/>
              <w:t>2.55</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Prescription opioids (Oxycodone/ OxyContin, Hydrocodone/ Vicodin, Morphine, Methadone, Fentanyl)</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123</w:t>
            </w:r>
            <w:r w:rsidRPr="000E5D59">
              <w:rPr>
                <w:rFonts w:ascii="Arial" w:eastAsia="Times New Roman" w:hAnsi="Arial" w:cs="Arial"/>
                <w:sz w:val="20"/>
                <w:szCs w:val="20"/>
              </w:rPr>
              <w:br/>
              <w:t>1.89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66</w:t>
            </w:r>
            <w:r w:rsidRPr="000E5D59">
              <w:rPr>
                <w:rFonts w:ascii="Arial" w:eastAsia="Times New Roman" w:hAnsi="Arial" w:cs="Arial"/>
                <w:sz w:val="20"/>
                <w:szCs w:val="20"/>
              </w:rPr>
              <w:br/>
              <w:t>1.89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w:t>
            </w:r>
            <w:r w:rsidRPr="000E5D59">
              <w:rPr>
                <w:rFonts w:ascii="Arial" w:eastAsia="Times New Roman" w:hAnsi="Arial" w:cs="Arial"/>
                <w:sz w:val="20"/>
                <w:szCs w:val="20"/>
              </w:rPr>
              <w:br/>
              <w:t>1.83</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Other</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112</w:t>
            </w:r>
            <w:r w:rsidRPr="000E5D59">
              <w:rPr>
                <w:rFonts w:ascii="Arial" w:eastAsia="Times New Roman" w:hAnsi="Arial" w:cs="Arial"/>
                <w:sz w:val="20"/>
                <w:szCs w:val="20"/>
              </w:rPr>
              <w:br/>
              <w:t>1.72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53</w:t>
            </w:r>
            <w:r w:rsidRPr="000E5D59">
              <w:rPr>
                <w:rFonts w:ascii="Arial" w:eastAsia="Times New Roman" w:hAnsi="Arial" w:cs="Arial"/>
                <w:sz w:val="20"/>
                <w:szCs w:val="20"/>
              </w:rPr>
              <w:br/>
              <w:t>1.52</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1.93</w:t>
            </w:r>
          </w:p>
        </w:tc>
        <w:tc>
          <w:tcPr>
            <w:tcW w:w="99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Number of days respondent used any of the above drugs in past 30 days</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1-10 days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124</w:t>
            </w:r>
            <w:r w:rsidRPr="000E5D59">
              <w:rPr>
                <w:rFonts w:ascii="Arial" w:eastAsia="Times New Roman" w:hAnsi="Arial" w:cs="Arial"/>
                <w:sz w:val="20"/>
                <w:szCs w:val="20"/>
              </w:rPr>
              <w:br/>
              <w:t>35.33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34.36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66</w:t>
            </w:r>
            <w:r w:rsidRPr="000E5D59">
              <w:rPr>
                <w:rFonts w:ascii="Arial" w:eastAsia="Times New Roman" w:hAnsi="Arial" w:cs="Arial"/>
                <w:sz w:val="20"/>
                <w:szCs w:val="20"/>
              </w:rPr>
              <w:br/>
              <w:t>36.46</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51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10 days</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227</w:t>
            </w:r>
            <w:r w:rsidRPr="000E5D59">
              <w:rPr>
                <w:rFonts w:ascii="Arial" w:eastAsia="Times New Roman" w:hAnsi="Arial" w:cs="Arial"/>
                <w:sz w:val="20"/>
                <w:szCs w:val="20"/>
              </w:rPr>
              <w:br/>
              <w:t>64.67</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107</w:t>
            </w:r>
            <w:r w:rsidRPr="000E5D59">
              <w:rPr>
                <w:rFonts w:ascii="Arial" w:eastAsia="Times New Roman" w:hAnsi="Arial" w:cs="Arial"/>
                <w:sz w:val="20"/>
                <w:szCs w:val="20"/>
              </w:rPr>
              <w:br/>
              <w:t>65.64</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115</w:t>
            </w:r>
            <w:r w:rsidRPr="000E5D59">
              <w:rPr>
                <w:rFonts w:ascii="Arial" w:eastAsia="Times New Roman" w:hAnsi="Arial" w:cs="Arial"/>
                <w:sz w:val="20"/>
                <w:szCs w:val="20"/>
              </w:rPr>
              <w:br/>
              <w:t>63.54</w:t>
            </w:r>
          </w:p>
        </w:tc>
        <w:tc>
          <w:tcPr>
            <w:tcW w:w="99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b/>
                <w:bCs/>
                <w:sz w:val="20"/>
                <w:szCs w:val="20"/>
              </w:rPr>
              <w:t xml:space="preserve">Treated in an emergency room for any reason related to use of any of the above drug(s) ‡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sz w:val="20"/>
                <w:szCs w:val="20"/>
              </w:rPr>
              <w:t>No</w:t>
            </w:r>
          </w:p>
        </w:tc>
        <w:tc>
          <w:tcPr>
            <w:tcW w:w="900" w:type="dxa"/>
            <w:tcBorders>
              <w:top w:val="nil"/>
              <w:left w:val="single" w:sz="8"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457</w:t>
            </w:r>
            <w:r w:rsidRPr="000E5D59">
              <w:rPr>
                <w:rFonts w:ascii="Arial" w:eastAsia="Times New Roman" w:hAnsi="Arial" w:cs="Arial"/>
                <w:sz w:val="20"/>
                <w:szCs w:val="20"/>
              </w:rPr>
              <w:br/>
              <w:t>98.92</w:t>
            </w:r>
          </w:p>
        </w:tc>
        <w:tc>
          <w:tcPr>
            <w:tcW w:w="1620" w:type="dxa"/>
            <w:tcBorders>
              <w:top w:val="nil"/>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217</w:t>
            </w:r>
            <w:r w:rsidRPr="000E5D59">
              <w:rPr>
                <w:rFonts w:ascii="Arial" w:eastAsia="Times New Roman" w:hAnsi="Arial" w:cs="Arial"/>
                <w:sz w:val="20"/>
                <w:szCs w:val="20"/>
              </w:rPr>
              <w:br/>
              <w:t>98.64</w:t>
            </w:r>
          </w:p>
        </w:tc>
        <w:tc>
          <w:tcPr>
            <w:tcW w:w="1530" w:type="dxa"/>
            <w:tcBorders>
              <w:top w:val="nil"/>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234</w:t>
            </w:r>
            <w:r w:rsidRPr="000E5D59">
              <w:rPr>
                <w:rFonts w:ascii="Arial" w:eastAsia="Times New Roman" w:hAnsi="Arial" w:cs="Arial"/>
                <w:sz w:val="20"/>
                <w:szCs w:val="20"/>
              </w:rPr>
              <w:br/>
              <w:t>99.57</w:t>
            </w:r>
          </w:p>
        </w:tc>
        <w:tc>
          <w:tcPr>
            <w:tcW w:w="990" w:type="dxa"/>
            <w:tcBorders>
              <w:top w:val="nil"/>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51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1.08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w:t>
            </w:r>
            <w:r w:rsidRPr="000E5D59">
              <w:rPr>
                <w:rFonts w:ascii="Arial" w:eastAsia="Times New Roman" w:hAnsi="Arial" w:cs="Arial"/>
                <w:sz w:val="20"/>
                <w:szCs w:val="20"/>
              </w:rPr>
              <w:br/>
              <w:t>1.36</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0.43</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 xml:space="preserve">† </w:t>
            </w:r>
            <w:r w:rsidRPr="000E5D59">
              <w:rPr>
                <w:rFonts w:ascii="Arial" w:eastAsia="Times New Roman" w:hAnsi="Arial" w:cs="Arial"/>
                <w:i/>
                <w:iCs/>
                <w:sz w:val="20"/>
                <w:szCs w:val="20"/>
              </w:rPr>
              <w:t>Percentages sum to more than 100% because respondents could choose more than one option</w:t>
            </w:r>
            <w:r w:rsidRPr="000E5D59">
              <w:rPr>
                <w:rFonts w:ascii="Arial" w:eastAsia="Times New Roman" w:hAnsi="Arial" w:cs="Arial"/>
                <w:b/>
                <w:bCs/>
                <w:sz w:val="20"/>
                <w:szCs w:val="20"/>
              </w:rPr>
              <w:br/>
              <w:t xml:space="preserve">‡ </w:t>
            </w:r>
            <w:r w:rsidRPr="000E5D59">
              <w:rPr>
                <w:rFonts w:ascii="Arial" w:eastAsia="Times New Roman" w:hAnsi="Arial" w:cs="Arial"/>
                <w:i/>
                <w:iCs/>
                <w:sz w:val="20"/>
                <w:szCs w:val="20"/>
              </w:rPr>
              <w:t>Among respondents indicating USING cocaine or crack, heroin, antianxiety, sleeping, or prescription opioids for non-medical purposes in the past 30 days</w:t>
            </w:r>
            <w:r w:rsidRPr="000E5D59">
              <w:rPr>
                <w:rFonts w:ascii="Arial" w:eastAsia="Times New Roman" w:hAnsi="Arial" w:cs="Arial"/>
                <w:i/>
                <w:iCs/>
                <w:sz w:val="20"/>
                <w:szCs w:val="20"/>
              </w:rPr>
              <w:br/>
              <w:t>*p&lt;0.05; **p&lt;0.01; ***p&lt;0.001; ****p&lt;0.0001; ns=not significant</w:t>
            </w:r>
          </w:p>
        </w:tc>
      </w:tr>
    </w:tbl>
    <w:p w:rsidR="000E5D59" w:rsidRDefault="000E5D59" w:rsidP="006057BE">
      <w:pPr>
        <w:spacing w:after="0" w:line="240" w:lineRule="auto"/>
        <w:rPr>
          <w:rFonts w:ascii="Arial" w:eastAsia="Calibri" w:hAnsi="Arial" w:cs="Arial"/>
          <w:sz w:val="24"/>
          <w:szCs w:val="24"/>
        </w:rPr>
      </w:pPr>
    </w:p>
    <w:p w:rsidR="008976A8" w:rsidRPr="000E5D59" w:rsidRDefault="008976A8" w:rsidP="006057BE">
      <w:pPr>
        <w:spacing w:after="0" w:line="240" w:lineRule="auto"/>
        <w:rPr>
          <w:rFonts w:ascii="Arial" w:eastAsia="Calibri" w:hAnsi="Arial" w:cs="Arial"/>
          <w:b/>
          <w:sz w:val="24"/>
          <w:szCs w:val="24"/>
        </w:rPr>
        <w:sectPr w:rsidR="008976A8"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(Continued) Table 20A: DPH Patient Survey Non-Medical Use of Prescription Drugs and Other Substances by Gende</w:t>
      </w:r>
      <w:r w:rsidR="00A3309E">
        <w:rPr>
          <w:rFonts w:ascii="Arial" w:eastAsia="Calibri" w:hAnsi="Arial" w:cs="Arial"/>
          <w:b/>
          <w:sz w:val="24"/>
          <w:szCs w:val="24"/>
        </w:rPr>
        <w:t>r (Among All 6,934 Respondents)</w:t>
      </w:r>
    </w:p>
    <w:tbl>
      <w:tblPr>
        <w:tblW w:w="9555" w:type="dxa"/>
        <w:tblInd w:w="93" w:type="dxa"/>
        <w:tblLayout w:type="fixed"/>
        <w:tblLook w:val="04A0" w:firstRow="1" w:lastRow="0" w:firstColumn="1" w:lastColumn="0" w:noHBand="0" w:noVBand="1"/>
        <w:tblCaption w:val="Continued: DPH Patient Survey Non-Medical Use of Prescription Drugs and Other Substances by Gender (Among All 6,934 Respondents)"/>
      </w:tblPr>
      <w:tblGrid>
        <w:gridCol w:w="4605"/>
        <w:gridCol w:w="810"/>
        <w:gridCol w:w="1620"/>
        <w:gridCol w:w="1530"/>
        <w:gridCol w:w="990"/>
      </w:tblGrid>
      <w:tr w:rsidR="000E5D59" w:rsidRPr="000E5D59" w:rsidTr="00784755">
        <w:trPr>
          <w:trHeight w:val="20"/>
        </w:trPr>
        <w:tc>
          <w:tcPr>
            <w:tcW w:w="460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81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Gender</w:t>
            </w:r>
          </w:p>
        </w:tc>
      </w:tr>
      <w:tr w:rsidR="000E5D59" w:rsidRPr="000E5D59" w:rsidTr="00784755">
        <w:trPr>
          <w:trHeight w:val="20"/>
        </w:trPr>
        <w:tc>
          <w:tcPr>
            <w:tcW w:w="460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81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Male</w:t>
            </w:r>
            <w:r w:rsidRPr="000E5D59">
              <w:rPr>
                <w:rFonts w:ascii="Arial" w:eastAsia="Times New Roman" w:hAnsi="Arial" w:cs="Arial"/>
                <w:b/>
                <w:bCs/>
                <w:sz w:val="20"/>
                <w:szCs w:val="20"/>
              </w:rPr>
              <w:br/>
            </w:r>
            <w:r w:rsidRPr="000E5D59">
              <w:rPr>
                <w:rFonts w:ascii="Arial" w:eastAsia="Times New Roman" w:hAnsi="Arial" w:cs="Arial"/>
                <w:sz w:val="20"/>
                <w:szCs w:val="20"/>
              </w:rPr>
              <w:t>(N=3732)</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Female</w:t>
            </w:r>
            <w:r w:rsidRPr="000E5D59">
              <w:rPr>
                <w:rFonts w:ascii="Arial" w:eastAsia="Times New Roman" w:hAnsi="Arial" w:cs="Arial"/>
                <w:b/>
                <w:bCs/>
                <w:sz w:val="20"/>
                <w:szCs w:val="20"/>
              </w:rPr>
              <w:br/>
            </w:r>
            <w:r w:rsidRPr="000E5D59">
              <w:rPr>
                <w:rFonts w:ascii="Arial" w:eastAsia="Times New Roman" w:hAnsi="Arial" w:cs="Arial"/>
                <w:sz w:val="20"/>
                <w:szCs w:val="20"/>
              </w:rPr>
              <w:t>(N=3056)</w:t>
            </w:r>
          </w:p>
        </w:tc>
        <w:tc>
          <w:tcPr>
            <w:tcW w:w="99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Since beginning to use marijuana, respondent cut down or stopped using any other prescription drugs, over the counter medications, or other substance</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6010</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2475</w:t>
            </w:r>
            <w:r w:rsidRPr="000E5D59">
              <w:rPr>
                <w:rFonts w:ascii="Arial" w:eastAsia="Times New Roman" w:hAnsi="Arial" w:cs="Arial"/>
                <w:sz w:val="20"/>
                <w:szCs w:val="20"/>
              </w:rPr>
              <w:br/>
              <w:t>41.18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1433</w:t>
            </w:r>
            <w:r w:rsidRPr="000E5D59">
              <w:rPr>
                <w:rFonts w:ascii="Arial" w:eastAsia="Times New Roman" w:hAnsi="Arial" w:cs="Arial"/>
                <w:sz w:val="20"/>
                <w:szCs w:val="20"/>
              </w:rPr>
              <w:br/>
              <w:t>44.67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1006</w:t>
            </w:r>
            <w:r w:rsidRPr="000E5D59">
              <w:rPr>
                <w:rFonts w:ascii="Arial" w:eastAsia="Times New Roman" w:hAnsi="Arial" w:cs="Arial"/>
                <w:sz w:val="20"/>
                <w:szCs w:val="20"/>
              </w:rPr>
              <w:br/>
              <w:t>37.12</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60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81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3535</w:t>
            </w:r>
            <w:r w:rsidRPr="000E5D59">
              <w:rPr>
                <w:rFonts w:ascii="Arial" w:eastAsia="Times New Roman" w:hAnsi="Arial" w:cs="Arial"/>
                <w:sz w:val="20"/>
                <w:szCs w:val="20"/>
              </w:rPr>
              <w:br/>
              <w:t>58.82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1775</w:t>
            </w:r>
            <w:r w:rsidRPr="000E5D59">
              <w:rPr>
                <w:rFonts w:ascii="Arial" w:eastAsia="Times New Roman" w:hAnsi="Arial" w:cs="Arial"/>
                <w:sz w:val="20"/>
                <w:szCs w:val="20"/>
              </w:rPr>
              <w:br/>
              <w:t>55.33</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1704</w:t>
            </w:r>
            <w:r w:rsidRPr="000E5D59">
              <w:rPr>
                <w:rFonts w:ascii="Arial" w:eastAsia="Times New Roman" w:hAnsi="Arial" w:cs="Arial"/>
                <w:sz w:val="20"/>
                <w:szCs w:val="20"/>
              </w:rPr>
              <w:br/>
              <w:t>62.88</w:t>
            </w:r>
          </w:p>
        </w:tc>
        <w:tc>
          <w:tcPr>
            <w:tcW w:w="99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Total money spent on drugs (prescription or other substances) in past 30 days</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4762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$0 </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2870</w:t>
            </w:r>
            <w:r w:rsidRPr="000E5D59">
              <w:rPr>
                <w:rFonts w:ascii="Arial" w:eastAsia="Times New Roman" w:hAnsi="Arial" w:cs="Arial"/>
                <w:sz w:val="20"/>
                <w:szCs w:val="20"/>
              </w:rPr>
              <w:br/>
              <w:t>60.27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1598</w:t>
            </w:r>
            <w:r w:rsidRPr="000E5D59">
              <w:rPr>
                <w:rFonts w:ascii="Arial" w:eastAsia="Times New Roman" w:hAnsi="Arial" w:cs="Arial"/>
                <w:sz w:val="20"/>
                <w:szCs w:val="20"/>
              </w:rPr>
              <w:br/>
              <w:t>62.72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1228</w:t>
            </w:r>
            <w:r w:rsidRPr="000E5D59">
              <w:rPr>
                <w:rFonts w:ascii="Arial" w:eastAsia="Times New Roman" w:hAnsi="Arial" w:cs="Arial"/>
                <w:sz w:val="20"/>
                <w:szCs w:val="20"/>
              </w:rPr>
              <w:br/>
              <w:t>57.28</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 to $100</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1453</w:t>
            </w:r>
            <w:r w:rsidRPr="000E5D59">
              <w:rPr>
                <w:rFonts w:ascii="Arial" w:eastAsia="Times New Roman" w:hAnsi="Arial" w:cs="Arial"/>
                <w:sz w:val="20"/>
                <w:szCs w:val="20"/>
              </w:rPr>
              <w:br/>
              <w:t>30.51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704</w:t>
            </w:r>
            <w:r w:rsidRPr="000E5D59">
              <w:rPr>
                <w:rFonts w:ascii="Arial" w:eastAsia="Times New Roman" w:hAnsi="Arial" w:cs="Arial"/>
                <w:sz w:val="20"/>
                <w:szCs w:val="20"/>
              </w:rPr>
              <w:br/>
              <w:t>27.63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729</w:t>
            </w:r>
            <w:r w:rsidRPr="000E5D59">
              <w:rPr>
                <w:rFonts w:ascii="Arial" w:eastAsia="Times New Roman" w:hAnsi="Arial" w:cs="Arial"/>
                <w:sz w:val="20"/>
                <w:szCs w:val="20"/>
              </w:rPr>
              <w:br/>
              <w:t>34.00</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$101 to $200</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184</w:t>
            </w:r>
            <w:r w:rsidRPr="000E5D59">
              <w:rPr>
                <w:rFonts w:ascii="Arial" w:eastAsia="Times New Roman" w:hAnsi="Arial" w:cs="Arial"/>
                <w:sz w:val="20"/>
                <w:szCs w:val="20"/>
              </w:rPr>
              <w:br/>
              <w:t>3.86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111</w:t>
            </w:r>
            <w:r w:rsidRPr="000E5D59">
              <w:rPr>
                <w:rFonts w:ascii="Arial" w:eastAsia="Times New Roman" w:hAnsi="Arial" w:cs="Arial"/>
                <w:sz w:val="20"/>
                <w:szCs w:val="20"/>
              </w:rPr>
              <w:br/>
              <w:t>4.36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w:t>
            </w:r>
            <w:r w:rsidRPr="000E5D59">
              <w:rPr>
                <w:rFonts w:ascii="Arial" w:eastAsia="Times New Roman" w:hAnsi="Arial" w:cs="Arial"/>
                <w:sz w:val="20"/>
                <w:szCs w:val="20"/>
              </w:rPr>
              <w:br/>
              <w:t>3.26</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60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$201 or more</w:t>
            </w:r>
          </w:p>
        </w:tc>
        <w:tc>
          <w:tcPr>
            <w:tcW w:w="81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255</w:t>
            </w:r>
            <w:r w:rsidRPr="000E5D59">
              <w:rPr>
                <w:rFonts w:ascii="Arial" w:eastAsia="Times New Roman" w:hAnsi="Arial" w:cs="Arial"/>
                <w:sz w:val="20"/>
                <w:szCs w:val="20"/>
              </w:rPr>
              <w:br/>
              <w:t>5.35</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135</w:t>
            </w:r>
            <w:r w:rsidRPr="000E5D59">
              <w:rPr>
                <w:rFonts w:ascii="Arial" w:eastAsia="Times New Roman" w:hAnsi="Arial" w:cs="Arial"/>
                <w:sz w:val="20"/>
                <w:szCs w:val="20"/>
              </w:rPr>
              <w:br/>
              <w:t>5.30</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117</w:t>
            </w:r>
            <w:r w:rsidRPr="000E5D59">
              <w:rPr>
                <w:rFonts w:ascii="Arial" w:eastAsia="Times New Roman" w:hAnsi="Arial" w:cs="Arial"/>
                <w:sz w:val="20"/>
                <w:szCs w:val="20"/>
              </w:rPr>
              <w:br/>
              <w:t>5.46</w:t>
            </w:r>
          </w:p>
        </w:tc>
        <w:tc>
          <w:tcPr>
            <w:tcW w:w="99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Drove /operated motor vehicle when under the influence (medical prescription drugs only) †</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5746</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5436</w:t>
            </w:r>
            <w:r w:rsidRPr="000E5D59">
              <w:rPr>
                <w:rFonts w:ascii="Arial" w:eastAsia="Times New Roman" w:hAnsi="Arial" w:cs="Arial"/>
                <w:sz w:val="20"/>
                <w:szCs w:val="20"/>
              </w:rPr>
              <w:br/>
              <w:t>94.60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2943</w:t>
            </w:r>
            <w:r w:rsidRPr="000E5D59">
              <w:rPr>
                <w:rFonts w:ascii="Arial" w:eastAsia="Times New Roman" w:hAnsi="Arial" w:cs="Arial"/>
                <w:sz w:val="20"/>
                <w:szCs w:val="20"/>
              </w:rPr>
              <w:br/>
              <w:t>94.63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2407</w:t>
            </w:r>
            <w:r w:rsidRPr="000E5D59">
              <w:rPr>
                <w:rFonts w:ascii="Arial" w:eastAsia="Times New Roman" w:hAnsi="Arial" w:cs="Arial"/>
                <w:sz w:val="20"/>
                <w:szCs w:val="20"/>
              </w:rPr>
              <w:br/>
              <w:t>94.50</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205</w:t>
            </w:r>
            <w:r w:rsidRPr="000E5D59">
              <w:rPr>
                <w:rFonts w:ascii="Arial" w:eastAsia="Times New Roman" w:hAnsi="Arial" w:cs="Arial"/>
                <w:sz w:val="20"/>
                <w:szCs w:val="20"/>
              </w:rPr>
              <w:br/>
              <w:t>3.57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107</w:t>
            </w:r>
            <w:r w:rsidRPr="000E5D59">
              <w:rPr>
                <w:rFonts w:ascii="Arial" w:eastAsia="Times New Roman" w:hAnsi="Arial" w:cs="Arial"/>
                <w:sz w:val="20"/>
                <w:szCs w:val="20"/>
              </w:rPr>
              <w:br/>
              <w:t>3.44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98</w:t>
            </w:r>
            <w:r w:rsidRPr="000E5D59">
              <w:rPr>
                <w:rFonts w:ascii="Arial" w:eastAsia="Times New Roman" w:hAnsi="Arial" w:cs="Arial"/>
                <w:sz w:val="20"/>
                <w:szCs w:val="20"/>
              </w:rPr>
              <w:br/>
              <w:t>3.85</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60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81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105</w:t>
            </w:r>
            <w:r w:rsidRPr="000E5D59">
              <w:rPr>
                <w:rFonts w:ascii="Arial" w:eastAsia="Times New Roman" w:hAnsi="Arial" w:cs="Arial"/>
                <w:sz w:val="20"/>
                <w:szCs w:val="20"/>
              </w:rPr>
              <w:br/>
              <w:t>1.83</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w:t>
            </w:r>
            <w:r w:rsidRPr="000E5D59">
              <w:rPr>
                <w:rFonts w:ascii="Arial" w:eastAsia="Times New Roman" w:hAnsi="Arial" w:cs="Arial"/>
                <w:sz w:val="20"/>
                <w:szCs w:val="20"/>
              </w:rPr>
              <w:br/>
              <w:t>1.93</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42</w:t>
            </w:r>
            <w:r w:rsidRPr="000E5D59">
              <w:rPr>
                <w:rFonts w:ascii="Arial" w:eastAsia="Times New Roman" w:hAnsi="Arial" w:cs="Arial"/>
                <w:sz w:val="20"/>
                <w:szCs w:val="20"/>
              </w:rPr>
              <w:br/>
              <w:t>1.65</w:t>
            </w:r>
          </w:p>
        </w:tc>
        <w:tc>
          <w:tcPr>
            <w:tcW w:w="99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Rode as a passenger in motor vehicle when under the influence of any of the above drugs </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6175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6031</w:t>
            </w:r>
            <w:r w:rsidRPr="000E5D59">
              <w:rPr>
                <w:rFonts w:ascii="Arial" w:eastAsia="Times New Roman" w:hAnsi="Arial" w:cs="Arial"/>
                <w:sz w:val="20"/>
                <w:szCs w:val="20"/>
              </w:rPr>
              <w:br/>
              <w:t>97.67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3247</w:t>
            </w:r>
            <w:r w:rsidRPr="000E5D59">
              <w:rPr>
                <w:rFonts w:ascii="Arial" w:eastAsia="Times New Roman" w:hAnsi="Arial" w:cs="Arial"/>
                <w:sz w:val="20"/>
                <w:szCs w:val="20"/>
              </w:rPr>
              <w:br/>
              <w:t>97.83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2696</w:t>
            </w:r>
            <w:r w:rsidRPr="000E5D59">
              <w:rPr>
                <w:rFonts w:ascii="Arial" w:eastAsia="Times New Roman" w:hAnsi="Arial" w:cs="Arial"/>
                <w:sz w:val="20"/>
                <w:szCs w:val="20"/>
              </w:rPr>
              <w:br/>
              <w:t>97.47</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144</w:t>
            </w:r>
            <w:r w:rsidRPr="000E5D59">
              <w:rPr>
                <w:rFonts w:ascii="Arial" w:eastAsia="Times New Roman" w:hAnsi="Arial" w:cs="Arial"/>
                <w:sz w:val="20"/>
                <w:szCs w:val="20"/>
              </w:rPr>
              <w:br/>
              <w:t>2.33</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72</w:t>
            </w:r>
            <w:r w:rsidRPr="000E5D59">
              <w:rPr>
                <w:rFonts w:ascii="Arial" w:eastAsia="Times New Roman" w:hAnsi="Arial" w:cs="Arial"/>
                <w:sz w:val="20"/>
                <w:szCs w:val="20"/>
              </w:rPr>
              <w:br/>
              <w:t>2.17</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70</w:t>
            </w:r>
            <w:r w:rsidRPr="000E5D59">
              <w:rPr>
                <w:rFonts w:ascii="Arial" w:eastAsia="Times New Roman" w:hAnsi="Arial" w:cs="Arial"/>
                <w:sz w:val="20"/>
                <w:szCs w:val="20"/>
              </w:rPr>
              <w:br/>
              <w:t>2.53</w:t>
            </w:r>
          </w:p>
        </w:tc>
        <w:tc>
          <w:tcPr>
            <w:tcW w:w="99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 xml:space="preserve">† </w:t>
            </w:r>
            <w:r w:rsidRPr="000E5D59">
              <w:rPr>
                <w:rFonts w:ascii="Arial" w:eastAsia="Times New Roman" w:hAnsi="Arial" w:cs="Arial"/>
                <w:i/>
                <w:iCs/>
                <w:sz w:val="20"/>
                <w:szCs w:val="20"/>
              </w:rPr>
              <w:t>Among respondents indicating NOT using cocaine or crack, heroin, antianxiety, sleeping, or prescription opioids for non-medical purposes in the past 30 days</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20B: DPH Patient Survey Non-Medical Use of Prescription Drugs and Other Substances by Age Grou</w:t>
      </w:r>
      <w:r w:rsidR="00A3309E">
        <w:rPr>
          <w:rFonts w:ascii="Arial" w:eastAsia="Calibri" w:hAnsi="Arial" w:cs="Arial"/>
          <w:b/>
          <w:sz w:val="24"/>
          <w:szCs w:val="24"/>
        </w:rPr>
        <w:t>p (Among All 6,934 Respondents)</w:t>
      </w:r>
    </w:p>
    <w:tbl>
      <w:tblPr>
        <w:tblW w:w="9555" w:type="dxa"/>
        <w:tblInd w:w="93" w:type="dxa"/>
        <w:tblLook w:val="04A0" w:firstRow="1" w:lastRow="0" w:firstColumn="1" w:lastColumn="0" w:noHBand="0" w:noVBand="1"/>
        <w:tblCaption w:val="DPH Patient Survey Non-Medical Use of Prescription Drugs and Other Substances by Age Group (Among All 6,934 Respondents)"/>
      </w:tblPr>
      <w:tblGrid>
        <w:gridCol w:w="4515"/>
        <w:gridCol w:w="900"/>
        <w:gridCol w:w="1620"/>
        <w:gridCol w:w="1530"/>
        <w:gridCol w:w="990"/>
      </w:tblGrid>
      <w:tr w:rsidR="000E5D59" w:rsidRPr="000E5D59" w:rsidTr="00784755">
        <w:trPr>
          <w:trHeight w:val="20"/>
        </w:trPr>
        <w:tc>
          <w:tcPr>
            <w:tcW w:w="451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51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(N=3584)</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(N=3188)</w:t>
            </w:r>
          </w:p>
        </w:tc>
        <w:tc>
          <w:tcPr>
            <w:tcW w:w="99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51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Used any of the following drugs for non-medical purposes †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6435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None</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5852</w:t>
            </w:r>
            <w:r w:rsidRPr="000E5D59">
              <w:rPr>
                <w:rFonts w:ascii="Arial" w:eastAsia="Times New Roman" w:hAnsi="Arial" w:cs="Arial"/>
                <w:sz w:val="20"/>
                <w:szCs w:val="20"/>
              </w:rPr>
              <w:br/>
              <w:t>90.07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3080</w:t>
            </w:r>
            <w:r w:rsidRPr="000E5D59">
              <w:rPr>
                <w:rFonts w:ascii="Arial" w:eastAsia="Times New Roman" w:hAnsi="Arial" w:cs="Arial"/>
                <w:sz w:val="20"/>
                <w:szCs w:val="20"/>
              </w:rPr>
              <w:br/>
              <w:t>91.31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2678</w:t>
            </w:r>
            <w:r w:rsidRPr="000E5D59">
              <w:rPr>
                <w:rFonts w:ascii="Arial" w:eastAsia="Times New Roman" w:hAnsi="Arial" w:cs="Arial"/>
                <w:sz w:val="20"/>
                <w:szCs w:val="20"/>
              </w:rPr>
              <w:br/>
              <w:t>88.94</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Cocaine or Crack</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w:t>
            </w:r>
            <w:r w:rsidRPr="000E5D59">
              <w:rPr>
                <w:rFonts w:ascii="Arial" w:eastAsia="Times New Roman" w:hAnsi="Arial" w:cs="Arial"/>
                <w:sz w:val="20"/>
                <w:szCs w:val="20"/>
              </w:rPr>
              <w:br/>
              <w:t>0.25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w:t>
            </w:r>
            <w:r w:rsidRPr="000E5D59">
              <w:rPr>
                <w:rFonts w:ascii="Arial" w:eastAsia="Times New Roman" w:hAnsi="Arial" w:cs="Arial"/>
                <w:sz w:val="20"/>
                <w:szCs w:val="20"/>
              </w:rPr>
              <w:br/>
              <w:t>0.44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0.03</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Heroin</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0.03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0.03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0.03</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Antianxiety drugs (sedatives, Tranquilizers, Anxiolytics)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185</w:t>
            </w:r>
            <w:r w:rsidRPr="000E5D59">
              <w:rPr>
                <w:rFonts w:ascii="Arial" w:eastAsia="Times New Roman" w:hAnsi="Arial" w:cs="Arial"/>
                <w:sz w:val="20"/>
                <w:szCs w:val="20"/>
              </w:rPr>
              <w:br/>
              <w:t>2.85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89</w:t>
            </w:r>
            <w:r w:rsidRPr="000E5D59">
              <w:rPr>
                <w:rFonts w:ascii="Arial" w:eastAsia="Times New Roman" w:hAnsi="Arial" w:cs="Arial"/>
                <w:sz w:val="20"/>
                <w:szCs w:val="20"/>
              </w:rPr>
              <w:br/>
              <w:t>2.64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93</w:t>
            </w:r>
            <w:r w:rsidRPr="000E5D59">
              <w:rPr>
                <w:rFonts w:ascii="Arial" w:eastAsia="Times New Roman" w:hAnsi="Arial" w:cs="Arial"/>
                <w:sz w:val="20"/>
                <w:szCs w:val="20"/>
              </w:rPr>
              <w:br/>
              <w:t>3.09</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Sleeping drugs (Benzodiazepines, Barbiturates)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145</w:t>
            </w:r>
            <w:r w:rsidRPr="000E5D59">
              <w:rPr>
                <w:rFonts w:ascii="Arial" w:eastAsia="Times New Roman" w:hAnsi="Arial" w:cs="Arial"/>
                <w:sz w:val="20"/>
                <w:szCs w:val="20"/>
              </w:rPr>
              <w:br/>
              <w:t>2.23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w:t>
            </w:r>
            <w:r w:rsidRPr="000E5D59">
              <w:rPr>
                <w:rFonts w:ascii="Arial" w:eastAsia="Times New Roman" w:hAnsi="Arial" w:cs="Arial"/>
                <w:sz w:val="20"/>
                <w:szCs w:val="20"/>
              </w:rPr>
              <w:br/>
              <w:t>1.81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81</w:t>
            </w:r>
            <w:r w:rsidRPr="000E5D59">
              <w:rPr>
                <w:rFonts w:ascii="Arial" w:eastAsia="Times New Roman" w:hAnsi="Arial" w:cs="Arial"/>
                <w:sz w:val="20"/>
                <w:szCs w:val="20"/>
              </w:rPr>
              <w:br/>
              <w:t>2.69</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Prescription opioids (Oxycodone/ OxyContin, Hydrocodone/ Vicodin, Morphine, Methadone, Fentanyl)</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123</w:t>
            </w:r>
            <w:r w:rsidRPr="000E5D59">
              <w:rPr>
                <w:rFonts w:ascii="Arial" w:eastAsia="Times New Roman" w:hAnsi="Arial" w:cs="Arial"/>
                <w:sz w:val="20"/>
                <w:szCs w:val="20"/>
              </w:rPr>
              <w:br/>
              <w:t>1.89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43</w:t>
            </w:r>
            <w:r w:rsidRPr="000E5D59">
              <w:rPr>
                <w:rFonts w:ascii="Arial" w:eastAsia="Times New Roman" w:hAnsi="Arial" w:cs="Arial"/>
                <w:sz w:val="20"/>
                <w:szCs w:val="20"/>
              </w:rPr>
              <w:br/>
              <w:t>1.27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76</w:t>
            </w:r>
            <w:r w:rsidRPr="000E5D59">
              <w:rPr>
                <w:rFonts w:ascii="Arial" w:eastAsia="Times New Roman" w:hAnsi="Arial" w:cs="Arial"/>
                <w:sz w:val="20"/>
                <w:szCs w:val="20"/>
              </w:rPr>
              <w:br/>
              <w:t>2.52</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51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Other</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112</w:t>
            </w:r>
            <w:r w:rsidRPr="000E5D59">
              <w:rPr>
                <w:rFonts w:ascii="Arial" w:eastAsia="Times New Roman" w:hAnsi="Arial" w:cs="Arial"/>
                <w:sz w:val="20"/>
                <w:szCs w:val="20"/>
              </w:rPr>
              <w:br/>
              <w:t>1.72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w:t>
            </w:r>
            <w:r w:rsidRPr="000E5D59">
              <w:rPr>
                <w:rFonts w:ascii="Arial" w:eastAsia="Times New Roman" w:hAnsi="Arial" w:cs="Arial"/>
                <w:sz w:val="20"/>
                <w:szCs w:val="20"/>
              </w:rPr>
              <w:br/>
              <w:t>1.36</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65</w:t>
            </w:r>
            <w:r w:rsidRPr="000E5D59">
              <w:rPr>
                <w:rFonts w:ascii="Arial" w:eastAsia="Times New Roman" w:hAnsi="Arial" w:cs="Arial"/>
                <w:sz w:val="20"/>
                <w:szCs w:val="20"/>
              </w:rPr>
              <w:br/>
              <w:t>2.16</w:t>
            </w:r>
          </w:p>
        </w:tc>
        <w:tc>
          <w:tcPr>
            <w:tcW w:w="99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51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Number of days respondent used any of the above drugs in past 30 days</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1-10 days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124</w:t>
            </w:r>
            <w:r w:rsidRPr="000E5D59">
              <w:rPr>
                <w:rFonts w:ascii="Arial" w:eastAsia="Times New Roman" w:hAnsi="Arial" w:cs="Arial"/>
                <w:sz w:val="20"/>
                <w:szCs w:val="20"/>
              </w:rPr>
              <w:br/>
              <w:t>35.33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w:t>
            </w:r>
            <w:r w:rsidRPr="000E5D59">
              <w:rPr>
                <w:rFonts w:ascii="Arial" w:eastAsia="Times New Roman" w:hAnsi="Arial" w:cs="Arial"/>
                <w:sz w:val="20"/>
                <w:szCs w:val="20"/>
              </w:rPr>
              <w:br/>
              <w:t>41.89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w:t>
            </w:r>
            <w:r w:rsidRPr="000E5D59">
              <w:rPr>
                <w:rFonts w:ascii="Arial" w:eastAsia="Times New Roman" w:hAnsi="Arial" w:cs="Arial"/>
                <w:sz w:val="20"/>
                <w:szCs w:val="20"/>
              </w:rPr>
              <w:br/>
              <w:t>30.30</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10 days</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227</w:t>
            </w:r>
            <w:r w:rsidRPr="000E5D59">
              <w:rPr>
                <w:rFonts w:ascii="Arial" w:eastAsia="Times New Roman" w:hAnsi="Arial" w:cs="Arial"/>
                <w:sz w:val="20"/>
                <w:szCs w:val="20"/>
              </w:rPr>
              <w:br/>
              <w:t>64.67</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86</w:t>
            </w:r>
            <w:r w:rsidRPr="000E5D59">
              <w:rPr>
                <w:rFonts w:ascii="Arial" w:eastAsia="Times New Roman" w:hAnsi="Arial" w:cs="Arial"/>
                <w:sz w:val="20"/>
                <w:szCs w:val="20"/>
              </w:rPr>
              <w:br/>
              <w:t>58.11</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138</w:t>
            </w:r>
            <w:r w:rsidRPr="000E5D59">
              <w:rPr>
                <w:rFonts w:ascii="Arial" w:eastAsia="Times New Roman" w:hAnsi="Arial" w:cs="Arial"/>
                <w:sz w:val="20"/>
                <w:szCs w:val="20"/>
              </w:rPr>
              <w:br/>
              <w:t>69.70</w:t>
            </w:r>
          </w:p>
        </w:tc>
        <w:tc>
          <w:tcPr>
            <w:tcW w:w="99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b/>
                <w:bCs/>
                <w:sz w:val="20"/>
                <w:szCs w:val="20"/>
              </w:rPr>
              <w:t xml:space="preserve">Treated in an emergency room for any reason related to use of any of the above drug(s) ‡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sz w:val="20"/>
                <w:szCs w:val="20"/>
              </w:rPr>
              <w:t>No</w:t>
            </w:r>
          </w:p>
        </w:tc>
        <w:tc>
          <w:tcPr>
            <w:tcW w:w="900" w:type="dxa"/>
            <w:tcBorders>
              <w:top w:val="nil"/>
              <w:left w:val="single" w:sz="8"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457</w:t>
            </w:r>
            <w:r w:rsidRPr="000E5D59">
              <w:rPr>
                <w:rFonts w:ascii="Arial" w:eastAsia="Times New Roman" w:hAnsi="Arial" w:cs="Arial"/>
                <w:sz w:val="20"/>
                <w:szCs w:val="20"/>
              </w:rPr>
              <w:br/>
              <w:t>98.92</w:t>
            </w:r>
          </w:p>
        </w:tc>
        <w:tc>
          <w:tcPr>
            <w:tcW w:w="1620" w:type="dxa"/>
            <w:tcBorders>
              <w:top w:val="nil"/>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191</w:t>
            </w:r>
            <w:r w:rsidRPr="000E5D59">
              <w:rPr>
                <w:rFonts w:ascii="Arial" w:eastAsia="Times New Roman" w:hAnsi="Arial" w:cs="Arial"/>
                <w:sz w:val="20"/>
                <w:szCs w:val="20"/>
              </w:rPr>
              <w:br/>
              <w:t>97.95</w:t>
            </w:r>
          </w:p>
        </w:tc>
        <w:tc>
          <w:tcPr>
            <w:tcW w:w="1530" w:type="dxa"/>
            <w:tcBorders>
              <w:top w:val="nil"/>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257</w:t>
            </w:r>
            <w:r w:rsidRPr="000E5D59">
              <w:rPr>
                <w:rFonts w:ascii="Arial" w:eastAsia="Times New Roman" w:hAnsi="Arial" w:cs="Arial"/>
                <w:sz w:val="20"/>
                <w:szCs w:val="20"/>
              </w:rPr>
              <w:br/>
              <w:t>99.61</w:t>
            </w:r>
          </w:p>
        </w:tc>
        <w:tc>
          <w:tcPr>
            <w:tcW w:w="990" w:type="dxa"/>
            <w:tcBorders>
              <w:top w:val="nil"/>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1.08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2.05</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0.39</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 xml:space="preserve">† </w:t>
            </w:r>
            <w:r w:rsidRPr="000E5D59">
              <w:rPr>
                <w:rFonts w:ascii="Arial" w:eastAsia="Times New Roman" w:hAnsi="Arial" w:cs="Arial"/>
                <w:i/>
                <w:iCs/>
                <w:sz w:val="20"/>
                <w:szCs w:val="20"/>
              </w:rPr>
              <w:t>Percentages sum to more than 100% because respondents could choose more than one option</w:t>
            </w:r>
            <w:r w:rsidRPr="000E5D59">
              <w:rPr>
                <w:rFonts w:ascii="Arial" w:eastAsia="Times New Roman" w:hAnsi="Arial" w:cs="Arial"/>
                <w:b/>
                <w:bCs/>
                <w:sz w:val="20"/>
                <w:szCs w:val="20"/>
              </w:rPr>
              <w:br/>
              <w:t xml:space="preserve">‡ </w:t>
            </w:r>
            <w:r w:rsidRPr="000E5D59">
              <w:rPr>
                <w:rFonts w:ascii="Arial" w:eastAsia="Times New Roman" w:hAnsi="Arial" w:cs="Arial"/>
                <w:i/>
                <w:iCs/>
                <w:sz w:val="20"/>
                <w:szCs w:val="20"/>
              </w:rPr>
              <w:t>Among respondents indicating USING cocaine or crack, heroin, antianxiety, sleeping, or prescription opioids for non-medical purposes in the past 30 days</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sz w:val="24"/>
          <w:szCs w:val="24"/>
        </w:rPr>
      </w:pP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286B34"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(Continued) </w:t>
      </w:r>
      <w:r w:rsidR="000E5D59" w:rsidRPr="000E5D59">
        <w:rPr>
          <w:rFonts w:ascii="Arial" w:eastAsia="Calibri" w:hAnsi="Arial" w:cs="Arial"/>
          <w:b/>
          <w:sz w:val="24"/>
          <w:szCs w:val="24"/>
        </w:rPr>
        <w:t>Table 20B: DPH Patient Survey Non-Medical Use of Prescription Drugs and Other Substances by Age Grou</w:t>
      </w:r>
      <w:r w:rsidR="00A3309E">
        <w:rPr>
          <w:rFonts w:ascii="Arial" w:eastAsia="Calibri" w:hAnsi="Arial" w:cs="Arial"/>
          <w:b/>
          <w:sz w:val="24"/>
          <w:szCs w:val="24"/>
        </w:rPr>
        <w:t>p (Among All 6,934 Respondents)</w:t>
      </w:r>
    </w:p>
    <w:tbl>
      <w:tblPr>
        <w:tblW w:w="9555" w:type="dxa"/>
        <w:tblInd w:w="93" w:type="dxa"/>
        <w:tblLayout w:type="fixed"/>
        <w:tblLook w:val="04A0" w:firstRow="1" w:lastRow="0" w:firstColumn="1" w:lastColumn="0" w:noHBand="0" w:noVBand="1"/>
        <w:tblCaption w:val="Continued: DPH Patient Survey Non-Medical Use of Prescription Drugs and Other Substances by Age Group (Among All 6,934 Respondents)"/>
      </w:tblPr>
      <w:tblGrid>
        <w:gridCol w:w="4605"/>
        <w:gridCol w:w="810"/>
        <w:gridCol w:w="1620"/>
        <w:gridCol w:w="1530"/>
        <w:gridCol w:w="990"/>
      </w:tblGrid>
      <w:tr w:rsidR="000E5D59" w:rsidRPr="000E5D59" w:rsidTr="00784755">
        <w:trPr>
          <w:trHeight w:val="20"/>
        </w:trPr>
        <w:tc>
          <w:tcPr>
            <w:tcW w:w="460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81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60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81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(N=3584)</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(N=3188)</w:t>
            </w:r>
          </w:p>
        </w:tc>
        <w:tc>
          <w:tcPr>
            <w:tcW w:w="99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Since beginning to use marijuana, respondent cut down or stopped using any other prescription drugs, over the counter medications, or other substance</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6010</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2475</w:t>
            </w:r>
            <w:r w:rsidRPr="000E5D59">
              <w:rPr>
                <w:rFonts w:ascii="Arial" w:eastAsia="Times New Roman" w:hAnsi="Arial" w:cs="Arial"/>
                <w:sz w:val="20"/>
                <w:szCs w:val="20"/>
              </w:rPr>
              <w:br/>
              <w:t>41.18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1195</w:t>
            </w:r>
            <w:r w:rsidRPr="000E5D59">
              <w:rPr>
                <w:rFonts w:ascii="Arial" w:eastAsia="Times New Roman" w:hAnsi="Arial" w:cs="Arial"/>
                <w:sz w:val="20"/>
                <w:szCs w:val="20"/>
              </w:rPr>
              <w:br/>
              <w:t>38.75</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1224</w:t>
            </w:r>
            <w:r w:rsidRPr="000E5D59">
              <w:rPr>
                <w:rFonts w:ascii="Arial" w:eastAsia="Times New Roman" w:hAnsi="Arial" w:cs="Arial"/>
                <w:sz w:val="20"/>
                <w:szCs w:val="20"/>
              </w:rPr>
              <w:br/>
              <w:t>43.37</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81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3535</w:t>
            </w:r>
            <w:r w:rsidRPr="000E5D59">
              <w:rPr>
                <w:rFonts w:ascii="Arial" w:eastAsia="Times New Roman" w:hAnsi="Arial" w:cs="Arial"/>
                <w:sz w:val="20"/>
                <w:szCs w:val="20"/>
              </w:rPr>
              <w:br/>
              <w:t>58.82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1889</w:t>
            </w:r>
            <w:r w:rsidRPr="000E5D59">
              <w:rPr>
                <w:rFonts w:ascii="Arial" w:eastAsia="Times New Roman" w:hAnsi="Arial" w:cs="Arial"/>
                <w:sz w:val="20"/>
                <w:szCs w:val="20"/>
              </w:rPr>
              <w:br/>
              <w:t>61.25</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1598</w:t>
            </w:r>
            <w:r w:rsidRPr="000E5D59">
              <w:rPr>
                <w:rFonts w:ascii="Arial" w:eastAsia="Times New Roman" w:hAnsi="Arial" w:cs="Arial"/>
                <w:sz w:val="20"/>
                <w:szCs w:val="20"/>
              </w:rPr>
              <w:br/>
              <w:t>56.63</w:t>
            </w:r>
          </w:p>
        </w:tc>
        <w:tc>
          <w:tcPr>
            <w:tcW w:w="99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Total money spent on drugs (prescription or other substances) in past 30 days</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4762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$0 </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2870</w:t>
            </w:r>
            <w:r w:rsidRPr="000E5D59">
              <w:rPr>
                <w:rFonts w:ascii="Arial" w:eastAsia="Times New Roman" w:hAnsi="Arial" w:cs="Arial"/>
                <w:sz w:val="20"/>
                <w:szCs w:val="20"/>
              </w:rPr>
              <w:br/>
              <w:t>60.27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1661</w:t>
            </w:r>
            <w:r w:rsidRPr="000E5D59">
              <w:rPr>
                <w:rFonts w:ascii="Arial" w:eastAsia="Times New Roman" w:hAnsi="Arial" w:cs="Arial"/>
                <w:sz w:val="20"/>
                <w:szCs w:val="20"/>
              </w:rPr>
              <w:br/>
              <w:t>66.63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1161</w:t>
            </w:r>
            <w:r w:rsidRPr="000E5D59">
              <w:rPr>
                <w:rFonts w:ascii="Arial" w:eastAsia="Times New Roman" w:hAnsi="Arial" w:cs="Arial"/>
                <w:sz w:val="20"/>
                <w:szCs w:val="20"/>
              </w:rPr>
              <w:br/>
              <w:t>53.04</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 to $100</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1453</w:t>
            </w:r>
            <w:r w:rsidRPr="000E5D59">
              <w:rPr>
                <w:rFonts w:ascii="Arial" w:eastAsia="Times New Roman" w:hAnsi="Arial" w:cs="Arial"/>
                <w:sz w:val="20"/>
                <w:szCs w:val="20"/>
              </w:rPr>
              <w:br/>
              <w:t>30.51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629</w:t>
            </w:r>
            <w:r w:rsidRPr="000E5D59">
              <w:rPr>
                <w:rFonts w:ascii="Arial" w:eastAsia="Times New Roman" w:hAnsi="Arial" w:cs="Arial"/>
                <w:sz w:val="20"/>
                <w:szCs w:val="20"/>
              </w:rPr>
              <w:br/>
              <w:t>25.23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798</w:t>
            </w:r>
            <w:r w:rsidRPr="000E5D59">
              <w:rPr>
                <w:rFonts w:ascii="Arial" w:eastAsia="Times New Roman" w:hAnsi="Arial" w:cs="Arial"/>
                <w:sz w:val="20"/>
                <w:szCs w:val="20"/>
              </w:rPr>
              <w:br/>
              <w:t>36.46</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$101 to $200</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184</w:t>
            </w:r>
            <w:r w:rsidRPr="000E5D59">
              <w:rPr>
                <w:rFonts w:ascii="Arial" w:eastAsia="Times New Roman" w:hAnsi="Arial" w:cs="Arial"/>
                <w:sz w:val="20"/>
                <w:szCs w:val="20"/>
              </w:rPr>
              <w:br/>
              <w:t>3.86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75</w:t>
            </w:r>
            <w:r w:rsidRPr="000E5D59">
              <w:rPr>
                <w:rFonts w:ascii="Arial" w:eastAsia="Times New Roman" w:hAnsi="Arial" w:cs="Arial"/>
                <w:sz w:val="20"/>
                <w:szCs w:val="20"/>
              </w:rPr>
              <w:br/>
              <w:t>3.01</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104</w:t>
            </w:r>
            <w:r w:rsidRPr="000E5D59">
              <w:rPr>
                <w:rFonts w:ascii="Arial" w:eastAsia="Times New Roman" w:hAnsi="Arial" w:cs="Arial"/>
                <w:sz w:val="20"/>
                <w:szCs w:val="20"/>
              </w:rPr>
              <w:br/>
              <w:t>4.75</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$201 or more</w:t>
            </w:r>
          </w:p>
        </w:tc>
        <w:tc>
          <w:tcPr>
            <w:tcW w:w="81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255</w:t>
            </w:r>
            <w:r w:rsidRPr="000E5D59">
              <w:rPr>
                <w:rFonts w:ascii="Arial" w:eastAsia="Times New Roman" w:hAnsi="Arial" w:cs="Arial"/>
                <w:sz w:val="20"/>
                <w:szCs w:val="20"/>
              </w:rPr>
              <w:br/>
              <w:t>5.35</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128</w:t>
            </w:r>
            <w:r w:rsidRPr="000E5D59">
              <w:rPr>
                <w:rFonts w:ascii="Arial" w:eastAsia="Times New Roman" w:hAnsi="Arial" w:cs="Arial"/>
                <w:sz w:val="20"/>
                <w:szCs w:val="20"/>
              </w:rPr>
              <w:br/>
              <w:t>5.13</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126</w:t>
            </w:r>
            <w:r w:rsidRPr="000E5D59">
              <w:rPr>
                <w:rFonts w:ascii="Arial" w:eastAsia="Times New Roman" w:hAnsi="Arial" w:cs="Arial"/>
                <w:sz w:val="20"/>
                <w:szCs w:val="20"/>
              </w:rPr>
              <w:br/>
              <w:t>5.76</w:t>
            </w:r>
          </w:p>
        </w:tc>
        <w:tc>
          <w:tcPr>
            <w:tcW w:w="99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Drove /operated motor vehicle when under the influence (medical prescription drugs only) †</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5746</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5436</w:t>
            </w:r>
            <w:r w:rsidRPr="000E5D59">
              <w:rPr>
                <w:rFonts w:ascii="Arial" w:eastAsia="Times New Roman" w:hAnsi="Arial" w:cs="Arial"/>
                <w:sz w:val="20"/>
                <w:szCs w:val="20"/>
              </w:rPr>
              <w:br/>
              <w:t>94.60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2898</w:t>
            </w:r>
            <w:r w:rsidRPr="000E5D59">
              <w:rPr>
                <w:rFonts w:ascii="Arial" w:eastAsia="Times New Roman" w:hAnsi="Arial" w:cs="Arial"/>
                <w:sz w:val="20"/>
                <w:szCs w:val="20"/>
              </w:rPr>
              <w:br/>
              <w:t>95.77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2449</w:t>
            </w:r>
            <w:r w:rsidRPr="000E5D59">
              <w:rPr>
                <w:rFonts w:ascii="Arial" w:eastAsia="Times New Roman" w:hAnsi="Arial" w:cs="Arial"/>
                <w:sz w:val="20"/>
                <w:szCs w:val="20"/>
              </w:rPr>
              <w:br/>
              <w:t>93.19</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205</w:t>
            </w:r>
            <w:r w:rsidRPr="000E5D59">
              <w:rPr>
                <w:rFonts w:ascii="Arial" w:eastAsia="Times New Roman" w:hAnsi="Arial" w:cs="Arial"/>
                <w:sz w:val="20"/>
                <w:szCs w:val="20"/>
              </w:rPr>
              <w:br/>
              <w:t>3.57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83</w:t>
            </w:r>
            <w:r w:rsidRPr="000E5D59">
              <w:rPr>
                <w:rFonts w:ascii="Arial" w:eastAsia="Times New Roman" w:hAnsi="Arial" w:cs="Arial"/>
                <w:sz w:val="20"/>
                <w:szCs w:val="20"/>
              </w:rPr>
              <w:br/>
              <w:t>2.74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120</w:t>
            </w:r>
            <w:r w:rsidRPr="000E5D59">
              <w:rPr>
                <w:rFonts w:ascii="Arial" w:eastAsia="Times New Roman" w:hAnsi="Arial" w:cs="Arial"/>
                <w:sz w:val="20"/>
                <w:szCs w:val="20"/>
              </w:rPr>
              <w:br/>
              <w:t>4.57</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81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105</w:t>
            </w:r>
            <w:r w:rsidRPr="000E5D59">
              <w:rPr>
                <w:rFonts w:ascii="Arial" w:eastAsia="Times New Roman" w:hAnsi="Arial" w:cs="Arial"/>
                <w:sz w:val="20"/>
                <w:szCs w:val="20"/>
              </w:rPr>
              <w:br/>
              <w:t>1.83</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w:t>
            </w:r>
            <w:r w:rsidRPr="000E5D59">
              <w:rPr>
                <w:rFonts w:ascii="Arial" w:eastAsia="Times New Roman" w:hAnsi="Arial" w:cs="Arial"/>
                <w:sz w:val="20"/>
                <w:szCs w:val="20"/>
              </w:rPr>
              <w:br/>
              <w:t>1.49</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w:t>
            </w:r>
            <w:r w:rsidRPr="000E5D59">
              <w:rPr>
                <w:rFonts w:ascii="Arial" w:eastAsia="Times New Roman" w:hAnsi="Arial" w:cs="Arial"/>
                <w:sz w:val="20"/>
                <w:szCs w:val="20"/>
              </w:rPr>
              <w:br/>
              <w:t>2.25</w:t>
            </w:r>
          </w:p>
        </w:tc>
        <w:tc>
          <w:tcPr>
            <w:tcW w:w="99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Rode as a passenger in motor vehicle when under the influence of any of the above drugs </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6175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6031</w:t>
            </w:r>
            <w:r w:rsidRPr="000E5D59">
              <w:rPr>
                <w:rFonts w:ascii="Arial" w:eastAsia="Times New Roman" w:hAnsi="Arial" w:cs="Arial"/>
                <w:sz w:val="20"/>
                <w:szCs w:val="20"/>
              </w:rPr>
              <w:br/>
              <w:t>97.67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3130</w:t>
            </w:r>
            <w:r w:rsidRPr="000E5D59">
              <w:rPr>
                <w:rFonts w:ascii="Arial" w:eastAsia="Times New Roman" w:hAnsi="Arial" w:cs="Arial"/>
                <w:sz w:val="20"/>
                <w:szCs w:val="20"/>
              </w:rPr>
              <w:br/>
              <w:t>97.66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2800</w:t>
            </w:r>
            <w:r w:rsidRPr="000E5D59">
              <w:rPr>
                <w:rFonts w:ascii="Arial" w:eastAsia="Times New Roman" w:hAnsi="Arial" w:cs="Arial"/>
                <w:sz w:val="20"/>
                <w:szCs w:val="20"/>
              </w:rPr>
              <w:br/>
              <w:t>97.77</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144</w:t>
            </w:r>
            <w:r w:rsidRPr="000E5D59">
              <w:rPr>
                <w:rFonts w:ascii="Arial" w:eastAsia="Times New Roman" w:hAnsi="Arial" w:cs="Arial"/>
                <w:sz w:val="20"/>
                <w:szCs w:val="20"/>
              </w:rPr>
              <w:br/>
              <w:t>2.33</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75</w:t>
            </w:r>
            <w:r w:rsidRPr="000E5D59">
              <w:rPr>
                <w:rFonts w:ascii="Arial" w:eastAsia="Times New Roman" w:hAnsi="Arial" w:cs="Arial"/>
                <w:sz w:val="20"/>
                <w:szCs w:val="20"/>
              </w:rPr>
              <w:br/>
              <w:t>2.34</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w:t>
            </w:r>
            <w:r w:rsidRPr="000E5D59">
              <w:rPr>
                <w:rFonts w:ascii="Arial" w:eastAsia="Times New Roman" w:hAnsi="Arial" w:cs="Arial"/>
                <w:sz w:val="20"/>
                <w:szCs w:val="20"/>
              </w:rPr>
              <w:br/>
              <w:t>2.23</w:t>
            </w:r>
          </w:p>
        </w:tc>
        <w:tc>
          <w:tcPr>
            <w:tcW w:w="99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 xml:space="preserve">† </w:t>
            </w:r>
            <w:r w:rsidRPr="000E5D59">
              <w:rPr>
                <w:rFonts w:ascii="Arial" w:eastAsia="Times New Roman" w:hAnsi="Arial" w:cs="Arial"/>
                <w:i/>
                <w:iCs/>
                <w:sz w:val="20"/>
                <w:szCs w:val="20"/>
              </w:rPr>
              <w:t>Among respondents indicating NOT using cocaine or crack, heroin, antianxiety, sleeping, or prescription opioids for non-medical purposes in the past 30 days</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20C: DPH Patient Survey Non-Medical Use of Prescription Drugs and Other Substances by Educatio</w:t>
      </w:r>
      <w:r w:rsidR="00A3309E">
        <w:rPr>
          <w:rFonts w:ascii="Arial" w:eastAsia="Calibri" w:hAnsi="Arial" w:cs="Arial"/>
          <w:b/>
          <w:sz w:val="24"/>
          <w:szCs w:val="24"/>
        </w:rPr>
        <w:t>n (Among All 6,934 Respondents)</w:t>
      </w:r>
    </w:p>
    <w:tbl>
      <w:tblPr>
        <w:tblW w:w="9555" w:type="dxa"/>
        <w:tblInd w:w="93" w:type="dxa"/>
        <w:tblLook w:val="04A0" w:firstRow="1" w:lastRow="0" w:firstColumn="1" w:lastColumn="0" w:noHBand="0" w:noVBand="1"/>
        <w:tblCaption w:val="DPH Patient Survey Non-Medical Use of Prescription Drugs and Other Substances by Education (Among All 6,934 Respondents)"/>
      </w:tblPr>
      <w:tblGrid>
        <w:gridCol w:w="4515"/>
        <w:gridCol w:w="900"/>
        <w:gridCol w:w="1620"/>
        <w:gridCol w:w="1530"/>
        <w:gridCol w:w="990"/>
      </w:tblGrid>
      <w:tr w:rsidR="000E5D59" w:rsidRPr="000E5D59" w:rsidTr="00784755">
        <w:trPr>
          <w:trHeight w:val="20"/>
        </w:trPr>
        <w:tc>
          <w:tcPr>
            <w:tcW w:w="451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90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51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90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(N=3282)</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(N=3595)</w:t>
            </w:r>
          </w:p>
        </w:tc>
        <w:tc>
          <w:tcPr>
            <w:tcW w:w="99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51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Used any of the following drugs for non-medical purposes †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6435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None</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5852</w:t>
            </w:r>
            <w:r w:rsidRPr="000E5D59">
              <w:rPr>
                <w:rFonts w:ascii="Arial" w:eastAsia="Times New Roman" w:hAnsi="Arial" w:cs="Arial"/>
                <w:sz w:val="20"/>
                <w:szCs w:val="20"/>
              </w:rPr>
              <w:br/>
              <w:t>90.07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2754</w:t>
            </w:r>
            <w:r w:rsidRPr="000E5D59">
              <w:rPr>
                <w:rFonts w:ascii="Arial" w:eastAsia="Times New Roman" w:hAnsi="Arial" w:cs="Arial"/>
                <w:sz w:val="20"/>
                <w:szCs w:val="20"/>
              </w:rPr>
              <w:br/>
              <w:t>89.53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3083</w:t>
            </w:r>
            <w:r w:rsidRPr="000E5D59">
              <w:rPr>
                <w:rFonts w:ascii="Arial" w:eastAsia="Times New Roman" w:hAnsi="Arial" w:cs="Arial"/>
                <w:sz w:val="20"/>
                <w:szCs w:val="20"/>
              </w:rPr>
              <w:br/>
              <w:t>90.57</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Cocaine or Crack</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w:t>
            </w:r>
            <w:r w:rsidRPr="000E5D59">
              <w:rPr>
                <w:rFonts w:ascii="Arial" w:eastAsia="Times New Roman" w:hAnsi="Arial" w:cs="Arial"/>
                <w:sz w:val="20"/>
                <w:szCs w:val="20"/>
              </w:rPr>
              <w:br/>
              <w:t>0.25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w:t>
            </w:r>
            <w:r w:rsidRPr="000E5D59">
              <w:rPr>
                <w:rFonts w:ascii="Arial" w:eastAsia="Times New Roman" w:hAnsi="Arial" w:cs="Arial"/>
                <w:sz w:val="20"/>
                <w:szCs w:val="20"/>
              </w:rPr>
              <w:br/>
              <w:t>0.33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w:t>
            </w:r>
            <w:r w:rsidRPr="000E5D59">
              <w:rPr>
                <w:rFonts w:ascii="Arial" w:eastAsia="Times New Roman" w:hAnsi="Arial" w:cs="Arial"/>
                <w:sz w:val="20"/>
                <w:szCs w:val="20"/>
              </w:rPr>
              <w:br/>
              <w:t>0.18</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Heroin</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0.03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w:t>
            </w:r>
            <w:r w:rsidRPr="000E5D59">
              <w:rPr>
                <w:rFonts w:ascii="Arial" w:eastAsia="Times New Roman" w:hAnsi="Arial" w:cs="Arial"/>
                <w:sz w:val="20"/>
                <w:szCs w:val="20"/>
              </w:rPr>
              <w:br/>
              <w:t>0.07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0</w:t>
            </w:r>
            <w:r w:rsidRPr="000E5D59">
              <w:rPr>
                <w:rFonts w:ascii="Arial" w:eastAsia="Times New Roman" w:hAnsi="Arial" w:cs="Arial"/>
                <w:sz w:val="20"/>
                <w:szCs w:val="20"/>
              </w:rPr>
              <w:br/>
              <w:t>0.00</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Antianxiety drugs (sedatives, Tranquilizers, Anxiolytics)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185</w:t>
            </w:r>
            <w:r w:rsidRPr="000E5D59">
              <w:rPr>
                <w:rFonts w:ascii="Arial" w:eastAsia="Times New Roman" w:hAnsi="Arial" w:cs="Arial"/>
                <w:sz w:val="20"/>
                <w:szCs w:val="20"/>
              </w:rPr>
              <w:br/>
              <w:t>2.85</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96</w:t>
            </w:r>
            <w:r w:rsidRPr="000E5D59">
              <w:rPr>
                <w:rFonts w:ascii="Arial" w:eastAsia="Times New Roman" w:hAnsi="Arial" w:cs="Arial"/>
                <w:sz w:val="20"/>
                <w:szCs w:val="20"/>
              </w:rPr>
              <w:br/>
              <w:t>3.12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89</w:t>
            </w:r>
            <w:r w:rsidRPr="000E5D59">
              <w:rPr>
                <w:rFonts w:ascii="Arial" w:eastAsia="Times New Roman" w:hAnsi="Arial" w:cs="Arial"/>
                <w:sz w:val="20"/>
                <w:szCs w:val="20"/>
              </w:rPr>
              <w:br/>
              <w:t>2.61</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Sleeping drugs (Benzodiazepines, Barbiturates)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145</w:t>
            </w:r>
            <w:r w:rsidRPr="000E5D59">
              <w:rPr>
                <w:rFonts w:ascii="Arial" w:eastAsia="Times New Roman" w:hAnsi="Arial" w:cs="Arial"/>
                <w:sz w:val="20"/>
                <w:szCs w:val="20"/>
              </w:rPr>
              <w:br/>
              <w:t>2.23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64</w:t>
            </w:r>
            <w:r w:rsidRPr="000E5D59">
              <w:rPr>
                <w:rFonts w:ascii="Arial" w:eastAsia="Times New Roman" w:hAnsi="Arial" w:cs="Arial"/>
                <w:sz w:val="20"/>
                <w:szCs w:val="20"/>
              </w:rPr>
              <w:br/>
              <w:t>2.08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81</w:t>
            </w:r>
            <w:r w:rsidRPr="000E5D59">
              <w:rPr>
                <w:rFonts w:ascii="Arial" w:eastAsia="Times New Roman" w:hAnsi="Arial" w:cs="Arial"/>
                <w:sz w:val="20"/>
                <w:szCs w:val="20"/>
              </w:rPr>
              <w:br/>
              <w:t>2.38</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Prescription opioids (Oxycodone/ OxyContin, Hydrocodone/ Vicodin, Morphine, Methadone, Fentanyl)</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123</w:t>
            </w:r>
            <w:r w:rsidRPr="000E5D59">
              <w:rPr>
                <w:rFonts w:ascii="Arial" w:eastAsia="Times New Roman" w:hAnsi="Arial" w:cs="Arial"/>
                <w:sz w:val="20"/>
                <w:szCs w:val="20"/>
              </w:rPr>
              <w:br/>
              <w:t>1.89</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79</w:t>
            </w:r>
            <w:r w:rsidRPr="000E5D59">
              <w:rPr>
                <w:rFonts w:ascii="Arial" w:eastAsia="Times New Roman" w:hAnsi="Arial" w:cs="Arial"/>
                <w:sz w:val="20"/>
                <w:szCs w:val="20"/>
              </w:rPr>
              <w:br/>
              <w:t>2.57</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44</w:t>
            </w:r>
            <w:r w:rsidRPr="000E5D59">
              <w:rPr>
                <w:rFonts w:ascii="Arial" w:eastAsia="Times New Roman" w:hAnsi="Arial" w:cs="Arial"/>
                <w:sz w:val="20"/>
                <w:szCs w:val="20"/>
              </w:rPr>
              <w:br/>
              <w:t>1.29</w:t>
            </w:r>
          </w:p>
        </w:tc>
        <w:tc>
          <w:tcPr>
            <w:tcW w:w="990" w:type="dxa"/>
            <w:tcBorders>
              <w:top w:val="nil"/>
              <w:left w:val="nil"/>
              <w:bottom w:val="nil"/>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51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Other</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112</w:t>
            </w:r>
            <w:r w:rsidRPr="000E5D59">
              <w:rPr>
                <w:rFonts w:ascii="Arial" w:eastAsia="Times New Roman" w:hAnsi="Arial" w:cs="Arial"/>
                <w:sz w:val="20"/>
                <w:szCs w:val="20"/>
              </w:rPr>
              <w:br/>
              <w:t>1.72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w:t>
            </w:r>
            <w:r w:rsidRPr="000E5D59">
              <w:rPr>
                <w:rFonts w:ascii="Arial" w:eastAsia="Times New Roman" w:hAnsi="Arial" w:cs="Arial"/>
                <w:sz w:val="20"/>
                <w:szCs w:val="20"/>
              </w:rPr>
              <w:br/>
              <w:t>1.85</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55</w:t>
            </w:r>
            <w:r w:rsidRPr="000E5D59">
              <w:rPr>
                <w:rFonts w:ascii="Arial" w:eastAsia="Times New Roman" w:hAnsi="Arial" w:cs="Arial"/>
                <w:sz w:val="20"/>
                <w:szCs w:val="20"/>
              </w:rPr>
              <w:br/>
              <w:t>1.62</w:t>
            </w:r>
          </w:p>
        </w:tc>
        <w:tc>
          <w:tcPr>
            <w:tcW w:w="99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Number of days respondent used any of the above drugs in past 30 days</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351</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1-10 days</w:t>
            </w:r>
          </w:p>
        </w:tc>
        <w:tc>
          <w:tcPr>
            <w:tcW w:w="90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124</w:t>
            </w:r>
            <w:r w:rsidRPr="000E5D59">
              <w:rPr>
                <w:rFonts w:ascii="Arial" w:eastAsia="Times New Roman" w:hAnsi="Arial" w:cs="Arial"/>
                <w:sz w:val="20"/>
                <w:szCs w:val="20"/>
              </w:rPr>
              <w:br/>
              <w:t>35.33</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w:t>
            </w:r>
            <w:r w:rsidRPr="000E5D59">
              <w:rPr>
                <w:rFonts w:ascii="Arial" w:eastAsia="Times New Roman" w:hAnsi="Arial" w:cs="Arial"/>
                <w:sz w:val="20"/>
                <w:szCs w:val="20"/>
              </w:rPr>
              <w:br/>
              <w:t>30.30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74</w:t>
            </w:r>
            <w:r w:rsidRPr="000E5D59">
              <w:rPr>
                <w:rFonts w:ascii="Arial" w:eastAsia="Times New Roman" w:hAnsi="Arial" w:cs="Arial"/>
                <w:sz w:val="20"/>
                <w:szCs w:val="20"/>
              </w:rPr>
              <w:br/>
              <w:t>39.78</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10 days</w:t>
            </w:r>
          </w:p>
        </w:tc>
        <w:tc>
          <w:tcPr>
            <w:tcW w:w="90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227</w:t>
            </w:r>
            <w:r w:rsidRPr="000E5D59">
              <w:rPr>
                <w:rFonts w:ascii="Arial" w:eastAsia="Times New Roman" w:hAnsi="Arial" w:cs="Arial"/>
                <w:sz w:val="20"/>
                <w:szCs w:val="20"/>
              </w:rPr>
              <w:br/>
              <w:t>64.67</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115</w:t>
            </w:r>
            <w:r w:rsidRPr="000E5D59">
              <w:rPr>
                <w:rFonts w:ascii="Arial" w:eastAsia="Times New Roman" w:hAnsi="Arial" w:cs="Arial"/>
                <w:sz w:val="20"/>
                <w:szCs w:val="20"/>
              </w:rPr>
              <w:br/>
              <w:t>69.70</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112</w:t>
            </w:r>
            <w:r w:rsidRPr="000E5D59">
              <w:rPr>
                <w:rFonts w:ascii="Arial" w:eastAsia="Times New Roman" w:hAnsi="Arial" w:cs="Arial"/>
                <w:sz w:val="20"/>
                <w:szCs w:val="20"/>
              </w:rPr>
              <w:br/>
              <w:t>60.21</w:t>
            </w:r>
          </w:p>
        </w:tc>
        <w:tc>
          <w:tcPr>
            <w:tcW w:w="99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b/>
                <w:bCs/>
                <w:sz w:val="20"/>
                <w:szCs w:val="20"/>
              </w:rPr>
              <w:t xml:space="preserve">Treated in an emergency room for any reason related to use of any of the above drug(s) ‡  </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462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515" w:type="dxa"/>
            <w:tcBorders>
              <w:top w:val="nil"/>
              <w:left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sz w:val="20"/>
                <w:szCs w:val="20"/>
              </w:rPr>
              <w:t>No</w:t>
            </w:r>
          </w:p>
        </w:tc>
        <w:tc>
          <w:tcPr>
            <w:tcW w:w="900" w:type="dxa"/>
            <w:tcBorders>
              <w:top w:val="nil"/>
              <w:left w:val="single" w:sz="8"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457</w:t>
            </w:r>
            <w:r w:rsidRPr="000E5D59">
              <w:rPr>
                <w:rFonts w:ascii="Arial" w:eastAsia="Times New Roman" w:hAnsi="Arial" w:cs="Arial"/>
                <w:sz w:val="20"/>
                <w:szCs w:val="20"/>
              </w:rPr>
              <w:br/>
              <w:t>98.92</w:t>
            </w:r>
          </w:p>
        </w:tc>
        <w:tc>
          <w:tcPr>
            <w:tcW w:w="1620" w:type="dxa"/>
            <w:tcBorders>
              <w:top w:val="nil"/>
              <w:left w:val="thickThinSmallGap" w:sz="2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233</w:t>
            </w:r>
            <w:r w:rsidRPr="000E5D59">
              <w:rPr>
                <w:rFonts w:ascii="Arial" w:eastAsia="Times New Roman" w:hAnsi="Arial" w:cs="Arial"/>
                <w:sz w:val="20"/>
                <w:szCs w:val="20"/>
              </w:rPr>
              <w:br/>
              <w:t>98.31</w:t>
            </w:r>
          </w:p>
        </w:tc>
        <w:tc>
          <w:tcPr>
            <w:tcW w:w="1530" w:type="dxa"/>
            <w:tcBorders>
              <w:top w:val="nil"/>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224</w:t>
            </w:r>
            <w:r w:rsidRPr="000E5D59">
              <w:rPr>
                <w:rFonts w:ascii="Arial" w:eastAsia="Times New Roman" w:hAnsi="Arial" w:cs="Arial"/>
                <w:sz w:val="20"/>
                <w:szCs w:val="20"/>
              </w:rPr>
              <w:br/>
              <w:t>99.56</w:t>
            </w:r>
          </w:p>
        </w:tc>
        <w:tc>
          <w:tcPr>
            <w:tcW w:w="990" w:type="dxa"/>
            <w:tcBorders>
              <w:top w:val="nil"/>
              <w:left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51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90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w:t>
            </w:r>
            <w:r w:rsidRPr="000E5D59">
              <w:rPr>
                <w:rFonts w:ascii="Arial" w:eastAsia="Times New Roman" w:hAnsi="Arial" w:cs="Arial"/>
                <w:sz w:val="20"/>
                <w:szCs w:val="20"/>
              </w:rPr>
              <w:br/>
              <w:t>1.08</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w:t>
            </w:r>
            <w:r w:rsidRPr="000E5D59">
              <w:rPr>
                <w:rFonts w:ascii="Arial" w:eastAsia="Times New Roman" w:hAnsi="Arial" w:cs="Arial"/>
                <w:sz w:val="20"/>
                <w:szCs w:val="20"/>
              </w:rPr>
              <w:br/>
              <w:t>1.69</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w:t>
            </w:r>
            <w:r w:rsidRPr="000E5D59">
              <w:rPr>
                <w:rFonts w:ascii="Arial" w:eastAsia="Times New Roman" w:hAnsi="Arial" w:cs="Arial"/>
                <w:sz w:val="20"/>
                <w:szCs w:val="20"/>
              </w:rPr>
              <w:br/>
              <w:t>0.44</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 xml:space="preserve">† </w:t>
            </w:r>
            <w:r w:rsidRPr="000E5D59">
              <w:rPr>
                <w:rFonts w:ascii="Arial" w:eastAsia="Times New Roman" w:hAnsi="Arial" w:cs="Arial"/>
                <w:i/>
                <w:iCs/>
                <w:sz w:val="20"/>
                <w:szCs w:val="20"/>
              </w:rPr>
              <w:t>Percentages sum to more than 100% because respondents could choose more than one option</w:t>
            </w:r>
            <w:r w:rsidRPr="000E5D59">
              <w:rPr>
                <w:rFonts w:ascii="Arial" w:eastAsia="Times New Roman" w:hAnsi="Arial" w:cs="Arial"/>
                <w:b/>
                <w:bCs/>
                <w:sz w:val="20"/>
                <w:szCs w:val="20"/>
              </w:rPr>
              <w:br/>
              <w:t xml:space="preserve">‡ </w:t>
            </w:r>
            <w:r w:rsidRPr="000E5D59">
              <w:rPr>
                <w:rFonts w:ascii="Arial" w:eastAsia="Times New Roman" w:hAnsi="Arial" w:cs="Arial"/>
                <w:i/>
                <w:iCs/>
                <w:sz w:val="20"/>
                <w:szCs w:val="20"/>
              </w:rPr>
              <w:t>Among respondents indicating USING cocaine or crack, heroin, antianxiety, sleeping, or prescription opioids for non-medical purposes in the past 30 days</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286B34"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(Continued) </w:t>
      </w:r>
      <w:r w:rsidR="000E5D59" w:rsidRPr="000E5D59">
        <w:rPr>
          <w:rFonts w:ascii="Arial" w:eastAsia="Calibri" w:hAnsi="Arial" w:cs="Arial"/>
          <w:b/>
          <w:sz w:val="24"/>
          <w:szCs w:val="24"/>
        </w:rPr>
        <w:t>Table 20C: DPH Patient Survey Non-Medical Use of Prescription Drugs and Other Substances by Educatio</w:t>
      </w:r>
      <w:r w:rsidR="00A3309E">
        <w:rPr>
          <w:rFonts w:ascii="Arial" w:eastAsia="Calibri" w:hAnsi="Arial" w:cs="Arial"/>
          <w:b/>
          <w:sz w:val="24"/>
          <w:szCs w:val="24"/>
        </w:rPr>
        <w:t>n (Among All 6,934 Respondents)</w:t>
      </w:r>
    </w:p>
    <w:tbl>
      <w:tblPr>
        <w:tblW w:w="9555" w:type="dxa"/>
        <w:tblInd w:w="93" w:type="dxa"/>
        <w:tblLayout w:type="fixed"/>
        <w:tblLook w:val="04A0" w:firstRow="1" w:lastRow="0" w:firstColumn="1" w:lastColumn="0" w:noHBand="0" w:noVBand="1"/>
        <w:tblCaption w:val="Continued: DPH Patient Survey Non-Medical Use of Prescription Drugs and Other Substances by Education (Among All 6,934 Respondents)"/>
      </w:tblPr>
      <w:tblGrid>
        <w:gridCol w:w="4605"/>
        <w:gridCol w:w="810"/>
        <w:gridCol w:w="1620"/>
        <w:gridCol w:w="1530"/>
        <w:gridCol w:w="990"/>
      </w:tblGrid>
      <w:tr w:rsidR="000E5D59" w:rsidRPr="000E5D59" w:rsidTr="00784755">
        <w:trPr>
          <w:trHeight w:val="20"/>
        </w:trPr>
        <w:tc>
          <w:tcPr>
            <w:tcW w:w="4605" w:type="dxa"/>
            <w:vMerge w:val="restart"/>
            <w:tcBorders>
              <w:top w:val="single" w:sz="4" w:space="0" w:color="auto"/>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810" w:type="dxa"/>
            <w:vMerge w:val="restart"/>
            <w:tcBorders>
              <w:top w:val="single" w:sz="4" w:space="0" w:color="auto"/>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14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Education</w:t>
            </w:r>
          </w:p>
        </w:tc>
      </w:tr>
      <w:tr w:rsidR="000E5D59" w:rsidRPr="000E5D59" w:rsidTr="00784755">
        <w:trPr>
          <w:trHeight w:val="20"/>
        </w:trPr>
        <w:tc>
          <w:tcPr>
            <w:tcW w:w="4605" w:type="dxa"/>
            <w:vMerge/>
            <w:tcBorders>
              <w:top w:val="nil"/>
              <w:left w:val="single" w:sz="4" w:space="0" w:color="auto"/>
              <w:bottom w:val="single" w:sz="8"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810" w:type="dxa"/>
            <w:vMerge/>
            <w:tcBorders>
              <w:top w:val="nil"/>
              <w:left w:val="single" w:sz="8" w:space="0" w:color="auto"/>
              <w:bottom w:val="single" w:sz="8"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620" w:type="dxa"/>
            <w:tcBorders>
              <w:top w:val="nil"/>
              <w:left w:val="thickThinSmallGap" w:sz="24" w:space="0" w:color="auto"/>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&lt; Bachelor's</w:t>
            </w:r>
            <w:r w:rsidRPr="000E5D59">
              <w:rPr>
                <w:rFonts w:ascii="Arial" w:eastAsia="Times New Roman" w:hAnsi="Arial" w:cs="Arial"/>
                <w:b/>
                <w:bCs/>
                <w:sz w:val="20"/>
                <w:szCs w:val="20"/>
              </w:rPr>
              <w:br/>
            </w:r>
            <w:r w:rsidRPr="000E5D59">
              <w:rPr>
                <w:rFonts w:ascii="Arial" w:eastAsia="Times New Roman" w:hAnsi="Arial" w:cs="Arial"/>
                <w:sz w:val="20"/>
                <w:szCs w:val="20"/>
              </w:rPr>
              <w:t>(N=3282)</w:t>
            </w:r>
          </w:p>
        </w:tc>
        <w:tc>
          <w:tcPr>
            <w:tcW w:w="153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Bachelor's</w:t>
            </w:r>
            <w:r w:rsidRPr="000E5D59">
              <w:rPr>
                <w:rFonts w:ascii="Arial" w:eastAsia="Times New Roman" w:hAnsi="Arial" w:cs="Arial"/>
                <w:b/>
                <w:bCs/>
                <w:sz w:val="20"/>
                <w:szCs w:val="20"/>
              </w:rPr>
              <w:br/>
            </w:r>
            <w:r w:rsidRPr="000E5D59">
              <w:rPr>
                <w:rFonts w:ascii="Arial" w:eastAsia="Times New Roman" w:hAnsi="Arial" w:cs="Arial"/>
                <w:sz w:val="20"/>
                <w:szCs w:val="20"/>
              </w:rPr>
              <w:t>(N=3595)</w:t>
            </w:r>
          </w:p>
        </w:tc>
        <w:tc>
          <w:tcPr>
            <w:tcW w:w="990" w:type="dxa"/>
            <w:tcBorders>
              <w:top w:val="nil"/>
              <w:left w:val="nil"/>
              <w:bottom w:val="single" w:sz="8"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Since beginning to use marijuana, respondent cut down or stopped using any other prescription drugs, over the counter medications, or other substance</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6010</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2475</w:t>
            </w:r>
            <w:r w:rsidRPr="000E5D59">
              <w:rPr>
                <w:rFonts w:ascii="Arial" w:eastAsia="Times New Roman" w:hAnsi="Arial" w:cs="Arial"/>
                <w:sz w:val="20"/>
                <w:szCs w:val="20"/>
              </w:rPr>
              <w:br/>
              <w:t>41.18</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1162</w:t>
            </w:r>
            <w:r w:rsidRPr="000E5D59">
              <w:rPr>
                <w:rFonts w:ascii="Arial" w:eastAsia="Times New Roman" w:hAnsi="Arial" w:cs="Arial"/>
                <w:sz w:val="20"/>
                <w:szCs w:val="20"/>
              </w:rPr>
              <w:br/>
              <w:t>41.56</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1309</w:t>
            </w:r>
            <w:r w:rsidRPr="000E5D59">
              <w:rPr>
                <w:rFonts w:ascii="Arial" w:eastAsia="Times New Roman" w:hAnsi="Arial" w:cs="Arial"/>
                <w:sz w:val="20"/>
                <w:szCs w:val="20"/>
              </w:rPr>
              <w:br/>
              <w:t>40.92</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81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3535</w:t>
            </w:r>
            <w:r w:rsidRPr="000E5D59">
              <w:rPr>
                <w:rFonts w:ascii="Arial" w:eastAsia="Times New Roman" w:hAnsi="Arial" w:cs="Arial"/>
                <w:sz w:val="20"/>
                <w:szCs w:val="20"/>
              </w:rPr>
              <w:br/>
              <w:t>58.82</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1634</w:t>
            </w:r>
            <w:r w:rsidRPr="000E5D59">
              <w:rPr>
                <w:rFonts w:ascii="Arial" w:eastAsia="Times New Roman" w:hAnsi="Arial" w:cs="Arial"/>
                <w:sz w:val="20"/>
                <w:szCs w:val="20"/>
              </w:rPr>
              <w:br/>
              <w:t>58.44</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1890</w:t>
            </w:r>
            <w:r w:rsidRPr="000E5D59">
              <w:rPr>
                <w:rFonts w:ascii="Arial" w:eastAsia="Times New Roman" w:hAnsi="Arial" w:cs="Arial"/>
                <w:sz w:val="20"/>
                <w:szCs w:val="20"/>
              </w:rPr>
              <w:br/>
              <w:t>59.08</w:t>
            </w:r>
          </w:p>
        </w:tc>
        <w:tc>
          <w:tcPr>
            <w:tcW w:w="99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Total money spent on drugs (prescription or other substances) in past 30 days</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4762</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xml:space="preserve">$0 </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2870</w:t>
            </w:r>
            <w:r w:rsidRPr="000E5D59">
              <w:rPr>
                <w:rFonts w:ascii="Arial" w:eastAsia="Times New Roman" w:hAnsi="Arial" w:cs="Arial"/>
                <w:sz w:val="20"/>
                <w:szCs w:val="20"/>
              </w:rPr>
              <w:br/>
              <w:t>60.27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1443</w:t>
            </w:r>
            <w:r w:rsidRPr="000E5D59">
              <w:rPr>
                <w:rFonts w:ascii="Arial" w:eastAsia="Times New Roman" w:hAnsi="Arial" w:cs="Arial"/>
                <w:sz w:val="20"/>
                <w:szCs w:val="20"/>
              </w:rPr>
              <w:br/>
              <w:t>65.24</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1421</w:t>
            </w:r>
            <w:r w:rsidRPr="000E5D59">
              <w:rPr>
                <w:rFonts w:ascii="Arial" w:eastAsia="Times New Roman" w:hAnsi="Arial" w:cs="Arial"/>
                <w:sz w:val="20"/>
                <w:szCs w:val="20"/>
              </w:rPr>
              <w:br/>
              <w:t>55.90</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 to $100</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1453</w:t>
            </w:r>
            <w:r w:rsidRPr="000E5D59">
              <w:rPr>
                <w:rFonts w:ascii="Arial" w:eastAsia="Times New Roman" w:hAnsi="Arial" w:cs="Arial"/>
                <w:sz w:val="20"/>
                <w:szCs w:val="20"/>
              </w:rPr>
              <w:br/>
              <w:t>30.51</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597</w:t>
            </w:r>
            <w:r w:rsidRPr="000E5D59">
              <w:rPr>
                <w:rFonts w:ascii="Arial" w:eastAsia="Times New Roman" w:hAnsi="Arial" w:cs="Arial"/>
                <w:sz w:val="20"/>
                <w:szCs w:val="20"/>
              </w:rPr>
              <w:br/>
              <w:t>26.99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856</w:t>
            </w:r>
            <w:r w:rsidRPr="000E5D59">
              <w:rPr>
                <w:rFonts w:ascii="Arial" w:eastAsia="Times New Roman" w:hAnsi="Arial" w:cs="Arial"/>
                <w:sz w:val="20"/>
                <w:szCs w:val="20"/>
              </w:rPr>
              <w:br/>
              <w:t>33.67</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$101 to $200</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184</w:t>
            </w:r>
            <w:r w:rsidRPr="000E5D59">
              <w:rPr>
                <w:rFonts w:ascii="Arial" w:eastAsia="Times New Roman" w:hAnsi="Arial" w:cs="Arial"/>
                <w:sz w:val="20"/>
                <w:szCs w:val="20"/>
              </w:rPr>
              <w:br/>
              <w:t>3.86</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78</w:t>
            </w:r>
            <w:r w:rsidRPr="000E5D59">
              <w:rPr>
                <w:rFonts w:ascii="Arial" w:eastAsia="Times New Roman" w:hAnsi="Arial" w:cs="Arial"/>
                <w:sz w:val="20"/>
                <w:szCs w:val="20"/>
              </w:rPr>
              <w:br/>
              <w:t>3.53</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105</w:t>
            </w:r>
            <w:r w:rsidRPr="000E5D59">
              <w:rPr>
                <w:rFonts w:ascii="Arial" w:eastAsia="Times New Roman" w:hAnsi="Arial" w:cs="Arial"/>
                <w:sz w:val="20"/>
                <w:szCs w:val="20"/>
              </w:rPr>
              <w:br/>
              <w:t>4.13</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$201 or more</w:t>
            </w:r>
          </w:p>
        </w:tc>
        <w:tc>
          <w:tcPr>
            <w:tcW w:w="81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255</w:t>
            </w:r>
            <w:r w:rsidRPr="000E5D59">
              <w:rPr>
                <w:rFonts w:ascii="Arial" w:eastAsia="Times New Roman" w:hAnsi="Arial" w:cs="Arial"/>
                <w:sz w:val="20"/>
                <w:szCs w:val="20"/>
              </w:rPr>
              <w:br/>
              <w:t>5.35</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94</w:t>
            </w:r>
            <w:r w:rsidRPr="000E5D59">
              <w:rPr>
                <w:rFonts w:ascii="Arial" w:eastAsia="Times New Roman" w:hAnsi="Arial" w:cs="Arial"/>
                <w:sz w:val="20"/>
                <w:szCs w:val="20"/>
              </w:rPr>
              <w:br/>
              <w:t>4.25</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160</w:t>
            </w:r>
            <w:r w:rsidRPr="000E5D59">
              <w:rPr>
                <w:rFonts w:ascii="Arial" w:eastAsia="Times New Roman" w:hAnsi="Arial" w:cs="Arial"/>
                <w:sz w:val="20"/>
                <w:szCs w:val="20"/>
              </w:rPr>
              <w:br/>
              <w:t>6.29</w:t>
            </w:r>
          </w:p>
        </w:tc>
        <w:tc>
          <w:tcPr>
            <w:tcW w:w="99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Drove /operated motor vehicle when under the influence (medical prescription drugs only) †</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5746</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5436</w:t>
            </w:r>
            <w:r w:rsidRPr="000E5D59">
              <w:rPr>
                <w:rFonts w:ascii="Arial" w:eastAsia="Times New Roman" w:hAnsi="Arial" w:cs="Arial"/>
                <w:sz w:val="20"/>
                <w:szCs w:val="20"/>
              </w:rPr>
              <w:br/>
              <w:t>94.60</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2556</w:t>
            </w:r>
            <w:r w:rsidRPr="000E5D59">
              <w:rPr>
                <w:rFonts w:ascii="Arial" w:eastAsia="Times New Roman" w:hAnsi="Arial" w:cs="Arial"/>
                <w:sz w:val="20"/>
                <w:szCs w:val="20"/>
              </w:rPr>
              <w:br/>
              <w:t>94.32</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2866</w:t>
            </w:r>
            <w:r w:rsidRPr="000E5D59">
              <w:rPr>
                <w:rFonts w:ascii="Arial" w:eastAsia="Times New Roman" w:hAnsi="Arial" w:cs="Arial"/>
                <w:sz w:val="20"/>
                <w:szCs w:val="20"/>
              </w:rPr>
              <w:br/>
              <w:t>94.87</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205</w:t>
            </w:r>
            <w:r w:rsidRPr="000E5D59">
              <w:rPr>
                <w:rFonts w:ascii="Arial" w:eastAsia="Times New Roman" w:hAnsi="Arial" w:cs="Arial"/>
                <w:sz w:val="20"/>
                <w:szCs w:val="20"/>
              </w:rPr>
              <w:br/>
              <w:t>3.57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100</w:t>
            </w:r>
            <w:r w:rsidRPr="000E5D59">
              <w:rPr>
                <w:rFonts w:ascii="Arial" w:eastAsia="Times New Roman" w:hAnsi="Arial" w:cs="Arial"/>
                <w:sz w:val="20"/>
                <w:szCs w:val="20"/>
              </w:rPr>
              <w:br/>
              <w:t>3.69</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105</w:t>
            </w:r>
            <w:r w:rsidRPr="000E5D59">
              <w:rPr>
                <w:rFonts w:ascii="Arial" w:eastAsia="Times New Roman" w:hAnsi="Arial" w:cs="Arial"/>
                <w:sz w:val="20"/>
                <w:szCs w:val="20"/>
              </w:rPr>
              <w:br/>
              <w:t>3.48</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Don't know/not sure</w:t>
            </w:r>
          </w:p>
        </w:tc>
        <w:tc>
          <w:tcPr>
            <w:tcW w:w="81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105</w:t>
            </w:r>
            <w:r w:rsidRPr="000E5D59">
              <w:rPr>
                <w:rFonts w:ascii="Arial" w:eastAsia="Times New Roman" w:hAnsi="Arial" w:cs="Arial"/>
                <w:sz w:val="20"/>
                <w:szCs w:val="20"/>
              </w:rPr>
              <w:br/>
              <w:t>1.83</w:t>
            </w:r>
          </w:p>
        </w:tc>
        <w:tc>
          <w:tcPr>
            <w:tcW w:w="162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54</w:t>
            </w:r>
            <w:r w:rsidRPr="000E5D59">
              <w:rPr>
                <w:rFonts w:ascii="Arial" w:eastAsia="Times New Roman" w:hAnsi="Arial" w:cs="Arial"/>
                <w:sz w:val="20"/>
                <w:szCs w:val="20"/>
              </w:rPr>
              <w:br/>
              <w:t>1.99</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50</w:t>
            </w:r>
            <w:r w:rsidRPr="000E5D59">
              <w:rPr>
                <w:rFonts w:ascii="Arial" w:eastAsia="Times New Roman" w:hAnsi="Arial" w:cs="Arial"/>
                <w:sz w:val="20"/>
                <w:szCs w:val="20"/>
              </w:rPr>
              <w:br/>
              <w:t>1.66</w:t>
            </w:r>
          </w:p>
        </w:tc>
        <w:tc>
          <w:tcPr>
            <w:tcW w:w="990" w:type="dxa"/>
            <w:tcBorders>
              <w:top w:val="nil"/>
              <w:left w:val="nil"/>
              <w:bottom w:val="double" w:sz="6"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 xml:space="preserve">Rode as a passenger in motor vehicle when under the influence of any of the above drugs </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6175</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0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6031</w:t>
            </w:r>
            <w:r w:rsidRPr="000E5D59">
              <w:rPr>
                <w:rFonts w:ascii="Arial" w:eastAsia="Times New Roman" w:hAnsi="Arial" w:cs="Arial"/>
                <w:sz w:val="20"/>
                <w:szCs w:val="20"/>
              </w:rPr>
              <w:br/>
              <w:t>97.67</w:t>
            </w:r>
          </w:p>
        </w:tc>
        <w:tc>
          <w:tcPr>
            <w:tcW w:w="162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2849</w:t>
            </w:r>
            <w:r w:rsidRPr="000E5D59">
              <w:rPr>
                <w:rFonts w:ascii="Arial" w:eastAsia="Times New Roman" w:hAnsi="Arial" w:cs="Arial"/>
                <w:sz w:val="20"/>
                <w:szCs w:val="20"/>
              </w:rPr>
              <w:br/>
              <w:t>97.00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3169</w:t>
            </w:r>
            <w:r w:rsidRPr="000E5D59">
              <w:rPr>
                <w:rFonts w:ascii="Arial" w:eastAsia="Times New Roman" w:hAnsi="Arial" w:cs="Arial"/>
                <w:sz w:val="20"/>
                <w:szCs w:val="20"/>
              </w:rPr>
              <w:br/>
              <w:t>98.26</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0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144</w:t>
            </w:r>
            <w:r w:rsidRPr="000E5D59">
              <w:rPr>
                <w:rFonts w:ascii="Arial" w:eastAsia="Times New Roman" w:hAnsi="Arial" w:cs="Arial"/>
                <w:sz w:val="20"/>
                <w:szCs w:val="20"/>
              </w:rPr>
              <w:br/>
              <w:t>2.33</w:t>
            </w:r>
          </w:p>
        </w:tc>
        <w:tc>
          <w:tcPr>
            <w:tcW w:w="162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88</w:t>
            </w:r>
            <w:r w:rsidRPr="000E5D59">
              <w:rPr>
                <w:rFonts w:ascii="Arial" w:eastAsia="Times New Roman" w:hAnsi="Arial" w:cs="Arial"/>
                <w:sz w:val="20"/>
                <w:szCs w:val="20"/>
              </w:rPr>
              <w:br/>
              <w:t>3.00</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56</w:t>
            </w:r>
            <w:r w:rsidRPr="000E5D59">
              <w:rPr>
                <w:rFonts w:ascii="Arial" w:eastAsia="Times New Roman" w:hAnsi="Arial" w:cs="Arial"/>
                <w:sz w:val="20"/>
                <w:szCs w:val="20"/>
              </w:rPr>
              <w:br/>
              <w:t>1.74</w:t>
            </w:r>
          </w:p>
        </w:tc>
        <w:tc>
          <w:tcPr>
            <w:tcW w:w="990" w:type="dxa"/>
            <w:tcBorders>
              <w:top w:val="nil"/>
              <w:left w:val="nil"/>
              <w:bottom w:val="single" w:sz="4" w:space="0" w:color="auto"/>
              <w:right w:val="single" w:sz="4" w:space="0" w:color="auto"/>
            </w:tcBorders>
            <w:shd w:val="clear" w:color="auto" w:fill="auto"/>
            <w:noWrap/>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 xml:space="preserve">† </w:t>
            </w:r>
            <w:r w:rsidRPr="000E5D59">
              <w:rPr>
                <w:rFonts w:ascii="Arial" w:eastAsia="Times New Roman" w:hAnsi="Arial" w:cs="Arial"/>
                <w:i/>
                <w:iCs/>
                <w:sz w:val="20"/>
                <w:szCs w:val="20"/>
              </w:rPr>
              <w:t>Among respondents indicating NOT using cocaine or crack, heroin, antianxiety, sleeping, or prescription opioids for non-medical purposes in the past 30 days</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b/>
          <w:i/>
          <w:sz w:val="24"/>
          <w:szCs w:val="24"/>
        </w:rPr>
      </w:pPr>
    </w:p>
    <w:p w:rsidR="000E5D59" w:rsidRPr="000E5D59" w:rsidRDefault="000E5D59" w:rsidP="006057BE">
      <w:pPr>
        <w:spacing w:after="0" w:line="240" w:lineRule="auto"/>
        <w:rPr>
          <w:rFonts w:ascii="Arial" w:eastAsia="Calibri" w:hAnsi="Arial" w:cs="Arial"/>
          <w:b/>
          <w:i/>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AC40A7">
      <w:pPr>
        <w:pStyle w:val="Heading3"/>
      </w:pPr>
      <w:bookmarkStart w:id="243" w:name="_Toc11765964"/>
      <w:bookmarkStart w:id="244" w:name="_Toc11766619"/>
      <w:r w:rsidRPr="000E5D59">
        <w:t>Combination of Substances</w:t>
      </w:r>
      <w:bookmarkEnd w:id="243"/>
      <w:bookmarkEnd w:id="244"/>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All respondents were asked to report on their combination use of alcohol, marijuana, or other drugs in the past 30 days. Results are summarized in </w:t>
      </w:r>
      <w:r w:rsidRPr="000E5D59">
        <w:rPr>
          <w:rFonts w:ascii="Arial" w:eastAsia="Calibri" w:hAnsi="Arial" w:cs="Arial"/>
          <w:i/>
          <w:sz w:val="24"/>
          <w:szCs w:val="24"/>
        </w:rPr>
        <w:t>Tables 21A, 21B, and 21C</w:t>
      </w:r>
      <w:r w:rsidRPr="000E5D59">
        <w:rPr>
          <w:rFonts w:ascii="Arial" w:eastAsia="Calibri" w:hAnsi="Arial" w:cs="Arial"/>
          <w:sz w:val="24"/>
          <w:szCs w:val="24"/>
        </w:rPr>
        <w:t>, with comparisons by gender, age group, and educational attainment, respectively.</w:t>
      </w: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Thirty-seven percent of survey respondents reported using a combination of alcohol, marijuana, or other drugs in the past 30 days. A significantly larger proportion of respondents younger than 51 years old compared to older respondents reported combination use between 1 to 10 days out of the past 30 (25% vs. 19%), as did a significantly larger proportion of respondents with a Bachelor’s degree compared to respondents without a degree (27% vs. 16%). A larger proportion of respondents older than 50 years old compared to younger respondents reported combination use for at least 11 days out of the past 30 (19% vs. 11%), as did a larger proportion of respondents with a Bachelor’s degree compared to respondents without a degree (16% vs. 13%).</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Nine percent of respondents </w:t>
      </w:r>
      <w:r w:rsidRPr="000E5D59">
        <w:rPr>
          <w:rFonts w:ascii="Arial" w:eastAsia="Times New Roman" w:hAnsi="Arial" w:cs="Arial"/>
          <w:iCs/>
          <w:sz w:val="24"/>
          <w:szCs w:val="24"/>
        </w:rPr>
        <w:t>who indicated using a combination of alcohol, marijuana, or other drugs in the past 30 days</w:t>
      </w:r>
      <w:r w:rsidRPr="000E5D59">
        <w:rPr>
          <w:rFonts w:ascii="Arial" w:eastAsia="Calibri" w:hAnsi="Arial" w:cs="Arial"/>
          <w:sz w:val="24"/>
          <w:szCs w:val="24"/>
        </w:rPr>
        <w:t xml:space="preserve"> reported operating a vehicle while under the influence of combination substances in the past 30 days. There were no significant differences in the proportion of respondents who reported driving/operating a car or other motor vehicle under the influence of any combination of alcohol, marijuana, or other drugs by gender, age, or education.</w:t>
      </w: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21A: DPH Patient Survey Combination of Substances by Gende</w:t>
      </w:r>
      <w:r w:rsidR="00A3309E">
        <w:rPr>
          <w:rFonts w:ascii="Arial" w:eastAsia="Calibri" w:hAnsi="Arial" w:cs="Arial"/>
          <w:b/>
          <w:sz w:val="24"/>
          <w:szCs w:val="24"/>
        </w:rPr>
        <w:t>r (Among All 6,934 Respondents)</w:t>
      </w:r>
    </w:p>
    <w:tbl>
      <w:tblPr>
        <w:tblW w:w="9555" w:type="dxa"/>
        <w:tblInd w:w="93" w:type="dxa"/>
        <w:tblLook w:val="04A0" w:firstRow="1" w:lastRow="0" w:firstColumn="1" w:lastColumn="0" w:noHBand="0" w:noVBand="1"/>
        <w:tblCaption w:val="DPH Patient Survey Combination of Substances by Gender (Among All 6,934 Respondents)"/>
      </w:tblPr>
      <w:tblGrid>
        <w:gridCol w:w="4690"/>
        <w:gridCol w:w="817"/>
        <w:gridCol w:w="1529"/>
        <w:gridCol w:w="1529"/>
        <w:gridCol w:w="990"/>
      </w:tblGrid>
      <w:tr w:rsidR="000E5D59" w:rsidRPr="000E5D59" w:rsidTr="00784755">
        <w:trPr>
          <w:trHeight w:val="20"/>
        </w:trPr>
        <w:tc>
          <w:tcPr>
            <w:tcW w:w="4690"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817"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048"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690"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817"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29"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(N=3584)</w:t>
            </w:r>
          </w:p>
        </w:tc>
        <w:tc>
          <w:tcPr>
            <w:tcW w:w="1529"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(N=3188)</w:t>
            </w:r>
          </w:p>
        </w:tc>
        <w:tc>
          <w:tcPr>
            <w:tcW w:w="99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690"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Number of days respondent used a combination of alcohol, marijuana, or other drugs (prescription drugs or other substances) in past 30 days</w:t>
            </w:r>
          </w:p>
        </w:tc>
        <w:tc>
          <w:tcPr>
            <w:tcW w:w="817"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5947</w:t>
            </w:r>
          </w:p>
        </w:tc>
        <w:tc>
          <w:tcPr>
            <w:tcW w:w="1529"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29"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None</w:t>
            </w:r>
          </w:p>
        </w:tc>
        <w:tc>
          <w:tcPr>
            <w:tcW w:w="817"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3772</w:t>
            </w:r>
            <w:r w:rsidRPr="000E5D59">
              <w:rPr>
                <w:rFonts w:ascii="Arial" w:eastAsia="Times New Roman" w:hAnsi="Arial" w:cs="Arial"/>
                <w:sz w:val="20"/>
                <w:szCs w:val="20"/>
              </w:rPr>
              <w:br/>
              <w:t>63.43</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1989</w:t>
            </w:r>
            <w:r w:rsidRPr="000E5D59">
              <w:rPr>
                <w:rFonts w:ascii="Arial" w:eastAsia="Times New Roman" w:hAnsi="Arial" w:cs="Arial"/>
                <w:sz w:val="20"/>
                <w:szCs w:val="20"/>
              </w:rPr>
              <w:br/>
              <w:t>64.12</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1714</w:t>
            </w:r>
            <w:r w:rsidRPr="000E5D59">
              <w:rPr>
                <w:rFonts w:ascii="Arial" w:eastAsia="Times New Roman" w:hAnsi="Arial" w:cs="Arial"/>
                <w:sz w:val="20"/>
                <w:szCs w:val="20"/>
              </w:rPr>
              <w:br/>
              <w:t>62.28</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90"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1-10 days</w:t>
            </w:r>
          </w:p>
        </w:tc>
        <w:tc>
          <w:tcPr>
            <w:tcW w:w="817"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1321</w:t>
            </w:r>
            <w:r w:rsidRPr="000E5D59">
              <w:rPr>
                <w:rFonts w:ascii="Arial" w:eastAsia="Times New Roman" w:hAnsi="Arial" w:cs="Arial"/>
                <w:sz w:val="20"/>
                <w:szCs w:val="20"/>
              </w:rPr>
              <w:br/>
              <w:t>22.21</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782</w:t>
            </w:r>
            <w:r w:rsidRPr="000E5D59">
              <w:rPr>
                <w:rFonts w:ascii="Arial" w:eastAsia="Times New Roman" w:hAnsi="Arial" w:cs="Arial"/>
                <w:sz w:val="20"/>
                <w:szCs w:val="20"/>
              </w:rPr>
              <w:br/>
              <w:t>25.21</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521</w:t>
            </w:r>
            <w:r w:rsidRPr="000E5D59">
              <w:rPr>
                <w:rFonts w:ascii="Arial" w:eastAsia="Times New Roman" w:hAnsi="Arial" w:cs="Arial"/>
                <w:sz w:val="20"/>
                <w:szCs w:val="20"/>
              </w:rPr>
              <w:br/>
              <w:t>18.93</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90"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10 days</w:t>
            </w:r>
          </w:p>
        </w:tc>
        <w:tc>
          <w:tcPr>
            <w:tcW w:w="817"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854</w:t>
            </w:r>
            <w:r w:rsidRPr="000E5D59">
              <w:rPr>
                <w:rFonts w:ascii="Arial" w:eastAsia="Times New Roman" w:hAnsi="Arial" w:cs="Arial"/>
                <w:sz w:val="20"/>
                <w:szCs w:val="20"/>
              </w:rPr>
              <w:br/>
              <w:t>14.36</w:t>
            </w:r>
          </w:p>
        </w:tc>
        <w:tc>
          <w:tcPr>
            <w:tcW w:w="1529"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331</w:t>
            </w:r>
            <w:r w:rsidRPr="000E5D59">
              <w:rPr>
                <w:rFonts w:ascii="Arial" w:eastAsia="Times New Roman" w:hAnsi="Arial" w:cs="Arial"/>
                <w:sz w:val="20"/>
                <w:szCs w:val="20"/>
              </w:rPr>
              <w:br/>
              <w:t>10.67</w:t>
            </w:r>
          </w:p>
        </w:tc>
        <w:tc>
          <w:tcPr>
            <w:tcW w:w="1529"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517</w:t>
            </w:r>
            <w:r w:rsidRPr="000E5D59">
              <w:rPr>
                <w:rFonts w:ascii="Arial" w:eastAsia="Times New Roman" w:hAnsi="Arial" w:cs="Arial"/>
                <w:sz w:val="20"/>
                <w:szCs w:val="20"/>
              </w:rPr>
              <w:br/>
              <w:t>18.79</w:t>
            </w:r>
          </w:p>
        </w:tc>
        <w:tc>
          <w:tcPr>
            <w:tcW w:w="99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90"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u w:val="single"/>
              </w:rPr>
              <w:t xml:space="preserve">Drove/operated </w:t>
            </w:r>
            <w:r w:rsidRPr="000E5D59">
              <w:rPr>
                <w:rFonts w:ascii="Arial" w:eastAsia="Times New Roman" w:hAnsi="Arial" w:cs="Arial"/>
                <w:b/>
                <w:bCs/>
                <w:sz w:val="20"/>
                <w:szCs w:val="20"/>
              </w:rPr>
              <w:t>a motor vehicle when under the influence of any combination of alcohol, marijuana, or other drugs †</w:t>
            </w:r>
          </w:p>
        </w:tc>
        <w:tc>
          <w:tcPr>
            <w:tcW w:w="817"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2109</w:t>
            </w:r>
          </w:p>
        </w:tc>
        <w:tc>
          <w:tcPr>
            <w:tcW w:w="1529"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29"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90"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817"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1918</w:t>
            </w:r>
            <w:r w:rsidRPr="000E5D59">
              <w:rPr>
                <w:rFonts w:ascii="Arial" w:eastAsia="Times New Roman" w:hAnsi="Arial" w:cs="Arial"/>
                <w:sz w:val="20"/>
                <w:szCs w:val="20"/>
              </w:rPr>
              <w:br/>
              <w:t>90.94</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975</w:t>
            </w:r>
            <w:r w:rsidRPr="000E5D59">
              <w:rPr>
                <w:rFonts w:ascii="Arial" w:eastAsia="Times New Roman" w:hAnsi="Arial" w:cs="Arial"/>
                <w:sz w:val="20"/>
                <w:szCs w:val="20"/>
              </w:rPr>
              <w:br/>
              <w:t>90.28</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920</w:t>
            </w:r>
            <w:r w:rsidRPr="000E5D59">
              <w:rPr>
                <w:rFonts w:ascii="Arial" w:eastAsia="Times New Roman" w:hAnsi="Arial" w:cs="Arial"/>
                <w:sz w:val="20"/>
                <w:szCs w:val="20"/>
              </w:rPr>
              <w:br/>
              <w:t>91.45</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90"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817"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191</w:t>
            </w:r>
            <w:r w:rsidRPr="000E5D59">
              <w:rPr>
                <w:rFonts w:ascii="Arial" w:eastAsia="Times New Roman" w:hAnsi="Arial" w:cs="Arial"/>
                <w:sz w:val="20"/>
                <w:szCs w:val="20"/>
              </w:rPr>
              <w:br/>
              <w:t>9.06</w:t>
            </w:r>
          </w:p>
        </w:tc>
        <w:tc>
          <w:tcPr>
            <w:tcW w:w="1529"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105</w:t>
            </w:r>
            <w:r w:rsidRPr="000E5D59">
              <w:rPr>
                <w:rFonts w:ascii="Arial" w:eastAsia="Times New Roman" w:hAnsi="Arial" w:cs="Arial"/>
                <w:sz w:val="20"/>
                <w:szCs w:val="20"/>
              </w:rPr>
              <w:br/>
              <w:t>9.72</w:t>
            </w:r>
          </w:p>
        </w:tc>
        <w:tc>
          <w:tcPr>
            <w:tcW w:w="1529"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86</w:t>
            </w:r>
            <w:r w:rsidRPr="000E5D59">
              <w:rPr>
                <w:rFonts w:ascii="Arial" w:eastAsia="Times New Roman" w:hAnsi="Arial" w:cs="Arial"/>
                <w:sz w:val="20"/>
                <w:szCs w:val="20"/>
              </w:rPr>
              <w:br/>
              <w:t>8.55</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 xml:space="preserve">† </w:t>
            </w:r>
            <w:r w:rsidRPr="000E5D59">
              <w:rPr>
                <w:rFonts w:ascii="Arial" w:eastAsia="Times New Roman" w:hAnsi="Arial" w:cs="Arial"/>
                <w:i/>
                <w:iCs/>
                <w:sz w:val="20"/>
                <w:szCs w:val="20"/>
              </w:rPr>
              <w:t xml:space="preserve">Among respondents indicating use of a combination of alcohol, marijuana, or other drugs in the past 30 days </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Table 21B: DPH Patient Survey Combination of Substances by Age Grou</w:t>
      </w:r>
      <w:r w:rsidR="00A3309E">
        <w:rPr>
          <w:rFonts w:ascii="Arial" w:eastAsia="Calibri" w:hAnsi="Arial" w:cs="Arial"/>
          <w:b/>
          <w:sz w:val="24"/>
          <w:szCs w:val="24"/>
        </w:rPr>
        <w:t>p (Among All 6,934 Respondents)</w:t>
      </w:r>
    </w:p>
    <w:tbl>
      <w:tblPr>
        <w:tblW w:w="9555" w:type="dxa"/>
        <w:tblInd w:w="93" w:type="dxa"/>
        <w:tblLook w:val="04A0" w:firstRow="1" w:lastRow="0" w:firstColumn="1" w:lastColumn="0" w:noHBand="0" w:noVBand="1"/>
        <w:tblCaption w:val="DPH Patient Survey Combination of Substances by Age Group (Among All 6,934 Respondents)"/>
      </w:tblPr>
      <w:tblGrid>
        <w:gridCol w:w="4690"/>
        <w:gridCol w:w="817"/>
        <w:gridCol w:w="1529"/>
        <w:gridCol w:w="1529"/>
        <w:gridCol w:w="990"/>
      </w:tblGrid>
      <w:tr w:rsidR="000E5D59" w:rsidRPr="000E5D59" w:rsidTr="00784755">
        <w:trPr>
          <w:trHeight w:val="20"/>
        </w:trPr>
        <w:tc>
          <w:tcPr>
            <w:tcW w:w="4690"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w:t>
            </w:r>
          </w:p>
        </w:tc>
        <w:tc>
          <w:tcPr>
            <w:tcW w:w="817"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sz w:val="20"/>
                <w:szCs w:val="20"/>
              </w:rPr>
            </w:pPr>
            <w:r w:rsidRPr="000E5D59">
              <w:rPr>
                <w:rFonts w:ascii="Arial" w:eastAsia="Times New Roman" w:hAnsi="Arial" w:cs="Arial"/>
                <w:b/>
                <w:sz w:val="20"/>
                <w:szCs w:val="20"/>
              </w:rPr>
              <w:t>Total</w:t>
            </w:r>
          </w:p>
          <w:p w:rsidR="000E5D59" w:rsidRPr="000E5D59" w:rsidRDefault="000E5D59" w:rsidP="006057BE">
            <w:pPr>
              <w:spacing w:after="0" w:line="240" w:lineRule="auto"/>
              <w:jc w:val="right"/>
              <w:rPr>
                <w:rFonts w:ascii="Arial" w:eastAsia="Times New Roman" w:hAnsi="Arial" w:cs="Arial"/>
                <w:b/>
                <w:sz w:val="20"/>
                <w:szCs w:val="20"/>
              </w:rPr>
            </w:pPr>
            <w:r w:rsidRPr="000E5D59">
              <w:rPr>
                <w:rFonts w:ascii="Arial" w:eastAsia="Times New Roman" w:hAnsi="Arial" w:cs="Arial"/>
                <w:b/>
                <w:sz w:val="20"/>
                <w:szCs w:val="20"/>
              </w:rPr>
              <w:t>N</w:t>
            </w:r>
          </w:p>
          <w:p w:rsidR="000E5D59" w:rsidRPr="000E5D59" w:rsidRDefault="000E5D59" w:rsidP="006057BE">
            <w:pPr>
              <w:spacing w:after="0" w:line="240" w:lineRule="auto"/>
              <w:jc w:val="right"/>
              <w:rPr>
                <w:rFonts w:ascii="Arial" w:eastAsia="Times New Roman" w:hAnsi="Arial" w:cs="Arial"/>
                <w:b/>
                <w:bCs/>
                <w:sz w:val="20"/>
                <w:szCs w:val="20"/>
              </w:rPr>
            </w:pPr>
            <w:r w:rsidRPr="000E5D59">
              <w:rPr>
                <w:rFonts w:ascii="Arial" w:eastAsia="Times New Roman" w:hAnsi="Arial" w:cs="Arial"/>
                <w:b/>
                <w:sz w:val="20"/>
                <w:szCs w:val="20"/>
              </w:rPr>
              <w:t>%</w:t>
            </w:r>
          </w:p>
        </w:tc>
        <w:tc>
          <w:tcPr>
            <w:tcW w:w="4048"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Age Group</w:t>
            </w:r>
          </w:p>
        </w:tc>
      </w:tr>
      <w:tr w:rsidR="000E5D59" w:rsidRPr="000E5D59" w:rsidTr="00784755">
        <w:trPr>
          <w:trHeight w:val="20"/>
        </w:trPr>
        <w:tc>
          <w:tcPr>
            <w:tcW w:w="4690"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817"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sz w:val="20"/>
                <w:szCs w:val="20"/>
              </w:rPr>
            </w:pPr>
          </w:p>
        </w:tc>
        <w:tc>
          <w:tcPr>
            <w:tcW w:w="1529"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50 years</w:t>
            </w:r>
            <w:r w:rsidRPr="000E5D59">
              <w:rPr>
                <w:rFonts w:ascii="Arial" w:eastAsia="Times New Roman" w:hAnsi="Arial" w:cs="Arial"/>
                <w:b/>
                <w:bCs/>
                <w:sz w:val="20"/>
                <w:szCs w:val="20"/>
              </w:rPr>
              <w:br/>
            </w:r>
            <w:r w:rsidRPr="000E5D59">
              <w:rPr>
                <w:rFonts w:ascii="Arial" w:eastAsia="Times New Roman" w:hAnsi="Arial" w:cs="Arial"/>
                <w:sz w:val="20"/>
                <w:szCs w:val="20"/>
              </w:rPr>
              <w:t>(N=3584)</w:t>
            </w:r>
          </w:p>
        </w:tc>
        <w:tc>
          <w:tcPr>
            <w:tcW w:w="1529"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 51 years</w:t>
            </w:r>
            <w:r w:rsidRPr="000E5D59">
              <w:rPr>
                <w:rFonts w:ascii="Arial" w:eastAsia="Times New Roman" w:hAnsi="Arial" w:cs="Arial"/>
                <w:b/>
                <w:bCs/>
                <w:sz w:val="20"/>
                <w:szCs w:val="20"/>
              </w:rPr>
              <w:br/>
            </w:r>
            <w:r w:rsidRPr="000E5D59">
              <w:rPr>
                <w:rFonts w:ascii="Arial" w:eastAsia="Times New Roman" w:hAnsi="Arial" w:cs="Arial"/>
                <w:sz w:val="20"/>
                <w:szCs w:val="20"/>
              </w:rPr>
              <w:t>(N=3188)</w:t>
            </w:r>
          </w:p>
        </w:tc>
        <w:tc>
          <w:tcPr>
            <w:tcW w:w="99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sz w:val="20"/>
                <w:szCs w:val="20"/>
              </w:rPr>
            </w:pPr>
            <w:r w:rsidRPr="000E5D59">
              <w:rPr>
                <w:rFonts w:ascii="Arial" w:eastAsia="Times New Roman" w:hAnsi="Arial" w:cs="Arial"/>
                <w:b/>
                <w:bCs/>
                <w:sz w:val="20"/>
                <w:szCs w:val="20"/>
              </w:rPr>
              <w:t>p-value</w:t>
            </w:r>
          </w:p>
        </w:tc>
      </w:tr>
      <w:tr w:rsidR="000E5D59" w:rsidRPr="000E5D59" w:rsidTr="00784755">
        <w:trPr>
          <w:trHeight w:val="20"/>
        </w:trPr>
        <w:tc>
          <w:tcPr>
            <w:tcW w:w="4690"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rPr>
              <w:t>Number of days respondent used a combination of alcohol, marijuana, or other drugs (prescription drugs or other substances) in past 30 days</w:t>
            </w:r>
          </w:p>
        </w:tc>
        <w:tc>
          <w:tcPr>
            <w:tcW w:w="817"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5947</w:t>
            </w:r>
          </w:p>
        </w:tc>
        <w:tc>
          <w:tcPr>
            <w:tcW w:w="1529"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29"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w:t>
            </w:r>
          </w:p>
        </w:tc>
      </w:tr>
      <w:tr w:rsidR="000E5D59" w:rsidRPr="000E5D59" w:rsidTr="00784755">
        <w:trPr>
          <w:trHeight w:val="20"/>
        </w:trPr>
        <w:tc>
          <w:tcPr>
            <w:tcW w:w="4690"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None</w:t>
            </w:r>
          </w:p>
        </w:tc>
        <w:tc>
          <w:tcPr>
            <w:tcW w:w="817"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3772</w:t>
            </w:r>
            <w:r w:rsidRPr="000E5D59">
              <w:rPr>
                <w:rFonts w:ascii="Arial" w:eastAsia="Times New Roman" w:hAnsi="Arial" w:cs="Arial"/>
                <w:sz w:val="20"/>
                <w:szCs w:val="20"/>
              </w:rPr>
              <w:br/>
              <w:t>63.43</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1989</w:t>
            </w:r>
            <w:r w:rsidRPr="000E5D59">
              <w:rPr>
                <w:rFonts w:ascii="Arial" w:eastAsia="Times New Roman" w:hAnsi="Arial" w:cs="Arial"/>
                <w:sz w:val="20"/>
                <w:szCs w:val="20"/>
              </w:rPr>
              <w:br/>
              <w:t>64.12</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1714</w:t>
            </w:r>
            <w:r w:rsidRPr="000E5D59">
              <w:rPr>
                <w:rFonts w:ascii="Arial" w:eastAsia="Times New Roman" w:hAnsi="Arial" w:cs="Arial"/>
                <w:sz w:val="20"/>
                <w:szCs w:val="20"/>
              </w:rPr>
              <w:br/>
              <w:t>62.28</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90"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1-10 days</w:t>
            </w:r>
          </w:p>
        </w:tc>
        <w:tc>
          <w:tcPr>
            <w:tcW w:w="817"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1321</w:t>
            </w:r>
            <w:r w:rsidRPr="000E5D59">
              <w:rPr>
                <w:rFonts w:ascii="Arial" w:eastAsia="Times New Roman" w:hAnsi="Arial" w:cs="Arial"/>
                <w:sz w:val="20"/>
                <w:szCs w:val="20"/>
              </w:rPr>
              <w:br/>
              <w:t>22.21</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782</w:t>
            </w:r>
            <w:r w:rsidRPr="000E5D59">
              <w:rPr>
                <w:rFonts w:ascii="Arial" w:eastAsia="Times New Roman" w:hAnsi="Arial" w:cs="Arial"/>
                <w:sz w:val="20"/>
                <w:szCs w:val="20"/>
              </w:rPr>
              <w:br/>
              <w:t>25.21</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521</w:t>
            </w:r>
            <w:r w:rsidRPr="000E5D59">
              <w:rPr>
                <w:rFonts w:ascii="Arial" w:eastAsia="Times New Roman" w:hAnsi="Arial" w:cs="Arial"/>
                <w:sz w:val="20"/>
                <w:szCs w:val="20"/>
              </w:rPr>
              <w:br/>
              <w:t>18.93</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90"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More than 10 days</w:t>
            </w:r>
          </w:p>
        </w:tc>
        <w:tc>
          <w:tcPr>
            <w:tcW w:w="817"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854</w:t>
            </w:r>
            <w:r w:rsidRPr="000E5D59">
              <w:rPr>
                <w:rFonts w:ascii="Arial" w:eastAsia="Times New Roman" w:hAnsi="Arial" w:cs="Arial"/>
                <w:sz w:val="20"/>
                <w:szCs w:val="20"/>
              </w:rPr>
              <w:br/>
              <w:t>14.36</w:t>
            </w:r>
          </w:p>
        </w:tc>
        <w:tc>
          <w:tcPr>
            <w:tcW w:w="1529"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331</w:t>
            </w:r>
            <w:r w:rsidRPr="000E5D59">
              <w:rPr>
                <w:rFonts w:ascii="Arial" w:eastAsia="Times New Roman" w:hAnsi="Arial" w:cs="Arial"/>
                <w:sz w:val="20"/>
                <w:szCs w:val="20"/>
              </w:rPr>
              <w:br/>
              <w:t>10.67</w:t>
            </w:r>
          </w:p>
        </w:tc>
        <w:tc>
          <w:tcPr>
            <w:tcW w:w="1529"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517</w:t>
            </w:r>
            <w:r w:rsidRPr="000E5D59">
              <w:rPr>
                <w:rFonts w:ascii="Arial" w:eastAsia="Times New Roman" w:hAnsi="Arial" w:cs="Arial"/>
                <w:sz w:val="20"/>
                <w:szCs w:val="20"/>
              </w:rPr>
              <w:br/>
              <w:t>18.79</w:t>
            </w:r>
          </w:p>
        </w:tc>
        <w:tc>
          <w:tcPr>
            <w:tcW w:w="99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90"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sz w:val="20"/>
                <w:szCs w:val="20"/>
              </w:rPr>
            </w:pPr>
            <w:r w:rsidRPr="000E5D59">
              <w:rPr>
                <w:rFonts w:ascii="Arial" w:eastAsia="Times New Roman" w:hAnsi="Arial" w:cs="Arial"/>
                <w:b/>
                <w:bCs/>
                <w:sz w:val="20"/>
                <w:szCs w:val="20"/>
                <w:u w:val="single"/>
              </w:rPr>
              <w:t xml:space="preserve">Drove/operated </w:t>
            </w:r>
            <w:r w:rsidRPr="000E5D59">
              <w:rPr>
                <w:rFonts w:ascii="Arial" w:eastAsia="Times New Roman" w:hAnsi="Arial" w:cs="Arial"/>
                <w:b/>
                <w:bCs/>
                <w:sz w:val="20"/>
                <w:szCs w:val="20"/>
              </w:rPr>
              <w:t>a motor vehicle when under the influence of any combination of alcohol, marijuana, or other drugs †</w:t>
            </w:r>
          </w:p>
        </w:tc>
        <w:tc>
          <w:tcPr>
            <w:tcW w:w="817"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2109</w:t>
            </w:r>
          </w:p>
        </w:tc>
        <w:tc>
          <w:tcPr>
            <w:tcW w:w="1529"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1529"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ns</w:t>
            </w:r>
          </w:p>
        </w:tc>
      </w:tr>
      <w:tr w:rsidR="000E5D59" w:rsidRPr="000E5D59" w:rsidTr="00784755">
        <w:trPr>
          <w:trHeight w:val="20"/>
        </w:trPr>
        <w:tc>
          <w:tcPr>
            <w:tcW w:w="4690"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No</w:t>
            </w:r>
          </w:p>
        </w:tc>
        <w:tc>
          <w:tcPr>
            <w:tcW w:w="817"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1918</w:t>
            </w:r>
            <w:r w:rsidRPr="000E5D59">
              <w:rPr>
                <w:rFonts w:ascii="Arial" w:eastAsia="Times New Roman" w:hAnsi="Arial" w:cs="Arial"/>
                <w:sz w:val="20"/>
                <w:szCs w:val="20"/>
              </w:rPr>
              <w:br/>
              <w:t>90.94</w:t>
            </w:r>
          </w:p>
        </w:tc>
        <w:tc>
          <w:tcPr>
            <w:tcW w:w="1529"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975</w:t>
            </w:r>
            <w:r w:rsidRPr="000E5D59">
              <w:rPr>
                <w:rFonts w:ascii="Arial" w:eastAsia="Times New Roman" w:hAnsi="Arial" w:cs="Arial"/>
                <w:sz w:val="20"/>
                <w:szCs w:val="20"/>
              </w:rPr>
              <w:br/>
              <w:t>90.28</w:t>
            </w:r>
          </w:p>
        </w:tc>
        <w:tc>
          <w:tcPr>
            <w:tcW w:w="1529"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920</w:t>
            </w:r>
            <w:r w:rsidRPr="000E5D59">
              <w:rPr>
                <w:rFonts w:ascii="Arial" w:eastAsia="Times New Roman" w:hAnsi="Arial" w:cs="Arial"/>
                <w:sz w:val="20"/>
                <w:szCs w:val="20"/>
              </w:rPr>
              <w:br/>
              <w:t>91.45</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4690"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Yes</w:t>
            </w:r>
          </w:p>
        </w:tc>
        <w:tc>
          <w:tcPr>
            <w:tcW w:w="817"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191</w:t>
            </w:r>
            <w:r w:rsidRPr="000E5D59">
              <w:rPr>
                <w:rFonts w:ascii="Arial" w:eastAsia="Times New Roman" w:hAnsi="Arial" w:cs="Arial"/>
                <w:sz w:val="20"/>
                <w:szCs w:val="20"/>
              </w:rPr>
              <w:br/>
              <w:t>9.06</w:t>
            </w:r>
          </w:p>
        </w:tc>
        <w:tc>
          <w:tcPr>
            <w:tcW w:w="1529"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105</w:t>
            </w:r>
            <w:r w:rsidRPr="000E5D59">
              <w:rPr>
                <w:rFonts w:ascii="Arial" w:eastAsia="Times New Roman" w:hAnsi="Arial" w:cs="Arial"/>
                <w:sz w:val="20"/>
                <w:szCs w:val="20"/>
              </w:rPr>
              <w:br/>
              <w:t>9.72</w:t>
            </w:r>
          </w:p>
        </w:tc>
        <w:tc>
          <w:tcPr>
            <w:tcW w:w="1529"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86</w:t>
            </w:r>
            <w:r w:rsidRPr="000E5D59">
              <w:rPr>
                <w:rFonts w:ascii="Arial" w:eastAsia="Times New Roman" w:hAnsi="Arial" w:cs="Arial"/>
                <w:sz w:val="20"/>
                <w:szCs w:val="20"/>
              </w:rPr>
              <w:br/>
              <w:t>8.55</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sz w:val="20"/>
                <w:szCs w:val="20"/>
              </w:rPr>
            </w:pPr>
            <w:r w:rsidRPr="000E5D59">
              <w:rPr>
                <w:rFonts w:ascii="Arial" w:eastAsia="Times New Roman" w:hAnsi="Arial" w:cs="Arial"/>
                <w:sz w:val="20"/>
                <w:szCs w:val="20"/>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sz w:val="20"/>
                <w:szCs w:val="20"/>
              </w:rPr>
            </w:pPr>
            <w:r w:rsidRPr="000E5D59">
              <w:rPr>
                <w:rFonts w:ascii="Arial" w:eastAsia="Times New Roman" w:hAnsi="Arial" w:cs="Arial"/>
                <w:b/>
                <w:bCs/>
                <w:sz w:val="20"/>
                <w:szCs w:val="20"/>
              </w:rPr>
              <w:t xml:space="preserve">† </w:t>
            </w:r>
            <w:r w:rsidRPr="000E5D59">
              <w:rPr>
                <w:rFonts w:ascii="Arial" w:eastAsia="Times New Roman" w:hAnsi="Arial" w:cs="Arial"/>
                <w:i/>
                <w:iCs/>
                <w:sz w:val="20"/>
                <w:szCs w:val="20"/>
              </w:rPr>
              <w:t xml:space="preserve">Among respondents indicating use of a combination of alcohol, marijuana, or other drugs in the past 30 days </w:t>
            </w:r>
            <w:r w:rsidRPr="000E5D59">
              <w:rPr>
                <w:rFonts w:ascii="Arial" w:eastAsia="Times New Roman" w:hAnsi="Arial" w:cs="Arial"/>
                <w:i/>
                <w:iCs/>
                <w:sz w:val="20"/>
                <w:szCs w:val="20"/>
              </w:rPr>
              <w:br/>
              <w:t>*p&lt;0.05; **p&lt;0.01; ***p&lt;0.001; ****p&lt;0.0001; ns=not significant</w:t>
            </w:r>
          </w:p>
        </w:tc>
      </w:tr>
    </w:tbl>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b/>
          <w:sz w:val="24"/>
          <w:szCs w:val="24"/>
        </w:rPr>
        <w:sectPr w:rsidR="000E5D59" w:rsidRPr="000E5D59" w:rsidSect="00465399">
          <w:pgSz w:w="12240" w:h="15840"/>
          <w:pgMar w:top="1440" w:right="1440" w:bottom="1440" w:left="1440" w:header="630" w:footer="0" w:gutter="0"/>
          <w:cols w:space="720"/>
          <w:docGrid w:linePitch="360"/>
        </w:sect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b/>
          <w:sz w:val="24"/>
          <w:szCs w:val="24"/>
        </w:rPr>
        <w:t xml:space="preserve">Table </w:t>
      </w:r>
      <w:r w:rsidR="00E82261">
        <w:rPr>
          <w:rFonts w:ascii="Arial" w:eastAsia="Calibri" w:hAnsi="Arial" w:cs="Arial"/>
          <w:b/>
          <w:sz w:val="24"/>
          <w:szCs w:val="24"/>
        </w:rPr>
        <w:t>21C</w:t>
      </w:r>
      <w:r w:rsidRPr="000E5D59">
        <w:rPr>
          <w:rFonts w:ascii="Arial" w:eastAsia="Calibri" w:hAnsi="Arial" w:cs="Arial"/>
          <w:b/>
          <w:sz w:val="24"/>
          <w:szCs w:val="24"/>
        </w:rPr>
        <w:t>: DPH Patient Survey Combination of Substances by Educatio</w:t>
      </w:r>
      <w:r w:rsidR="00A3309E">
        <w:rPr>
          <w:rFonts w:ascii="Arial" w:eastAsia="Calibri" w:hAnsi="Arial" w:cs="Arial"/>
          <w:b/>
          <w:sz w:val="24"/>
          <w:szCs w:val="24"/>
        </w:rPr>
        <w:t>n (Among All 6,934 Respondents)</w:t>
      </w:r>
    </w:p>
    <w:tbl>
      <w:tblPr>
        <w:tblW w:w="9555" w:type="dxa"/>
        <w:tblInd w:w="93" w:type="dxa"/>
        <w:tblLook w:val="04A0" w:firstRow="1" w:lastRow="0" w:firstColumn="1" w:lastColumn="0" w:noHBand="0" w:noVBand="1"/>
        <w:tblCaption w:val="DPH Patient Survey Combination of Substances by Education (Among All 6,934 Respondents)"/>
      </w:tblPr>
      <w:tblGrid>
        <w:gridCol w:w="4695"/>
        <w:gridCol w:w="810"/>
        <w:gridCol w:w="1530"/>
        <w:gridCol w:w="1530"/>
        <w:gridCol w:w="990"/>
      </w:tblGrid>
      <w:tr w:rsidR="000E5D59" w:rsidRPr="000E5D59" w:rsidTr="00E82261">
        <w:trPr>
          <w:trHeight w:val="20"/>
        </w:trPr>
        <w:tc>
          <w:tcPr>
            <w:tcW w:w="4695" w:type="dxa"/>
            <w:vMerge w:val="restart"/>
            <w:tcBorders>
              <w:top w:val="single" w:sz="4" w:space="0" w:color="auto"/>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rPr>
            </w:pPr>
            <w:r w:rsidRPr="000E5D59">
              <w:rPr>
                <w:rFonts w:ascii="Arial" w:eastAsia="Times New Roman" w:hAnsi="Arial" w:cs="Arial"/>
                <w:b/>
                <w:bCs/>
              </w:rPr>
              <w:t> </w:t>
            </w:r>
          </w:p>
        </w:tc>
        <w:tc>
          <w:tcPr>
            <w:tcW w:w="810" w:type="dxa"/>
            <w:vMerge w:val="restart"/>
            <w:tcBorders>
              <w:top w:val="single" w:sz="4" w:space="0" w:color="auto"/>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rPr>
            </w:pPr>
            <w:r w:rsidRPr="000E5D59">
              <w:rPr>
                <w:rFonts w:ascii="Arial" w:eastAsia="Times New Roman" w:hAnsi="Arial" w:cs="Arial"/>
                <w:b/>
              </w:rPr>
              <w:t>Total</w:t>
            </w:r>
          </w:p>
          <w:p w:rsidR="000E5D59" w:rsidRPr="000E5D59" w:rsidRDefault="000E5D59" w:rsidP="006057BE">
            <w:pPr>
              <w:spacing w:after="0" w:line="240" w:lineRule="auto"/>
              <w:jc w:val="right"/>
              <w:rPr>
                <w:rFonts w:ascii="Arial" w:eastAsia="Times New Roman" w:hAnsi="Arial" w:cs="Arial"/>
                <w:b/>
              </w:rPr>
            </w:pPr>
            <w:r w:rsidRPr="000E5D59">
              <w:rPr>
                <w:rFonts w:ascii="Arial" w:eastAsia="Times New Roman" w:hAnsi="Arial" w:cs="Arial"/>
                <w:b/>
              </w:rPr>
              <w:t>N</w:t>
            </w:r>
          </w:p>
          <w:p w:rsidR="000E5D59" w:rsidRPr="000E5D59" w:rsidRDefault="000E5D59" w:rsidP="006057BE">
            <w:pPr>
              <w:spacing w:after="0" w:line="240" w:lineRule="auto"/>
              <w:jc w:val="right"/>
              <w:rPr>
                <w:rFonts w:ascii="Arial" w:eastAsia="Times New Roman" w:hAnsi="Arial" w:cs="Arial"/>
                <w:b/>
                <w:bCs/>
              </w:rPr>
            </w:pPr>
            <w:r w:rsidRPr="000E5D59">
              <w:rPr>
                <w:rFonts w:ascii="Arial" w:eastAsia="Times New Roman" w:hAnsi="Arial" w:cs="Arial"/>
                <w:b/>
              </w:rPr>
              <w:t>%</w:t>
            </w:r>
          </w:p>
        </w:tc>
        <w:tc>
          <w:tcPr>
            <w:tcW w:w="4050" w:type="dxa"/>
            <w:gridSpan w:val="3"/>
            <w:tcBorders>
              <w:top w:val="single" w:sz="4" w:space="0" w:color="auto"/>
              <w:left w:val="thickThinSmallGap" w:sz="2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rPr>
            </w:pPr>
            <w:r w:rsidRPr="000E5D59">
              <w:rPr>
                <w:rFonts w:ascii="Arial" w:eastAsia="Times New Roman" w:hAnsi="Arial" w:cs="Arial"/>
                <w:b/>
                <w:bCs/>
              </w:rPr>
              <w:t>Education</w:t>
            </w:r>
          </w:p>
        </w:tc>
      </w:tr>
      <w:tr w:rsidR="000E5D59" w:rsidRPr="000E5D59" w:rsidTr="00784755">
        <w:trPr>
          <w:trHeight w:val="20"/>
        </w:trPr>
        <w:tc>
          <w:tcPr>
            <w:tcW w:w="4695" w:type="dxa"/>
            <w:vMerge/>
            <w:tcBorders>
              <w:top w:val="nil"/>
              <w:left w:val="single" w:sz="4" w:space="0" w:color="auto"/>
              <w:bottom w:val="double" w:sz="6" w:space="0" w:color="000000"/>
              <w:right w:val="single" w:sz="8"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rPr>
            </w:pPr>
          </w:p>
        </w:tc>
        <w:tc>
          <w:tcPr>
            <w:tcW w:w="810" w:type="dxa"/>
            <w:vMerge/>
            <w:tcBorders>
              <w:top w:val="nil"/>
              <w:left w:val="single" w:sz="8" w:space="0" w:color="auto"/>
              <w:bottom w:val="double" w:sz="6" w:space="0" w:color="000000"/>
              <w:right w:val="thickThinSmallGap" w:sz="2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b/>
                <w:bCs/>
              </w:rPr>
            </w:pPr>
          </w:p>
        </w:tc>
        <w:tc>
          <w:tcPr>
            <w:tcW w:w="1530" w:type="dxa"/>
            <w:tcBorders>
              <w:top w:val="nil"/>
              <w:left w:val="thickThinSmallGap" w:sz="24" w:space="0" w:color="auto"/>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rPr>
            </w:pPr>
            <w:r w:rsidRPr="000E5D59">
              <w:rPr>
                <w:rFonts w:ascii="Arial" w:eastAsia="Times New Roman" w:hAnsi="Arial" w:cs="Arial"/>
                <w:b/>
                <w:bCs/>
              </w:rPr>
              <w:t>&lt; Bachelor's</w:t>
            </w:r>
            <w:r w:rsidRPr="000E5D59">
              <w:rPr>
                <w:rFonts w:ascii="Arial" w:eastAsia="Times New Roman" w:hAnsi="Arial" w:cs="Arial"/>
                <w:b/>
                <w:bCs/>
              </w:rPr>
              <w:br/>
            </w:r>
            <w:r w:rsidRPr="000E5D59">
              <w:rPr>
                <w:rFonts w:ascii="Arial" w:eastAsia="Times New Roman" w:hAnsi="Arial" w:cs="Arial"/>
              </w:rPr>
              <w:t>(N=3282)</w:t>
            </w:r>
          </w:p>
        </w:tc>
        <w:tc>
          <w:tcPr>
            <w:tcW w:w="153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rPr>
            </w:pPr>
            <w:r w:rsidRPr="000E5D59">
              <w:rPr>
                <w:rFonts w:ascii="Arial" w:eastAsia="Times New Roman" w:hAnsi="Arial" w:cs="Arial"/>
                <w:b/>
                <w:bCs/>
              </w:rPr>
              <w:t>≥ Bachelor's</w:t>
            </w:r>
            <w:r w:rsidRPr="000E5D59">
              <w:rPr>
                <w:rFonts w:ascii="Arial" w:eastAsia="Times New Roman" w:hAnsi="Arial" w:cs="Arial"/>
                <w:b/>
                <w:bCs/>
              </w:rPr>
              <w:br/>
            </w:r>
            <w:r w:rsidRPr="000E5D59">
              <w:rPr>
                <w:rFonts w:ascii="Arial" w:eastAsia="Times New Roman" w:hAnsi="Arial" w:cs="Arial"/>
              </w:rPr>
              <w:t>(N=3595)</w:t>
            </w:r>
          </w:p>
        </w:tc>
        <w:tc>
          <w:tcPr>
            <w:tcW w:w="990" w:type="dxa"/>
            <w:tcBorders>
              <w:top w:val="nil"/>
              <w:left w:val="nil"/>
              <w:bottom w:val="double" w:sz="6" w:space="0" w:color="auto"/>
              <w:right w:val="single" w:sz="4" w:space="0" w:color="auto"/>
            </w:tcBorders>
            <w:shd w:val="clear" w:color="auto" w:fill="auto"/>
            <w:vAlign w:val="center"/>
          </w:tcPr>
          <w:p w:rsidR="000E5D59" w:rsidRPr="000E5D59" w:rsidRDefault="000E5D59" w:rsidP="006057BE">
            <w:pPr>
              <w:spacing w:after="0" w:line="240" w:lineRule="auto"/>
              <w:jc w:val="center"/>
              <w:rPr>
                <w:rFonts w:ascii="Arial" w:eastAsia="Times New Roman" w:hAnsi="Arial" w:cs="Arial"/>
                <w:b/>
                <w:bCs/>
              </w:rPr>
            </w:pPr>
            <w:r w:rsidRPr="000E5D59">
              <w:rPr>
                <w:rFonts w:ascii="Arial" w:eastAsia="Times New Roman" w:hAnsi="Arial" w:cs="Arial"/>
                <w:b/>
                <w:bCs/>
              </w:rPr>
              <w:t>p-value</w:t>
            </w:r>
          </w:p>
        </w:tc>
      </w:tr>
      <w:tr w:rsidR="000E5D59" w:rsidRPr="000E5D59" w:rsidTr="00784755">
        <w:trPr>
          <w:trHeight w:val="20"/>
        </w:trPr>
        <w:tc>
          <w:tcPr>
            <w:tcW w:w="469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rPr>
            </w:pPr>
            <w:r w:rsidRPr="000E5D59">
              <w:rPr>
                <w:rFonts w:ascii="Arial" w:eastAsia="Times New Roman" w:hAnsi="Arial" w:cs="Arial"/>
                <w:b/>
                <w:bCs/>
              </w:rPr>
              <w:t>Number of days respondent used a combination of alcohol, marijuana, or other drugs (prescription drugs or other substances) in past 30 days</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5947</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w:t>
            </w:r>
          </w:p>
        </w:tc>
      </w:tr>
      <w:tr w:rsidR="000E5D59" w:rsidRPr="000E5D59" w:rsidTr="00784755">
        <w:trPr>
          <w:trHeight w:val="20"/>
        </w:trPr>
        <w:tc>
          <w:tcPr>
            <w:tcW w:w="469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None</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3772</w:t>
            </w:r>
            <w:r w:rsidRPr="000E5D59">
              <w:rPr>
                <w:rFonts w:ascii="Arial" w:eastAsia="Times New Roman" w:hAnsi="Arial" w:cs="Arial"/>
              </w:rPr>
              <w:br/>
              <w:t>63.43</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1995</w:t>
            </w:r>
            <w:r w:rsidRPr="000E5D59">
              <w:rPr>
                <w:rFonts w:ascii="Arial" w:eastAsia="Times New Roman" w:hAnsi="Arial" w:cs="Arial"/>
              </w:rPr>
              <w:br/>
              <w:t>71.00</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1770</w:t>
            </w:r>
            <w:r w:rsidRPr="000E5D59">
              <w:rPr>
                <w:rFonts w:ascii="Arial" w:eastAsia="Times New Roman" w:hAnsi="Arial" w:cs="Arial"/>
              </w:rPr>
              <w:br/>
              <w:t>56.64</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 </w:t>
            </w:r>
          </w:p>
        </w:tc>
      </w:tr>
      <w:tr w:rsidR="000E5D59" w:rsidRPr="000E5D59" w:rsidTr="00784755">
        <w:trPr>
          <w:trHeight w:val="20"/>
        </w:trPr>
        <w:tc>
          <w:tcPr>
            <w:tcW w:w="469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1-10 days</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1321</w:t>
            </w:r>
            <w:r w:rsidRPr="000E5D59">
              <w:rPr>
                <w:rFonts w:ascii="Arial" w:eastAsia="Times New Roman" w:hAnsi="Arial" w:cs="Arial"/>
              </w:rPr>
              <w:br/>
              <w:t>22.21</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463</w:t>
            </w:r>
            <w:r w:rsidRPr="000E5D59">
              <w:rPr>
                <w:rFonts w:ascii="Arial" w:eastAsia="Times New Roman" w:hAnsi="Arial" w:cs="Arial"/>
              </w:rPr>
              <w:br/>
              <w:t>16.48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854</w:t>
            </w:r>
            <w:r w:rsidRPr="000E5D59">
              <w:rPr>
                <w:rFonts w:ascii="Arial" w:eastAsia="Times New Roman" w:hAnsi="Arial" w:cs="Arial"/>
              </w:rPr>
              <w:br/>
              <w:t>27.33</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 </w:t>
            </w:r>
          </w:p>
        </w:tc>
      </w:tr>
      <w:tr w:rsidR="000E5D59" w:rsidRPr="000E5D59" w:rsidTr="00784755">
        <w:trPr>
          <w:trHeight w:val="20"/>
        </w:trPr>
        <w:tc>
          <w:tcPr>
            <w:tcW w:w="4695" w:type="dxa"/>
            <w:tcBorders>
              <w:top w:val="nil"/>
              <w:left w:val="single" w:sz="4" w:space="0" w:color="auto"/>
              <w:bottom w:val="double" w:sz="6"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More than 10 days</w:t>
            </w:r>
          </w:p>
        </w:tc>
        <w:tc>
          <w:tcPr>
            <w:tcW w:w="810" w:type="dxa"/>
            <w:tcBorders>
              <w:top w:val="nil"/>
              <w:left w:val="single" w:sz="8" w:space="0" w:color="auto"/>
              <w:bottom w:val="double" w:sz="6"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854</w:t>
            </w:r>
            <w:r w:rsidRPr="000E5D59">
              <w:rPr>
                <w:rFonts w:ascii="Arial" w:eastAsia="Times New Roman" w:hAnsi="Arial" w:cs="Arial"/>
              </w:rPr>
              <w:br/>
              <w:t>14.36</w:t>
            </w:r>
          </w:p>
        </w:tc>
        <w:tc>
          <w:tcPr>
            <w:tcW w:w="1530" w:type="dxa"/>
            <w:tcBorders>
              <w:top w:val="nil"/>
              <w:left w:val="thickThinSmallGap" w:sz="24" w:space="0" w:color="auto"/>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352</w:t>
            </w:r>
            <w:r w:rsidRPr="000E5D59">
              <w:rPr>
                <w:rFonts w:ascii="Arial" w:eastAsia="Times New Roman" w:hAnsi="Arial" w:cs="Arial"/>
              </w:rPr>
              <w:br/>
              <w:t>12.53</w:t>
            </w:r>
          </w:p>
        </w:tc>
        <w:tc>
          <w:tcPr>
            <w:tcW w:w="153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501</w:t>
            </w:r>
            <w:r w:rsidRPr="000E5D59">
              <w:rPr>
                <w:rFonts w:ascii="Arial" w:eastAsia="Times New Roman" w:hAnsi="Arial" w:cs="Arial"/>
              </w:rPr>
              <w:br/>
              <w:t>16.03</w:t>
            </w:r>
          </w:p>
        </w:tc>
        <w:tc>
          <w:tcPr>
            <w:tcW w:w="990" w:type="dxa"/>
            <w:tcBorders>
              <w:top w:val="nil"/>
              <w:left w:val="nil"/>
              <w:bottom w:val="double" w:sz="6"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 </w:t>
            </w:r>
          </w:p>
        </w:tc>
      </w:tr>
      <w:tr w:rsidR="000E5D59" w:rsidRPr="000E5D59" w:rsidTr="00784755">
        <w:trPr>
          <w:trHeight w:val="20"/>
        </w:trPr>
        <w:tc>
          <w:tcPr>
            <w:tcW w:w="469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rPr>
                <w:rFonts w:ascii="Arial" w:eastAsia="Times New Roman" w:hAnsi="Arial" w:cs="Arial"/>
                <w:b/>
                <w:bCs/>
              </w:rPr>
            </w:pPr>
            <w:r w:rsidRPr="000E5D59">
              <w:rPr>
                <w:rFonts w:ascii="Arial" w:eastAsia="Times New Roman" w:hAnsi="Arial" w:cs="Arial"/>
                <w:b/>
                <w:bCs/>
                <w:u w:val="single"/>
              </w:rPr>
              <w:t xml:space="preserve">Drove/operated </w:t>
            </w:r>
            <w:r w:rsidRPr="000E5D59">
              <w:rPr>
                <w:rFonts w:ascii="Arial" w:eastAsia="Times New Roman" w:hAnsi="Arial" w:cs="Arial"/>
                <w:b/>
                <w:bCs/>
              </w:rPr>
              <w:t>a motor vehicle when under the influence of any combination of alcohol, marijuana, or other drugs †</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2109</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 </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 </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ns</w:t>
            </w:r>
          </w:p>
        </w:tc>
      </w:tr>
      <w:tr w:rsidR="000E5D59" w:rsidRPr="000E5D59" w:rsidTr="00784755">
        <w:trPr>
          <w:trHeight w:val="20"/>
        </w:trPr>
        <w:tc>
          <w:tcPr>
            <w:tcW w:w="4695" w:type="dxa"/>
            <w:tcBorders>
              <w:top w:val="nil"/>
              <w:left w:val="single" w:sz="4" w:space="0" w:color="auto"/>
              <w:bottom w:val="nil"/>
              <w:right w:val="nil"/>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No</w:t>
            </w:r>
          </w:p>
        </w:tc>
        <w:tc>
          <w:tcPr>
            <w:tcW w:w="810" w:type="dxa"/>
            <w:tcBorders>
              <w:top w:val="nil"/>
              <w:left w:val="single" w:sz="8" w:space="0" w:color="auto"/>
              <w:bottom w:val="nil"/>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1918</w:t>
            </w:r>
            <w:r w:rsidRPr="000E5D59">
              <w:rPr>
                <w:rFonts w:ascii="Arial" w:eastAsia="Times New Roman" w:hAnsi="Arial" w:cs="Arial"/>
              </w:rPr>
              <w:br/>
              <w:t>90.94</w:t>
            </w:r>
          </w:p>
        </w:tc>
        <w:tc>
          <w:tcPr>
            <w:tcW w:w="1530" w:type="dxa"/>
            <w:tcBorders>
              <w:top w:val="nil"/>
              <w:left w:val="thickThinSmallGap" w:sz="24" w:space="0" w:color="auto"/>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724</w:t>
            </w:r>
            <w:r w:rsidRPr="000E5D59">
              <w:rPr>
                <w:rFonts w:ascii="Arial" w:eastAsia="Times New Roman" w:hAnsi="Arial" w:cs="Arial"/>
              </w:rPr>
              <w:br/>
              <w:t>91.88</w:t>
            </w:r>
          </w:p>
        </w:tc>
        <w:tc>
          <w:tcPr>
            <w:tcW w:w="153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1189</w:t>
            </w:r>
            <w:r w:rsidRPr="000E5D59">
              <w:rPr>
                <w:rFonts w:ascii="Arial" w:eastAsia="Times New Roman" w:hAnsi="Arial" w:cs="Arial"/>
              </w:rPr>
              <w:br/>
              <w:t>90.35</w:t>
            </w:r>
          </w:p>
        </w:tc>
        <w:tc>
          <w:tcPr>
            <w:tcW w:w="990" w:type="dxa"/>
            <w:tcBorders>
              <w:top w:val="nil"/>
              <w:left w:val="nil"/>
              <w:bottom w:val="nil"/>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 </w:t>
            </w:r>
          </w:p>
        </w:tc>
      </w:tr>
      <w:tr w:rsidR="000E5D59" w:rsidRPr="000E5D59" w:rsidTr="00784755">
        <w:trPr>
          <w:trHeight w:val="20"/>
        </w:trPr>
        <w:tc>
          <w:tcPr>
            <w:tcW w:w="4695" w:type="dxa"/>
            <w:tcBorders>
              <w:top w:val="nil"/>
              <w:left w:val="single" w:sz="4" w:space="0" w:color="auto"/>
              <w:bottom w:val="single" w:sz="4" w:space="0" w:color="auto"/>
              <w:right w:val="nil"/>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Yes</w:t>
            </w:r>
          </w:p>
        </w:tc>
        <w:tc>
          <w:tcPr>
            <w:tcW w:w="810" w:type="dxa"/>
            <w:tcBorders>
              <w:top w:val="nil"/>
              <w:left w:val="single" w:sz="8" w:space="0" w:color="auto"/>
              <w:bottom w:val="single" w:sz="4" w:space="0" w:color="auto"/>
              <w:right w:val="thickThinSmallGap" w:sz="2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191</w:t>
            </w:r>
            <w:r w:rsidRPr="000E5D59">
              <w:rPr>
                <w:rFonts w:ascii="Arial" w:eastAsia="Times New Roman" w:hAnsi="Arial" w:cs="Arial"/>
              </w:rPr>
              <w:br/>
              <w:t>9.06</w:t>
            </w:r>
          </w:p>
        </w:tc>
        <w:tc>
          <w:tcPr>
            <w:tcW w:w="1530" w:type="dxa"/>
            <w:tcBorders>
              <w:top w:val="nil"/>
              <w:left w:val="thickThinSmallGap" w:sz="24" w:space="0" w:color="auto"/>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64</w:t>
            </w:r>
            <w:r w:rsidRPr="000E5D59">
              <w:rPr>
                <w:rFonts w:ascii="Arial" w:eastAsia="Times New Roman" w:hAnsi="Arial" w:cs="Arial"/>
              </w:rPr>
              <w:br/>
              <w:t>8.12</w:t>
            </w:r>
          </w:p>
        </w:tc>
        <w:tc>
          <w:tcPr>
            <w:tcW w:w="153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127</w:t>
            </w:r>
            <w:r w:rsidRPr="000E5D59">
              <w:rPr>
                <w:rFonts w:ascii="Arial" w:eastAsia="Times New Roman" w:hAnsi="Arial" w:cs="Arial"/>
              </w:rPr>
              <w:br/>
              <w:t>9.65</w:t>
            </w:r>
          </w:p>
        </w:tc>
        <w:tc>
          <w:tcPr>
            <w:tcW w:w="990" w:type="dxa"/>
            <w:tcBorders>
              <w:top w:val="nil"/>
              <w:left w:val="nil"/>
              <w:bottom w:val="single" w:sz="4" w:space="0" w:color="auto"/>
              <w:right w:val="single" w:sz="4" w:space="0" w:color="auto"/>
            </w:tcBorders>
            <w:shd w:val="clear" w:color="auto" w:fill="auto"/>
          </w:tcPr>
          <w:p w:rsidR="000E5D59" w:rsidRPr="000E5D59" w:rsidRDefault="000E5D59" w:rsidP="006057BE">
            <w:pPr>
              <w:spacing w:after="0" w:line="240" w:lineRule="auto"/>
              <w:jc w:val="right"/>
              <w:rPr>
                <w:rFonts w:ascii="Arial" w:eastAsia="Times New Roman" w:hAnsi="Arial" w:cs="Arial"/>
              </w:rPr>
            </w:pPr>
            <w:r w:rsidRPr="000E5D59">
              <w:rPr>
                <w:rFonts w:ascii="Arial" w:eastAsia="Times New Roman" w:hAnsi="Arial" w:cs="Arial"/>
              </w:rPr>
              <w:t> </w:t>
            </w:r>
          </w:p>
        </w:tc>
      </w:tr>
      <w:tr w:rsidR="000E5D59" w:rsidRPr="000E5D59" w:rsidTr="00784755">
        <w:trPr>
          <w:trHeight w:val="20"/>
        </w:trPr>
        <w:tc>
          <w:tcPr>
            <w:tcW w:w="95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E5D59" w:rsidRPr="000E5D59" w:rsidRDefault="000E5D59" w:rsidP="006057BE">
            <w:pPr>
              <w:spacing w:after="0" w:line="240" w:lineRule="auto"/>
              <w:rPr>
                <w:rFonts w:ascii="Arial" w:eastAsia="Times New Roman" w:hAnsi="Arial" w:cs="Arial"/>
              </w:rPr>
            </w:pPr>
            <w:r w:rsidRPr="000E5D59">
              <w:rPr>
                <w:rFonts w:ascii="Arial" w:eastAsia="Times New Roman" w:hAnsi="Arial" w:cs="Arial"/>
                <w:b/>
                <w:bCs/>
              </w:rPr>
              <w:t xml:space="preserve">† </w:t>
            </w:r>
            <w:r w:rsidRPr="000E5D59">
              <w:rPr>
                <w:rFonts w:ascii="Arial" w:eastAsia="Times New Roman" w:hAnsi="Arial" w:cs="Arial"/>
                <w:i/>
                <w:iCs/>
              </w:rPr>
              <w:t xml:space="preserve">Among respondents indicating use of a combination of alcohol, marijuana, or other drugs in the past 30 days </w:t>
            </w:r>
            <w:r w:rsidRPr="000E5D59">
              <w:rPr>
                <w:rFonts w:ascii="Arial" w:eastAsia="Times New Roman" w:hAnsi="Arial" w:cs="Arial"/>
                <w:i/>
                <w:iCs/>
              </w:rPr>
              <w:br/>
              <w:t>*p&lt;0.05; **p&lt;0.01; ***p&lt;0.001; ****p&lt;0.0001; ns=not significant</w:t>
            </w:r>
          </w:p>
        </w:tc>
      </w:tr>
    </w:tbl>
    <w:p w:rsidR="000E5D59" w:rsidRPr="000E5D59" w:rsidRDefault="000E5D59" w:rsidP="006057BE">
      <w:pPr>
        <w:spacing w:after="0" w:line="240" w:lineRule="auto"/>
        <w:rPr>
          <w:rFonts w:ascii="Calibri" w:eastAsia="Calibri" w:hAnsi="Calibri" w:cs="Times New Roman"/>
        </w:rPr>
      </w:pPr>
    </w:p>
    <w:p w:rsidR="000E5D59" w:rsidRPr="000E5D59" w:rsidRDefault="000E5D59" w:rsidP="005F7A46">
      <w:pPr>
        <w:pStyle w:val="Heading2"/>
        <w:rPr>
          <w:rFonts w:eastAsia="Times New Roman"/>
        </w:rPr>
      </w:pPr>
      <w:bookmarkStart w:id="245" w:name="_Toc11765965"/>
      <w:bookmarkStart w:id="246" w:name="_Toc11766620"/>
      <w:bookmarkStart w:id="247" w:name="_Toc11917217"/>
      <w:bookmarkStart w:id="248" w:name="_Toc11921655"/>
      <w:bookmarkStart w:id="249" w:name="_Toc12520934"/>
      <w:bookmarkStart w:id="250" w:name="_Toc12521160"/>
      <w:bookmarkStart w:id="251" w:name="_Toc12529130"/>
      <w:r w:rsidRPr="000E5D59">
        <w:rPr>
          <w:rFonts w:eastAsia="Times New Roman"/>
        </w:rPr>
        <w:t>Discussion</w:t>
      </w:r>
      <w:bookmarkEnd w:id="245"/>
      <w:bookmarkEnd w:id="246"/>
      <w:bookmarkEnd w:id="247"/>
      <w:bookmarkEnd w:id="248"/>
      <w:bookmarkEnd w:id="249"/>
      <w:bookmarkEnd w:id="250"/>
      <w:bookmarkEnd w:id="251"/>
      <w:r w:rsidRPr="000E5D59">
        <w:rPr>
          <w:rFonts w:eastAsia="Times New Roman"/>
        </w:rPr>
        <w:t xml:space="preserve"> </w:t>
      </w:r>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There were no notable differences between respondent distributions of gender, age, or county of residence groups comparing all respondents of the 2018 Medical Use of Marijuana Patient Survey to the full eligible population, suggesting that, although the response rates was low at 16%, the sample of 6934 respondents in this study was representative of the Massachusetts Medical Use of Marijuana patient population.  In this survey respondents were asked to type in their Medical Marijuana Registration number and that may have led to concerns about confidentiality.</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Respondents indicated using marijuana for an average of 23.5 days out of the past 30, with over 60% reporting marijuana use at least 21 out of the past 30. Over 90% of respondents indicated some certified medical use of marijuana, 6% some uncertified medical use, and 17% indicated some recreational use. These categories are not mutually exclusive, suggesting that while most respondents are using marijuana to treat medical conditions, but some are also using recreationally.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Results from this survey suggest that respondents appear to be treating a wide range of medical conditions, and often more than one at a time. The top 5 medical conditions being treated were anxiety (60% or all respondents), chronic pain (46%), insomnia (43%), depression (42%), and stress (41%), and the average number of conditions being treated by medical marijuana is 4.7.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Patients registered with the Massachusetts Department of Public Health Medical Use of Marijuana Program were certified by a qualified physician or clinician because of a debilitating medical situation, which often has multiple associated medical conditions for which marijuana use can assuage. Results from this study confirm this, suggesting that patients believe marijuana use is alleviating multiple.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While a qualified physician or clinician may certify a patient with a debilitating medical condition for medical use of marijuana, they are not required to write a prescription specifying the product type the patient must use (although they may make recommendations as the patients is under their care). As such, patients have access to a wide range of marijuana administration methods. Results from this study indicate that respondents use multiple methods of administration, over the course of 30 days, with an average of 2.9 methods. In fact, less than one fifth of all respondents reported only one method of marijuana administration, while over 30% reported using 4 or more. The most common method of marijuana administration was smoking dried flower (65%), followed by vaporized marijuana concentrate (62%) and edible marijuana products (51%). </w:t>
      </w:r>
    </w:p>
    <w:p w:rsidR="000E5D59" w:rsidRPr="000E5D59" w:rsidRDefault="000E5D59"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All respondents were asked questions related to perceptions of the Medical Use of Marijuana Program. In general, respondents reported favorably towards medical use of marijuana.  Almost all respondents considered the use to be effective in treating their conditions with over 65% of respondents reported that they believed use of marijuana or marijuana products has been “very effective” and an additional 26% believed use of marijuana to be “effective”.  Also almost 90% of respondents reported that they had “somewhat high” or “very high” confidence that they were receiving safe, uncontaminated products when purchasing marijuana or marijuana products at a licensed dispensary. 94% reported feeling “somewhat safe” or “very safe” when purchasing medical marijuana at a licensed dispensary, and 66% reported “somewhat high” or “very high” knowledge of their recommended marijuana or marijuana product based on the information provided by their certified practitioner. Findings from this study also suggest that respondents perceive marijuana use to have very high rates of positive outcomes and little obvious harm. 78% of respondents reported positive changes in their mood or mental health, 67% reported improved physical health, and 83% reported no negative outcomes or consequences related to their marijuana use. Thus, respondents are highly satisfied with their access to marijuana products and information and believe they have largely benefitted from medical use of marijuana with very little, if any negative effects.</w:t>
      </w:r>
    </w:p>
    <w:p w:rsidR="000E5D59" w:rsidRPr="000E5D59" w:rsidRDefault="000E5D59" w:rsidP="006057BE">
      <w:pPr>
        <w:spacing w:after="0" w:line="240" w:lineRule="auto"/>
        <w:rPr>
          <w:rFonts w:ascii="Arial" w:eastAsia="Calibri" w:hAnsi="Arial" w:cs="Arial"/>
          <w:sz w:val="24"/>
          <w:szCs w:val="24"/>
        </w:rPr>
      </w:pPr>
    </w:p>
    <w:p w:rsidR="000E5D59" w:rsidRDefault="000E5D59" w:rsidP="006057BE">
      <w:pPr>
        <w:spacing w:after="0" w:line="240" w:lineRule="auto"/>
        <w:rPr>
          <w:rFonts w:ascii="Arial" w:eastAsia="Calibri" w:hAnsi="Arial" w:cs="Arial"/>
          <w:sz w:val="24"/>
          <w:szCs w:val="24"/>
        </w:rPr>
      </w:pPr>
      <w:r w:rsidRPr="000E5D59">
        <w:rPr>
          <w:rFonts w:ascii="Arial" w:eastAsia="Calibri" w:hAnsi="Arial" w:cs="Arial"/>
          <w:sz w:val="24"/>
          <w:szCs w:val="24"/>
        </w:rPr>
        <w:t xml:space="preserve">Finally, almost 60% or respondents who reported use of prescription drugs, over-the-counter, medications, or other substances (for medical use only) also reported cutting down or stopping use of other prescription drugs, over the counter medications, or other substances since beginning to use marijuana. </w:t>
      </w:r>
    </w:p>
    <w:p w:rsidR="00E82261" w:rsidRDefault="00E82261" w:rsidP="006057BE">
      <w:pPr>
        <w:spacing w:after="0" w:line="240" w:lineRule="auto"/>
        <w:rPr>
          <w:rFonts w:ascii="Arial" w:eastAsia="Calibri" w:hAnsi="Arial" w:cs="Arial"/>
          <w:sz w:val="24"/>
          <w:szCs w:val="24"/>
        </w:rPr>
      </w:pPr>
    </w:p>
    <w:p w:rsidR="00E82261" w:rsidRPr="000E5D59" w:rsidRDefault="00E82261" w:rsidP="006057BE">
      <w:pPr>
        <w:spacing w:after="0" w:line="240" w:lineRule="auto"/>
        <w:rPr>
          <w:rFonts w:ascii="Arial" w:eastAsia="Calibri" w:hAnsi="Arial" w:cs="Arial"/>
          <w:sz w:val="24"/>
          <w:szCs w:val="24"/>
        </w:rPr>
      </w:pPr>
    </w:p>
    <w:p w:rsidR="000E5D59" w:rsidRPr="000E5D59" w:rsidRDefault="000E5D59" w:rsidP="006057BE">
      <w:pPr>
        <w:spacing w:after="0" w:line="240" w:lineRule="auto"/>
        <w:rPr>
          <w:rFonts w:ascii="Arial" w:eastAsia="Calibri" w:hAnsi="Arial" w:cs="Arial"/>
          <w:sz w:val="24"/>
          <w:szCs w:val="24"/>
        </w:rPr>
      </w:pPr>
    </w:p>
    <w:p w:rsidR="00F950A2" w:rsidRDefault="00F950A2" w:rsidP="008F6B2A">
      <w:pPr>
        <w:pStyle w:val="BodyText"/>
      </w:pPr>
    </w:p>
    <w:p w:rsidR="000E5D59" w:rsidRPr="000E5D59" w:rsidRDefault="000E5D59" w:rsidP="005F7A46">
      <w:pPr>
        <w:pStyle w:val="Heading2"/>
        <w:rPr>
          <w:rFonts w:eastAsia="Times New Roman"/>
        </w:rPr>
      </w:pPr>
      <w:bookmarkStart w:id="252" w:name="_Toc11765966"/>
      <w:bookmarkStart w:id="253" w:name="_Toc11766621"/>
      <w:bookmarkStart w:id="254" w:name="_Toc11917218"/>
      <w:bookmarkStart w:id="255" w:name="_Toc11921656"/>
      <w:bookmarkStart w:id="256" w:name="_Toc12520935"/>
      <w:bookmarkStart w:id="257" w:name="_Toc12521161"/>
      <w:bookmarkStart w:id="258" w:name="_Toc12529131"/>
      <w:r w:rsidRPr="000E5D59">
        <w:rPr>
          <w:rFonts w:eastAsia="Times New Roman"/>
        </w:rPr>
        <w:t>Conclusion/Public Health Implications</w:t>
      </w:r>
      <w:bookmarkEnd w:id="252"/>
      <w:bookmarkEnd w:id="253"/>
      <w:bookmarkEnd w:id="254"/>
      <w:bookmarkEnd w:id="255"/>
      <w:bookmarkEnd w:id="256"/>
      <w:bookmarkEnd w:id="257"/>
      <w:bookmarkEnd w:id="258"/>
    </w:p>
    <w:p w:rsidR="000E5D59" w:rsidRPr="000E5D59" w:rsidRDefault="000E5D59" w:rsidP="006057BE">
      <w:pPr>
        <w:spacing w:after="0" w:line="240" w:lineRule="auto"/>
        <w:rPr>
          <w:rFonts w:ascii="Calibri" w:eastAsia="Calibri" w:hAnsi="Calibri" w:cs="Times New Roman"/>
          <w:lang w:eastAsia="x-none"/>
        </w:rPr>
      </w:pPr>
    </w:p>
    <w:p w:rsidR="000E5D59" w:rsidRPr="000E5D59" w:rsidRDefault="000E5D59" w:rsidP="006057BE">
      <w:pPr>
        <w:spacing w:after="0" w:line="240" w:lineRule="auto"/>
        <w:rPr>
          <w:rFonts w:ascii="Arial" w:eastAsia="Calibri" w:hAnsi="Arial" w:cs="Arial"/>
          <w:b/>
          <w:sz w:val="24"/>
          <w:szCs w:val="24"/>
        </w:rPr>
      </w:pPr>
      <w:r w:rsidRPr="000E5D59">
        <w:rPr>
          <w:rFonts w:ascii="Arial" w:eastAsia="Calibri" w:hAnsi="Arial" w:cs="Arial"/>
          <w:sz w:val="24"/>
          <w:szCs w:val="24"/>
        </w:rPr>
        <w:t xml:space="preserve">The Massachusetts Medical Marijuana Program is considered to be a very important and valuable asset to the mental and physical health of participants.  Respondents of the 2018 Medical Use of Marijuana Patient Survey indicate general satisfaction with the program, few negative outcomes, and in particular have reported a reduction in the use of other drugs and medications as a result of marijuana use.  </w:t>
      </w:r>
    </w:p>
    <w:p w:rsidR="000E5D59" w:rsidRPr="000E5D59" w:rsidRDefault="000E5D59" w:rsidP="00026674">
      <w:pPr>
        <w:keepNext/>
        <w:spacing w:after="0" w:line="240" w:lineRule="auto"/>
        <w:outlineLvl w:val="0"/>
        <w:rPr>
          <w:rFonts w:ascii="Arial" w:eastAsia="Times New Roman" w:hAnsi="Arial" w:cs="Arial"/>
          <w:b/>
          <w:sz w:val="24"/>
          <w:szCs w:val="24"/>
        </w:rPr>
      </w:pPr>
      <w:r w:rsidRPr="000E5D59">
        <w:rPr>
          <w:rFonts w:ascii="Cambria" w:eastAsia="Times New Roman" w:hAnsi="Cambria" w:cs="Times New Roman"/>
          <w:b/>
          <w:bCs/>
          <w:kern w:val="32"/>
          <w:sz w:val="32"/>
          <w:szCs w:val="32"/>
          <w:lang w:val="x-none" w:eastAsia="x-none"/>
        </w:rPr>
        <w:br w:type="page"/>
      </w:r>
    </w:p>
    <w:p w:rsidR="009D3C3A" w:rsidRDefault="009D3C3A"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E5D59" w:rsidRDefault="000E5D59" w:rsidP="006057BE">
      <w:pPr>
        <w:spacing w:after="0" w:line="240" w:lineRule="auto"/>
        <w:jc w:val="both"/>
        <w:rPr>
          <w:rFonts w:ascii="Arial" w:hAnsi="Arial" w:cs="Arial"/>
          <w:sz w:val="24"/>
          <w:szCs w:val="24"/>
        </w:rPr>
      </w:pPr>
    </w:p>
    <w:p w:rsidR="00026674" w:rsidRDefault="00026674" w:rsidP="00026674">
      <w:pPr>
        <w:tabs>
          <w:tab w:val="center" w:pos="4680"/>
          <w:tab w:val="right" w:pos="9990"/>
        </w:tabs>
        <w:spacing w:after="0" w:line="240" w:lineRule="auto"/>
        <w:rPr>
          <w:rFonts w:ascii="Arial" w:hAnsi="Arial" w:cs="Arial"/>
          <w:sz w:val="24"/>
          <w:szCs w:val="24"/>
        </w:rPr>
      </w:pPr>
    </w:p>
    <w:p w:rsidR="00676EC3" w:rsidRDefault="0000532F" w:rsidP="00F950A2">
      <w:pPr>
        <w:pStyle w:val="Heading1"/>
        <w:rPr>
          <w:rFonts w:eastAsia="Calibri"/>
        </w:rPr>
      </w:pPr>
      <w:bookmarkStart w:id="259" w:name="_Toc12529132"/>
      <w:r>
        <w:rPr>
          <w:rFonts w:eastAsia="Calibri"/>
        </w:rPr>
        <w:t>Task 2:</w:t>
      </w:r>
      <w:r w:rsidR="00EC25F0" w:rsidRPr="00EC25F0">
        <w:rPr>
          <w:rFonts w:eastAsia="Calibri"/>
        </w:rPr>
        <w:t xml:space="preserve"> </w:t>
      </w:r>
      <w:r w:rsidR="00676EC3">
        <w:rPr>
          <w:rFonts w:eastAsia="Calibri"/>
        </w:rPr>
        <w:t>Incidents of Impairment and Hospitalization</w:t>
      </w:r>
      <w:bookmarkEnd w:id="259"/>
    </w:p>
    <w:p w:rsidR="00676EC3" w:rsidRDefault="00676EC3" w:rsidP="00F950A2">
      <w:pPr>
        <w:pStyle w:val="BodyText"/>
      </w:pPr>
    </w:p>
    <w:p w:rsidR="00EC25F0" w:rsidRDefault="00EC25F0" w:rsidP="00F950A2">
      <w:pPr>
        <w:pStyle w:val="Heading1"/>
        <w:rPr>
          <w:rFonts w:eastAsia="Calibri"/>
        </w:rPr>
      </w:pPr>
      <w:bookmarkStart w:id="260" w:name="_Toc12529133"/>
      <w:r w:rsidRPr="00EC25F0">
        <w:rPr>
          <w:rFonts w:eastAsia="Calibri"/>
        </w:rPr>
        <w:t>Chapter 1: Measuring Marijuana Exposure and its Effects Related to Driving Impairment: A State of the Science Review</w:t>
      </w:r>
      <w:bookmarkEnd w:id="260"/>
    </w:p>
    <w:p w:rsidR="00EC25F0" w:rsidRDefault="00EC25F0" w:rsidP="00026674">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026674">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EC25F0" w:rsidRDefault="00EC25F0" w:rsidP="006057BE">
      <w:pPr>
        <w:tabs>
          <w:tab w:val="center" w:pos="4680"/>
          <w:tab w:val="right" w:pos="9990"/>
        </w:tabs>
        <w:spacing w:after="0" w:line="240" w:lineRule="auto"/>
        <w:jc w:val="center"/>
        <w:rPr>
          <w:rFonts w:ascii="Arial" w:eastAsia="Calibri" w:hAnsi="Arial" w:cs="Times New Roman"/>
          <w:b/>
          <w:bCs/>
          <w:sz w:val="28"/>
          <w:szCs w:val="28"/>
        </w:rPr>
      </w:pPr>
    </w:p>
    <w:p w:rsidR="006D0A50" w:rsidRPr="006D0A50" w:rsidRDefault="006D0A50" w:rsidP="006057BE">
      <w:pPr>
        <w:spacing w:after="0" w:line="240" w:lineRule="auto"/>
        <w:rPr>
          <w:rFonts w:ascii="Arial" w:hAnsi="Arial" w:cs="Arial"/>
          <w:b/>
          <w:szCs w:val="24"/>
        </w:rPr>
      </w:pPr>
      <w:r w:rsidRPr="006D0A50">
        <w:rPr>
          <w:rFonts w:ascii="Arial" w:hAnsi="Arial" w:cs="Arial"/>
          <w:b/>
          <w:sz w:val="24"/>
          <w:szCs w:val="24"/>
        </w:rPr>
        <w:t xml:space="preserve">Introduction </w:t>
      </w:r>
    </w:p>
    <w:p w:rsidR="006D0A50" w:rsidRDefault="006D0A50" w:rsidP="006057BE">
      <w:pPr>
        <w:spacing w:after="0" w:line="240" w:lineRule="auto"/>
        <w:rPr>
          <w:rFonts w:ascii="Arial" w:hAnsi="Arial" w:cs="Arial"/>
          <w:szCs w:val="24"/>
        </w:rPr>
      </w:pPr>
    </w:p>
    <w:p w:rsidR="006D0A50" w:rsidRPr="00E82261" w:rsidRDefault="006D0A50" w:rsidP="006057BE">
      <w:pPr>
        <w:spacing w:after="0" w:line="240" w:lineRule="auto"/>
        <w:rPr>
          <w:rFonts w:ascii="Arial" w:hAnsi="Arial" w:cs="Arial"/>
          <w:sz w:val="24"/>
          <w:szCs w:val="24"/>
        </w:rPr>
      </w:pPr>
      <w:r w:rsidRPr="00E82261">
        <w:rPr>
          <w:rFonts w:ascii="Arial" w:hAnsi="Arial" w:cs="Arial"/>
          <w:sz w:val="24"/>
          <w:szCs w:val="24"/>
        </w:rPr>
        <w:t xml:space="preserve">In states that have chosen to legalize marijuana, one concern among public health and public safety professionals and citizens is the potential impact of marijuana legalization on motor vehicle crashes (MVCs). Studies suggest that recent cannabis use is associated with an increased crash risk between 22%-100% </w:t>
      </w:r>
      <w:r w:rsidRPr="00E82261">
        <w:rPr>
          <w:rFonts w:ascii="Arial" w:hAnsi="Arial" w:cs="Arial"/>
          <w:sz w:val="24"/>
          <w:szCs w:val="24"/>
        </w:rPr>
        <w:fldChar w:fldCharType="begin">
          <w:fldData xml:space="preserve">PEVuZE5vdGU+PENpdGU+PEF1dGhvcj5Sb2dlYmVyZzwvQXV0aG9yPjxZZWFyPjIwMTY8L1llYXI+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PEVuZE5vdGU+PENpdGU+PEF1dGhvcj5Sb2dlYmVyZzwvQXV0aG9yPjxZZWFyPjIwMTY8L1llYXI+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(Asbridge, Hayden, &amp; Cartwright, 2012; G. Li, Chihuri, &amp; Brady, 2017; Rogeberg &amp; Elvik, 2016)</w:t>
      </w:r>
      <w:r w:rsidRPr="00E82261">
        <w:rPr>
          <w:rFonts w:ascii="Arial" w:hAnsi="Arial" w:cs="Arial"/>
          <w:sz w:val="24"/>
          <w:szCs w:val="24"/>
        </w:rPr>
        <w:fldChar w:fldCharType="end"/>
      </w:r>
      <w:r w:rsidRPr="00E82261">
        <w:rPr>
          <w:rFonts w:ascii="Arial" w:hAnsi="Arial" w:cs="Arial"/>
          <w:sz w:val="24"/>
          <w:szCs w:val="24"/>
        </w:rPr>
        <w:t xml:space="preserve">. However, there are challenges to the detection and deterrence of marijuana-impaired driving. Although a substantial body of literature related to methods for identifying acute marijuana exposure and impairment exists, best practice for doing so has yet to be established.  As such, states that are implementing legalization of marijuana are doing so without established guidelines for detecting marijuana-impaired driving in a manner that is relatively non-invasive and sufficiently accurate to prove impairment. Washington State has selected 5ng/mL as a per se limit; Colorado uses this level as “presumptive evidence” of impairment. This report reviews the relevant scientific literature on the topic of measuring marijuana as it relates to driving impairment. </w:t>
      </w:r>
    </w:p>
    <w:p w:rsidR="006D0A50" w:rsidRPr="00E82261" w:rsidRDefault="006D0A50" w:rsidP="006057BE">
      <w:pPr>
        <w:spacing w:after="0" w:line="240" w:lineRule="auto"/>
        <w:rPr>
          <w:rFonts w:ascii="Arial" w:hAnsi="Arial" w:cs="Arial"/>
          <w:sz w:val="24"/>
          <w:szCs w:val="24"/>
        </w:rPr>
      </w:pPr>
    </w:p>
    <w:p w:rsidR="006D0A50" w:rsidRPr="00332358" w:rsidRDefault="006D0A50" w:rsidP="00332358">
      <w:pPr>
        <w:pStyle w:val="Heading3"/>
      </w:pPr>
      <w:bookmarkStart w:id="261" w:name="_Toc512861194"/>
      <w:bookmarkStart w:id="262" w:name="_Toc11765969"/>
      <w:bookmarkStart w:id="263" w:name="_Toc11766624"/>
      <w:r w:rsidRPr="00332358">
        <w:t>Scientific Foundation</w:t>
      </w:r>
      <w:bookmarkEnd w:id="261"/>
      <w:bookmarkEnd w:id="262"/>
      <w:bookmarkEnd w:id="263"/>
    </w:p>
    <w:p w:rsidR="00FF2F11" w:rsidRPr="00E82261" w:rsidRDefault="00FF2F11" w:rsidP="00FF2F11">
      <w:pPr>
        <w:pStyle w:val="BodyText"/>
        <w:rPr>
          <w:rFonts w:cs="Arial"/>
          <w:sz w:val="24"/>
          <w:szCs w:val="24"/>
        </w:rPr>
      </w:pPr>
    </w:p>
    <w:p w:rsidR="006D0A50" w:rsidRDefault="006D0A50" w:rsidP="006057BE">
      <w:pPr>
        <w:spacing w:after="0" w:line="240" w:lineRule="auto"/>
        <w:rPr>
          <w:rFonts w:ascii="Arial" w:hAnsi="Arial" w:cs="Arial"/>
          <w:sz w:val="24"/>
          <w:szCs w:val="24"/>
        </w:rPr>
      </w:pPr>
      <w:r w:rsidRPr="00E82261">
        <w:rPr>
          <w:rFonts w:ascii="Arial" w:hAnsi="Arial" w:cs="Arial"/>
          <w:sz w:val="24"/>
          <w:szCs w:val="24"/>
        </w:rPr>
        <w:t>The content of this report is predicated on several accepted premises that are derived from current scientific knowledge. First, with regard to marijuana pharmacokinetics, it is established that combustion (burning) of the dried flower of the cannabis plant converts tetrahydrocannabinolic acid to ∆</w:t>
      </w:r>
      <w:r w:rsidRPr="00E82261">
        <w:rPr>
          <w:rFonts w:ascii="Arial" w:hAnsi="Arial" w:cs="Arial"/>
          <w:sz w:val="24"/>
          <w:szCs w:val="24"/>
          <w:vertAlign w:val="superscript"/>
        </w:rPr>
        <w:t>9</w:t>
      </w:r>
      <w:r w:rsidRPr="00E82261">
        <w:rPr>
          <w:rFonts w:ascii="Arial" w:hAnsi="Arial" w:cs="Arial"/>
          <w:sz w:val="24"/>
          <w:szCs w:val="24"/>
        </w:rPr>
        <w:t xml:space="preserve">-tetrahydrocannabinol (THC)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&lt;EndNote&gt;&lt;Cite&gt;&lt;Author&gt;Huestis&lt;/Author&gt;&lt;Year&gt;2007&lt;/Year&gt;&lt;RecNum&gt;69&lt;/RecNum&gt;&lt;DisplayText&gt;(Huestis, 2007)&lt;/DisplayText&gt;&lt;record&gt;&lt;rec-number&gt;69&lt;/rec-number&gt;&lt;foreign-keys&gt;&lt;key app="EN" db-id="d0tr9f9wrrzr9lef5rsvpsadtz2we0sa25tw" timestamp="1496349341"&gt;69&lt;/key&gt;&lt;/foreign-keys&gt;&lt;ref-type name="Journal Article"&gt;17&lt;/ref-type&gt;&lt;contributors&gt;&lt;authors&gt;&lt;author&gt;Huestis, M. A.&lt;/author&gt;&lt;/authors&gt;&lt;/contributors&gt;&lt;titles&gt;&lt;title&gt;Human Cannabinoid Pharmacokinetics&lt;/title&gt;&lt;secondary-title&gt;Chemistry &amp;amp; biodiversity&lt;/secondary-title&gt;&lt;/titles&gt;&lt;periodical&gt;&lt;full-title&gt;Chemistry &amp;amp; biodiversity&lt;/full-title&gt;&lt;/periodical&gt;&lt;pages&gt;1770-1804&lt;/pages&gt;&lt;volume&gt;4&lt;/volume&gt;&lt;number&gt;8&lt;/number&gt;&lt;dates&gt;&lt;year&gt;2007&lt;/year&gt;&lt;/dates&gt;&lt;isbn&gt;1612-1872&amp;#xD;1612-1880&lt;/isbn&gt;&lt;accession-num&gt;PMC2689518&lt;/accession-num&gt;&lt;urls&gt;&lt;related-urls&gt;&lt;url&gt;http://www.ncbi.nlm.nih.gov/pmc/articles/PMC2689518/&lt;/url&gt;&lt;/related-urls&gt;&lt;/urls&gt;&lt;electronic-resource-num&gt;10.1002/cbdv.200790152&lt;/electronic-resource-num&gt;&lt;remote-database-name&gt;PMC&lt;/remote-database-name&gt;&lt;/record&gt;&lt;/Cite&gt;&lt;/EndNote&gt;</w:instrText>
      </w:r>
      <w:r w:rsidRPr="00E82261">
        <w:rPr>
          <w:rFonts w:ascii="Arial" w:hAnsi="Arial" w:cs="Arial"/>
          <w:sz w:val="24"/>
          <w:szCs w:val="24"/>
        </w:rPr>
        <w:fldChar w:fldCharType="separate"/>
      </w:r>
      <w:r w:rsidRPr="00E82261">
        <w:rPr>
          <w:rFonts w:ascii="Arial" w:hAnsi="Arial" w:cs="Arial"/>
          <w:noProof/>
          <w:sz w:val="24"/>
          <w:szCs w:val="24"/>
        </w:rPr>
        <w:t>(Huestis, 2007)</w:t>
      </w:r>
      <w:r w:rsidRPr="00E82261">
        <w:rPr>
          <w:rFonts w:ascii="Arial" w:hAnsi="Arial" w:cs="Arial"/>
          <w:sz w:val="24"/>
          <w:szCs w:val="24"/>
        </w:rPr>
        <w:fldChar w:fldCharType="end"/>
      </w:r>
      <w:r w:rsidRPr="00E82261">
        <w:rPr>
          <w:rFonts w:ascii="Arial" w:hAnsi="Arial" w:cs="Arial"/>
          <w:sz w:val="24"/>
          <w:szCs w:val="24"/>
        </w:rPr>
        <w:t xml:space="preserve">. THC is then metabolized in the liver to psychoactive 11-OH-Δ9-tetrahydrocannabinol (OH-THC; pronounced “hydroxy THC”) and non-psychoative 11-nor-9-carboxy-Δ9-tetrahydrocannabinol (THC-COOH, pronounced “carboxy THC”) which is excreted in urine </w:t>
      </w:r>
      <w:r w:rsidRPr="00E82261">
        <w:rPr>
          <w:rFonts w:ascii="Arial" w:hAnsi="Arial" w:cs="Arial"/>
          <w:sz w:val="24"/>
          <w:szCs w:val="24"/>
        </w:rPr>
        <w:fldChar w:fldCharType="begin">
          <w:fldData xml:space="preserve">PEVuZE5vdGU+PENpdGU+PEF1dGhvcj5IdWVzdGlzPC9BdXRob3I+PFllYXI+MjAwNzwvWWVhcj48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PEVuZE5vdGU+PENpdGU+PEF1dGhvcj5IdWVzdGlzPC9BdXRob3I+PFllYXI+MjAwNzwvWWVhcj48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(Grotenhermen, 2003; Huestis, 2007)</w:t>
      </w:r>
      <w:r w:rsidRPr="00E82261">
        <w:rPr>
          <w:rFonts w:ascii="Arial" w:hAnsi="Arial" w:cs="Arial"/>
          <w:sz w:val="24"/>
          <w:szCs w:val="24"/>
        </w:rPr>
        <w:fldChar w:fldCharType="end"/>
      </w:r>
      <w:r w:rsidRPr="00E82261">
        <w:rPr>
          <w:rFonts w:ascii="Arial" w:hAnsi="Arial" w:cs="Arial"/>
          <w:sz w:val="24"/>
          <w:szCs w:val="24"/>
        </w:rPr>
        <w:t>.</w:t>
      </w:r>
    </w:p>
    <w:p w:rsidR="00E82261" w:rsidRPr="00E82261" w:rsidRDefault="00E82261" w:rsidP="006057BE">
      <w:pPr>
        <w:spacing w:after="0" w:line="240" w:lineRule="auto"/>
        <w:rPr>
          <w:rFonts w:ascii="Arial" w:hAnsi="Arial" w:cs="Arial"/>
          <w:sz w:val="24"/>
          <w:szCs w:val="24"/>
        </w:rPr>
      </w:pPr>
    </w:p>
    <w:p w:rsidR="006D0A50" w:rsidRPr="00E82261" w:rsidRDefault="006D0A50" w:rsidP="006057BE">
      <w:pPr>
        <w:spacing w:after="0" w:line="240" w:lineRule="auto"/>
        <w:rPr>
          <w:rFonts w:ascii="Arial" w:hAnsi="Arial" w:cs="Arial"/>
          <w:sz w:val="24"/>
          <w:szCs w:val="24"/>
          <w:shd w:val="clear" w:color="auto" w:fill="FFFFFF"/>
        </w:rPr>
      </w:pPr>
      <w:r w:rsidRPr="00E82261">
        <w:rPr>
          <w:rFonts w:ascii="Arial" w:hAnsi="Arial" w:cs="Arial"/>
          <w:sz w:val="24"/>
          <w:szCs w:val="24"/>
          <w:shd w:val="clear" w:color="auto" w:fill="FFFFFF"/>
        </w:rPr>
        <w:t xml:space="preserve">The </w:t>
      </w:r>
      <w:r w:rsidRPr="00E82261">
        <w:rPr>
          <w:rFonts w:ascii="Arial" w:hAnsi="Arial" w:cs="Arial"/>
          <w:sz w:val="24"/>
          <w:szCs w:val="24"/>
        </w:rPr>
        <w:t>∆</w:t>
      </w:r>
      <w:r w:rsidRPr="00E82261">
        <w:rPr>
          <w:rFonts w:ascii="Arial" w:hAnsi="Arial" w:cs="Arial"/>
          <w:sz w:val="24"/>
          <w:szCs w:val="24"/>
          <w:vertAlign w:val="superscript"/>
        </w:rPr>
        <w:t>9</w:t>
      </w:r>
      <w:r w:rsidRPr="00E82261">
        <w:rPr>
          <w:rFonts w:ascii="Arial" w:hAnsi="Arial" w:cs="Arial"/>
          <w:sz w:val="24"/>
          <w:szCs w:val="24"/>
        </w:rPr>
        <w:t>-THC</w:t>
      </w:r>
      <w:r w:rsidRPr="00E82261">
        <w:rPr>
          <w:rFonts w:ascii="Arial" w:hAnsi="Arial" w:cs="Arial"/>
          <w:sz w:val="24"/>
          <w:szCs w:val="24"/>
          <w:shd w:val="clear" w:color="auto" w:fill="FFFFFF"/>
        </w:rPr>
        <w:t xml:space="preserve"> is the main source of the pharmacological effects caused by cannabis consumption. Cannabinoids exert many effects through activation of G-protein-coupled cannabinoid receptors in the brain and peripheral tissues </w:t>
      </w:r>
      <w:r w:rsidRPr="00E82261">
        <w:rPr>
          <w:rFonts w:ascii="Arial" w:hAnsi="Arial" w:cs="Arial"/>
          <w:sz w:val="24"/>
          <w:szCs w:val="24"/>
          <w:shd w:val="clear" w:color="auto" w:fill="FFFFFF"/>
        </w:rPr>
        <w:fldChar w:fldCharType="begin"/>
      </w:r>
      <w:r w:rsidRPr="00E82261">
        <w:rPr>
          <w:rFonts w:ascii="Arial" w:hAnsi="Arial" w:cs="Arial"/>
          <w:sz w:val="24"/>
          <w:szCs w:val="24"/>
          <w:shd w:val="clear" w:color="auto" w:fill="FFFFFF"/>
        </w:rPr>
        <w:instrText xml:space="preserve"> ADDIN EN.CITE &lt;EndNote&gt;&lt;Cite&gt;&lt;Author&gt;Grotenhermen&lt;/Author&gt;&lt;Year&gt;2003&lt;/Year&gt;&lt;RecNum&gt;67&lt;/RecNum&gt;&lt;DisplayText&gt;(Grotenhermen, 2003)&lt;/DisplayText&gt;&lt;record&gt;&lt;rec-number&gt;67&lt;/rec-number&gt;&lt;foreign-keys&gt;&lt;key app="EN" db-id="d0tr9f9wrrzr9lef5rsvpsadtz2we0sa25tw" timestamp="1496349092"&gt;67&lt;/key&gt;&lt;/foreign-keys&gt;&lt;ref-type name="Journal Article"&gt;17&lt;/ref-type&gt;&lt;contributors&gt;&lt;authors&gt;&lt;author&gt;Grotenhermen, F.&lt;/author&gt;&lt;/authors&gt;&lt;/contributors&gt;&lt;auth-address&gt;Nova-Institut, Hurth, Germany. franjo.grotenhermen@nova-institut.de&lt;/auth-address&gt;&lt;titles&gt;&lt;title&gt;Pharmacokinetics and pharmacodynamics of cannabinoids&lt;/title&gt;&lt;secondary-title&gt;Clin Pharmacokinet&lt;/secondary-title&gt;&lt;alt-title&gt;Clinical pharmacokinetics&lt;/alt-title&gt;&lt;/titles&gt;&lt;periodical&gt;&lt;full-title&gt;Clin Pharmacokinet&lt;/full-title&gt;&lt;abbr-1&gt;Clinical pharmacokinetics&lt;/abbr-1&gt;&lt;/periodical&gt;&lt;alt-periodical&gt;&lt;full-title&gt;Clin Pharmacokinet&lt;/full-title&gt;&lt;abbr-1&gt;Clinical pharmacokinetics&lt;/abbr-1&gt;&lt;/alt-periodical&gt;&lt;pages&gt;327-60&lt;/pages&gt;&lt;volume&gt;42&lt;/volume&gt;&lt;number&gt;4&lt;/number&gt;&lt;edition&gt;2003/03/22&lt;/edition&gt;&lt;keywords&gt;&lt;keyword&gt;Biological Availability&lt;/keyword&gt;&lt;keyword&gt;Cannabinoids/*pharmacokinetics/*pharmacology/therapeutic use&lt;/keyword&gt;&lt;keyword&gt;Clinical Trials as Topic&lt;/keyword&gt;&lt;keyword&gt;Dronabinol/administration &amp;amp; dosage/chemistry/pharmacology&lt;/keyword&gt;&lt;keyword&gt;Drug Administration Routes&lt;/keyword&gt;&lt;keyword&gt;Drug Interactions&lt;/keyword&gt;&lt;keyword&gt;Humans&lt;/keyword&gt;&lt;keyword&gt;Marijuana Abuse&lt;/keyword&gt;&lt;keyword&gt;Phytotherapy&lt;/keyword&gt;&lt;keyword&gt;Plant Preparations/administration &amp;amp; dosage/pharmacology/therapeutic use&lt;/keyword&gt;&lt;keyword&gt;Receptors, Cannabinoid&lt;/keyword&gt;&lt;keyword&gt;Receptors, Drug/drug effects&lt;/keyword&gt;&lt;/keywords&gt;&lt;dates&gt;&lt;year&gt;2003&lt;/year&gt;&lt;/dates&gt;&lt;isbn&gt;0312-5963 (Print)&amp;#xD;0312-5963&lt;/isbn&gt;&lt;accession-num&gt;12648025&lt;/accession-num&gt;&lt;urls&gt;&lt;/urls&gt;&lt;electronic-resource-num&gt;10.2165/00003088-200342040-00003&lt;/electronic-resource-num&gt;&lt;remote-database-provider&gt;NLM&lt;/remote-database-provider&gt;&lt;language&gt;eng&lt;/language&gt;&lt;/record&gt;&lt;/Cite&gt;&lt;/EndNote&gt;</w:instrText>
      </w:r>
      <w:r w:rsidRPr="00E82261">
        <w:rPr>
          <w:rFonts w:ascii="Arial" w:hAnsi="Arial" w:cs="Arial"/>
          <w:sz w:val="24"/>
          <w:szCs w:val="24"/>
          <w:shd w:val="clear" w:color="auto" w:fill="FFFFFF"/>
        </w:rPr>
        <w:fldChar w:fldCharType="separate"/>
      </w:r>
      <w:r w:rsidRPr="00E82261">
        <w:rPr>
          <w:rFonts w:ascii="Arial" w:hAnsi="Arial" w:cs="Arial"/>
          <w:noProof/>
          <w:sz w:val="24"/>
          <w:szCs w:val="24"/>
          <w:shd w:val="clear" w:color="auto" w:fill="FFFFFF"/>
        </w:rPr>
        <w:t>(Grotenhermen, 2003)</w:t>
      </w:r>
      <w:r w:rsidRPr="00E82261">
        <w:rPr>
          <w:rFonts w:ascii="Arial" w:hAnsi="Arial" w:cs="Arial"/>
          <w:sz w:val="24"/>
          <w:szCs w:val="24"/>
          <w:shd w:val="clear" w:color="auto" w:fill="FFFFFF"/>
        </w:rPr>
        <w:fldChar w:fldCharType="end"/>
      </w:r>
      <w:r w:rsidRPr="00E82261">
        <w:rPr>
          <w:rFonts w:ascii="Arial" w:hAnsi="Arial" w:cs="Arial"/>
          <w:sz w:val="24"/>
          <w:szCs w:val="24"/>
          <w:shd w:val="clear" w:color="auto" w:fill="FFFFFF"/>
        </w:rPr>
        <w:t xml:space="preserve">. There is also evidence for non-receptor-dependent mechanisms </w:t>
      </w:r>
      <w:r w:rsidRPr="00E82261">
        <w:rPr>
          <w:rFonts w:ascii="Arial" w:hAnsi="Arial" w:cs="Arial"/>
          <w:sz w:val="24"/>
          <w:szCs w:val="24"/>
          <w:shd w:val="clear" w:color="auto" w:fill="FFFFFF"/>
        </w:rPr>
        <w:fldChar w:fldCharType="begin"/>
      </w:r>
      <w:r w:rsidRPr="00E82261">
        <w:rPr>
          <w:rFonts w:ascii="Arial" w:hAnsi="Arial" w:cs="Arial"/>
          <w:sz w:val="24"/>
          <w:szCs w:val="24"/>
          <w:shd w:val="clear" w:color="auto" w:fill="FFFFFF"/>
        </w:rPr>
        <w:instrText xml:space="preserve"> ADDIN EN.CITE &lt;EndNote&gt;&lt;Cite&gt;&lt;Author&gt;Grotenhermen&lt;/Author&gt;&lt;Year&gt;2003&lt;/Year&gt;&lt;RecNum&gt;67&lt;/RecNum&gt;&lt;DisplayText&gt;(Grotenhermen, 2003)&lt;/DisplayText&gt;&lt;record&gt;&lt;rec-number&gt;67&lt;/rec-number&gt;&lt;foreign-keys&gt;&lt;key app="EN" db-id="d0tr9f9wrrzr9lef5rsvpsadtz2we0sa25tw" timestamp="1496349092"&gt;67&lt;/key&gt;&lt;/foreign-keys&gt;&lt;ref-type name="Journal Article"&gt;17&lt;/ref-type&gt;&lt;contributors&gt;&lt;authors&gt;&lt;author&gt;Grotenhermen, F.&lt;/author&gt;&lt;/authors&gt;&lt;/contributors&gt;&lt;auth-address&gt;Nova-Institut, Hurth, Germany. franjo.grotenhermen@nova-institut.de&lt;/auth-address&gt;&lt;titles&gt;&lt;title&gt;Pharmacokinetics and pharmacodynamics of cannabinoids&lt;/title&gt;&lt;secondary-title&gt;Clin Pharmacokinet&lt;/secondary-title&gt;&lt;alt-title&gt;Clinical pharmacokinetics&lt;/alt-title&gt;&lt;/titles&gt;&lt;periodical&gt;&lt;full-title&gt;Clin Pharmacokinet&lt;/full-title&gt;&lt;abbr-1&gt;Clinical pharmacokinetics&lt;/abbr-1&gt;&lt;/periodical&gt;&lt;alt-periodical&gt;&lt;full-title&gt;Clin Pharmacokinet&lt;/full-title&gt;&lt;abbr-1&gt;Clinical pharmacokinetics&lt;/abbr-1&gt;&lt;/alt-periodical&gt;&lt;pages&gt;327-60&lt;/pages&gt;&lt;volume&gt;42&lt;/volume&gt;&lt;number&gt;4&lt;/number&gt;&lt;edition&gt;2003/03/22&lt;/edition&gt;&lt;keywords&gt;&lt;keyword&gt;Biological Availability&lt;/keyword&gt;&lt;keyword&gt;Cannabinoids/*pharmacokinetics/*pharmacology/therapeutic use&lt;/keyword&gt;&lt;keyword&gt;Clinical Trials as Topic&lt;/keyword&gt;&lt;keyword&gt;Dronabinol/administration &amp;amp; dosage/chemistry/pharmacology&lt;/keyword&gt;&lt;keyword&gt;Drug Administration Routes&lt;/keyword&gt;&lt;keyword&gt;Drug Interactions&lt;/keyword&gt;&lt;keyword&gt;Humans&lt;/keyword&gt;&lt;keyword&gt;Marijuana Abuse&lt;/keyword&gt;&lt;keyword&gt;Phytotherapy&lt;/keyword&gt;&lt;keyword&gt;Plant Preparations/administration &amp;amp; dosage/pharmacology/therapeutic use&lt;/keyword&gt;&lt;keyword&gt;Receptors, Cannabinoid&lt;/keyword&gt;&lt;keyword&gt;Receptors, Drug/drug effects&lt;/keyword&gt;&lt;/keywords&gt;&lt;dates&gt;&lt;year&gt;2003&lt;/year&gt;&lt;/dates&gt;&lt;isbn&gt;0312-5963 (Print)&amp;#xD;0312-5963&lt;/isbn&gt;&lt;accession-num&gt;12648025&lt;/accession-num&gt;&lt;urls&gt;&lt;/urls&gt;&lt;electronic-resource-num&gt;10.2165/00003088-200342040-00003&lt;/electronic-resource-num&gt;&lt;remote-database-provider&gt;NLM&lt;/remote-database-provider&gt;&lt;language&gt;eng&lt;/language&gt;&lt;/record&gt;&lt;/Cite&gt;&lt;/EndNote&gt;</w:instrText>
      </w:r>
      <w:r w:rsidRPr="00E82261">
        <w:rPr>
          <w:rFonts w:ascii="Arial" w:hAnsi="Arial" w:cs="Arial"/>
          <w:sz w:val="24"/>
          <w:szCs w:val="24"/>
          <w:shd w:val="clear" w:color="auto" w:fill="FFFFFF"/>
        </w:rPr>
        <w:fldChar w:fldCharType="separate"/>
      </w:r>
      <w:r w:rsidRPr="00E82261">
        <w:rPr>
          <w:rFonts w:ascii="Arial" w:hAnsi="Arial" w:cs="Arial"/>
          <w:noProof/>
          <w:sz w:val="24"/>
          <w:szCs w:val="24"/>
          <w:shd w:val="clear" w:color="auto" w:fill="FFFFFF"/>
        </w:rPr>
        <w:t>(Grotenhermen, 2003)</w:t>
      </w:r>
      <w:r w:rsidRPr="00E82261">
        <w:rPr>
          <w:rFonts w:ascii="Arial" w:hAnsi="Arial" w:cs="Arial"/>
          <w:sz w:val="24"/>
          <w:szCs w:val="24"/>
          <w:shd w:val="clear" w:color="auto" w:fill="FFFFFF"/>
        </w:rPr>
        <w:fldChar w:fldCharType="end"/>
      </w:r>
      <w:r w:rsidRPr="00E82261">
        <w:rPr>
          <w:rFonts w:ascii="Arial" w:hAnsi="Arial" w:cs="Arial"/>
          <w:sz w:val="24"/>
          <w:szCs w:val="24"/>
          <w:shd w:val="clear" w:color="auto" w:fill="FFFFFF"/>
        </w:rPr>
        <w:t xml:space="preserve">. Cannabis is usually inhaled or taken orally. The pharmacokinetics of </w:t>
      </w:r>
      <w:r w:rsidRPr="00E82261">
        <w:rPr>
          <w:rFonts w:ascii="Arial" w:hAnsi="Arial" w:cs="Arial"/>
          <w:sz w:val="24"/>
          <w:szCs w:val="24"/>
        </w:rPr>
        <w:t>THC</w:t>
      </w:r>
      <w:r w:rsidRPr="00E82261">
        <w:rPr>
          <w:rFonts w:ascii="Arial" w:hAnsi="Arial" w:cs="Arial"/>
          <w:sz w:val="24"/>
          <w:szCs w:val="24"/>
          <w:shd w:val="clear" w:color="auto" w:fill="FFFFFF"/>
        </w:rPr>
        <w:t xml:space="preserve"> vary by route of administration </w:t>
      </w:r>
      <w:r w:rsidRPr="00E82261">
        <w:rPr>
          <w:rFonts w:ascii="Arial" w:hAnsi="Arial" w:cs="Arial"/>
          <w:sz w:val="24"/>
          <w:szCs w:val="24"/>
          <w:shd w:val="clear" w:color="auto" w:fill="FFFFFF"/>
        </w:rPr>
        <w:fldChar w:fldCharType="begin">
          <w:fldData xml:space="preserve">PEVuZE5vdGU+PENpdGU+PEF1dGhvcj5Hcm90ZW5oZXJtZW48L0F1dGhvcj48WWVhcj4yMDAzPC9Z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</w:fldData>
        </w:fldChar>
      </w:r>
      <w:r w:rsidRPr="00E82261">
        <w:rPr>
          <w:rFonts w:ascii="Arial" w:hAnsi="Arial" w:cs="Arial"/>
          <w:sz w:val="24"/>
          <w:szCs w:val="24"/>
          <w:shd w:val="clear" w:color="auto" w:fill="FFFFFF"/>
        </w:rPr>
        <w:instrText xml:space="preserve"> ADDIN EN.CITE </w:instrText>
      </w:r>
      <w:r w:rsidRPr="00E82261">
        <w:rPr>
          <w:rFonts w:ascii="Arial" w:hAnsi="Arial" w:cs="Arial"/>
          <w:sz w:val="24"/>
          <w:szCs w:val="24"/>
          <w:shd w:val="clear" w:color="auto" w:fill="FFFFFF"/>
        </w:rPr>
        <w:fldChar w:fldCharType="begin">
          <w:fldData xml:space="preserve">PEVuZE5vdGU+PENpdGU+PEF1dGhvcj5Hcm90ZW5oZXJtZW48L0F1dGhvcj48WWVhcj4yMDAzPC9Z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</w:fldData>
        </w:fldChar>
      </w:r>
      <w:r w:rsidRPr="00E82261">
        <w:rPr>
          <w:rFonts w:ascii="Arial" w:hAnsi="Arial" w:cs="Arial"/>
          <w:sz w:val="24"/>
          <w:szCs w:val="24"/>
          <w:shd w:val="clear" w:color="auto" w:fill="FFFFFF"/>
        </w:rPr>
        <w:instrText xml:space="preserve"> ADDIN EN.CITE.DATA </w:instrText>
      </w:r>
      <w:r w:rsidRPr="00E82261">
        <w:rPr>
          <w:rFonts w:ascii="Arial" w:hAnsi="Arial" w:cs="Arial"/>
          <w:sz w:val="24"/>
          <w:szCs w:val="24"/>
          <w:shd w:val="clear" w:color="auto" w:fill="FFFFFF"/>
        </w:rPr>
      </w:r>
      <w:r w:rsidRPr="00E82261">
        <w:rPr>
          <w:rFonts w:ascii="Arial" w:hAnsi="Arial" w:cs="Arial"/>
          <w:sz w:val="24"/>
          <w:szCs w:val="24"/>
          <w:shd w:val="clear" w:color="auto" w:fill="FFFFFF"/>
        </w:rPr>
        <w:fldChar w:fldCharType="end"/>
      </w:r>
      <w:r w:rsidRPr="00E82261">
        <w:rPr>
          <w:rFonts w:ascii="Arial" w:hAnsi="Arial" w:cs="Arial"/>
          <w:sz w:val="24"/>
          <w:szCs w:val="24"/>
          <w:shd w:val="clear" w:color="auto" w:fill="FFFFFF"/>
        </w:rPr>
      </w:r>
      <w:r w:rsidRPr="00E82261">
        <w:rPr>
          <w:rFonts w:ascii="Arial" w:hAnsi="Arial" w:cs="Arial"/>
          <w:sz w:val="24"/>
          <w:szCs w:val="24"/>
          <w:shd w:val="clear" w:color="auto" w:fill="FFFFFF"/>
        </w:rPr>
        <w:fldChar w:fldCharType="separate"/>
      </w:r>
      <w:r w:rsidRPr="00E82261">
        <w:rPr>
          <w:rFonts w:ascii="Arial" w:hAnsi="Arial" w:cs="Arial"/>
          <w:noProof/>
          <w:sz w:val="24"/>
          <w:szCs w:val="24"/>
          <w:shd w:val="clear" w:color="auto" w:fill="FFFFFF"/>
        </w:rPr>
        <w:t>(Grotenhermen, 2003; Huestis, 2007; Newmeyer et al., 2017a)</w:t>
      </w:r>
      <w:r w:rsidRPr="00E82261">
        <w:rPr>
          <w:rFonts w:ascii="Arial" w:hAnsi="Arial" w:cs="Arial"/>
          <w:sz w:val="24"/>
          <w:szCs w:val="24"/>
          <w:shd w:val="clear" w:color="auto" w:fill="FFFFFF"/>
        </w:rPr>
        <w:fldChar w:fldCharType="end"/>
      </w:r>
      <w:r w:rsidRPr="00E82261">
        <w:rPr>
          <w:rFonts w:ascii="Arial" w:hAnsi="Arial" w:cs="Arial"/>
          <w:sz w:val="24"/>
          <w:szCs w:val="24"/>
          <w:shd w:val="clear" w:color="auto" w:fill="FFFFFF"/>
        </w:rPr>
        <w:t xml:space="preserve">. After inhalation, plasma </w:t>
      </w:r>
      <w:r w:rsidRPr="00E82261">
        <w:rPr>
          <w:rFonts w:ascii="Arial" w:hAnsi="Arial" w:cs="Arial"/>
          <w:sz w:val="24"/>
          <w:szCs w:val="24"/>
        </w:rPr>
        <w:t>THC</w:t>
      </w:r>
      <w:r w:rsidRPr="00E82261">
        <w:rPr>
          <w:rFonts w:ascii="Arial" w:hAnsi="Arial" w:cs="Arial"/>
          <w:sz w:val="24"/>
          <w:szCs w:val="24"/>
          <w:shd w:val="clear" w:color="auto" w:fill="FFFFFF"/>
        </w:rPr>
        <w:t xml:space="preserve"> concentration peak within a few minutes </w:t>
      </w:r>
      <w:r w:rsidRPr="00E82261">
        <w:rPr>
          <w:rFonts w:ascii="Arial" w:hAnsi="Arial" w:cs="Arial"/>
          <w:sz w:val="24"/>
          <w:szCs w:val="24"/>
          <w:shd w:val="clear" w:color="auto" w:fill="FFFFFF"/>
        </w:rPr>
        <w:fldChar w:fldCharType="begin"/>
      </w:r>
      <w:r w:rsidRPr="00E82261">
        <w:rPr>
          <w:rFonts w:ascii="Arial" w:hAnsi="Arial" w:cs="Arial"/>
          <w:sz w:val="24"/>
          <w:szCs w:val="24"/>
          <w:shd w:val="clear" w:color="auto" w:fill="FFFFFF"/>
        </w:rPr>
        <w:instrText xml:space="preserve"> ADDIN EN.CITE &lt;EndNote&gt;&lt;Cite&gt;&lt;Author&gt;Grotenhermen&lt;/Author&gt;&lt;Year&gt;2003&lt;/Year&gt;&lt;RecNum&gt;67&lt;/RecNum&gt;&lt;DisplayText&gt;(Grotenhermen, 2003)&lt;/DisplayText&gt;&lt;record&gt;&lt;rec-number&gt;67&lt;/rec-number&gt;&lt;foreign-keys&gt;&lt;key app="EN" db-id="d0tr9f9wrrzr9lef5rsvpsadtz2we0sa25tw" timestamp="1496349092"&gt;67&lt;/key&gt;&lt;/foreign-keys&gt;&lt;ref-type name="Journal Article"&gt;17&lt;/ref-type&gt;&lt;contributors&gt;&lt;authors&gt;&lt;author&gt;Grotenhermen, F.&lt;/author&gt;&lt;/authors&gt;&lt;/contributors&gt;&lt;auth-address&gt;Nova-Institut, Hurth, Germany. franjo.grotenhermen@nova-institut.de&lt;/auth-address&gt;&lt;titles&gt;&lt;title&gt;Pharmacokinetics and pharmacodynamics of cannabinoids&lt;/title&gt;&lt;secondary-title&gt;Clin Pharmacokinet&lt;/secondary-title&gt;&lt;alt-title&gt;Clinical pharmacokinetics&lt;/alt-title&gt;&lt;/titles&gt;&lt;periodical&gt;&lt;full-title&gt;Clin Pharmacokinet&lt;/full-title&gt;&lt;abbr-1&gt;Clinical pharmacokinetics&lt;/abbr-1&gt;&lt;/periodical&gt;&lt;alt-periodical&gt;&lt;full-title&gt;Clin Pharmacokinet&lt;/full-title&gt;&lt;abbr-1&gt;Clinical pharmacokinetics&lt;/abbr-1&gt;&lt;/alt-periodical&gt;&lt;pages&gt;327-60&lt;/pages&gt;&lt;volume&gt;42&lt;/volume&gt;&lt;number&gt;4&lt;/number&gt;&lt;edition&gt;2003/03/22&lt;/edition&gt;&lt;keywords&gt;&lt;keyword&gt;Biological Availability&lt;/keyword&gt;&lt;keyword&gt;Cannabinoids/*pharmacokinetics/*pharmacology/therapeutic use&lt;/keyword&gt;&lt;keyword&gt;Clinical Trials as Topic&lt;/keyword&gt;&lt;keyword&gt;Dronabinol/administration &amp;amp; dosage/chemistry/pharmacology&lt;/keyword&gt;&lt;keyword&gt;Drug Administration Routes&lt;/keyword&gt;&lt;keyword&gt;Drug Interactions&lt;/keyword&gt;&lt;keyword&gt;Humans&lt;/keyword&gt;&lt;keyword&gt;Marijuana Abuse&lt;/keyword&gt;&lt;keyword&gt;Phytotherapy&lt;/keyword&gt;&lt;keyword&gt;Plant Preparations/administration &amp;amp; dosage/pharmacology/therapeutic use&lt;/keyword&gt;&lt;keyword&gt;Receptors, Cannabinoid&lt;/keyword&gt;&lt;keyword&gt;Receptors, Drug/drug effects&lt;/keyword&gt;&lt;/keywords&gt;&lt;dates&gt;&lt;year&gt;2003&lt;/year&gt;&lt;/dates&gt;&lt;isbn&gt;0312-5963 (Print)&amp;#xD;0312-5963&lt;/isbn&gt;&lt;accession-num&gt;12648025&lt;/accession-num&gt;&lt;urls&gt;&lt;/urls&gt;&lt;electronic-resource-num&gt;10.2165/00003088-200342040-00003&lt;/electronic-resource-num&gt;&lt;remote-database-provider&gt;NLM&lt;/remote-database-provider&gt;&lt;language&gt;eng&lt;/language&gt;&lt;/record&gt;&lt;/Cite&gt;&lt;/EndNote&gt;</w:instrText>
      </w:r>
      <w:r w:rsidRPr="00E82261">
        <w:rPr>
          <w:rFonts w:ascii="Arial" w:hAnsi="Arial" w:cs="Arial"/>
          <w:sz w:val="24"/>
          <w:szCs w:val="24"/>
          <w:shd w:val="clear" w:color="auto" w:fill="FFFFFF"/>
        </w:rPr>
        <w:fldChar w:fldCharType="separate"/>
      </w:r>
      <w:r w:rsidRPr="00E82261">
        <w:rPr>
          <w:rFonts w:ascii="Arial" w:hAnsi="Arial" w:cs="Arial"/>
          <w:noProof/>
          <w:sz w:val="24"/>
          <w:szCs w:val="24"/>
          <w:shd w:val="clear" w:color="auto" w:fill="FFFFFF"/>
        </w:rPr>
        <w:t>(Grotenhermen, 2003)</w:t>
      </w:r>
      <w:r w:rsidRPr="00E82261">
        <w:rPr>
          <w:rFonts w:ascii="Arial" w:hAnsi="Arial" w:cs="Arial"/>
          <w:sz w:val="24"/>
          <w:szCs w:val="24"/>
          <w:shd w:val="clear" w:color="auto" w:fill="FFFFFF"/>
        </w:rPr>
        <w:fldChar w:fldCharType="end"/>
      </w:r>
      <w:r w:rsidRPr="00E82261">
        <w:rPr>
          <w:rFonts w:ascii="Arial" w:hAnsi="Arial" w:cs="Arial"/>
          <w:sz w:val="24"/>
          <w:szCs w:val="24"/>
          <w:shd w:val="clear" w:color="auto" w:fill="FFFFFF"/>
        </w:rPr>
        <w:t xml:space="preserve">. Psychotropic effects begin within seconds to a few minutes, reach a maximum after 15-30 minutes, and taper off within 2-3 hours </w:t>
      </w:r>
      <w:r w:rsidRPr="00E82261">
        <w:rPr>
          <w:rFonts w:ascii="Arial" w:hAnsi="Arial" w:cs="Arial"/>
          <w:sz w:val="24"/>
          <w:szCs w:val="24"/>
          <w:shd w:val="clear" w:color="auto" w:fill="FFFFFF"/>
        </w:rPr>
        <w:fldChar w:fldCharType="begin"/>
      </w:r>
      <w:r w:rsidRPr="00E82261">
        <w:rPr>
          <w:rFonts w:ascii="Arial" w:hAnsi="Arial" w:cs="Arial"/>
          <w:sz w:val="24"/>
          <w:szCs w:val="24"/>
          <w:shd w:val="clear" w:color="auto" w:fill="FFFFFF"/>
        </w:rPr>
        <w:instrText xml:space="preserve"> ADDIN EN.CITE &lt;EndNote&gt;&lt;Cite&gt;&lt;Author&gt;Grotenhermen&lt;/Author&gt;&lt;Year&gt;2003&lt;/Year&gt;&lt;RecNum&gt;67&lt;/RecNum&gt;&lt;DisplayText&gt;(Grotenhermen, 2003)&lt;/DisplayText&gt;&lt;record&gt;&lt;rec-number&gt;67&lt;/rec-number&gt;&lt;foreign-keys&gt;&lt;key app="EN" db-id="d0tr9f9wrrzr9lef5rsvpsadtz2we0sa25tw" timestamp="1496349092"&gt;67&lt;/key&gt;&lt;/foreign-keys&gt;&lt;ref-type name="Journal Article"&gt;17&lt;/ref-type&gt;&lt;contributors&gt;&lt;authors&gt;&lt;author&gt;Grotenhermen, F.&lt;/author&gt;&lt;/authors&gt;&lt;/contributors&gt;&lt;auth-address&gt;Nova-Institut, Hurth, Germany. franjo.grotenhermen@nova-institut.de&lt;/auth-address&gt;&lt;titles&gt;&lt;title&gt;Pharmacokinetics and pharmacodynamics of cannabinoids&lt;/title&gt;&lt;secondary-title&gt;Clin Pharmacokinet&lt;/secondary-title&gt;&lt;alt-title&gt;Clinical pharmacokinetics&lt;/alt-title&gt;&lt;/titles&gt;&lt;periodical&gt;&lt;full-title&gt;Clin Pharmacokinet&lt;/full-title&gt;&lt;abbr-1&gt;Clinical pharmacokinetics&lt;/abbr-1&gt;&lt;/periodical&gt;&lt;alt-periodical&gt;&lt;full-title&gt;Clin Pharmacokinet&lt;/full-title&gt;&lt;abbr-1&gt;Clinical pharmacokinetics&lt;/abbr-1&gt;&lt;/alt-periodical&gt;&lt;pages&gt;327-60&lt;/pages&gt;&lt;volume&gt;42&lt;/volume&gt;&lt;number&gt;4&lt;/number&gt;&lt;edition&gt;2003/03/22&lt;/edition&gt;&lt;keywords&gt;&lt;keyword&gt;Biological Availability&lt;/keyword&gt;&lt;keyword&gt;Cannabinoids/*pharmacokinetics/*pharmacology/therapeutic use&lt;/keyword&gt;&lt;keyword&gt;Clinical Trials as Topic&lt;/keyword&gt;&lt;keyword&gt;Dronabinol/administration &amp;amp; dosage/chemistry/pharmacology&lt;/keyword&gt;&lt;keyword&gt;Drug Administration Routes&lt;/keyword&gt;&lt;keyword&gt;Drug Interactions&lt;/keyword&gt;&lt;keyword&gt;Humans&lt;/keyword&gt;&lt;keyword&gt;Marijuana Abuse&lt;/keyword&gt;&lt;keyword&gt;Phytotherapy&lt;/keyword&gt;&lt;keyword&gt;Plant Preparations/administration &amp;amp; dosage/pharmacology/therapeutic use&lt;/keyword&gt;&lt;keyword&gt;Receptors, Cannabinoid&lt;/keyword&gt;&lt;keyword&gt;Receptors, Drug/drug effects&lt;/keyword&gt;&lt;/keywords&gt;&lt;dates&gt;&lt;year&gt;2003&lt;/year&gt;&lt;/dates&gt;&lt;isbn&gt;0312-5963 (Print)&amp;#xD;0312-5963&lt;/isbn&gt;&lt;accession-num&gt;12648025&lt;/accession-num&gt;&lt;urls&gt;&lt;/urls&gt;&lt;electronic-resource-num&gt;10.2165/00003088-200342040-00003&lt;/electronic-resource-num&gt;&lt;remote-database-provider&gt;NLM&lt;/remote-database-provider&gt;&lt;language&gt;eng&lt;/language&gt;&lt;/record&gt;&lt;/Cite&gt;&lt;/EndNote&gt;</w:instrText>
      </w:r>
      <w:r w:rsidRPr="00E82261">
        <w:rPr>
          <w:rFonts w:ascii="Arial" w:hAnsi="Arial" w:cs="Arial"/>
          <w:sz w:val="24"/>
          <w:szCs w:val="24"/>
          <w:shd w:val="clear" w:color="auto" w:fill="FFFFFF"/>
        </w:rPr>
        <w:fldChar w:fldCharType="separate"/>
      </w:r>
      <w:r w:rsidRPr="00E82261">
        <w:rPr>
          <w:rFonts w:ascii="Arial" w:hAnsi="Arial" w:cs="Arial"/>
          <w:noProof/>
          <w:sz w:val="24"/>
          <w:szCs w:val="24"/>
          <w:shd w:val="clear" w:color="auto" w:fill="FFFFFF"/>
        </w:rPr>
        <w:t>(Grotenhermen, 2003)</w:t>
      </w:r>
      <w:r w:rsidRPr="00E82261">
        <w:rPr>
          <w:rFonts w:ascii="Arial" w:hAnsi="Arial" w:cs="Arial"/>
          <w:sz w:val="24"/>
          <w:szCs w:val="24"/>
          <w:shd w:val="clear" w:color="auto" w:fill="FFFFFF"/>
        </w:rPr>
        <w:fldChar w:fldCharType="end"/>
      </w:r>
      <w:r w:rsidRPr="00E82261">
        <w:rPr>
          <w:rFonts w:ascii="Arial" w:hAnsi="Arial" w:cs="Arial"/>
          <w:sz w:val="24"/>
          <w:szCs w:val="24"/>
          <w:shd w:val="clear" w:color="auto" w:fill="FFFFFF"/>
        </w:rPr>
        <w:t xml:space="preserve">. Following oral ingestion, psychotropic effects onset after 30-90 minutes, reach a maximum after 2-3 hours, and last for about 4-12 hours, depending on dose and specific effect </w:t>
      </w:r>
      <w:r w:rsidRPr="00E82261">
        <w:rPr>
          <w:rFonts w:ascii="Arial" w:hAnsi="Arial" w:cs="Arial"/>
          <w:sz w:val="24"/>
          <w:szCs w:val="24"/>
          <w:shd w:val="clear" w:color="auto" w:fill="FFFFFF"/>
        </w:rPr>
        <w:fldChar w:fldCharType="begin">
          <w:fldData xml:space="preserve">PEVuZE5vdGU+PENpdGU+PEF1dGhvcj5Hcm90ZW5oZXJtZW48L0F1dGhvcj48WWVhcj4yMDAzPC9Z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</w:fldData>
        </w:fldChar>
      </w:r>
      <w:r w:rsidRPr="00E82261">
        <w:rPr>
          <w:rFonts w:ascii="Arial" w:hAnsi="Arial" w:cs="Arial"/>
          <w:sz w:val="24"/>
          <w:szCs w:val="24"/>
          <w:shd w:val="clear" w:color="auto" w:fill="FFFFFF"/>
        </w:rPr>
        <w:instrText xml:space="preserve"> ADDIN EN.CITE </w:instrText>
      </w:r>
      <w:r w:rsidRPr="00E82261">
        <w:rPr>
          <w:rFonts w:ascii="Arial" w:hAnsi="Arial" w:cs="Arial"/>
          <w:sz w:val="24"/>
          <w:szCs w:val="24"/>
          <w:shd w:val="clear" w:color="auto" w:fill="FFFFFF"/>
        </w:rPr>
        <w:fldChar w:fldCharType="begin">
          <w:fldData xml:space="preserve">PEVuZE5vdGU+PENpdGU+PEF1dGhvcj5Hcm90ZW5oZXJtZW48L0F1dGhvcj48WWVhcj4yMDAzPC9Z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</w:fldData>
        </w:fldChar>
      </w:r>
      <w:r w:rsidRPr="00E82261">
        <w:rPr>
          <w:rFonts w:ascii="Arial" w:hAnsi="Arial" w:cs="Arial"/>
          <w:sz w:val="24"/>
          <w:szCs w:val="24"/>
          <w:shd w:val="clear" w:color="auto" w:fill="FFFFFF"/>
        </w:rPr>
        <w:instrText xml:space="preserve"> ADDIN EN.CITE.DATA </w:instrText>
      </w:r>
      <w:r w:rsidRPr="00E82261">
        <w:rPr>
          <w:rFonts w:ascii="Arial" w:hAnsi="Arial" w:cs="Arial"/>
          <w:sz w:val="24"/>
          <w:szCs w:val="24"/>
          <w:shd w:val="clear" w:color="auto" w:fill="FFFFFF"/>
        </w:rPr>
      </w:r>
      <w:r w:rsidRPr="00E82261">
        <w:rPr>
          <w:rFonts w:ascii="Arial" w:hAnsi="Arial" w:cs="Arial"/>
          <w:sz w:val="24"/>
          <w:szCs w:val="24"/>
          <w:shd w:val="clear" w:color="auto" w:fill="FFFFFF"/>
        </w:rPr>
        <w:fldChar w:fldCharType="end"/>
      </w:r>
      <w:r w:rsidRPr="00E82261">
        <w:rPr>
          <w:rFonts w:ascii="Arial" w:hAnsi="Arial" w:cs="Arial"/>
          <w:sz w:val="24"/>
          <w:szCs w:val="24"/>
          <w:shd w:val="clear" w:color="auto" w:fill="FFFFFF"/>
        </w:rPr>
      </w:r>
      <w:r w:rsidRPr="00E82261">
        <w:rPr>
          <w:rFonts w:ascii="Arial" w:hAnsi="Arial" w:cs="Arial"/>
          <w:sz w:val="24"/>
          <w:szCs w:val="24"/>
          <w:shd w:val="clear" w:color="auto" w:fill="FFFFFF"/>
        </w:rPr>
        <w:fldChar w:fldCharType="separate"/>
      </w:r>
      <w:r w:rsidRPr="00E82261">
        <w:rPr>
          <w:rFonts w:ascii="Arial" w:hAnsi="Arial" w:cs="Arial"/>
          <w:noProof/>
          <w:sz w:val="24"/>
          <w:szCs w:val="24"/>
          <w:shd w:val="clear" w:color="auto" w:fill="FFFFFF"/>
        </w:rPr>
        <w:t>(Grotenhermen, 2003; Hollister et al., 1981; Wall, Sadler, Brine, Taylor, &amp; Perez-Reyes, 1983)</w:t>
      </w:r>
      <w:r w:rsidRPr="00E82261">
        <w:rPr>
          <w:rFonts w:ascii="Arial" w:hAnsi="Arial" w:cs="Arial"/>
          <w:sz w:val="24"/>
          <w:szCs w:val="24"/>
          <w:shd w:val="clear" w:color="auto" w:fill="FFFFFF"/>
        </w:rPr>
        <w:fldChar w:fldCharType="end"/>
      </w:r>
      <w:r w:rsidRPr="00E82261">
        <w:rPr>
          <w:rFonts w:ascii="Arial" w:hAnsi="Arial" w:cs="Arial"/>
          <w:sz w:val="24"/>
          <w:szCs w:val="24"/>
          <w:shd w:val="clear" w:color="auto" w:fill="FFFFFF"/>
        </w:rPr>
        <w:t>.</w:t>
      </w:r>
    </w:p>
    <w:p w:rsidR="006D0A50" w:rsidRPr="00E82261" w:rsidRDefault="006D0A50" w:rsidP="006057BE">
      <w:pPr>
        <w:spacing w:after="0" w:line="240" w:lineRule="auto"/>
        <w:rPr>
          <w:rFonts w:ascii="Arial" w:hAnsi="Arial" w:cs="Arial"/>
          <w:sz w:val="24"/>
          <w:szCs w:val="24"/>
        </w:rPr>
      </w:pPr>
    </w:p>
    <w:p w:rsidR="006D0A50" w:rsidRPr="00E82261" w:rsidRDefault="006D0A50" w:rsidP="006057BE">
      <w:pPr>
        <w:spacing w:after="0" w:line="240" w:lineRule="auto"/>
        <w:rPr>
          <w:rFonts w:ascii="Arial" w:hAnsi="Arial" w:cs="Arial"/>
          <w:sz w:val="24"/>
          <w:szCs w:val="24"/>
        </w:rPr>
      </w:pPr>
      <w:r w:rsidRPr="00E82261">
        <w:rPr>
          <w:rFonts w:ascii="Arial" w:hAnsi="Arial" w:cs="Arial"/>
          <w:sz w:val="24"/>
          <w:szCs w:val="24"/>
        </w:rPr>
        <w:t xml:space="preserve">With regard to biological measurement of marijuana exposure, we take blood to be the “gold standard” in terms of the matrix that has been best studied. Urine and oral fluid have also been studied to a great extent. The relationship between route of administration and measurement of cannabis in oral fluid is an area of ongoing research and will be described below. </w:t>
      </w:r>
    </w:p>
    <w:p w:rsidR="006D0A50" w:rsidRPr="00E82261" w:rsidRDefault="006D0A50" w:rsidP="006057BE">
      <w:pPr>
        <w:spacing w:after="0" w:line="240" w:lineRule="auto"/>
        <w:rPr>
          <w:rFonts w:ascii="Arial" w:hAnsi="Arial" w:cs="Arial"/>
          <w:sz w:val="24"/>
          <w:szCs w:val="24"/>
        </w:rPr>
      </w:pPr>
    </w:p>
    <w:p w:rsidR="006D0A50" w:rsidRPr="00E82261" w:rsidRDefault="006D0A50" w:rsidP="00332358">
      <w:pPr>
        <w:pStyle w:val="Heading3"/>
      </w:pPr>
      <w:bookmarkStart w:id="264" w:name="_Toc512861195"/>
      <w:bookmarkStart w:id="265" w:name="_Toc11765970"/>
      <w:bookmarkStart w:id="266" w:name="_Toc11766625"/>
      <w:r w:rsidRPr="00E82261">
        <w:t>Prevalence of Cannabis-Positive Drivers in Motor Vehicle Crashes</w:t>
      </w:r>
      <w:bookmarkEnd w:id="264"/>
      <w:bookmarkEnd w:id="265"/>
      <w:bookmarkEnd w:id="266"/>
    </w:p>
    <w:p w:rsidR="00FF2F11" w:rsidRPr="00E82261" w:rsidRDefault="00FF2F11" w:rsidP="00FF2F11">
      <w:pPr>
        <w:pStyle w:val="BodyText"/>
        <w:rPr>
          <w:rFonts w:cs="Arial"/>
          <w:sz w:val="24"/>
          <w:szCs w:val="24"/>
        </w:rPr>
      </w:pPr>
    </w:p>
    <w:p w:rsidR="006D0A50" w:rsidRDefault="006D0A50" w:rsidP="006057BE">
      <w:pPr>
        <w:spacing w:after="0" w:line="240" w:lineRule="auto"/>
        <w:rPr>
          <w:rFonts w:ascii="Arial" w:eastAsia="ヒラギノ角ゴ Pro W3" w:hAnsi="Arial" w:cs="Arial"/>
          <w:sz w:val="24"/>
          <w:szCs w:val="24"/>
        </w:rPr>
      </w:pPr>
      <w:r w:rsidRPr="00E82261">
        <w:rPr>
          <w:rFonts w:ascii="Arial" w:hAnsi="Arial" w:cs="Arial"/>
          <w:sz w:val="24"/>
          <w:szCs w:val="24"/>
        </w:rPr>
        <w:t xml:space="preserve">In the U.S. estimates of the prevalence of marijuana involvement in MVCs vary. As part of the background information for this state of the science review (SSR) we systematically collected all studies reporting prevalence of cannabis involvement in MVCs in the U.S. At the national level, </w:t>
      </w:r>
      <w:r w:rsidRPr="00E82261">
        <w:rPr>
          <w:rFonts w:ascii="Arial" w:eastAsia="ヒラギノ角ゴ Pro W3" w:hAnsi="Arial" w:cs="Arial"/>
          <w:sz w:val="24"/>
          <w:szCs w:val="24"/>
        </w:rPr>
        <w:t xml:space="preserve">one study found that the prevalence of cannabis-involved motor vehicle crashes in 1982 was 10% and that by 2001, the prevalence had increased to 19.6% </w:t>
      </w:r>
      <w:r w:rsidRPr="00E82261">
        <w:rPr>
          <w:rFonts w:ascii="Arial" w:eastAsia="ヒラギノ角ゴ Pro W3" w:hAnsi="Arial" w:cs="Arial"/>
          <w:sz w:val="24"/>
          <w:szCs w:val="24"/>
        </w:rPr>
        <w:fldChar w:fldCharType="begin"/>
      </w:r>
      <w:r w:rsidRPr="00E82261">
        <w:rPr>
          <w:rFonts w:ascii="Arial" w:eastAsia="ヒラギノ角ゴ Pro W3" w:hAnsi="Arial" w:cs="Arial"/>
          <w:sz w:val="24"/>
          <w:szCs w:val="24"/>
        </w:rPr>
        <w:instrText xml:space="preserve"> ADDIN EN.CITE &lt;EndNote&gt;&lt;Cite&gt;&lt;Author&gt;Macdonald&lt;/Author&gt;&lt;Year&gt;2003&lt;/Year&gt;&lt;RecNum&gt;231&lt;/RecNum&gt;&lt;DisplayText&gt;(Macdonald et al., 2003)&lt;/DisplayText&gt;&lt;record&gt;&lt;rec-number&gt;231&lt;/rec-number&gt;&lt;foreign-keys&gt;&lt;key app="EN" db-id="d0tr9f9wrrzr9lef5rsvpsadtz2we0sa25tw" timestamp="1520560236"&gt;231&lt;/key&gt;&lt;/foreign-keys&gt;&lt;ref-type name="Journal Article"&gt;17&lt;/ref-type&gt;&lt;contributors&gt;&lt;authors&gt;&lt;author&gt;Macdonald, S.&lt;/author&gt;&lt;author&gt;Anglin-Bodrug, K.&lt;/author&gt;&lt;author&gt;Mann, R. E.&lt;/author&gt;&lt;author&gt;Erickson, P.&lt;/author&gt;&lt;author&gt;Hathaway, A.&lt;/author&gt;&lt;author&gt;Chipman, M.&lt;/author&gt;&lt;author&gt;Rylett, M.&lt;/author&gt;&lt;/authors&gt;&lt;/contributors&gt;&lt;auth-address&gt;Center for Addiction and Mental Health, 200-100 Collip Circle, Suite 200, London, Ont., Canada N6G 4X8. scotm@uwo.ca&lt;/auth-address&gt;&lt;titles&gt;&lt;title&gt;Injury risk associated with cannabis and cocaine use&lt;/title&gt;&lt;secondary-title&gt;Drug Alcohol Depend&lt;/secondary-title&gt;&lt;alt-title&gt;Drug and alcohol dependence&lt;/alt-title&gt;&lt;/titles&gt;&lt;periodical&gt;&lt;full-title&gt;Drug Alcohol Depend&lt;/full-title&gt;&lt;abbr-1&gt;Drug and alcohol dependence&lt;/abbr-1&gt;&lt;/periodical&gt;&lt;alt-periodical&gt;&lt;full-title&gt;Drug Alcohol Depend&lt;/full-title&gt;&lt;abbr-1&gt;Drug and alcohol dependence&lt;/abbr-1&gt;&lt;/alt-periodical&gt;&lt;pages&gt;99-115&lt;/pages&gt;&lt;volume&gt;72&lt;/volume&gt;&lt;number&gt;2&lt;/number&gt;&lt;edition&gt;2003/11/26&lt;/edition&gt;&lt;keywords&gt;&lt;keyword&gt;Accidents, Traffic/statistics &amp;amp; numerical data&lt;/keyword&gt;&lt;keyword&gt;Automobile Driving&lt;/keyword&gt;&lt;keyword&gt;Cocaine-Related Disorders/*epidemiology&lt;/keyword&gt;&lt;keyword&gt;Humans&lt;/keyword&gt;&lt;keyword&gt;Incidence&lt;/keyword&gt;&lt;keyword&gt;Marijuana Abuse/*epidemiology&lt;/keyword&gt;&lt;keyword&gt;Risk Factors&lt;/keyword&gt;&lt;keyword&gt;Wounds and Injuries/*epidemiology/mortality&lt;/keyword&gt;&lt;/keywords&gt;&lt;dates&gt;&lt;year&gt;2003&lt;/year&gt;&lt;pub-dates&gt;&lt;date&gt;Nov 24&lt;/date&gt;&lt;/pub-dates&gt;&lt;/dates&gt;&lt;isbn&gt;0376-8716 (Print)&amp;#xD;0376-8716&lt;/isbn&gt;&lt;accession-num&gt;14636965&lt;/accession-num&gt;&lt;urls&gt;&lt;/urls&gt;&lt;remote-database-provider&gt;NLM&lt;/remote-database-provider&gt;&lt;language&gt;eng&lt;/language&gt;&lt;/record&gt;&lt;/Cite&gt;&lt;/EndNote&gt;</w:instrText>
      </w:r>
      <w:r w:rsidRPr="00E82261">
        <w:rPr>
          <w:rFonts w:ascii="Arial" w:eastAsia="ヒラギノ角ゴ Pro W3" w:hAnsi="Arial" w:cs="Arial"/>
          <w:sz w:val="24"/>
          <w:szCs w:val="24"/>
        </w:rPr>
        <w:fldChar w:fldCharType="separate"/>
      </w:r>
      <w:r w:rsidRPr="00E82261">
        <w:rPr>
          <w:rFonts w:ascii="Arial" w:eastAsia="ヒラギノ角ゴ Pro W3" w:hAnsi="Arial" w:cs="Arial"/>
          <w:noProof/>
          <w:sz w:val="24"/>
          <w:szCs w:val="24"/>
        </w:rPr>
        <w:t>(Macdonald et al., 2003)</w:t>
      </w:r>
      <w:r w:rsidRPr="00E82261">
        <w:rPr>
          <w:rFonts w:ascii="Arial" w:eastAsia="ヒラギノ角ゴ Pro W3" w:hAnsi="Arial" w:cs="Arial"/>
          <w:sz w:val="24"/>
          <w:szCs w:val="24"/>
        </w:rPr>
        <w:fldChar w:fldCharType="end"/>
      </w:r>
      <w:r w:rsidRPr="00E82261">
        <w:rPr>
          <w:rFonts w:ascii="Arial" w:eastAsia="ヒラギノ角ゴ Pro W3" w:hAnsi="Arial" w:cs="Arial"/>
          <w:sz w:val="24"/>
          <w:szCs w:val="24"/>
        </w:rPr>
        <w:t xml:space="preserve">. Conversely, another nationwide study found that the overall prevalence of cannabis in motor vehicle crashes between the years 1993-2014 remained constant at 10.4% which suggests that prevalence had not increased significantly since 1982 </w:t>
      </w:r>
      <w:r w:rsidRPr="00E82261">
        <w:rPr>
          <w:rFonts w:ascii="Arial" w:eastAsia="ヒラギノ角ゴ Pro W3" w:hAnsi="Arial" w:cs="Arial"/>
          <w:sz w:val="24"/>
          <w:szCs w:val="24"/>
        </w:rPr>
        <w:fldChar w:fldCharType="begin"/>
      </w:r>
      <w:r w:rsidRPr="00E82261">
        <w:rPr>
          <w:rFonts w:ascii="Arial" w:eastAsia="ヒラギノ角ゴ Pro W3" w:hAnsi="Arial" w:cs="Arial"/>
          <w:sz w:val="24"/>
          <w:szCs w:val="24"/>
        </w:rPr>
        <w:instrText xml:space="preserve"> ADDIN EN.CITE &lt;EndNote&gt;&lt;Cite&gt;&lt;Author&gt;Li&lt;/Author&gt;&lt;Year&gt;2017&lt;/Year&gt;&lt;RecNum&gt;209&lt;/RecNum&gt;&lt;DisplayText&gt;(G. Li et al., 2017)&lt;/DisplayText&gt;&lt;record&gt;&lt;rec-number&gt;209&lt;/rec-number&gt;&lt;foreign-keys&gt;&lt;key app="EN" db-id="d0tr9f9wrrzr9lef5rsvpsadtz2we0sa25tw" timestamp="1520556258"&gt;209&lt;/key&gt;&lt;/foreign-keys&gt;&lt;ref-type name="Journal Article"&gt;17&lt;/ref-type&gt;&lt;contributors&gt;&lt;authors&gt;&lt;author&gt;Li, Guohua&lt;/author&gt;&lt;author&gt;Chihuri, Stanford&lt;/author&gt;&lt;author&gt;Brady, Joanne E.&lt;/author&gt;&lt;/authors&gt;&lt;/contributors&gt;&lt;titles&gt;&lt;title&gt;Role of alcohol and marijuana use in the initiation of fatal two-vehicle crashes&lt;/title&gt;&lt;secondary-title&gt;Annals of Epidemiology&lt;/secondary-title&gt;&lt;/titles&gt;&lt;periodical&gt;&lt;full-title&gt;Annals of Epidemiology&lt;/full-title&gt;&lt;/periodical&gt;&lt;pages&gt;342-347.e1&lt;/pages&gt;&lt;volume&gt;27&lt;/volume&gt;&lt;number&gt;5&lt;/number&gt;&lt;keywords&gt;&lt;keyword&gt;Accidents&lt;/keyword&gt;&lt;keyword&gt;Traffic&lt;/keyword&gt;&lt;keyword&gt;Alcohol&lt;/keyword&gt;&lt;keyword&gt;Case-control studies&lt;/keyword&gt;&lt;keyword&gt;Drug interaction&lt;/keyword&gt;&lt;keyword&gt;Marijuana&lt;/keyword&gt;&lt;keyword&gt;Motor vehicles&lt;/keyword&gt;&lt;keyword&gt;Safety&lt;/keyword&gt;&lt;/keywords&gt;&lt;dates&gt;&lt;year&gt;2017&lt;/year&gt;&lt;pub-dates&gt;&lt;date&gt;2017/05/01/&lt;/date&gt;&lt;/pub-dates&gt;&lt;/dates&gt;&lt;isbn&gt;1047-2797&lt;/isbn&gt;&lt;urls&gt;&lt;related-urls&gt;&lt;url&gt;http://www.sciencedirect.com/science/article/pii/S1047279716304380&lt;/url&gt;&lt;/related-urls&gt;&lt;/urls&gt;&lt;electronic-resource-num&gt;https://doi.org/10.1016/j.annepidem.2017.05.003&lt;/electronic-resource-num&gt;&lt;/record&gt;&lt;/Cite&gt;&lt;/EndNote&gt;</w:instrText>
      </w:r>
      <w:r w:rsidRPr="00E82261">
        <w:rPr>
          <w:rFonts w:ascii="Arial" w:eastAsia="ヒラギノ角ゴ Pro W3" w:hAnsi="Arial" w:cs="Arial"/>
          <w:sz w:val="24"/>
          <w:szCs w:val="24"/>
        </w:rPr>
        <w:fldChar w:fldCharType="separate"/>
      </w:r>
      <w:r w:rsidRPr="00E82261">
        <w:rPr>
          <w:rFonts w:ascii="Arial" w:eastAsia="ヒラギノ角ゴ Pro W3" w:hAnsi="Arial" w:cs="Arial"/>
          <w:noProof/>
          <w:sz w:val="24"/>
          <w:szCs w:val="24"/>
        </w:rPr>
        <w:t>(G. Li et al., 2017)</w:t>
      </w:r>
      <w:r w:rsidRPr="00E82261">
        <w:rPr>
          <w:rFonts w:ascii="Arial" w:eastAsia="ヒラギノ角ゴ Pro W3" w:hAnsi="Arial" w:cs="Arial"/>
          <w:sz w:val="24"/>
          <w:szCs w:val="24"/>
        </w:rPr>
        <w:fldChar w:fldCharType="end"/>
      </w:r>
      <w:r w:rsidRPr="00E82261">
        <w:rPr>
          <w:rFonts w:ascii="Arial" w:eastAsia="ヒラギノ角ゴ Pro W3" w:hAnsi="Arial" w:cs="Arial"/>
          <w:sz w:val="24"/>
          <w:szCs w:val="24"/>
        </w:rPr>
        <w:t>.</w:t>
      </w:r>
    </w:p>
    <w:p w:rsidR="00E82261" w:rsidRPr="00E82261" w:rsidRDefault="00E82261" w:rsidP="006057BE">
      <w:pPr>
        <w:spacing w:after="0" w:line="240" w:lineRule="auto"/>
        <w:rPr>
          <w:rFonts w:ascii="Arial" w:hAnsi="Arial" w:cs="Arial"/>
          <w:sz w:val="24"/>
          <w:szCs w:val="24"/>
        </w:rPr>
      </w:pPr>
    </w:p>
    <w:p w:rsidR="00EC25F0" w:rsidRPr="00E82261" w:rsidRDefault="006D0A50" w:rsidP="006057BE">
      <w:pPr>
        <w:pStyle w:val="Body"/>
        <w:rPr>
          <w:rFonts w:ascii="Arial" w:hAnsi="Arial" w:cs="Arial"/>
          <w:color w:val="auto"/>
          <w:szCs w:val="24"/>
        </w:rPr>
      </w:pPr>
      <w:r w:rsidRPr="00E82261">
        <w:rPr>
          <w:rFonts w:ascii="Arial" w:hAnsi="Arial" w:cs="Arial"/>
          <w:color w:val="auto"/>
          <w:szCs w:val="24"/>
        </w:rPr>
        <w:t xml:space="preserve">Studies have also been conducted at the state level in locations that have made substantial changes to their marijuana policy by allowing the legal sale of marijuana for </w:t>
      </w:r>
      <w:r w:rsidR="00EC25F0" w:rsidRPr="00E82261">
        <w:rPr>
          <w:rFonts w:ascii="Arial" w:hAnsi="Arial" w:cs="Arial"/>
          <w:color w:val="auto"/>
          <w:szCs w:val="24"/>
        </w:rPr>
        <w:t xml:space="preserve">medical and/or recreational purposes. States that have undergone such policy changes provide insight that may be especially relevant for Massachusetts.  In Colorado, one study conducted between the years 1994-2011 found that there was an increase in prevalence of cannabis related motor vehicle crashes from 4.5% in 1994 to 10% in 2011, after medical marijuana was commercialized in mid-2009 </w:t>
      </w:r>
      <w:r w:rsidR="00EC25F0" w:rsidRPr="00E82261">
        <w:rPr>
          <w:rFonts w:ascii="Arial" w:hAnsi="Arial" w:cs="Arial"/>
          <w:color w:val="auto"/>
          <w:szCs w:val="24"/>
        </w:rPr>
        <w:fldChar w:fldCharType="begin">
          <w:fldData xml:space="preserve">PEVuZE5vdGU+PENpdGU+PEF1dGhvcj5TYWxvbW9uc2VuLVNhdXRlbDwvQXV0aG9yPjxZZWFyPjIw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</w:fldData>
        </w:fldChar>
      </w:r>
      <w:r w:rsidR="00EC25F0" w:rsidRPr="00E82261">
        <w:rPr>
          <w:rFonts w:ascii="Arial" w:hAnsi="Arial" w:cs="Arial"/>
          <w:color w:val="auto"/>
          <w:szCs w:val="24"/>
        </w:rPr>
        <w:instrText xml:space="preserve"> ADDIN EN.CITE </w:instrText>
      </w:r>
      <w:r w:rsidR="00EC25F0" w:rsidRPr="00E82261">
        <w:rPr>
          <w:rFonts w:ascii="Arial" w:hAnsi="Arial" w:cs="Arial"/>
          <w:color w:val="auto"/>
          <w:szCs w:val="24"/>
        </w:rPr>
        <w:fldChar w:fldCharType="begin">
          <w:fldData xml:space="preserve">PEVuZE5vdGU+PENpdGU+PEF1dGhvcj5TYWxvbW9uc2VuLVNhdXRlbDwvQXV0aG9yPjxZZWFyPjIw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</w:fldData>
        </w:fldChar>
      </w:r>
      <w:r w:rsidR="00EC25F0" w:rsidRPr="00E82261">
        <w:rPr>
          <w:rFonts w:ascii="Arial" w:hAnsi="Arial" w:cs="Arial"/>
          <w:color w:val="auto"/>
          <w:szCs w:val="24"/>
        </w:rPr>
        <w:instrText xml:space="preserve"> ADDIN EN.CITE.DATA </w:instrText>
      </w:r>
      <w:r w:rsidR="00EC25F0" w:rsidRPr="00E82261">
        <w:rPr>
          <w:rFonts w:ascii="Arial" w:hAnsi="Arial" w:cs="Arial"/>
          <w:color w:val="auto"/>
          <w:szCs w:val="24"/>
        </w:rPr>
      </w:r>
      <w:r w:rsidR="00EC25F0" w:rsidRPr="00E82261">
        <w:rPr>
          <w:rFonts w:ascii="Arial" w:hAnsi="Arial" w:cs="Arial"/>
          <w:color w:val="auto"/>
          <w:szCs w:val="24"/>
        </w:rPr>
        <w:fldChar w:fldCharType="end"/>
      </w:r>
      <w:r w:rsidR="00EC25F0" w:rsidRPr="00E82261">
        <w:rPr>
          <w:rFonts w:ascii="Arial" w:hAnsi="Arial" w:cs="Arial"/>
          <w:color w:val="auto"/>
          <w:szCs w:val="24"/>
        </w:rPr>
      </w:r>
      <w:r w:rsidR="00EC25F0" w:rsidRPr="00E82261">
        <w:rPr>
          <w:rFonts w:ascii="Arial" w:hAnsi="Arial" w:cs="Arial"/>
          <w:color w:val="auto"/>
          <w:szCs w:val="24"/>
        </w:rPr>
        <w:fldChar w:fldCharType="separate"/>
      </w:r>
      <w:r w:rsidR="00EC25F0" w:rsidRPr="00E82261">
        <w:rPr>
          <w:rFonts w:ascii="Arial" w:hAnsi="Arial" w:cs="Arial"/>
          <w:noProof/>
          <w:color w:val="auto"/>
          <w:szCs w:val="24"/>
        </w:rPr>
        <w:t>(Salomonsen-Sautel, Min, Sakai, Thurstone, &amp; Hopfer, 2014)</w:t>
      </w:r>
      <w:r w:rsidR="00EC25F0" w:rsidRPr="00E82261">
        <w:rPr>
          <w:rFonts w:ascii="Arial" w:hAnsi="Arial" w:cs="Arial"/>
          <w:color w:val="auto"/>
          <w:szCs w:val="24"/>
        </w:rPr>
        <w:fldChar w:fldCharType="end"/>
      </w:r>
      <w:r w:rsidR="00EC25F0" w:rsidRPr="00E82261">
        <w:rPr>
          <w:rFonts w:ascii="Arial" w:hAnsi="Arial" w:cs="Arial"/>
          <w:color w:val="auto"/>
          <w:szCs w:val="24"/>
        </w:rPr>
        <w:t xml:space="preserve">. Findings from another study in Colorado show that in 2006 the prevalence of cannabis related motor vehicle crashes in Colorado was 6.9% and increased to 19% by 2014; Colorado’s citizens voted in 2012 to legalize marijuana for non-medical use </w:t>
      </w:r>
      <w:r w:rsidR="00EC25F0" w:rsidRPr="00E82261">
        <w:rPr>
          <w:rFonts w:ascii="Arial" w:hAnsi="Arial" w:cs="Arial"/>
          <w:color w:val="auto"/>
          <w:szCs w:val="24"/>
        </w:rPr>
        <w:fldChar w:fldCharType="begin"/>
      </w:r>
      <w:r w:rsidR="00EC25F0" w:rsidRPr="00E82261">
        <w:rPr>
          <w:rFonts w:ascii="Arial" w:hAnsi="Arial" w:cs="Arial"/>
          <w:color w:val="auto"/>
          <w:szCs w:val="24"/>
        </w:rPr>
        <w:instrText xml:space="preserve"> ADDIN EN.CITE &lt;EndNote&gt;&lt;Cite&gt;&lt;Author&gt;Rocky Mountain High Intensity Drug Trafficking Area&lt;/Author&gt;&lt;Year&gt;2015&lt;/Year&gt;&lt;RecNum&gt;1437&lt;/RecNum&gt;&lt;DisplayText&gt;(Rocky Mountain High Intensity Drug Trafficking Area, 2015)&lt;/DisplayText&gt;&lt;record&gt;&lt;rec-number&gt;1437&lt;/rec-number&gt;&lt;foreign-keys&gt;&lt;key app="EN" db-id="d0tr9f9wrrzr9lef5rsvpsadtz2we0sa25tw" timestamp="1522256552"&gt;1437&lt;/key&gt;&lt;key app="ENWeb" db-id=""&gt;0&lt;/key&gt;&lt;/foreign-keys&gt;&lt;ref-type name="Journal Article"&gt;17&lt;/ref-type&gt;&lt;contributors&gt;&lt;authors&gt;&lt;author&gt;Rocky Mountain High Intensity Drug Trafficking Area,&lt;/author&gt;&lt;/authors&gt;&lt;/contributors&gt;&lt;titles&gt;&lt;title&gt;The Legalization of Marijuana in Colorado: The Impact&lt;/title&gt;&lt;/titles&gt;&lt;dates&gt;&lt;year&gt;2015&lt;/year&gt;&lt;/dates&gt;&lt;urls&gt;&lt;/urls&gt;&lt;/record&gt;&lt;/Cite&gt;&lt;/EndNote&gt;</w:instrText>
      </w:r>
      <w:r w:rsidR="00EC25F0" w:rsidRPr="00E82261">
        <w:rPr>
          <w:rFonts w:ascii="Arial" w:hAnsi="Arial" w:cs="Arial"/>
          <w:color w:val="auto"/>
          <w:szCs w:val="24"/>
        </w:rPr>
        <w:fldChar w:fldCharType="separate"/>
      </w:r>
      <w:r w:rsidR="00EC25F0" w:rsidRPr="00E82261">
        <w:rPr>
          <w:rFonts w:ascii="Arial" w:hAnsi="Arial" w:cs="Arial"/>
          <w:noProof/>
          <w:color w:val="auto"/>
          <w:szCs w:val="24"/>
        </w:rPr>
        <w:t>(Rocky Mountain High Intensity Drug Trafficking Area, 2015)</w:t>
      </w:r>
      <w:r w:rsidR="00EC25F0" w:rsidRPr="00E82261">
        <w:rPr>
          <w:rFonts w:ascii="Arial" w:hAnsi="Arial" w:cs="Arial"/>
          <w:color w:val="auto"/>
          <w:szCs w:val="24"/>
        </w:rPr>
        <w:fldChar w:fldCharType="end"/>
      </w:r>
      <w:r w:rsidR="00EC25F0" w:rsidRPr="00E82261">
        <w:rPr>
          <w:rFonts w:ascii="Arial" w:hAnsi="Arial" w:cs="Arial"/>
          <w:color w:val="auto"/>
          <w:szCs w:val="24"/>
        </w:rPr>
        <w:t>.</w:t>
      </w:r>
    </w:p>
    <w:p w:rsidR="006D0A50" w:rsidRPr="00E82261" w:rsidRDefault="006D0A50" w:rsidP="006057BE">
      <w:pPr>
        <w:pStyle w:val="Body"/>
        <w:rPr>
          <w:rFonts w:ascii="Arial" w:hAnsi="Arial" w:cs="Arial"/>
          <w:color w:val="auto"/>
          <w:szCs w:val="24"/>
        </w:rPr>
      </w:pPr>
    </w:p>
    <w:p w:rsidR="00EC25F0" w:rsidRPr="00E82261" w:rsidRDefault="00EC25F0" w:rsidP="006057BE">
      <w:pPr>
        <w:pStyle w:val="Body"/>
        <w:rPr>
          <w:rFonts w:ascii="Arial" w:hAnsi="Arial" w:cs="Arial"/>
          <w:color w:val="auto"/>
          <w:szCs w:val="24"/>
        </w:rPr>
      </w:pPr>
      <w:r w:rsidRPr="00E82261">
        <w:rPr>
          <w:rFonts w:ascii="Arial" w:hAnsi="Arial" w:cs="Arial"/>
          <w:color w:val="auto"/>
          <w:szCs w:val="24"/>
        </w:rPr>
        <w:t xml:space="preserve">Results from studies in Washington State indicate that about 10% of drivers in fatal crashes between 2010-2014 had delta-9-THC in their blood. The prevalence such crashes was stable prior to legalization of recreational marijuana use, but approximately 9 months after legalization took effect it began increasing by nearly 10 percentage points per year </w:t>
      </w:r>
      <w:r w:rsidRPr="00E82261">
        <w:rPr>
          <w:rFonts w:ascii="Arial" w:hAnsi="Arial" w:cs="Arial"/>
          <w:color w:val="auto"/>
          <w:szCs w:val="24"/>
        </w:rPr>
        <w:fldChar w:fldCharType="begin"/>
      </w:r>
      <w:r w:rsidRPr="00E82261">
        <w:rPr>
          <w:rFonts w:ascii="Arial" w:hAnsi="Arial" w:cs="Arial"/>
          <w:color w:val="auto"/>
          <w:szCs w:val="24"/>
        </w:rPr>
        <w:instrText xml:space="preserve"> ADDIN EN.CITE &lt;EndNote&gt;&lt;Cite&gt;&lt;Author&gt;Tefft&lt;/Author&gt;&lt;Year&gt;2016&lt;/Year&gt;&lt;RecNum&gt;211&lt;/RecNum&gt;&lt;DisplayText&gt;(Tefft, Arnold, &amp;amp; Grabowski, 2016)&lt;/DisplayText&gt;&lt;record&gt;&lt;rec-number&gt;211&lt;/rec-number&gt;&lt;foreign-keys&gt;&lt;key app="EN" db-id="d0tr9f9wrrzr9lef5rsvpsadtz2we0sa25tw" timestamp="1520557161"&gt;211&lt;/key&gt;&lt;/foreign-keys&gt;&lt;ref-type name="Journal Article"&gt;17&lt;/ref-type&gt;&lt;contributors&gt;&lt;authors&gt;&lt;author&gt;Tefft, Brian C&lt;/author&gt;&lt;author&gt;Arnold, Lindsay S&lt;/author&gt;&lt;author&gt;Grabowski, Jurek G&lt;/author&gt;&lt;/authors&gt;&lt;/contributors&gt;&lt;titles&gt;&lt;title&gt;Prevalence of Marijuana Involvement in Fatal Crashes: Washington, 2010–2014&lt;/title&gt;&lt;/titles&gt;&lt;dates&gt;&lt;year&gt;2016&lt;/year&gt;&lt;/dates&gt;&lt;urls&gt;&lt;/urls&gt;&lt;/record&gt;&lt;/Cite&gt;&lt;/EndNote&gt;</w:instrText>
      </w:r>
      <w:r w:rsidRPr="00E82261">
        <w:rPr>
          <w:rFonts w:ascii="Arial" w:hAnsi="Arial" w:cs="Arial"/>
          <w:color w:val="auto"/>
          <w:szCs w:val="24"/>
        </w:rPr>
        <w:fldChar w:fldCharType="separate"/>
      </w:r>
      <w:r w:rsidRPr="00E82261">
        <w:rPr>
          <w:rFonts w:ascii="Arial" w:hAnsi="Arial" w:cs="Arial"/>
          <w:noProof/>
          <w:color w:val="auto"/>
          <w:szCs w:val="24"/>
        </w:rPr>
        <w:t>(Tefft, Arnold, &amp; Grabowski, 2016)</w:t>
      </w:r>
      <w:r w:rsidRPr="00E82261">
        <w:rPr>
          <w:rFonts w:ascii="Arial" w:hAnsi="Arial" w:cs="Arial"/>
          <w:color w:val="auto"/>
          <w:szCs w:val="24"/>
        </w:rPr>
        <w:fldChar w:fldCharType="end"/>
      </w:r>
      <w:r w:rsidRPr="00E82261">
        <w:rPr>
          <w:rFonts w:ascii="Arial" w:hAnsi="Arial" w:cs="Arial"/>
          <w:color w:val="auto"/>
          <w:szCs w:val="24"/>
        </w:rPr>
        <w:t xml:space="preserve">. Another study from 2013-2014 showed the prevalence of cannabis related motor vehicle crashes in Washington State to be between 7-8% </w:t>
      </w:r>
      <w:r w:rsidRPr="00E82261">
        <w:rPr>
          <w:rFonts w:ascii="Arial" w:hAnsi="Arial" w:cs="Arial"/>
          <w:color w:val="auto"/>
          <w:szCs w:val="24"/>
        </w:rPr>
        <w:fldChar w:fldCharType="begin"/>
      </w:r>
      <w:r w:rsidRPr="00E82261">
        <w:rPr>
          <w:rFonts w:ascii="Arial" w:hAnsi="Arial" w:cs="Arial"/>
          <w:color w:val="auto"/>
          <w:szCs w:val="24"/>
        </w:rPr>
        <w:instrText xml:space="preserve"> ADDIN EN.CITE &lt;EndNote&gt;&lt;Cite&gt;&lt;Author&gt;Banta-Green&lt;/Author&gt;&lt;Year&gt;2016&lt;/Year&gt;&lt;RecNum&gt;212&lt;/RecNum&gt;&lt;DisplayText&gt;(Banta-Green, Rowhani-Rahbar, Ebel, Andris, &amp;amp; Qiu, 2016)&lt;/DisplayText&gt;&lt;record&gt;&lt;rec-number&gt;212&lt;/rec-number&gt;&lt;foreign-keys&gt;&lt;key app="EN" db-id="d0tr9f9wrrzr9lef5rsvpsadtz2we0sa25tw" timestamp="1520557291"&gt;212&lt;/key&gt;&lt;/foreign-keys&gt;&lt;ref-type name="Journal Article"&gt;17&lt;/ref-type&gt;&lt;contributors&gt;&lt;authors&gt;&lt;author&gt;Banta-Green, Caleb&lt;/author&gt;&lt;author&gt;Rowhani-Rahbar, Ali&lt;/author&gt;&lt;author&gt;Ebel, Beth E&lt;/author&gt;&lt;author&gt;Andris, Lydia M&lt;/author&gt;&lt;author&gt;Qiu, Qian&lt;/author&gt;&lt;/authors&gt;&lt;/contributors&gt;&lt;titles&gt;&lt;title&gt;Cannabis Use among Drivers Suspected of Driving Under the Influence or Involved in Collisions: Analyses of Washington State Patrol Data&lt;/title&gt;&lt;/titles&gt;&lt;dates&gt;&lt;year&gt;2016&lt;/year&gt;&lt;/dates&gt;&lt;urls&gt;&lt;/urls&gt;&lt;/record&gt;&lt;/Cite&gt;&lt;/EndNote&gt;</w:instrText>
      </w:r>
      <w:r w:rsidRPr="00E82261">
        <w:rPr>
          <w:rFonts w:ascii="Arial" w:hAnsi="Arial" w:cs="Arial"/>
          <w:color w:val="auto"/>
          <w:szCs w:val="24"/>
        </w:rPr>
        <w:fldChar w:fldCharType="separate"/>
      </w:r>
      <w:r w:rsidRPr="00E82261">
        <w:rPr>
          <w:rFonts w:ascii="Arial" w:hAnsi="Arial" w:cs="Arial"/>
          <w:noProof/>
          <w:color w:val="auto"/>
          <w:szCs w:val="24"/>
        </w:rPr>
        <w:t>(Banta-Green, Rowhani-Rahbar, Ebel, Andris, &amp; Qiu, 2016)</w:t>
      </w:r>
      <w:r w:rsidRPr="00E82261">
        <w:rPr>
          <w:rFonts w:ascii="Arial" w:hAnsi="Arial" w:cs="Arial"/>
          <w:color w:val="auto"/>
          <w:szCs w:val="24"/>
        </w:rPr>
        <w:fldChar w:fldCharType="end"/>
      </w:r>
      <w:r w:rsidRPr="00E82261">
        <w:rPr>
          <w:rFonts w:ascii="Arial" w:hAnsi="Arial" w:cs="Arial"/>
          <w:color w:val="auto"/>
          <w:szCs w:val="24"/>
        </w:rPr>
        <w:t>.</w:t>
      </w:r>
    </w:p>
    <w:p w:rsidR="00EC25F0" w:rsidRPr="00E82261" w:rsidRDefault="00EC25F0" w:rsidP="006057BE">
      <w:pPr>
        <w:pStyle w:val="Body"/>
        <w:rPr>
          <w:rFonts w:ascii="Arial" w:hAnsi="Arial" w:cs="Arial"/>
          <w:color w:val="auto"/>
          <w:szCs w:val="24"/>
        </w:rPr>
      </w:pPr>
      <w:r w:rsidRPr="00E82261">
        <w:rPr>
          <w:rFonts w:ascii="Arial" w:hAnsi="Arial" w:cs="Arial"/>
          <w:color w:val="auto"/>
          <w:szCs w:val="24"/>
        </w:rPr>
        <w:t xml:space="preserve">Overall, there is conflicting evidence, but studies reviewed here indicate that the prevalence of cannabis-positive drivers in motor vehicle crashes has increased in states where marijuana policy has become more permissive. It is important to note that in these prevalence studies, whether drivers were actually impaired by cannabis at the time of the crash was not determined. Collecting a blood test from surviving drivers presents a challenge due to the invasive nature of blood collection; time delays between a crash and blood testing are common and problematic since delta-9-THC levels rapidly decrease after smoking </w:t>
      </w:r>
      <w:r w:rsidRPr="00E82261">
        <w:rPr>
          <w:rFonts w:ascii="Arial" w:hAnsi="Arial" w:cs="Arial"/>
          <w:color w:val="auto"/>
          <w:szCs w:val="24"/>
        </w:rPr>
        <w:fldChar w:fldCharType="begin">
          <w:fldData xml:space="preserve">PEVuZE5vdGU+PENpdGU+PEF1dGhvcj5Xb29kPC9BdXRob3I+PFllYXI+MjAxNjwvWWVhcj48UmVj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=
</w:fldData>
        </w:fldChar>
      </w:r>
      <w:r w:rsidRPr="00E82261">
        <w:rPr>
          <w:rFonts w:ascii="Arial" w:hAnsi="Arial" w:cs="Arial"/>
          <w:color w:val="auto"/>
          <w:szCs w:val="24"/>
        </w:rPr>
        <w:instrText xml:space="preserve"> ADDIN EN.CITE </w:instrText>
      </w:r>
      <w:r w:rsidRPr="00E82261">
        <w:rPr>
          <w:rFonts w:ascii="Arial" w:hAnsi="Arial" w:cs="Arial"/>
          <w:color w:val="auto"/>
          <w:szCs w:val="24"/>
        </w:rPr>
        <w:fldChar w:fldCharType="begin">
          <w:fldData xml:space="preserve">PEVuZE5vdGU+PENpdGU+PEF1dGhvcj5Xb29kPC9BdXRob3I+PFllYXI+MjAxNjwvWWVhcj48UmVj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=
</w:fldData>
        </w:fldChar>
      </w:r>
      <w:r w:rsidRPr="00E82261">
        <w:rPr>
          <w:rFonts w:ascii="Arial" w:hAnsi="Arial" w:cs="Arial"/>
          <w:color w:val="auto"/>
          <w:szCs w:val="24"/>
        </w:rPr>
        <w:instrText xml:space="preserve"> ADDIN EN.CITE.DATA </w:instrText>
      </w:r>
      <w:r w:rsidRPr="00E82261">
        <w:rPr>
          <w:rFonts w:ascii="Arial" w:hAnsi="Arial" w:cs="Arial"/>
          <w:color w:val="auto"/>
          <w:szCs w:val="24"/>
        </w:rPr>
      </w:r>
      <w:r w:rsidRPr="00E82261">
        <w:rPr>
          <w:rFonts w:ascii="Arial" w:hAnsi="Arial" w:cs="Arial"/>
          <w:color w:val="auto"/>
          <w:szCs w:val="24"/>
        </w:rPr>
        <w:fldChar w:fldCharType="end"/>
      </w:r>
      <w:r w:rsidRPr="00E82261">
        <w:rPr>
          <w:rFonts w:ascii="Arial" w:hAnsi="Arial" w:cs="Arial"/>
          <w:color w:val="auto"/>
          <w:szCs w:val="24"/>
        </w:rPr>
      </w:r>
      <w:r w:rsidRPr="00E82261">
        <w:rPr>
          <w:rFonts w:ascii="Arial" w:hAnsi="Arial" w:cs="Arial"/>
          <w:color w:val="auto"/>
          <w:szCs w:val="24"/>
        </w:rPr>
        <w:fldChar w:fldCharType="separate"/>
      </w:r>
      <w:r w:rsidRPr="00E82261">
        <w:rPr>
          <w:rFonts w:ascii="Arial" w:hAnsi="Arial" w:cs="Arial"/>
          <w:noProof/>
          <w:color w:val="auto"/>
          <w:szCs w:val="24"/>
        </w:rPr>
        <w:t>(Wood, Brooks-Russell, &amp; Drum, 2016)</w:t>
      </w:r>
      <w:r w:rsidRPr="00E82261">
        <w:rPr>
          <w:rFonts w:ascii="Arial" w:hAnsi="Arial" w:cs="Arial"/>
          <w:color w:val="auto"/>
          <w:szCs w:val="24"/>
        </w:rPr>
        <w:fldChar w:fldCharType="end"/>
      </w:r>
      <w:r w:rsidRPr="00E82261">
        <w:rPr>
          <w:rFonts w:ascii="Arial" w:hAnsi="Arial" w:cs="Arial"/>
          <w:color w:val="auto"/>
          <w:szCs w:val="24"/>
        </w:rPr>
        <w:t xml:space="preserve">. </w:t>
      </w:r>
    </w:p>
    <w:p w:rsidR="006D0A50" w:rsidRPr="00E82261" w:rsidRDefault="006D0A50" w:rsidP="006057BE">
      <w:pPr>
        <w:pStyle w:val="Body"/>
        <w:rPr>
          <w:rFonts w:ascii="Arial" w:hAnsi="Arial" w:cs="Arial"/>
          <w:color w:val="auto"/>
          <w:szCs w:val="24"/>
        </w:rPr>
      </w:pPr>
    </w:p>
    <w:p w:rsidR="00EC25F0" w:rsidRPr="00E82261" w:rsidRDefault="00EC25F0" w:rsidP="00332358">
      <w:pPr>
        <w:pStyle w:val="Heading3"/>
      </w:pPr>
      <w:bookmarkStart w:id="267" w:name="_Toc512861196"/>
      <w:bookmarkStart w:id="268" w:name="_Toc11765971"/>
      <w:bookmarkStart w:id="269" w:name="_Toc11766626"/>
      <w:r w:rsidRPr="00E82261">
        <w:t>Study Purpose</w:t>
      </w:r>
      <w:bookmarkEnd w:id="267"/>
      <w:bookmarkEnd w:id="268"/>
      <w:bookmarkEnd w:id="269"/>
    </w:p>
    <w:p w:rsidR="006D0A50" w:rsidRPr="00E82261" w:rsidRDefault="006D0A50" w:rsidP="006057BE">
      <w:pPr>
        <w:pStyle w:val="BodyText"/>
        <w:spacing w:line="240" w:lineRule="auto"/>
        <w:rPr>
          <w:rFonts w:cs="Arial"/>
          <w:sz w:val="24"/>
          <w:szCs w:val="24"/>
        </w:rPr>
      </w:pPr>
    </w:p>
    <w:p w:rsidR="00FF2F11" w:rsidRPr="00E82261" w:rsidRDefault="00EC25F0" w:rsidP="00E82261">
      <w:pPr>
        <w:spacing w:after="0" w:line="240" w:lineRule="auto"/>
        <w:rPr>
          <w:rFonts w:ascii="Arial" w:hAnsi="Arial" w:cs="Arial"/>
          <w:sz w:val="24"/>
          <w:szCs w:val="24"/>
        </w:rPr>
      </w:pPr>
      <w:r w:rsidRPr="00E82261">
        <w:rPr>
          <w:rFonts w:ascii="Arial" w:hAnsi="Arial" w:cs="Arial"/>
          <w:sz w:val="24"/>
          <w:szCs w:val="24"/>
        </w:rPr>
        <w:t xml:space="preserve">The establishment of fair and appropriate methods to detect marijuana-related driving impairment could help ensure public safety in environments with legal marijuana and provide important information about prevalence. This review of the literature is undertaken for the purpose of summarizing the available scientific evidence. Specifically, we sought to: 1) Describe the analytical methods used to quantify marijuana exposure in laboratory and field settings; 2) Describe measurements of marijuana-related impairment that are relevant to operating a motor vehicle; and 3) Provide an integration and discussion of evidence for approaches that link marijuana-related measurements of exposure with measurements of impairment that are relevant to operating a motor vehicle.  </w:t>
      </w:r>
      <w:bookmarkStart w:id="270" w:name="_Toc512861197"/>
    </w:p>
    <w:p w:rsidR="00FF2F11" w:rsidRPr="00E82261" w:rsidRDefault="00FF2F11" w:rsidP="00F950A2">
      <w:pPr>
        <w:pStyle w:val="BodyText"/>
      </w:pPr>
    </w:p>
    <w:p w:rsidR="00EC25F0" w:rsidRPr="00E82261" w:rsidRDefault="00EC25F0" w:rsidP="005F7A46">
      <w:pPr>
        <w:pStyle w:val="Heading2"/>
      </w:pPr>
      <w:bookmarkStart w:id="271" w:name="_Toc11765972"/>
      <w:bookmarkStart w:id="272" w:name="_Toc11766627"/>
      <w:bookmarkStart w:id="273" w:name="_Toc11917221"/>
      <w:bookmarkStart w:id="274" w:name="_Toc11921659"/>
      <w:bookmarkStart w:id="275" w:name="_Toc12520938"/>
      <w:bookmarkStart w:id="276" w:name="_Toc12521164"/>
      <w:bookmarkStart w:id="277" w:name="_Toc12529134"/>
      <w:r w:rsidRPr="00E82261">
        <w:t>Research Questions</w:t>
      </w:r>
      <w:bookmarkEnd w:id="270"/>
      <w:bookmarkEnd w:id="271"/>
      <w:bookmarkEnd w:id="272"/>
      <w:bookmarkEnd w:id="273"/>
      <w:bookmarkEnd w:id="274"/>
      <w:bookmarkEnd w:id="275"/>
      <w:bookmarkEnd w:id="276"/>
      <w:bookmarkEnd w:id="277"/>
    </w:p>
    <w:p w:rsidR="006D0A50" w:rsidRPr="00E82261" w:rsidRDefault="006D0A50" w:rsidP="006057BE">
      <w:pPr>
        <w:pStyle w:val="BodyText"/>
        <w:spacing w:line="240" w:lineRule="auto"/>
        <w:rPr>
          <w:rFonts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b/>
          <w:sz w:val="24"/>
          <w:szCs w:val="24"/>
        </w:rPr>
        <w:t>RQ1:</w:t>
      </w:r>
      <w:r w:rsidRPr="00E82261">
        <w:rPr>
          <w:rFonts w:ascii="Arial" w:hAnsi="Arial" w:cs="Arial"/>
          <w:sz w:val="24"/>
          <w:szCs w:val="24"/>
        </w:rPr>
        <w:t xml:space="preserve"> What is the most current science on quantifying marijuana exposure in an analytical chemistry laboratory or clinical laboratory setting in different matrices (blood, oral fluid, urine) through quantitative measurement of marijuana and its metabolites? </w:t>
      </w:r>
    </w:p>
    <w:p w:rsidR="00B565B3" w:rsidRDefault="00B565B3" w:rsidP="006057BE">
      <w:pPr>
        <w:spacing w:after="0" w:line="240" w:lineRule="auto"/>
        <w:rPr>
          <w:rFonts w:ascii="Arial" w:hAnsi="Arial" w:cs="Arial"/>
          <w:b/>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b/>
          <w:sz w:val="24"/>
          <w:szCs w:val="24"/>
        </w:rPr>
        <w:t>RQ2:</w:t>
      </w:r>
      <w:r w:rsidRPr="00E82261">
        <w:rPr>
          <w:rFonts w:ascii="Arial" w:hAnsi="Arial" w:cs="Arial"/>
          <w:sz w:val="24"/>
          <w:szCs w:val="24"/>
        </w:rPr>
        <w:t xml:space="preserve"> What methods (e.g., devices, tests, kits, etc.) are currently available for quantifying marijuana exposure in the field and what is the precision and accuracy of these methods for detecting marijuana exposure (compared to laboratory-based methods)?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b/>
          <w:sz w:val="24"/>
          <w:szCs w:val="24"/>
        </w:rPr>
        <w:t>RQ3a</w:t>
      </w:r>
      <w:r w:rsidRPr="00E82261">
        <w:rPr>
          <w:rFonts w:ascii="Arial" w:hAnsi="Arial" w:cs="Arial"/>
          <w:sz w:val="24"/>
          <w:szCs w:val="24"/>
        </w:rPr>
        <w:t>: What are the cognitive and behavioral indicators of marijuana exposure that are relevant to operating a motor vehicle?  How have these been characterized at baseline (non-impaired) levels?</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b/>
          <w:sz w:val="24"/>
          <w:szCs w:val="24"/>
        </w:rPr>
        <w:t>RQ3b:</w:t>
      </w:r>
      <w:r w:rsidRPr="00E82261">
        <w:rPr>
          <w:rFonts w:ascii="Arial" w:hAnsi="Arial" w:cs="Arial"/>
          <w:sz w:val="24"/>
          <w:szCs w:val="24"/>
        </w:rPr>
        <w:t xml:space="preserve"> How are the cognitive and behavioral effects of marijuana impairment measured in laboratory settings and in field settings? What validation has been conducted? What is the level of accuracy for determining impairment/non-impairment? </w:t>
      </w:r>
    </w:p>
    <w:p w:rsidR="006D0A50" w:rsidRPr="00E82261" w:rsidRDefault="006D0A50" w:rsidP="006057BE">
      <w:pPr>
        <w:spacing w:after="0" w:line="240" w:lineRule="auto"/>
        <w:rPr>
          <w:rFonts w:ascii="Arial" w:hAnsi="Arial" w:cs="Arial"/>
          <w:sz w:val="24"/>
          <w:szCs w:val="24"/>
        </w:rPr>
      </w:pPr>
    </w:p>
    <w:p w:rsidR="00EC25F0" w:rsidRPr="00E82261" w:rsidRDefault="00EC25F0" w:rsidP="005F7A46">
      <w:pPr>
        <w:pStyle w:val="Heading2"/>
      </w:pPr>
      <w:bookmarkStart w:id="278" w:name="_Toc512861198"/>
      <w:bookmarkStart w:id="279" w:name="_Toc11765973"/>
      <w:bookmarkStart w:id="280" w:name="_Toc11766628"/>
      <w:bookmarkStart w:id="281" w:name="_Toc11917222"/>
      <w:bookmarkStart w:id="282" w:name="_Toc11921660"/>
      <w:bookmarkStart w:id="283" w:name="_Toc12520939"/>
      <w:bookmarkStart w:id="284" w:name="_Toc12521165"/>
      <w:bookmarkStart w:id="285" w:name="_Toc12529135"/>
      <w:r w:rsidRPr="00E82261">
        <w:t>Methods</w:t>
      </w:r>
      <w:bookmarkEnd w:id="278"/>
      <w:bookmarkEnd w:id="279"/>
      <w:bookmarkEnd w:id="280"/>
      <w:bookmarkEnd w:id="281"/>
      <w:bookmarkEnd w:id="282"/>
      <w:bookmarkEnd w:id="283"/>
      <w:bookmarkEnd w:id="284"/>
      <w:bookmarkEnd w:id="285"/>
    </w:p>
    <w:p w:rsidR="006D0A50" w:rsidRPr="00E82261" w:rsidRDefault="006D0A50" w:rsidP="006057BE">
      <w:pPr>
        <w:pStyle w:val="BodyText"/>
        <w:spacing w:line="240" w:lineRule="auto"/>
        <w:rPr>
          <w:rFonts w:cs="Arial"/>
          <w:sz w:val="24"/>
          <w:szCs w:val="24"/>
        </w:rPr>
      </w:pPr>
    </w:p>
    <w:p w:rsidR="00ED455B" w:rsidRPr="00ED455B" w:rsidRDefault="00EC25F0" w:rsidP="006057BE">
      <w:pPr>
        <w:spacing w:after="0" w:line="240" w:lineRule="auto"/>
        <w:rPr>
          <w:rFonts w:ascii="Arial" w:hAnsi="Arial" w:cs="Arial"/>
          <w:b/>
          <w:sz w:val="24"/>
          <w:szCs w:val="24"/>
        </w:rPr>
      </w:pPr>
      <w:r w:rsidRPr="00E82261">
        <w:rPr>
          <w:rFonts w:ascii="Arial" w:hAnsi="Arial" w:cs="Arial"/>
          <w:sz w:val="24"/>
          <w:szCs w:val="24"/>
        </w:rPr>
        <w:t xml:space="preserve">We approached the research questions above through a systematic literature search process. In instances when a high-quality review article was already published on the topic of interest, we used the review as a starting point and extracted information from the studies gathered by the review authors.  We then conducted a search that covered the time period between the publication of the latest paper included in the review and December 2017. We conducted the searches in the following order: RQ2, RQ3a, RQ3b, RQ1. More information is provided below, and details of the search terms are provided </w:t>
      </w:r>
      <w:r w:rsidRPr="00332358">
        <w:rPr>
          <w:rFonts w:ascii="Arial" w:hAnsi="Arial" w:cs="Arial"/>
          <w:sz w:val="24"/>
          <w:szCs w:val="24"/>
        </w:rPr>
        <w:t xml:space="preserve">in </w:t>
      </w:r>
      <w:r w:rsidR="00332358" w:rsidRPr="00332358">
        <w:rPr>
          <w:rFonts w:ascii="Arial" w:hAnsi="Arial" w:cs="Arial"/>
          <w:sz w:val="24"/>
          <w:szCs w:val="24"/>
        </w:rPr>
        <w:fldChar w:fldCharType="begin"/>
      </w:r>
      <w:r w:rsidR="00332358" w:rsidRPr="00332358">
        <w:rPr>
          <w:rFonts w:ascii="Arial" w:hAnsi="Arial" w:cs="Arial"/>
          <w:sz w:val="24"/>
          <w:szCs w:val="24"/>
        </w:rPr>
        <w:instrText xml:space="preserve"> REF _Ref509777608 \h  \* MERGEFORMAT </w:instrText>
      </w:r>
      <w:r w:rsidR="00332358" w:rsidRPr="00332358">
        <w:rPr>
          <w:rFonts w:ascii="Arial" w:hAnsi="Arial" w:cs="Arial"/>
          <w:sz w:val="24"/>
          <w:szCs w:val="24"/>
        </w:rPr>
      </w:r>
      <w:r w:rsidR="00332358" w:rsidRPr="00332358">
        <w:rPr>
          <w:rFonts w:ascii="Arial" w:hAnsi="Arial" w:cs="Arial"/>
          <w:sz w:val="24"/>
          <w:szCs w:val="24"/>
        </w:rPr>
        <w:fldChar w:fldCharType="separate"/>
      </w:r>
    </w:p>
    <w:p w:rsidR="00ED455B" w:rsidRPr="00ED455B" w:rsidRDefault="00ED455B" w:rsidP="006057BE">
      <w:pPr>
        <w:spacing w:after="0" w:line="240" w:lineRule="auto"/>
        <w:rPr>
          <w:rFonts w:ascii="Arial" w:hAnsi="Arial" w:cs="Arial"/>
          <w:b/>
          <w:sz w:val="24"/>
          <w:szCs w:val="24"/>
        </w:rPr>
      </w:pPr>
    </w:p>
    <w:p w:rsidR="00EA0518" w:rsidRPr="00E82261" w:rsidRDefault="00ED455B" w:rsidP="00EA0518">
      <w:pPr>
        <w:spacing w:after="0" w:line="240" w:lineRule="auto"/>
        <w:rPr>
          <w:rFonts w:ascii="Arial" w:hAnsi="Arial" w:cs="Arial"/>
          <w:noProof/>
          <w:sz w:val="24"/>
          <w:szCs w:val="24"/>
        </w:rPr>
      </w:pPr>
      <w:r w:rsidRPr="00E82261">
        <w:rPr>
          <w:rFonts w:ascii="Arial" w:hAnsi="Arial" w:cs="Arial"/>
          <w:b/>
          <w:sz w:val="24"/>
          <w:szCs w:val="24"/>
        </w:rPr>
        <w:t>Table 1. Search Strings</w:t>
      </w:r>
      <w:r w:rsidR="00332358" w:rsidRPr="00332358">
        <w:rPr>
          <w:rFonts w:ascii="Arial" w:hAnsi="Arial" w:cs="Arial"/>
          <w:sz w:val="24"/>
          <w:szCs w:val="24"/>
        </w:rPr>
        <w:fldChar w:fldCharType="end"/>
      </w:r>
      <w:r w:rsidR="00332358" w:rsidRPr="00332358">
        <w:rPr>
          <w:rFonts w:ascii="Arial" w:hAnsi="Arial" w:cs="Arial"/>
          <w:sz w:val="24"/>
          <w:szCs w:val="24"/>
        </w:rPr>
        <w:t>.</w:t>
      </w:r>
    </w:p>
    <w:p w:rsidR="00EC25F0" w:rsidRPr="00E82261" w:rsidRDefault="00EC25F0" w:rsidP="006057BE">
      <w:pPr>
        <w:spacing w:after="0" w:line="240" w:lineRule="auto"/>
        <w:rPr>
          <w:rFonts w:ascii="Arial" w:hAnsi="Arial" w:cs="Arial"/>
          <w:sz w:val="24"/>
          <w:szCs w:val="24"/>
        </w:rPr>
      </w:pPr>
    </w:p>
    <w:p w:rsidR="00EC25F0" w:rsidRPr="00E82261" w:rsidRDefault="00EC25F0" w:rsidP="00332358">
      <w:pPr>
        <w:pStyle w:val="Heading3"/>
      </w:pPr>
      <w:bookmarkStart w:id="286" w:name="_Toc512861199"/>
      <w:bookmarkStart w:id="287" w:name="_Toc11765974"/>
      <w:bookmarkStart w:id="288" w:name="_Toc11766629"/>
      <w:r w:rsidRPr="00E82261">
        <w:t>Research Question 1: Quantifying Marijuana Exposure in a Laboratory Setting</w:t>
      </w:r>
      <w:bookmarkEnd w:id="286"/>
      <w:bookmarkEnd w:id="287"/>
      <w:bookmarkEnd w:id="288"/>
    </w:p>
    <w:p w:rsidR="006D0A50" w:rsidRPr="00E82261" w:rsidRDefault="006D0A50" w:rsidP="006057BE">
      <w:pPr>
        <w:pStyle w:val="BodyText"/>
        <w:spacing w:line="240" w:lineRule="auto"/>
        <w:rPr>
          <w:rFonts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Our systematic search conducted for R2 identified studies that were relevant to research question 1. Specifically, all identified R2 studies utilized similar confirmatory laboratory testing methods to identify marijuana exposure in blood, urine, and or saliva. Given the consistency in the studies identified in R2, we were confident in our assessment that said methods were the state of the science. As such, the goal of our research specific to R1 was to identify one or more studies that confirmed our assessment. We did not deem a systematic review of the literature necessary to accomplish this goal. Instead, we developed several search strings to identify studies that provided an overview of current methods as well as potential future directions for laboratory marijuana exposure quantification, particularly in regards to new quantification and interpretation methods for THC metabolites.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We tested both complex and simple search strings to accomplish this goal. All search strings were tested on PubMed. We found that one particular simple search string performed best. The string identified 22 total references. Titles and abstracts were reviewed for relevance and a recent article written by a leading expert in the field was identified. Given that the content of this article matched closely to what we were attempting to procure, we chose to utilize it as the center piece of our response to this question. Other identified references, either from the broad R1 search or the systematic, targeted R2 search were utilized as appropriate.</w:t>
      </w:r>
    </w:p>
    <w:p w:rsidR="006D0A50" w:rsidRPr="00E82261" w:rsidRDefault="006D0A50" w:rsidP="006057BE">
      <w:pPr>
        <w:spacing w:after="0" w:line="240" w:lineRule="auto"/>
        <w:rPr>
          <w:rFonts w:ascii="Arial" w:hAnsi="Arial" w:cs="Arial"/>
          <w:sz w:val="24"/>
          <w:szCs w:val="24"/>
        </w:rPr>
      </w:pPr>
    </w:p>
    <w:p w:rsidR="00EC25F0" w:rsidRPr="00E82261" w:rsidRDefault="00EC25F0" w:rsidP="00332358">
      <w:pPr>
        <w:pStyle w:val="Heading3"/>
      </w:pPr>
      <w:bookmarkStart w:id="289" w:name="_Toc512861200"/>
      <w:bookmarkStart w:id="290" w:name="_Toc11765975"/>
      <w:bookmarkStart w:id="291" w:name="_Toc11766630"/>
      <w:r w:rsidRPr="00E82261">
        <w:t>Research Question 2: Methods for Quantifying Marijuana Exposure in a Field Setting</w:t>
      </w:r>
      <w:bookmarkEnd w:id="289"/>
      <w:bookmarkEnd w:id="290"/>
      <w:bookmarkEnd w:id="291"/>
    </w:p>
    <w:p w:rsidR="006D0A50" w:rsidRPr="00E82261" w:rsidRDefault="006D0A50" w:rsidP="006057BE">
      <w:pPr>
        <w:pStyle w:val="BodyText"/>
        <w:spacing w:line="240" w:lineRule="auto"/>
        <w:rPr>
          <w:rFonts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We conducted a systematic search of the current literature related to on-site testing devices, sometimes called point-of-collection tests (POCT), for measuring marijuana. We did not restrict the search to specific biological matrices (i.e. only blood, only oral fluid). We conducted our search in both PubMed and Web of Science, and searched the relevant gray literature (e.g. AAA Foundation, National Highway Transportation Safety Administration, etc.) for relevant studies. The search was limited to studies published in or after 1995.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Search strings were developed in consultation with a University of Massachusetts Amherst librarian with expertise in health science search string development. Searches were conducted on each separate database and abstracts were screened for appropriateness. To be considered for full text review, abstracts had to convey that the study met the following criteria: (1) was published in English, (2) was conducted in humans, (3) examined field devices or kits, and (4) examined marijuana exposure.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Studies identified as candidates for inclusion after the abstract screening process subsequently had their full text reviewed for appropriateness. After full text review, studies were excluded if: (1) Device assessed was only for collection and storage of sample; (2) Study did not assess devices capability as a rapid on-site test; (3) Study assessed devices used to measure synthetic cannabinoids; (4) Device assessed was a laboratory device (5) Study did not assess any on-site device; (6) Study did not provide sensitivity or specificity measurements of THC for tested device, or (7) Text of study was not in English.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Of 154 combined peer reviewed results identified through our initial searches, 84 were selected for full text review. A majority (61%) of these studies were obtained through PubMed. We identified one study from the gray literature for full text review.</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During full text review, we identified a systematic review and meta-analysis conducted on our topic of interest in 2017 (latest year of included studies was 2015). We used this study as the centerpiece of our review and subsequently reviewed identified studies from 2015-2017 to update and supplement this already completed review. We identified 6 studies that were published beyond the 2015 review. Thus, these 7 studies form the basis of our review for this question. We reviewed the reference list of the 6 more recent, original studies and cross-checked this with the review article to ensure that all important papers relevant to the topic were included either in the existing review article or in the original research studies we identified and included.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We extracted information about sensitivity and specificity of the POCT devices as compared to laboratory methods, and we report accuracy when possible. Sensitivity refers to the percentage of cannabis-using individuals that were correctly identified as positive for cannabis. Specificity refers to the percentage of individuals who did not use cannabis that were correctly identified as non-users by a negative test result.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Given the complexity of the studies in this area, we summarized the results in several tables. In synthesizing and interpreting the studies, as a whole, we weighted studies with a larger sample size, controlled laboratory conditions, and comparisons between multiple devices as more salient than others. </w:t>
      </w:r>
    </w:p>
    <w:p w:rsidR="006D0A50" w:rsidRPr="00E82261" w:rsidRDefault="006D0A50" w:rsidP="006057BE">
      <w:pPr>
        <w:spacing w:after="0" w:line="240" w:lineRule="auto"/>
        <w:rPr>
          <w:rFonts w:ascii="Arial" w:hAnsi="Arial" w:cs="Arial"/>
          <w:sz w:val="24"/>
          <w:szCs w:val="24"/>
        </w:rPr>
      </w:pPr>
    </w:p>
    <w:p w:rsidR="00EC25F0" w:rsidRPr="00E82261" w:rsidRDefault="00EC25F0" w:rsidP="00332358">
      <w:pPr>
        <w:pStyle w:val="Heading3"/>
      </w:pPr>
      <w:bookmarkStart w:id="292" w:name="_Toc512861201"/>
      <w:bookmarkStart w:id="293" w:name="_Toc11765976"/>
      <w:bookmarkStart w:id="294" w:name="_Toc11766631"/>
      <w:r w:rsidRPr="00E82261">
        <w:t>Research Question 3A: Cognitive and Behavioral Effects Relevant to Driving</w:t>
      </w:r>
      <w:bookmarkEnd w:id="292"/>
      <w:bookmarkEnd w:id="293"/>
      <w:bookmarkEnd w:id="294"/>
    </w:p>
    <w:p w:rsidR="006D0A50" w:rsidRPr="00E82261" w:rsidRDefault="006D0A50" w:rsidP="006057BE">
      <w:pPr>
        <w:pStyle w:val="BodyText"/>
        <w:spacing w:line="240" w:lineRule="auto"/>
        <w:rPr>
          <w:rFonts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A systematic search of the current literature related to cognitive and behavioral indicators of marijuana exposure was conducted. Following advice from a health sciences librarian, we conducted our searches in both PubMed and Web of Science. We also sought input from the librarian for developing and refining our search string. Searches were conducted on each separate database and abstracts were screened for appropriateness. We did not limit the date range on this search. </w:t>
      </w: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Early in the review process, we identified a recent systematic review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&lt;EndNote&gt;&lt;Cite&gt;&lt;Author&gt;Bondallaz&lt;/Author&gt;&lt;Year&gt;2016&lt;/Year&gt;&lt;RecNum&gt;37&lt;/RecNum&gt;&lt;DisplayText&gt;(Bondallaz et al., 2016)&lt;/DisplayText&gt;&lt;record&gt;&lt;rec-number&gt;37&lt;/rec-number&gt;&lt;foreign-keys&gt;&lt;key app="EN" db-id="d0tr9f9wrrzr9lef5rsvpsadtz2we0sa25tw" timestamp="1496334826"&gt;37&lt;/key&gt;&lt;/foreign-keys&gt;&lt;ref-type name="Journal Article"&gt;17&lt;/ref-type&gt;&lt;contributors&gt;&lt;authors&gt;&lt;author&gt;Bondallaz, Percy&lt;/author&gt;&lt;author&gt;Favrat, Bernard&lt;/author&gt;&lt;author&gt;Chtioui, Haïthem&lt;/author&gt;&lt;author&gt;Fornari, Eleonora&lt;/author&gt;&lt;author&gt;Maeder, Philippe&lt;/author&gt;&lt;author&gt;Giroud, Christian&lt;/author&gt;&lt;/authors&gt;&lt;/contributors&gt;&lt;titles&gt;&lt;title&gt;Cannabis and its effects on driving skills&lt;/title&gt;&lt;secondary-title&gt;Forensic Science International&lt;/secondary-title&gt;&lt;/titles&gt;&lt;periodical&gt;&lt;full-title&gt;Forensic Sci Int&lt;/full-title&gt;&lt;abbr-1&gt;Forensic science international&lt;/abbr-1&gt;&lt;/periodical&gt;&lt;pages&gt;92-102&lt;/pages&gt;&lt;volume&gt;268&lt;/volume&gt;&lt;keywords&gt;&lt;keyword&gt;THC&lt;/keyword&gt;&lt;keyword&gt;Cannabis&lt;/keyword&gt;&lt;keyword&gt;Psychomotor effects&lt;/keyword&gt;&lt;keyword&gt;Fitness to drive&lt;/keyword&gt;&lt;keyword&gt;Driving&lt;/keyword&gt;&lt;/keywords&gt;&lt;dates&gt;&lt;year&gt;2016&lt;/year&gt;&lt;pub-dates&gt;&lt;date&gt;11//&lt;/date&gt;&lt;/pub-dates&gt;&lt;/dates&gt;&lt;isbn&gt;0379-0738&lt;/isbn&gt;&lt;urls&gt;&lt;related-urls&gt;&lt;url&gt;http://www.sciencedirect.com/science/article/pii/S0379073816304133&lt;/url&gt;&lt;/related-urls&gt;&lt;/urls&gt;&lt;electronic-resource-num&gt;https://doi.org/10.1016/j.forsciint.2016.09.007&lt;/electronic-resource-num&gt;&lt;/record&gt;&lt;/Cite&gt;&lt;/EndNote&gt;</w:instrText>
      </w:r>
      <w:r w:rsidRPr="00E82261">
        <w:rPr>
          <w:rFonts w:ascii="Arial" w:hAnsi="Arial" w:cs="Arial"/>
          <w:sz w:val="24"/>
          <w:szCs w:val="24"/>
        </w:rPr>
        <w:fldChar w:fldCharType="separate"/>
      </w:r>
      <w:r w:rsidRPr="00E82261">
        <w:rPr>
          <w:rFonts w:ascii="Arial" w:hAnsi="Arial" w:cs="Arial"/>
          <w:noProof/>
          <w:sz w:val="24"/>
          <w:szCs w:val="24"/>
        </w:rPr>
        <w:t>(Bondallaz et al., 2016)</w:t>
      </w:r>
      <w:r w:rsidRPr="00E82261">
        <w:rPr>
          <w:rFonts w:ascii="Arial" w:hAnsi="Arial" w:cs="Arial"/>
          <w:sz w:val="24"/>
          <w:szCs w:val="24"/>
        </w:rPr>
        <w:fldChar w:fldCharType="end"/>
      </w:r>
      <w:r w:rsidRPr="00E82261">
        <w:rPr>
          <w:rFonts w:ascii="Arial" w:hAnsi="Arial" w:cs="Arial"/>
          <w:sz w:val="24"/>
          <w:szCs w:val="24"/>
        </w:rPr>
        <w:t xml:space="preserve"> whose content matched closely with what we were attempting to procure. We judged this review to be of high quality, and therefore used it as the basis for our response to RQ3a. We extracted all individual studies from the review and reviewed them independently. We subsequently conducted an update search, using a search string developed in consultation with a health sciences librarian to identify any studies on the subject of interest published after 2013 (the newest study reviewed in the review article).</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In total, 24 studies were extracted from the Bondallaz review. Our update search (2013-2017) initially yielded 367 results from PubMed and 316 from Web of Science. After abstract screening and removal of duplicates, we identified 15 studies for full text review from PubMed and 2 studies for full text review from Web of Science.  After full text review, we identified an additional 5 studies that had been published on the topic since the Bondallaz review for a total of 29 studies included in our review.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Detailed information such as THC dosage, user population, sample size, study setting, indicator tested, measurement approach, and results were extracted from studies included in final review. In order to standardize the information extraction, we defined the relevance of cognitive / behavioral indicators measured according to the recommended behavioral measurements outlined in Guidelines for Research on Drugged Driving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&lt;EndNote&gt;&lt;Cite&gt;&lt;Author&gt;Walsh&lt;/Author&gt;&lt;Year&gt;2008&lt;/Year&gt;&lt;RecNum&gt;250&lt;/RecNum&gt;&lt;DisplayText&gt;(J Michael Walsh, Verstraete, Huestis, &amp;amp; Mørland, 2008)&lt;/DisplayText&gt;&lt;record&gt;&lt;rec-number&gt;250&lt;/rec-number&gt;&lt;foreign-keys&gt;&lt;key app="EN" db-id="d0tr9f9wrrzr9lef5rsvpsadtz2we0sa25tw" timestamp="1521902683"&gt;250&lt;/key&gt;&lt;/foreign-keys&gt;&lt;ref-type name="Journal Article"&gt;17&lt;/ref-type&gt;&lt;contributors&gt;&lt;authors&gt;&lt;author&gt;Walsh, J Michael&lt;/author&gt;&lt;author&gt;Verstraete, Alain G&lt;/author&gt;&lt;author&gt;Huestis, Marilyn A&lt;/author&gt;&lt;author&gt;Mørland, Jørg&lt;/author&gt;&lt;/authors&gt;&lt;/contributors&gt;&lt;titles&gt;&lt;title&gt;Guidelines for research on drugged driving&lt;/title&gt;&lt;secondary-title&gt;Addiction&lt;/secondary-title&gt;&lt;/titles&gt;&lt;periodical&gt;&lt;full-title&gt;Addiction&lt;/full-title&gt;&lt;abbr-1&gt;Addiction (Abingdon, England)&lt;/abbr-1&gt;&lt;/periodical&gt;&lt;pages&gt;1258-1268&lt;/pages&gt;&lt;volume&gt;103&lt;/volume&gt;&lt;number&gt;8&lt;/number&gt;&lt;dates&gt;&lt;year&gt;2008&lt;/year&gt;&lt;/dates&gt;&lt;isbn&gt;1360-0443&lt;/isbn&gt;&lt;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(J Michael Walsh, Verstraete, Huestis, &amp; Mørland, 2008)</w:t>
      </w:r>
      <w:r w:rsidRPr="00E82261">
        <w:rPr>
          <w:rFonts w:ascii="Arial" w:hAnsi="Arial" w:cs="Arial"/>
          <w:sz w:val="24"/>
          <w:szCs w:val="24"/>
        </w:rPr>
        <w:fldChar w:fldCharType="end"/>
      </w:r>
      <w:r w:rsidRPr="00E82261">
        <w:rPr>
          <w:rFonts w:ascii="Arial" w:hAnsi="Arial" w:cs="Arial"/>
          <w:sz w:val="24"/>
          <w:szCs w:val="24"/>
        </w:rPr>
        <w:t xml:space="preserve">. These include automotive behavior, control behavior, and executive planning. The only additional category defined outside of the three listed above was, “driving safety/performance metric.” This was only defined for driving simulator and on road studies which measured direct driving metrics such as mean speed and SD lateral position. This approach was adapted from the Bondallaz review which identified said behavioral measurements and grouped typical neurocognitive tests (Tower of London Task, Critical Tracking Task etc.) according to their corresponding behavioral measurement (Bondallaz et al. 2016 – Table 1)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&lt;EndNote&gt;&lt;Cite&gt;&lt;Author&gt;Bondallaz&lt;/Author&gt;&lt;Year&gt;2016&lt;/Year&gt;&lt;RecNum&gt;37&lt;/RecNum&gt;&lt;DisplayText&gt;(Bondallaz et al., 2016)&lt;/DisplayText&gt;&lt;record&gt;&lt;rec-number&gt;37&lt;/rec-number&gt;&lt;foreign-keys&gt;&lt;key app="EN" db-id="d0tr9f9wrrzr9lef5rsvpsadtz2we0sa25tw" timestamp="1496334826"&gt;37&lt;/key&gt;&lt;/foreign-keys&gt;&lt;ref-type name="Journal Article"&gt;17&lt;/ref-type&gt;&lt;contributors&gt;&lt;authors&gt;&lt;author&gt;Bondallaz, Percy&lt;/author&gt;&lt;author&gt;Favrat, Bernard&lt;/author&gt;&lt;author&gt;Chtioui, Haïthem&lt;/author&gt;&lt;author&gt;Fornari, Eleonora&lt;/author&gt;&lt;author&gt;Maeder, Philippe&lt;/author&gt;&lt;author&gt;Giroud, Christian&lt;/author&gt;&lt;/authors&gt;&lt;/contributors&gt;&lt;titles&gt;&lt;title&gt;Cannabis and its effects on driving skills&lt;/title&gt;&lt;secondary-title&gt;Forensic Science International&lt;/secondary-title&gt;&lt;/titles&gt;&lt;periodical&gt;&lt;full-title&gt;Forensic Sci Int&lt;/full-title&gt;&lt;abbr-1&gt;Forensic science international&lt;/abbr-1&gt;&lt;/periodical&gt;&lt;pages&gt;92-102&lt;/pages&gt;&lt;volume&gt;268&lt;/volume&gt;&lt;keywords&gt;&lt;keyword&gt;THC&lt;/keyword&gt;&lt;keyword&gt;Cannabis&lt;/keyword&gt;&lt;keyword&gt;Psychomotor effects&lt;/keyword&gt;&lt;keyword&gt;Fitness to drive&lt;/keyword&gt;&lt;keyword&gt;Driving&lt;/keyword&gt;&lt;/keywords&gt;&lt;dates&gt;&lt;year&gt;2016&lt;/year&gt;&lt;pub-dates&gt;&lt;date&gt;11//&lt;/date&gt;&lt;/pub-dates&gt;&lt;/dates&gt;&lt;isbn&gt;0379-0738&lt;/isbn&gt;&lt;urls&gt;&lt;related-urls&gt;&lt;url&gt;http://www.sciencedirect.com/science/article/pii/S0379073816304133&lt;/url&gt;&lt;/related-urls&gt;&lt;/urls&gt;&lt;electronic-resource-num&gt;https://doi.org/10.1016/j.forsciint.2016.09.007&lt;/electronic-resource-num&gt;&lt;/record&gt;&lt;/Cite&gt;&lt;/EndNote&gt;</w:instrText>
      </w:r>
      <w:r w:rsidRPr="00E82261">
        <w:rPr>
          <w:rFonts w:ascii="Arial" w:hAnsi="Arial" w:cs="Arial"/>
          <w:sz w:val="24"/>
          <w:szCs w:val="24"/>
        </w:rPr>
        <w:fldChar w:fldCharType="separate"/>
      </w:r>
      <w:r w:rsidRPr="00E82261">
        <w:rPr>
          <w:rFonts w:ascii="Arial" w:hAnsi="Arial" w:cs="Arial"/>
          <w:noProof/>
          <w:sz w:val="24"/>
          <w:szCs w:val="24"/>
        </w:rPr>
        <w:t>(Bondallaz et al., 2016)</w:t>
      </w:r>
      <w:r w:rsidRPr="00E82261">
        <w:rPr>
          <w:rFonts w:ascii="Arial" w:hAnsi="Arial" w:cs="Arial"/>
          <w:sz w:val="24"/>
          <w:szCs w:val="24"/>
        </w:rPr>
        <w:fldChar w:fldCharType="end"/>
      </w:r>
      <w:r w:rsidRPr="00E82261">
        <w:rPr>
          <w:rFonts w:ascii="Arial" w:hAnsi="Arial" w:cs="Arial"/>
          <w:sz w:val="24"/>
          <w:szCs w:val="24"/>
        </w:rPr>
        <w:t xml:space="preserve">. We expanded on this by incorporating these behavioral measurement categories into our analytic table.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After information from all studies was extracted to the large summary table, we further refined the analysis in order to enhance the digestibility of the results. We created four separate analytic tables grouped by study setting (lab, simulator, on road, and observational). Each table presents a refined analysis, where detailed results are omitted in favor of a simple summary of the results with regard to the impact of marijuana on task performance. We documented whether marijuana exposure hurt performance, improved performance, or had no effect on performance on specified tests. These tables are designed to allow the reader to digest the results at a higher level and examine trends otherwise invisible at increased levels of granularity.</w:t>
      </w:r>
    </w:p>
    <w:p w:rsidR="00EA0518" w:rsidRPr="00E82261" w:rsidRDefault="00EA0518" w:rsidP="00F950A2">
      <w:pPr>
        <w:pStyle w:val="BodyText"/>
      </w:pPr>
      <w:bookmarkStart w:id="295" w:name="_Toc512861202"/>
    </w:p>
    <w:p w:rsidR="00EC25F0" w:rsidRPr="00E82261" w:rsidRDefault="00EC25F0" w:rsidP="00332358">
      <w:pPr>
        <w:pStyle w:val="Heading3"/>
      </w:pPr>
      <w:bookmarkStart w:id="296" w:name="_Toc11765977"/>
      <w:bookmarkStart w:id="297" w:name="_Toc11766632"/>
      <w:r w:rsidRPr="00E82261">
        <w:t>Research Question 3B: Field Measurement of Marijuana’s Effects and Accuracy for Determining Impairment</w:t>
      </w:r>
      <w:bookmarkEnd w:id="295"/>
      <w:bookmarkEnd w:id="296"/>
      <w:bookmarkEnd w:id="297"/>
    </w:p>
    <w:p w:rsidR="006D0A50" w:rsidRPr="00E82261" w:rsidRDefault="006D0A50" w:rsidP="006057BE">
      <w:pPr>
        <w:pStyle w:val="BodyText"/>
        <w:spacing w:line="240" w:lineRule="auto"/>
        <w:rPr>
          <w:rFonts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The first component of research question 3b, which addresses how cognitive and behavioral effects of marijuana exposure are measured in a laboratory setting, was answered using the search results from research question 3a.  Please refer to RQ3a methods for details on the search methods. Search efforts for this research question focused only on the latter part of the question, which attempts to determine how the cognitive behavioral impacts of marijuana exposure are measured in field settings and the validation and accuracy of those tools.</w:t>
      </w: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To accomplish this, four separate search strings / strategies were developed to answer this question (Table 1. Search Strings). PubMed was searched. The first string scanned the peer reviewed literature for studies of screening tools that measure cognitive/behavioral indicators of marijuana exposure. After abstract screening, this search did not return any results.</w:t>
      </w: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The second string searched the peer reviewed literature for studies of screening tools that measured indicators of cognitive / behavioral deficits. This was done to gain a broader understanding of currently available validated tools. The overall goal was to identify tools that may have utility when applied to measuring marijuana exposure. After abstract screening, this search returned 2 results.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The third string searched the peer reviewed literature for studies that assessed the validity of standardized field sobriety tests (SFSTs) for measuring marijuana. This search was conducted due to the fact that SFSTs are currently used by law enforcement to determine impairment. After abstract screening, this search returned 3 results.</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The fourth component of this approach was to scan of the grey literature / internet for tools and or screening devices that might have utility in measuring cognitive or behavioral impacts of marijuana exposure. These included mobile applications. This search returned 5 results, but we excluded 2 apps that were designed generally for cognitive impairment but did not touch directly on tasks used to measure marijuana-related effects in laboratory settings. Results from the four searches were extracted into two separate analytic tables, one for peer reviewed results, and the other for non-peer reviewed results.</w:t>
      </w:r>
      <w:bookmarkStart w:id="298" w:name="_Ref509777608"/>
    </w:p>
    <w:p w:rsidR="0090612A" w:rsidRPr="0084373E" w:rsidRDefault="0090612A" w:rsidP="006057BE">
      <w:pPr>
        <w:spacing w:after="0" w:line="240" w:lineRule="auto"/>
        <w:rPr>
          <w:rFonts w:cs="Times New Roman"/>
          <w:b/>
          <w:sz w:val="12"/>
          <w:szCs w:val="24"/>
        </w:rPr>
      </w:pPr>
    </w:p>
    <w:p w:rsidR="00EC25F0" w:rsidRPr="00E82261" w:rsidRDefault="00EC25F0" w:rsidP="006057BE">
      <w:pPr>
        <w:spacing w:after="0" w:line="240" w:lineRule="auto"/>
        <w:rPr>
          <w:rFonts w:ascii="Arial" w:hAnsi="Arial" w:cs="Arial"/>
          <w:b/>
          <w:sz w:val="24"/>
          <w:szCs w:val="24"/>
        </w:rPr>
      </w:pPr>
      <w:r w:rsidRPr="00E82261">
        <w:rPr>
          <w:rFonts w:ascii="Arial" w:hAnsi="Arial" w:cs="Arial"/>
          <w:b/>
          <w:sz w:val="24"/>
          <w:szCs w:val="24"/>
        </w:rPr>
        <w:t>Table 1. Search Strings</w:t>
      </w:r>
      <w:bookmarkEnd w:id="298"/>
    </w:p>
    <w:tbl>
      <w:tblPr>
        <w:tblStyle w:val="TableGrid"/>
        <w:tblpPr w:leftFromText="180" w:rightFromText="180" w:vertAnchor="text" w:horzAnchor="margin" w:tblpY="83"/>
        <w:tblW w:w="9378" w:type="dxa"/>
        <w:tblLook w:val="04A0" w:firstRow="1" w:lastRow="0" w:firstColumn="1" w:lastColumn="0" w:noHBand="0" w:noVBand="1"/>
        <w:tblCaption w:val="Search Strings for Research Questions"/>
        <w:tblDescription w:val="The table summarizes the systematic literature review process using search strings in various databases. Topics included 1) the most current science on quantifying marijuana exposure in an analytical chemistry laboratory or clinical laboratory setting in different matrices through quantitative measurement of marijuana and its metabolites, 2) Methods available for quantifying marijuana exposure in the field and the precision and accuracy of these methods for detecting marijuana exposure (compared to laboratory-based methods), 3) the cognitive and behavioral indicators of marijuana exposure relevant to operating a motor vehicle as well as the cognitive and behavioral effects of marijuana impairment measured in laboratory settings and in field settings."/>
      </w:tblPr>
      <w:tblGrid>
        <w:gridCol w:w="1435"/>
        <w:gridCol w:w="2813"/>
        <w:gridCol w:w="5130"/>
      </w:tblGrid>
      <w:tr w:rsidR="00EC25F0" w:rsidRPr="0084373E" w:rsidTr="00C23696">
        <w:trPr>
          <w:trHeight w:val="440"/>
        </w:trPr>
        <w:tc>
          <w:tcPr>
            <w:tcW w:w="1435" w:type="dxa"/>
            <w:tcBorders>
              <w:bottom w:val="single" w:sz="4" w:space="0" w:color="auto"/>
            </w:tcBorders>
            <w:shd w:val="clear" w:color="auto" w:fill="auto"/>
          </w:tcPr>
          <w:p w:rsidR="00EC25F0" w:rsidRPr="0084373E" w:rsidRDefault="00EC25F0" w:rsidP="006057BE">
            <w:pPr>
              <w:rPr>
                <w:rFonts w:ascii="Arial" w:hAnsi="Arial" w:cs="Arial"/>
                <w:b/>
                <w:sz w:val="20"/>
                <w:szCs w:val="24"/>
              </w:rPr>
            </w:pPr>
            <w:r w:rsidRPr="0084373E">
              <w:rPr>
                <w:rFonts w:ascii="Arial" w:hAnsi="Arial" w:cs="Arial"/>
                <w:b/>
                <w:sz w:val="20"/>
                <w:szCs w:val="24"/>
              </w:rPr>
              <w:t>Research Question</w:t>
            </w:r>
          </w:p>
        </w:tc>
        <w:tc>
          <w:tcPr>
            <w:tcW w:w="2813" w:type="dxa"/>
            <w:tcBorders>
              <w:bottom w:val="single" w:sz="4" w:space="0" w:color="auto"/>
            </w:tcBorders>
            <w:shd w:val="clear" w:color="auto" w:fill="auto"/>
          </w:tcPr>
          <w:p w:rsidR="00EC25F0" w:rsidRPr="0084373E" w:rsidRDefault="00EC25F0" w:rsidP="006057BE">
            <w:pPr>
              <w:rPr>
                <w:rFonts w:ascii="Arial" w:hAnsi="Arial" w:cs="Arial"/>
                <w:b/>
                <w:sz w:val="20"/>
                <w:szCs w:val="24"/>
              </w:rPr>
            </w:pPr>
            <w:r w:rsidRPr="0084373E">
              <w:rPr>
                <w:rFonts w:ascii="Arial" w:hAnsi="Arial" w:cs="Arial"/>
                <w:b/>
                <w:sz w:val="20"/>
                <w:szCs w:val="24"/>
              </w:rPr>
              <w:t>Database</w:t>
            </w:r>
          </w:p>
        </w:tc>
        <w:tc>
          <w:tcPr>
            <w:tcW w:w="5130" w:type="dxa"/>
            <w:tcBorders>
              <w:bottom w:val="single" w:sz="4" w:space="0" w:color="auto"/>
            </w:tcBorders>
            <w:shd w:val="clear" w:color="auto" w:fill="auto"/>
          </w:tcPr>
          <w:p w:rsidR="00EC25F0" w:rsidRPr="0084373E" w:rsidRDefault="00EC25F0" w:rsidP="006057BE">
            <w:pPr>
              <w:rPr>
                <w:rFonts w:ascii="Arial" w:hAnsi="Arial" w:cs="Arial"/>
                <w:b/>
                <w:sz w:val="20"/>
                <w:szCs w:val="24"/>
              </w:rPr>
            </w:pPr>
            <w:r w:rsidRPr="0084373E">
              <w:rPr>
                <w:rFonts w:ascii="Arial" w:hAnsi="Arial" w:cs="Arial"/>
                <w:b/>
                <w:sz w:val="20"/>
                <w:szCs w:val="24"/>
              </w:rPr>
              <w:t>Search String / Search Terms</w:t>
            </w:r>
          </w:p>
        </w:tc>
      </w:tr>
      <w:tr w:rsidR="00EC25F0" w:rsidRPr="0084373E" w:rsidTr="00C23696">
        <w:trPr>
          <w:trHeight w:val="1004"/>
        </w:trPr>
        <w:tc>
          <w:tcPr>
            <w:tcW w:w="1435"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RQ1</w:t>
            </w:r>
          </w:p>
        </w:tc>
        <w:tc>
          <w:tcPr>
            <w:tcW w:w="2813"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PubMed</w:t>
            </w:r>
          </w:p>
        </w:tc>
        <w:tc>
          <w:tcPr>
            <w:tcW w:w="5130"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Marijuana AND Biological Matrices</w:t>
            </w:r>
          </w:p>
        </w:tc>
      </w:tr>
      <w:tr w:rsidR="00EC25F0" w:rsidRPr="0084373E" w:rsidTr="00C23696">
        <w:trPr>
          <w:trHeight w:val="1004"/>
        </w:trPr>
        <w:tc>
          <w:tcPr>
            <w:tcW w:w="1435"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RQ2</w:t>
            </w:r>
          </w:p>
        </w:tc>
        <w:tc>
          <w:tcPr>
            <w:tcW w:w="2813"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PubMed</w:t>
            </w:r>
          </w:p>
        </w:tc>
        <w:tc>
          <w:tcPr>
            <w:tcW w:w="5130"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((((marijuana OR cannabis OR Cannabinoids OR Tetrahydrocannabinol OR THC) AND (On-site OR rapid OR field) AND (method OR test OR evaluation OR screening OR measurement OR "Point-of-Care Testing” AND (Device OR kit)))))</w:t>
            </w:r>
          </w:p>
        </w:tc>
      </w:tr>
      <w:tr w:rsidR="00EC25F0" w:rsidRPr="0084373E" w:rsidTr="00C23696">
        <w:trPr>
          <w:trHeight w:val="952"/>
        </w:trPr>
        <w:tc>
          <w:tcPr>
            <w:tcW w:w="1435"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RQ2</w:t>
            </w:r>
          </w:p>
        </w:tc>
        <w:tc>
          <w:tcPr>
            <w:tcW w:w="2813"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Web of Science</w:t>
            </w:r>
          </w:p>
        </w:tc>
        <w:tc>
          <w:tcPr>
            <w:tcW w:w="5130"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((((marijuana OR cannabis OR Cannabinoids OR Tetrahydrocannabinol OR THC) AND (On-site OR rapid) AND (test OR evaluation OR "screening" OR "measurement" OR "Point-of-Care Testing") AND (Device OR Kit))))</w:t>
            </w:r>
          </w:p>
        </w:tc>
      </w:tr>
      <w:tr w:rsidR="00EC25F0" w:rsidRPr="0084373E" w:rsidTr="00C23696">
        <w:trPr>
          <w:trHeight w:val="467"/>
        </w:trPr>
        <w:tc>
          <w:tcPr>
            <w:tcW w:w="1435"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RQ2</w:t>
            </w:r>
          </w:p>
        </w:tc>
        <w:tc>
          <w:tcPr>
            <w:tcW w:w="2813"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NHTSA</w:t>
            </w:r>
          </w:p>
        </w:tc>
        <w:tc>
          <w:tcPr>
            <w:tcW w:w="5130"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Marijuana, Cannabis, Tetrahydrocannabinol. Cannabinoids, On site, Rapid, Test, Evaluation, Measurement, Device</w:t>
            </w:r>
          </w:p>
        </w:tc>
      </w:tr>
      <w:tr w:rsidR="00EC25F0" w:rsidRPr="0084373E" w:rsidTr="00C23696">
        <w:trPr>
          <w:trHeight w:val="584"/>
        </w:trPr>
        <w:tc>
          <w:tcPr>
            <w:tcW w:w="1435"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RQ2</w:t>
            </w:r>
          </w:p>
        </w:tc>
        <w:tc>
          <w:tcPr>
            <w:tcW w:w="2813"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AAA Foundation</w:t>
            </w:r>
          </w:p>
        </w:tc>
        <w:tc>
          <w:tcPr>
            <w:tcW w:w="5130"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Marijuana, Cannabis, Tetrahydrocannabinol. Cannabinoids, On site, Rapid, Test, Evaluation, Measurement, Device</w:t>
            </w:r>
          </w:p>
        </w:tc>
      </w:tr>
      <w:tr w:rsidR="00EC25F0" w:rsidRPr="0084373E" w:rsidTr="00C23696">
        <w:trPr>
          <w:trHeight w:val="548"/>
        </w:trPr>
        <w:tc>
          <w:tcPr>
            <w:tcW w:w="1435"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RQ3A</w:t>
            </w:r>
          </w:p>
        </w:tc>
        <w:tc>
          <w:tcPr>
            <w:tcW w:w="2813"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PubMed (Initial Search)</w:t>
            </w:r>
          </w:p>
        </w:tc>
        <w:tc>
          <w:tcPr>
            <w:tcW w:w="5130"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(cognitive OR cognition OR behavior) AND motor vehicle AND (operation OR driving OR drive)</w:t>
            </w:r>
          </w:p>
        </w:tc>
      </w:tr>
      <w:tr w:rsidR="00EC25F0" w:rsidRPr="0084373E" w:rsidTr="00C23696">
        <w:trPr>
          <w:trHeight w:val="521"/>
        </w:trPr>
        <w:tc>
          <w:tcPr>
            <w:tcW w:w="1435"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RQ3A</w:t>
            </w:r>
          </w:p>
        </w:tc>
        <w:tc>
          <w:tcPr>
            <w:tcW w:w="2813"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Web of Science Initial Search</w:t>
            </w:r>
          </w:p>
        </w:tc>
        <w:tc>
          <w:tcPr>
            <w:tcW w:w="5130"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(cognitive OR cognition OR behavior) AND motor vehicle AND (operation OR driving OR drive)</w:t>
            </w:r>
          </w:p>
        </w:tc>
      </w:tr>
      <w:tr w:rsidR="00EC25F0" w:rsidRPr="0084373E" w:rsidTr="00C23696">
        <w:trPr>
          <w:trHeight w:val="952"/>
        </w:trPr>
        <w:tc>
          <w:tcPr>
            <w:tcW w:w="1435"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RQ3A</w:t>
            </w:r>
          </w:p>
        </w:tc>
        <w:tc>
          <w:tcPr>
            <w:tcW w:w="2813"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PubMed (Update Search)</w:t>
            </w:r>
          </w:p>
        </w:tc>
        <w:tc>
          <w:tcPr>
            <w:tcW w:w="5130"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(((neurocognitive OR neurocognition OR cognitive OR cognition OR Behavior OR Behavioral OR Performance))) AND (((driving OR drive))) AND ((marijuana OR cannabis OR Cannabinoids OR Tetrahydrocannabinol OR THC))</w:t>
            </w:r>
          </w:p>
        </w:tc>
      </w:tr>
      <w:tr w:rsidR="00EC25F0" w:rsidRPr="0084373E" w:rsidTr="00C23696">
        <w:trPr>
          <w:trHeight w:val="952"/>
        </w:trPr>
        <w:tc>
          <w:tcPr>
            <w:tcW w:w="1435"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RQ3A</w:t>
            </w:r>
          </w:p>
        </w:tc>
        <w:tc>
          <w:tcPr>
            <w:tcW w:w="2813"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Web of Science (Update Search)</w:t>
            </w:r>
          </w:p>
        </w:tc>
        <w:tc>
          <w:tcPr>
            <w:tcW w:w="5130"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(((neurocognitive OR neurocognition OR cognitive OR cognition OR Behavior OR Behavioral OR Performance))) AND (((driving OR drive))) AND ((marijuana OR cannabis OR Cannabinoids OR Tetrahydrocannabinol OR THC))</w:t>
            </w:r>
          </w:p>
        </w:tc>
      </w:tr>
      <w:tr w:rsidR="00EC25F0" w:rsidRPr="0084373E" w:rsidTr="00C23696">
        <w:trPr>
          <w:trHeight w:val="627"/>
        </w:trPr>
        <w:tc>
          <w:tcPr>
            <w:tcW w:w="1435"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R3B</w:t>
            </w:r>
          </w:p>
        </w:tc>
        <w:tc>
          <w:tcPr>
            <w:tcW w:w="2813"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PubMed (Search String A)</w:t>
            </w:r>
          </w:p>
        </w:tc>
        <w:tc>
          <w:tcPr>
            <w:tcW w:w="5130"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(Cognitive OR Behavioral) AND (Marijuana OR Cannabis) AND (Field or On-site or road side) AND (Screening OR Test OR app OR measurement OR evaluation)</w:t>
            </w:r>
          </w:p>
        </w:tc>
      </w:tr>
      <w:tr w:rsidR="00EC25F0" w:rsidRPr="0084373E" w:rsidTr="00C23696">
        <w:trPr>
          <w:trHeight w:val="528"/>
        </w:trPr>
        <w:tc>
          <w:tcPr>
            <w:tcW w:w="1435"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 xml:space="preserve">R3B </w:t>
            </w:r>
          </w:p>
        </w:tc>
        <w:tc>
          <w:tcPr>
            <w:tcW w:w="2813"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PubMed (Search String B)</w:t>
            </w:r>
          </w:p>
        </w:tc>
        <w:tc>
          <w:tcPr>
            <w:tcW w:w="5130"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(mobile) AND (Cognitive OR Behavioral) AND (Dysfunction OR Impairment) AND (app OR Test OR screening OR application OR evaluation OR measurement)</w:t>
            </w:r>
          </w:p>
        </w:tc>
      </w:tr>
      <w:tr w:rsidR="00EC25F0" w:rsidRPr="0084373E" w:rsidTr="00C23696">
        <w:trPr>
          <w:trHeight w:val="764"/>
        </w:trPr>
        <w:tc>
          <w:tcPr>
            <w:tcW w:w="1435"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R3B</w:t>
            </w:r>
          </w:p>
        </w:tc>
        <w:tc>
          <w:tcPr>
            <w:tcW w:w="2813"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PubMed (Search String C)</w:t>
            </w:r>
          </w:p>
        </w:tc>
        <w:tc>
          <w:tcPr>
            <w:tcW w:w="5130"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(Marijuana OR Cannabis) AND (Impairment OR Effect OR Influence) AND (Standard Field Sobriety Test or SFST) AND (Accuracy OR Validity OR Effectiveness)</w:t>
            </w:r>
          </w:p>
        </w:tc>
      </w:tr>
      <w:tr w:rsidR="00EC25F0" w:rsidRPr="0084373E" w:rsidTr="00C23696">
        <w:trPr>
          <w:trHeight w:val="90"/>
        </w:trPr>
        <w:tc>
          <w:tcPr>
            <w:tcW w:w="1435"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RQ3B</w:t>
            </w:r>
          </w:p>
        </w:tc>
        <w:tc>
          <w:tcPr>
            <w:tcW w:w="2813"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Google (Search D)</w:t>
            </w:r>
          </w:p>
        </w:tc>
        <w:tc>
          <w:tcPr>
            <w:tcW w:w="5130" w:type="dxa"/>
            <w:tcBorders>
              <w:top w:val="single" w:sz="4" w:space="0" w:color="auto"/>
              <w:left w:val="single" w:sz="4" w:space="0" w:color="auto"/>
              <w:bottom w:val="single" w:sz="4" w:space="0" w:color="auto"/>
              <w:right w:val="single" w:sz="4" w:space="0" w:color="auto"/>
            </w:tcBorders>
          </w:tcPr>
          <w:p w:rsidR="00EC25F0" w:rsidRPr="0084373E" w:rsidRDefault="00EC25F0" w:rsidP="006057BE">
            <w:pPr>
              <w:rPr>
                <w:rFonts w:ascii="Arial" w:hAnsi="Arial" w:cs="Arial"/>
                <w:sz w:val="20"/>
                <w:szCs w:val="24"/>
              </w:rPr>
            </w:pPr>
            <w:r w:rsidRPr="0084373E">
              <w:rPr>
                <w:rFonts w:ascii="Arial" w:hAnsi="Arial" w:cs="Arial"/>
                <w:sz w:val="20"/>
                <w:szCs w:val="24"/>
              </w:rPr>
              <w:t xml:space="preserve">Mobile, app, test, screening, (name of specific test) </w:t>
            </w:r>
          </w:p>
          <w:p w:rsidR="00EC25F0" w:rsidRPr="0084373E" w:rsidRDefault="00EC25F0" w:rsidP="006057BE">
            <w:pPr>
              <w:rPr>
                <w:rFonts w:ascii="Arial" w:hAnsi="Arial" w:cs="Arial"/>
                <w:sz w:val="20"/>
                <w:szCs w:val="24"/>
              </w:rPr>
            </w:pPr>
            <w:r w:rsidRPr="0084373E">
              <w:rPr>
                <w:rFonts w:ascii="Arial" w:hAnsi="Arial" w:cs="Arial"/>
                <w:sz w:val="20"/>
                <w:szCs w:val="24"/>
              </w:rPr>
              <w:t>Example: “mobile Stroop test”</w:t>
            </w:r>
          </w:p>
        </w:tc>
      </w:tr>
    </w:tbl>
    <w:p w:rsidR="00EC25F0" w:rsidRPr="0084373E" w:rsidRDefault="00EC25F0" w:rsidP="006057BE">
      <w:pPr>
        <w:pStyle w:val="BodyText"/>
        <w:spacing w:line="240" w:lineRule="auto"/>
      </w:pPr>
      <w:bookmarkStart w:id="299" w:name="_Toc512861203"/>
    </w:p>
    <w:p w:rsidR="00EA0518" w:rsidRDefault="00EA0518" w:rsidP="00F950A2">
      <w:pPr>
        <w:pStyle w:val="BodyText"/>
      </w:pPr>
    </w:p>
    <w:p w:rsidR="00EC25F0" w:rsidRDefault="00EC25F0" w:rsidP="005F7A46">
      <w:pPr>
        <w:pStyle w:val="Heading2"/>
      </w:pPr>
      <w:bookmarkStart w:id="300" w:name="_Toc11765978"/>
      <w:bookmarkStart w:id="301" w:name="_Toc11766633"/>
      <w:bookmarkStart w:id="302" w:name="_Toc11917223"/>
      <w:bookmarkStart w:id="303" w:name="_Toc11921661"/>
      <w:bookmarkStart w:id="304" w:name="_Toc12520940"/>
      <w:bookmarkStart w:id="305" w:name="_Toc12521166"/>
      <w:bookmarkStart w:id="306" w:name="_Toc12529136"/>
      <w:r w:rsidRPr="0084373E">
        <w:t>Results</w:t>
      </w:r>
      <w:bookmarkEnd w:id="299"/>
      <w:bookmarkEnd w:id="300"/>
      <w:bookmarkEnd w:id="301"/>
      <w:bookmarkEnd w:id="302"/>
      <w:bookmarkEnd w:id="303"/>
      <w:bookmarkEnd w:id="304"/>
      <w:bookmarkEnd w:id="305"/>
      <w:bookmarkEnd w:id="306"/>
    </w:p>
    <w:p w:rsidR="006D0A50" w:rsidRPr="006D0A50" w:rsidRDefault="006D0A50" w:rsidP="006057BE">
      <w:pPr>
        <w:pStyle w:val="BodyText"/>
        <w:spacing w:line="240" w:lineRule="auto"/>
      </w:pPr>
    </w:p>
    <w:p w:rsidR="00EC25F0" w:rsidRPr="0084373E" w:rsidRDefault="00EC25F0" w:rsidP="00332358">
      <w:pPr>
        <w:pStyle w:val="Heading3"/>
      </w:pPr>
      <w:bookmarkStart w:id="307" w:name="_Toc512861204"/>
      <w:bookmarkStart w:id="308" w:name="_Toc11765979"/>
      <w:bookmarkStart w:id="309" w:name="_Toc11766634"/>
      <w:r w:rsidRPr="0084373E">
        <w:t>Research Question 1: Quantifying Marijuana Exposure in a Laboratory Setting</w:t>
      </w:r>
      <w:bookmarkEnd w:id="307"/>
      <w:bookmarkEnd w:id="308"/>
      <w:bookmarkEnd w:id="309"/>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There are currently three widely accepted laboratory methods for measuring cannabinoids in human biological matrices: immunoassays, chromatography, and mass spectrometry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&lt;EndNote&gt;&lt;Cite&gt;&lt;Author&gt;Huestis&lt;/Author&gt;&lt;Year&gt;2018&lt;/Year&gt;&lt;RecNum&gt;1442&lt;/RecNum&gt;&lt;DisplayText&gt;(Huestis &amp;amp; Smith, 2018)&lt;/DisplayText&gt;&lt;record&gt;&lt;rec-number&gt;1442&lt;/rec-number&gt;&lt;foreign-keys&gt;&lt;key app="EN" db-id="d0tr9f9wrrzr9lef5rsvpsadtz2we0sa25tw" timestamp="1522298051"&gt;1442&lt;/key&gt;&lt;/foreign-keys&gt;&lt;ref-type name="Journal Article"&gt;17&lt;/ref-type&gt;&lt;contributors&gt;&lt;authors&gt;&lt;author&gt;Huestis, M. A.&lt;/author&gt;&lt;author&gt;Smith, M. L.&lt;/author&gt;&lt;/authors&gt;&lt;/contributors&gt;&lt;auth-address&gt;Institute of Emerging Health Professions, Thomas Jefferson University, Philadelphia, PA, USA; Huestis &amp;amp; Smith Toxicology LLC, Severna Park, MD, USA. Electronic address: marilyn.huestis@gmail.com.&amp;#xD;Huestis &amp;amp; Smith Toxicology LLC, Severna Park, MD, USA.&lt;/auth-address&gt;&lt;titles&gt;&lt;title&gt;Cannabinoid Markers in Biological Fluids and Tissues: Revealing Intake&lt;/title&gt;&lt;secondary-title&gt;Trends Mol Med&lt;/secondary-title&gt;&lt;alt-title&gt;Trends in molecular medicine&lt;/alt-title&gt;&lt;/titles&gt;&lt;periodical&gt;&lt;full-title&gt;Trends Mol Med&lt;/full-title&gt;&lt;abbr-1&gt;Trends in molecular medicine&lt;/abbr-1&gt;&lt;/periodical&gt;&lt;alt-periodical&gt;&lt;full-title&gt;Trends Mol Med&lt;/full-title&gt;&lt;abbr-1&gt;Trends in molecular medicine&lt;/abbr-1&gt;&lt;/alt-periodical&gt;&lt;pages&gt;156-172&lt;/pages&gt;&lt;volume&gt;24&lt;/volume&gt;&lt;number&gt;2&lt;/number&gt;&lt;edition&gt;2018/02/06&lt;/edition&gt;&lt;dates&gt;&lt;year&gt;2018&lt;/year&gt;&lt;pub-dates&gt;&lt;date&gt;Feb&lt;/date&gt;&lt;/pub-dates&gt;&lt;/dates&gt;&lt;isbn&gt;1471-4914&lt;/isbn&gt;&lt;accession-num&gt;29398403&lt;/accession-num&gt;&lt;urls&gt;&lt;/urls&gt;&lt;electronic-resource-num&gt;10.1016/j.molmed.2017.12.006&lt;/electronic-resource-num&gt;&lt;remote-database-provider&gt;NLM&lt;/remote-database-provider&gt;&lt;language&gt;eng&lt;/language&gt;&lt;/record&gt;&lt;/Cite&gt;&lt;/EndNote&gt;</w:instrText>
      </w:r>
      <w:r w:rsidRPr="00E82261">
        <w:rPr>
          <w:rFonts w:ascii="Arial" w:hAnsi="Arial" w:cs="Arial"/>
          <w:sz w:val="24"/>
          <w:szCs w:val="24"/>
        </w:rPr>
        <w:fldChar w:fldCharType="separate"/>
      </w:r>
      <w:r w:rsidRPr="00E82261">
        <w:rPr>
          <w:rFonts w:ascii="Arial" w:hAnsi="Arial" w:cs="Arial"/>
          <w:noProof/>
          <w:sz w:val="24"/>
          <w:szCs w:val="24"/>
        </w:rPr>
        <w:t>(Huestis &amp; Smith, 2018)</w:t>
      </w:r>
      <w:r w:rsidRPr="00E82261">
        <w:rPr>
          <w:rFonts w:ascii="Arial" w:hAnsi="Arial" w:cs="Arial"/>
          <w:sz w:val="24"/>
          <w:szCs w:val="24"/>
        </w:rPr>
        <w:fldChar w:fldCharType="end"/>
      </w:r>
      <w:r w:rsidRPr="00E82261">
        <w:rPr>
          <w:rFonts w:ascii="Arial" w:hAnsi="Arial" w:cs="Arial"/>
          <w:sz w:val="24"/>
          <w:szCs w:val="24"/>
        </w:rPr>
        <w:t xml:space="preserve">. Historically, Gas Chromatography with Mass Spectrometry (GC-MS) has been most frequently utilized method. However, recent desire to identify increasingly informative markers of marijuana exposure has led to more frequent utilization of liquid chromatography tandem mass spectrometry (LC-MS/MS) and high-resolution mass spectrometry (HR-MS) measurement methods. Among other advantages, the LC-MS/MS method allows simultaneous quantification of free and conjugated analytes in a single assay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&lt;EndNote&gt;&lt;Cite&gt;&lt;Author&gt;Huestis&lt;/Author&gt;&lt;Year&gt;2018&lt;/Year&gt;&lt;RecNum&gt;1442&lt;/RecNum&gt;&lt;DisplayText&gt;(Huestis &amp;amp; Smith, 2018)&lt;/DisplayText&gt;&lt;record&gt;&lt;rec-number&gt;1442&lt;/rec-number&gt;&lt;foreign-keys&gt;&lt;key app="EN" db-id="d0tr9f9wrrzr9lef5rsvpsadtz2we0sa25tw" timestamp="1522298051"&gt;1442&lt;/key&gt;&lt;/foreign-keys&gt;&lt;ref-type name="Journal Article"&gt;17&lt;/ref-type&gt;&lt;contributors&gt;&lt;authors&gt;&lt;author&gt;Huestis, M. A.&lt;/author&gt;&lt;author&gt;Smith, M. L.&lt;/author&gt;&lt;/authors&gt;&lt;/contributors&gt;&lt;auth-address&gt;Institute of Emerging Health Professions, Thomas Jefferson University, Philadelphia, PA, USA; Huestis &amp;amp; Smith Toxicology LLC, Severna Park, MD, USA. Electronic address: marilyn.huestis@gmail.com.&amp;#xD;Huestis &amp;amp; Smith Toxicology LLC, Severna Park, MD, USA.&lt;/auth-address&gt;&lt;titles&gt;&lt;title&gt;Cannabinoid Markers in Biological Fluids and Tissues: Revealing Intake&lt;/title&gt;&lt;secondary-title&gt;Trends Mol Med&lt;/secondary-title&gt;&lt;alt-title&gt;Trends in molecular medicine&lt;/alt-title&gt;&lt;/titles&gt;&lt;periodical&gt;&lt;full-title&gt;Trends Mol Med&lt;/full-title&gt;&lt;abbr-1&gt;Trends in molecular medicine&lt;/abbr-1&gt;&lt;/periodical&gt;&lt;alt-periodical&gt;&lt;full-title&gt;Trends Mol Med&lt;/full-title&gt;&lt;abbr-1&gt;Trends in molecular medicine&lt;/abbr-1&gt;&lt;/alt-periodical&gt;&lt;pages&gt;156-172&lt;/pages&gt;&lt;volume&gt;24&lt;/volume&gt;&lt;number&gt;2&lt;/number&gt;&lt;edition&gt;2018/02/06&lt;/edition&gt;&lt;dates&gt;&lt;year&gt;2018&lt;/year&gt;&lt;pub-dates&gt;&lt;date&gt;Feb&lt;/date&gt;&lt;/pub-dates&gt;&lt;/dates&gt;&lt;isbn&gt;1471-4914&lt;/isbn&gt;&lt;accession-num&gt;29398403&lt;/accession-num&gt;&lt;urls&gt;&lt;/urls&gt;&lt;electronic-resource-num&gt;10.1016/j.molmed.2017.12.006&lt;/electronic-resource-num&gt;&lt;remote-database-provider&gt;NLM&lt;/remote-database-provider&gt;&lt;language&gt;eng&lt;/language&gt;&lt;/record&gt;&lt;/Cite&gt;&lt;/EndNote&gt;</w:instrText>
      </w:r>
      <w:r w:rsidRPr="00E82261">
        <w:rPr>
          <w:rFonts w:ascii="Arial" w:hAnsi="Arial" w:cs="Arial"/>
          <w:sz w:val="24"/>
          <w:szCs w:val="24"/>
        </w:rPr>
        <w:fldChar w:fldCharType="separate"/>
      </w:r>
      <w:r w:rsidRPr="00E82261">
        <w:rPr>
          <w:rFonts w:ascii="Arial" w:hAnsi="Arial" w:cs="Arial"/>
          <w:noProof/>
          <w:sz w:val="24"/>
          <w:szCs w:val="24"/>
        </w:rPr>
        <w:t>(Huestis &amp; Smith, 2018)</w:t>
      </w:r>
      <w:r w:rsidRPr="00E82261">
        <w:rPr>
          <w:rFonts w:ascii="Arial" w:hAnsi="Arial" w:cs="Arial"/>
          <w:sz w:val="24"/>
          <w:szCs w:val="24"/>
        </w:rPr>
        <w:fldChar w:fldCharType="end"/>
      </w:r>
      <w:r w:rsidRPr="00E82261">
        <w:rPr>
          <w:rFonts w:ascii="Arial" w:hAnsi="Arial" w:cs="Arial"/>
          <w:sz w:val="24"/>
          <w:szCs w:val="24"/>
        </w:rPr>
        <w:t xml:space="preserve">. These methods also offer high sensitivity and specificity for detecting markers of cannabis use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&lt;EndNote&gt;&lt;Cite&gt;&lt;Author&gt;Huestis&lt;/Author&gt;&lt;Year&gt;2018&lt;/Year&gt;&lt;RecNum&gt;1442&lt;/RecNum&gt;&lt;DisplayText&gt;(Huestis &amp;amp; Smith, 2018)&lt;/DisplayText&gt;&lt;record&gt;&lt;rec-number&gt;1442&lt;/rec-number&gt;&lt;foreign-keys&gt;&lt;key app="EN" db-id="d0tr9f9wrrzr9lef5rsvpsadtz2we0sa25tw" timestamp="1522298051"&gt;1442&lt;/key&gt;&lt;/foreign-keys&gt;&lt;ref-type name="Journal Article"&gt;17&lt;/ref-type&gt;&lt;contributors&gt;&lt;authors&gt;&lt;author&gt;Huestis, M. A.&lt;/author&gt;&lt;author&gt;Smith, M. L.&lt;/author&gt;&lt;/authors&gt;&lt;/contributors&gt;&lt;auth-address&gt;Institute of Emerging Health Professions, Thomas Jefferson University, Philadelphia, PA, USA; Huestis &amp;amp; Smith Toxicology LLC, Severna Park, MD, USA. Electronic address: marilyn.huestis@gmail.com.&amp;#xD;Huestis &amp;amp; Smith Toxicology LLC, Severna Park, MD, USA.&lt;/auth-address&gt;&lt;titles&gt;&lt;title&gt;Cannabinoid Markers in Biological Fluids and Tissues: Revealing Intake&lt;/title&gt;&lt;secondary-title&gt;Trends Mol Med&lt;/secondary-title&gt;&lt;alt-title&gt;Trends in molecular medicine&lt;/alt-title&gt;&lt;/titles&gt;&lt;periodical&gt;&lt;full-title&gt;Trends Mol Med&lt;/full-title&gt;&lt;abbr-1&gt;Trends in molecular medicine&lt;/abbr-1&gt;&lt;/periodical&gt;&lt;alt-periodical&gt;&lt;full-title&gt;Trends Mol Med&lt;/full-title&gt;&lt;abbr-1&gt;Trends in molecular medicine&lt;/abbr-1&gt;&lt;/alt-periodical&gt;&lt;pages&gt;156-172&lt;/pages&gt;&lt;volume&gt;24&lt;/volume&gt;&lt;number&gt;2&lt;/number&gt;&lt;edition&gt;2018/02/06&lt;/edition&gt;&lt;dates&gt;&lt;year&gt;2018&lt;/year&gt;&lt;pub-dates&gt;&lt;date&gt;Feb&lt;/date&gt;&lt;/pub-dates&gt;&lt;/dates&gt;&lt;isbn&gt;1471-4914&lt;/isbn&gt;&lt;accession-num&gt;29398403&lt;/accession-num&gt;&lt;urls&gt;&lt;/urls&gt;&lt;electronic-resource-num&gt;10.1016/j.molmed.2017.12.006&lt;/electronic-resource-num&gt;&lt;remote-database-provider&gt;NLM&lt;/remote-database-provider&gt;&lt;language&gt;eng&lt;/language&gt;&lt;/record&gt;&lt;/Cite&gt;&lt;/EndNote&gt;</w:instrText>
      </w:r>
      <w:r w:rsidRPr="00E82261">
        <w:rPr>
          <w:rFonts w:ascii="Arial" w:hAnsi="Arial" w:cs="Arial"/>
          <w:sz w:val="24"/>
          <w:szCs w:val="24"/>
        </w:rPr>
        <w:fldChar w:fldCharType="separate"/>
      </w:r>
      <w:r w:rsidRPr="00E82261">
        <w:rPr>
          <w:rFonts w:ascii="Arial" w:hAnsi="Arial" w:cs="Arial"/>
          <w:noProof/>
          <w:sz w:val="24"/>
          <w:szCs w:val="24"/>
        </w:rPr>
        <w:t>(Huestis &amp; Smith, 2018)</w:t>
      </w:r>
      <w:r w:rsidRPr="00E82261">
        <w:rPr>
          <w:rFonts w:ascii="Arial" w:hAnsi="Arial" w:cs="Arial"/>
          <w:sz w:val="24"/>
          <w:szCs w:val="24"/>
        </w:rPr>
        <w:fldChar w:fldCharType="end"/>
      </w:r>
      <w:r w:rsidRPr="00E82261">
        <w:rPr>
          <w:rFonts w:ascii="Arial" w:hAnsi="Arial" w:cs="Arial"/>
          <w:sz w:val="24"/>
          <w:szCs w:val="24"/>
        </w:rPr>
        <w:t xml:space="preserve">.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LC-MS/MS and HR-MS methods are intriguing because they offer the ability to identify the Phase II THC metabolite (THC-Glucuronide) as well as cannabigerol (CBG), cannabinol (CBN), and tetrahydrocannabivarin (THCV)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&lt;EndNote&gt;&lt;Cite&gt;&lt;Author&gt;Huestis&lt;/Author&gt;&lt;Year&gt;2018&lt;/Year&gt;&lt;RecNum&gt;1442&lt;/RecNum&gt;&lt;DisplayText&gt;(Huestis &amp;amp; Smith, 2018)&lt;/DisplayText&gt;&lt;record&gt;&lt;rec-number&gt;1442&lt;/rec-number&gt;&lt;foreign-keys&gt;&lt;key app="EN" db-id="d0tr9f9wrrzr9lef5rsvpsadtz2we0sa25tw" timestamp="1522298051"&gt;1442&lt;/key&gt;&lt;/foreign-keys&gt;&lt;ref-type name="Journal Article"&gt;17&lt;/ref-type&gt;&lt;contributors&gt;&lt;authors&gt;&lt;author&gt;Huestis, M. A.&lt;/author&gt;&lt;author&gt;Smith, M. L.&lt;/author&gt;&lt;/authors&gt;&lt;/contributors&gt;&lt;auth-address&gt;Institute of Emerging Health Professions, Thomas Jefferson University, Philadelphia, PA, USA; Huestis &amp;amp; Smith Toxicology LLC, Severna Park, MD, USA. Electronic address: marilyn.huestis@gmail.com.&amp;#xD;Huestis &amp;amp; Smith Toxicology LLC, Severna Park, MD, USA.&lt;/auth-address&gt;&lt;titles&gt;&lt;title&gt;Cannabinoid Markers in Biological Fluids and Tissues: Revealing Intake&lt;/title&gt;&lt;secondary-title&gt;Trends Mol Med&lt;/secondary-title&gt;&lt;alt-title&gt;Trends in molecular medicine&lt;/alt-title&gt;&lt;/titles&gt;&lt;periodical&gt;&lt;full-title&gt;Trends Mol Med&lt;/full-title&gt;&lt;abbr-1&gt;Trends in molecular medicine&lt;/abbr-1&gt;&lt;/periodical&gt;&lt;alt-periodical&gt;&lt;full-title&gt;Trends Mol Med&lt;/full-title&gt;&lt;abbr-1&gt;Trends in molecular medicine&lt;/abbr-1&gt;&lt;/alt-periodical&gt;&lt;pages&gt;156-172&lt;/pages&gt;&lt;volume&gt;24&lt;/volume&gt;&lt;number&gt;2&lt;/number&gt;&lt;edition&gt;2018/02/06&lt;/edition&gt;&lt;dates&gt;&lt;year&gt;2018&lt;/year&gt;&lt;pub-dates&gt;&lt;date&gt;Feb&lt;/date&gt;&lt;/pub-dates&gt;&lt;/dates&gt;&lt;isbn&gt;1471-4914&lt;/isbn&gt;&lt;accession-num&gt;29398403&lt;/accession-num&gt;&lt;urls&gt;&lt;/urls&gt;&lt;electronic-resource-num&gt;10.1016/j.molmed.2017.12.006&lt;/electronic-resource-num&gt;&lt;remote-database-provider&gt;NLM&lt;/remote-database-provider&gt;&lt;language&gt;eng&lt;/language&gt;&lt;/record&gt;&lt;/Cite&gt;&lt;/EndNote&gt;</w:instrText>
      </w:r>
      <w:r w:rsidRPr="00E82261">
        <w:rPr>
          <w:rFonts w:ascii="Arial" w:hAnsi="Arial" w:cs="Arial"/>
          <w:sz w:val="24"/>
          <w:szCs w:val="24"/>
        </w:rPr>
        <w:fldChar w:fldCharType="separate"/>
      </w:r>
      <w:r w:rsidRPr="00E82261">
        <w:rPr>
          <w:rFonts w:ascii="Arial" w:hAnsi="Arial" w:cs="Arial"/>
          <w:noProof/>
          <w:sz w:val="24"/>
          <w:szCs w:val="24"/>
        </w:rPr>
        <w:t>(Huestis &amp; Smith, 2018)</w:t>
      </w:r>
      <w:r w:rsidRPr="00E82261">
        <w:rPr>
          <w:rFonts w:ascii="Arial" w:hAnsi="Arial" w:cs="Arial"/>
          <w:sz w:val="24"/>
          <w:szCs w:val="24"/>
        </w:rPr>
        <w:fldChar w:fldCharType="end"/>
      </w:r>
      <w:r w:rsidRPr="00E82261">
        <w:rPr>
          <w:rFonts w:ascii="Arial" w:hAnsi="Arial" w:cs="Arial"/>
          <w:sz w:val="24"/>
          <w:szCs w:val="24"/>
        </w:rPr>
        <w:t xml:space="preserve">. As research on marijuana metabolism continues to advance, particularly as it relates to quantifying exposure, identification of these metabolites becomes increasingly valuable. For instance, quantification of these metabolites can offer information that helps ascertain recent cannabis intake and or the transfer of cannabinoids to alternative matrices such as hair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&lt;EndNote&gt;&lt;Cite&gt;&lt;Author&gt;Huestis&lt;/Author&gt;&lt;Year&gt;2018&lt;/Year&gt;&lt;RecNum&gt;1442&lt;/RecNum&gt;&lt;DisplayText&gt;(Huestis &amp;amp; Smith, 2018)&lt;/DisplayText&gt;&lt;record&gt;&lt;rec-number&gt;1442&lt;/rec-number&gt;&lt;foreign-keys&gt;&lt;key app="EN" db-id="d0tr9f9wrrzr9lef5rsvpsadtz2we0sa25tw" timestamp="1522298051"&gt;1442&lt;/key&gt;&lt;/foreign-keys&gt;&lt;ref-type name="Journal Article"&gt;17&lt;/ref-type&gt;&lt;contributors&gt;&lt;authors&gt;&lt;author&gt;Huestis, M. A.&lt;/author&gt;&lt;author&gt;Smith, M. L.&lt;/author&gt;&lt;/authors&gt;&lt;/contributors&gt;&lt;auth-address&gt;Institute of Emerging Health Professions, Thomas Jefferson University, Philadelphia, PA, USA; Huestis &amp;amp; Smith Toxicology LLC, Severna Park, MD, USA. Electronic address: marilyn.huestis@gmail.com.&amp;#xD;Huestis &amp;amp; Smith Toxicology LLC, Severna Park, MD, USA.&lt;/auth-address&gt;&lt;titles&gt;&lt;title&gt;Cannabinoid Markers in Biological Fluids and Tissues: Revealing Intake&lt;/title&gt;&lt;secondary-title&gt;Trends Mol Med&lt;/secondary-title&gt;&lt;alt-title&gt;Trends in molecular medicine&lt;/alt-title&gt;&lt;/titles&gt;&lt;periodical&gt;&lt;full-title&gt;Trends Mol Med&lt;/full-title&gt;&lt;abbr-1&gt;Trends in molecular medicine&lt;/abbr-1&gt;&lt;/periodical&gt;&lt;alt-periodical&gt;&lt;full-title&gt;Trends Mol Med&lt;/full-title&gt;&lt;abbr-1&gt;Trends in molecular medicine&lt;/abbr-1&gt;&lt;/alt-periodical&gt;&lt;pages&gt;156-172&lt;/pages&gt;&lt;volume&gt;24&lt;/volume&gt;&lt;number&gt;2&lt;/number&gt;&lt;edition&gt;2018/02/06&lt;/edition&gt;&lt;dates&gt;&lt;year&gt;2018&lt;/year&gt;&lt;pub-dates&gt;&lt;date&gt;Feb&lt;/date&gt;&lt;/pub-dates&gt;&lt;/dates&gt;&lt;isbn&gt;1471-4914&lt;/isbn&gt;&lt;accession-num&gt;29398403&lt;/accession-num&gt;&lt;urls&gt;&lt;/urls&gt;&lt;electronic-resource-num&gt;10.1016/j.molmed.2017.12.006&lt;/electronic-resource-num&gt;&lt;remote-database-provider&gt;NLM&lt;/remote-database-provider&gt;&lt;language&gt;eng&lt;/language&gt;&lt;/record&gt;&lt;/Cite&gt;&lt;/EndNote&gt;</w:instrText>
      </w:r>
      <w:r w:rsidRPr="00E82261">
        <w:rPr>
          <w:rFonts w:ascii="Arial" w:hAnsi="Arial" w:cs="Arial"/>
          <w:sz w:val="24"/>
          <w:szCs w:val="24"/>
        </w:rPr>
        <w:fldChar w:fldCharType="separate"/>
      </w:r>
      <w:r w:rsidRPr="00E82261">
        <w:rPr>
          <w:rFonts w:ascii="Arial" w:hAnsi="Arial" w:cs="Arial"/>
          <w:noProof/>
          <w:sz w:val="24"/>
          <w:szCs w:val="24"/>
        </w:rPr>
        <w:t>(Huestis &amp; Smith, 2018)</w:t>
      </w:r>
      <w:r w:rsidRPr="00E82261">
        <w:rPr>
          <w:rFonts w:ascii="Arial" w:hAnsi="Arial" w:cs="Arial"/>
          <w:sz w:val="24"/>
          <w:szCs w:val="24"/>
        </w:rPr>
        <w:fldChar w:fldCharType="end"/>
      </w:r>
      <w:r w:rsidRPr="00E82261">
        <w:rPr>
          <w:rFonts w:ascii="Arial" w:hAnsi="Arial" w:cs="Arial"/>
          <w:sz w:val="24"/>
          <w:szCs w:val="24"/>
        </w:rPr>
        <w:t xml:space="preserve">.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The wide acceptance of these methods is apparent in examining confirmatory laboratory methods utilized in R2 studies. In 100% of the studies we identified in our systematic search of the literature for R2, at least one variation of these methods was used as the gold standard laboratory comparator for performance assessment of point of care detection devices. One recent systematic review related to POCT device assessment restricted their search to include only studies where some type of chromatographic assay was used as the confirmatory method </w:t>
      </w:r>
      <w:r w:rsidRPr="00E82261">
        <w:rPr>
          <w:rFonts w:ascii="Arial" w:hAnsi="Arial" w:cs="Arial"/>
          <w:sz w:val="24"/>
          <w:szCs w:val="24"/>
        </w:rPr>
        <w:fldChar w:fldCharType="begin">
          <w:fldData xml:space="preserve">PEVuZE5vdGU+PENpdGU+PEF1dGhvcj5TY2hlcmVyPC9BdXRob3I+PFllYXI+MjAxNzwvWWVhcj48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=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PEVuZE5vdGU+PENpdGU+PEF1dGhvcj5TY2hlcmVyPC9BdXRob3I+PFllYXI+MjAxNzwvWWVhcj48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=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(Scherer et al., 2017)</w:t>
      </w:r>
      <w:r w:rsidRPr="00E82261">
        <w:rPr>
          <w:rFonts w:ascii="Arial" w:hAnsi="Arial" w:cs="Arial"/>
          <w:sz w:val="24"/>
          <w:szCs w:val="24"/>
        </w:rPr>
        <w:fldChar w:fldCharType="end"/>
      </w:r>
      <w:r w:rsidRPr="00E82261">
        <w:rPr>
          <w:rFonts w:ascii="Arial" w:hAnsi="Arial" w:cs="Arial"/>
          <w:sz w:val="24"/>
          <w:szCs w:val="24"/>
        </w:rPr>
        <w:t xml:space="preserve">. Moreover, among the four most recently published independent studies assessing POCT devices against laboratory methods, 50% utilized the LC-MS/MS method </w:t>
      </w:r>
      <w:r w:rsidRPr="00E82261">
        <w:rPr>
          <w:rFonts w:ascii="Arial" w:hAnsi="Arial" w:cs="Arial"/>
          <w:sz w:val="24"/>
          <w:szCs w:val="24"/>
        </w:rPr>
        <w:fldChar w:fldCharType="begin">
          <w:fldData xml:space="preserve">PEVuZE5vdGU+PENpdGU+PEF1dGhvcj5Td29ydHdvb2Q8L0F1dGhvcj48WWVhcj4yMDE3PC9ZZWFy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PEVuZE5vdGU+PENpdGU+PEF1dGhvcj5Td29ydHdvb2Q8L0F1dGhvcj48WWVhcj4yMDE3PC9ZZWFy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(Edwards, Smith, &amp; Savage, 2017; S. Gentili, Solimini, Tittarelli, Mannocchi, &amp; Busardo, 2016; Newmeyer et al., 2017a; Swortwood et al., 2017)</w:t>
      </w:r>
      <w:r w:rsidRPr="00E82261">
        <w:rPr>
          <w:rFonts w:ascii="Arial" w:hAnsi="Arial" w:cs="Arial"/>
          <w:sz w:val="24"/>
          <w:szCs w:val="24"/>
        </w:rPr>
        <w:fldChar w:fldCharType="end"/>
      </w:r>
      <w:r w:rsidRPr="00E82261">
        <w:rPr>
          <w:rFonts w:ascii="Arial" w:hAnsi="Arial" w:cs="Arial"/>
          <w:sz w:val="24"/>
          <w:szCs w:val="24"/>
        </w:rPr>
        <w:t xml:space="preserve">. Coupled with the recent analysis from leading experts in quantitative cannabinoid measurement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&lt;EndNote&gt;&lt;Cite&gt;&lt;Author&gt;Huestis&lt;/Author&gt;&lt;Year&gt;2018&lt;/Year&gt;&lt;RecNum&gt;1442&lt;/RecNum&gt;&lt;DisplayText&gt;(Huestis &amp;amp; Smith, 2018)&lt;/DisplayText&gt;&lt;record&gt;&lt;rec-number&gt;1442&lt;/rec-number&gt;&lt;foreign-keys&gt;&lt;key app="EN" db-id="d0tr9f9wrrzr9lef5rsvpsadtz2we0sa25tw" timestamp="1522298051"&gt;1442&lt;/key&gt;&lt;/foreign-keys&gt;&lt;ref-type name="Journal Article"&gt;17&lt;/ref-type&gt;&lt;contributors&gt;&lt;authors&gt;&lt;author&gt;Huestis, M. A.&lt;/author&gt;&lt;author&gt;Smith, M. L.&lt;/author&gt;&lt;/authors&gt;&lt;/contributors&gt;&lt;auth-address&gt;Institute of Emerging Health Professions, Thomas Jefferson University, Philadelphia, PA, USA; Huestis &amp;amp; Smith Toxicology LLC, Severna Park, MD, USA. Electronic address: marilyn.huestis@gmail.com.&amp;#xD;Huestis &amp;amp; Smith Toxicology LLC, Severna Park, MD, USA.&lt;/auth-address&gt;&lt;titles&gt;&lt;title&gt;Cannabinoid Markers in Biological Fluids and Tissues: Revealing Intake&lt;/title&gt;&lt;secondary-title&gt;Trends Mol Med&lt;/secondary-title&gt;&lt;alt-title&gt;Trends in molecular medicine&lt;/alt-title&gt;&lt;/titles&gt;&lt;periodical&gt;&lt;full-title&gt;Trends Mol Med&lt;/full-title&gt;&lt;abbr-1&gt;Trends in molecular medicine&lt;/abbr-1&gt;&lt;/periodical&gt;&lt;alt-periodical&gt;&lt;full-title&gt;Trends Mol Med&lt;/full-title&gt;&lt;abbr-1&gt;Trends in molecular medicine&lt;/abbr-1&gt;&lt;/alt-periodical&gt;&lt;pages&gt;156-172&lt;/pages&gt;&lt;volume&gt;24&lt;/volume&gt;&lt;number&gt;2&lt;/number&gt;&lt;edition&gt;2018/02/06&lt;/edition&gt;&lt;dates&gt;&lt;year&gt;2018&lt;/year&gt;&lt;pub-dates&gt;&lt;date&gt;Feb&lt;/date&gt;&lt;/pub-dates&gt;&lt;/dates&gt;&lt;isbn&gt;1471-4914&lt;/isbn&gt;&lt;accession-num&gt;29398403&lt;/accession-num&gt;&lt;urls&gt;&lt;/urls&gt;&lt;electronic-resource-num&gt;10.1016/j.molmed.2017.12.006&lt;/electronic-resource-num&gt;&lt;remote-database-provider&gt;NLM&lt;/remote-database-provider&gt;&lt;language&gt;eng&lt;/language&gt;&lt;/record&gt;&lt;/Cite&gt;&lt;/EndNote&gt;</w:instrText>
      </w:r>
      <w:r w:rsidRPr="00E82261">
        <w:rPr>
          <w:rFonts w:ascii="Arial" w:hAnsi="Arial" w:cs="Arial"/>
          <w:sz w:val="24"/>
          <w:szCs w:val="24"/>
        </w:rPr>
        <w:fldChar w:fldCharType="separate"/>
      </w:r>
      <w:r w:rsidRPr="00E82261">
        <w:rPr>
          <w:rFonts w:ascii="Arial" w:hAnsi="Arial" w:cs="Arial"/>
          <w:noProof/>
          <w:sz w:val="24"/>
          <w:szCs w:val="24"/>
        </w:rPr>
        <w:t>(Huestis &amp; Smith, 2018)</w:t>
      </w:r>
      <w:r w:rsidRPr="00E82261">
        <w:rPr>
          <w:rFonts w:ascii="Arial" w:hAnsi="Arial" w:cs="Arial"/>
          <w:sz w:val="24"/>
          <w:szCs w:val="24"/>
        </w:rPr>
        <w:fldChar w:fldCharType="end"/>
      </w:r>
      <w:r w:rsidRPr="00E82261">
        <w:rPr>
          <w:rFonts w:ascii="Arial" w:hAnsi="Arial" w:cs="Arial"/>
          <w:sz w:val="24"/>
          <w:szCs w:val="24"/>
        </w:rPr>
        <w:t xml:space="preserve"> these results confirm that measurement of cannabinoids in human biological matrices (blood, oral fluid, and urine) using immunoassays, chromatography, and or mass spectrometry, particularly LC-MS/MS, is the current state of the science. </w:t>
      </w:r>
    </w:p>
    <w:p w:rsidR="006D0A50" w:rsidRPr="00E82261" w:rsidRDefault="006D0A50" w:rsidP="006057BE">
      <w:pPr>
        <w:spacing w:after="0" w:line="240" w:lineRule="auto"/>
        <w:rPr>
          <w:rFonts w:ascii="Arial" w:hAnsi="Arial" w:cs="Arial"/>
          <w:sz w:val="24"/>
          <w:szCs w:val="24"/>
        </w:rPr>
      </w:pPr>
    </w:p>
    <w:p w:rsidR="00EC25F0" w:rsidRDefault="00EC25F0" w:rsidP="00332358">
      <w:pPr>
        <w:pStyle w:val="Heading3"/>
      </w:pPr>
      <w:bookmarkStart w:id="310" w:name="_Toc512861205"/>
      <w:bookmarkStart w:id="311" w:name="_Toc11765980"/>
      <w:bookmarkStart w:id="312" w:name="_Toc11766635"/>
      <w:r w:rsidRPr="0084373E">
        <w:t>Research Question 2: Methods for Quantifying Marijuana Exposure in a Field Setting</w:t>
      </w:r>
      <w:bookmarkEnd w:id="310"/>
      <w:bookmarkEnd w:id="311"/>
      <w:bookmarkEnd w:id="312"/>
    </w:p>
    <w:p w:rsidR="006D0A50" w:rsidRPr="006D0A50" w:rsidRDefault="006D0A50" w:rsidP="006057BE">
      <w:pPr>
        <w:pStyle w:val="BodyText"/>
        <w:spacing w:line="240" w:lineRule="auto"/>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Point-of-collection testing (POCT) devices make it possible to rapidly screen for cannabis exposure without the use of standard laboratory equipment. These devices typically test oral fluid or urine as these matrices are easier to obtain in a field setting than blood.  Compared with urine analysis, oral fluid (OF) collection presents fewer concerns about privacy and adulterations. Drug testing in OF samples usually detects parent drugs, whereas testing of urine samples usually detects metabolites. This makes OF more reflective of recent drug use </w:t>
      </w:r>
      <w:r w:rsidRPr="00E82261">
        <w:rPr>
          <w:rFonts w:ascii="Arial" w:hAnsi="Arial" w:cs="Arial"/>
          <w:sz w:val="24"/>
          <w:szCs w:val="24"/>
        </w:rPr>
        <w:fldChar w:fldCharType="begin">
          <w:fldData xml:space="preserve">PEVuZE5vdGU+PENpdGU+PEF1dGhvcj5TY2hlcmVyPC9BdXRob3I+PFllYXI+MjAxNzwvWWVhcj48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=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PEVuZE5vdGU+PENpdGU+PEF1dGhvcj5TY2hlcmVyPC9BdXRob3I+PFllYXI+MjAxNzwvWWVhcj48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=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(Allen, 2011; Bosker &amp; Huestis, 2009; Drummer, 2010; Scherer et al., 2017)</w:t>
      </w:r>
      <w:r w:rsidRPr="00E82261">
        <w:rPr>
          <w:rFonts w:ascii="Arial" w:hAnsi="Arial" w:cs="Arial"/>
          <w:sz w:val="24"/>
          <w:szCs w:val="24"/>
        </w:rPr>
        <w:fldChar w:fldCharType="end"/>
      </w:r>
      <w:r w:rsidRPr="00E82261">
        <w:rPr>
          <w:rFonts w:ascii="Arial" w:hAnsi="Arial" w:cs="Arial"/>
          <w:sz w:val="24"/>
          <w:szCs w:val="24"/>
        </w:rPr>
        <w:t>.</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Our systematic search revealed one systematic review plus meta-analysis of 31 studies that was published in mid-2017 (Scherer et al, 2017). The papers that met inclusion criteria for this study were papers evaluating one or more POCT devices and using a validated chromatographic assay as the confirmatory method. Devices had to assess oral fluid as the biological matrix. Studies had to include analysis of cannabinoids as well as cocaine, amphetamines, benzodiazepines (BZD), and opioids. We extracted the results for cannabinoids alone from that publication for inclusion in this report. After exclusions, we also reviewed 6 original studies that were not already covered in the review article.</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In the studies we included in this review, we found evidence for 16 POCT devices (i.e. tests, kits, etc.) that evaluate cannabis exposure in a field setting, with varying levels of evidence and validity testing. In their 2017 review, Scherer et al. noted that the most commonly evaluated devices were the Alere™ DDS2 (DDS2), the Dräger DrugTest 5000™ (DT5000), and the Drugwipe™ manufactured by Securetec.</w:t>
      </w:r>
      <w:r w:rsidRPr="00E82261">
        <w:rPr>
          <w:rFonts w:ascii="Arial" w:hAnsi="Arial" w:cs="Arial"/>
          <w:sz w:val="24"/>
          <w:szCs w:val="24"/>
        </w:rPr>
        <w:fldChar w:fldCharType="begin">
          <w:fldData xml:space="preserve">PEVuZE5vdGU+PENpdGU+PEF1dGhvcj5TY2hlcmVyPC9BdXRob3I+PFllYXI+MjAxNzwvWWVhcj48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=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PEVuZE5vdGU+PENpdGU+PEF1dGhvcj5TY2hlcmVyPC9BdXRob3I+PFllYXI+MjAxNzwvWWVhcj48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=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(Scherer et al., 2017)</w:t>
      </w:r>
      <w:r w:rsidRPr="00E82261">
        <w:rPr>
          <w:rFonts w:ascii="Arial" w:hAnsi="Arial" w:cs="Arial"/>
          <w:sz w:val="24"/>
          <w:szCs w:val="24"/>
        </w:rPr>
        <w:fldChar w:fldCharType="end"/>
      </w:r>
      <w:r w:rsidRPr="00E82261">
        <w:rPr>
          <w:rFonts w:ascii="Arial" w:hAnsi="Arial" w:cs="Arial"/>
          <w:sz w:val="24"/>
          <w:szCs w:val="24"/>
        </w:rPr>
        <w:t xml:space="preserve"> Across the studies we reviewed, the Alere™ DDS2 and the Dräger DrugTest 5000™ have the most research evidence available of the POCT devices described in the literature in terms of the number of studies, the number of participants in those studies, and the relevant variables included (i.e. frequent vs. chronic cannabis users, route of cannabis exposure). These devices also performed well according to the Scherer review and thus are the focus of our description.  </w:t>
      </w:r>
    </w:p>
    <w:p w:rsidR="006D0A50" w:rsidRPr="00E82261" w:rsidRDefault="006D0A50" w:rsidP="006057BE">
      <w:pPr>
        <w:spacing w:after="0" w:line="240" w:lineRule="auto"/>
        <w:rPr>
          <w:rFonts w:ascii="Arial" w:hAnsi="Arial" w:cs="Arial"/>
          <w:sz w:val="24"/>
          <w:szCs w:val="24"/>
        </w:rPr>
      </w:pPr>
    </w:p>
    <w:p w:rsidR="00EC25F0" w:rsidRDefault="00EC25F0" w:rsidP="006057BE">
      <w:pPr>
        <w:spacing w:after="0" w:line="240" w:lineRule="auto"/>
        <w:rPr>
          <w:rFonts w:ascii="Arial" w:hAnsi="Arial" w:cs="Arial"/>
          <w:szCs w:val="24"/>
        </w:rPr>
      </w:pPr>
      <w:r w:rsidRPr="00E82261">
        <w:rPr>
          <w:rFonts w:ascii="Arial" w:hAnsi="Arial" w:cs="Arial"/>
          <w:sz w:val="24"/>
          <w:szCs w:val="24"/>
        </w:rPr>
        <w:t xml:space="preserve">Our systematic search also returned one study comparing two urine tests (the EZCup and the Multi4Card) which we briefly describe below, though there was less evidence for these approaches to point-of-collection OF testing. We concur with the authors of prior studies who note that the ease of use of OF tests makes them a better candidate for field applications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&lt;EndNote&gt;&lt;Cite&gt;&lt;Author&gt;Huestis&lt;/Author&gt;&lt;Year&gt;2013&lt;/Year&gt;&lt;RecNum&gt;1432&lt;/RecNum&gt;&lt;DisplayText&gt;(M. A. Huestis et al., 2013)&lt;/DisplayText&gt;&lt;record&gt;&lt;rec-number&gt;1432&lt;/rec-number&gt;&lt;foreign-keys&gt;&lt;key app="EN" db-id="d0tr9f9wrrzr9lef5rsvpsadtz2we0sa25tw" timestamp="1522256543"&gt;1432&lt;/key&gt;&lt;key app="ENWeb" db-id=""&gt;0&lt;/key&gt;&lt;/foreign-keys&gt;&lt;ref-type name="Report"&gt;27&lt;/ref-type&gt;&lt;contributors&gt;&lt;authors&gt;&lt;author&gt;Huestis, M. A.&lt;/author&gt;&lt;author&gt;Milman, G&lt;/author&gt;&lt;author&gt;Mendu, D&lt;/author&gt;&lt;author&gt;Lee, D&lt;/author&gt;&lt;author&gt;Barnes, A.J.&lt;/author&gt;&lt;author&gt;Schwope, D. &lt;/author&gt;&lt;author&gt;Gorelick, D.A.&lt;/author&gt;&lt;author&gt;Desrosier, N.A.&lt;/author&gt;&lt;/authors&gt;&lt;/contributors&gt;&lt;titles&gt;&lt;title&gt;Evaluation the on-site Draeger DrugTest 5000 in occasional and chronic frequent smokers following controlled cannabis smoking&lt;/title&gt;&lt;/titles&gt;&lt;dates&gt;&lt;year&gt;2013&lt;/year&gt;&lt;/dates&gt;&lt;urls&gt;&lt;related-urls&gt;&lt;url&gt;http://www.icadtsinternational.com/files/documents/2013_058.pdf&lt;/url&gt;&lt;/related-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(M. A. Huestis et al., 2013)</w:t>
      </w:r>
      <w:r w:rsidRPr="00E82261">
        <w:rPr>
          <w:rFonts w:ascii="Arial" w:hAnsi="Arial" w:cs="Arial"/>
          <w:sz w:val="24"/>
          <w:szCs w:val="24"/>
        </w:rPr>
        <w:fldChar w:fldCharType="end"/>
      </w:r>
      <w:r w:rsidRPr="00E82261">
        <w:rPr>
          <w:rFonts w:ascii="Arial" w:hAnsi="Arial" w:cs="Arial"/>
          <w:sz w:val="24"/>
          <w:szCs w:val="24"/>
        </w:rPr>
        <w:t>.</w:t>
      </w:r>
    </w:p>
    <w:p w:rsidR="006D0A50" w:rsidRPr="00505004" w:rsidRDefault="006D0A50" w:rsidP="006057BE">
      <w:pPr>
        <w:spacing w:after="0" w:line="240" w:lineRule="auto"/>
        <w:rPr>
          <w:rFonts w:ascii="Arial" w:hAnsi="Arial" w:cs="Arial"/>
          <w:sz w:val="24"/>
          <w:szCs w:val="24"/>
        </w:rPr>
      </w:pPr>
    </w:p>
    <w:p w:rsidR="00EC25F0" w:rsidRPr="00505004" w:rsidRDefault="00EC25F0" w:rsidP="006057BE">
      <w:pPr>
        <w:spacing w:after="0" w:line="240" w:lineRule="auto"/>
        <w:rPr>
          <w:rFonts w:ascii="Arial" w:hAnsi="Arial" w:cs="Arial"/>
          <w:b/>
          <w:sz w:val="24"/>
          <w:szCs w:val="24"/>
        </w:rPr>
      </w:pPr>
      <w:r w:rsidRPr="00505004">
        <w:rPr>
          <w:rFonts w:ascii="Arial" w:hAnsi="Arial" w:cs="Arial"/>
          <w:b/>
          <w:sz w:val="24"/>
          <w:szCs w:val="24"/>
        </w:rPr>
        <w:t>Oral Fluid POCT Devices</w:t>
      </w:r>
    </w:p>
    <w:p w:rsidR="006D0A50" w:rsidRPr="0084373E" w:rsidRDefault="006D0A50" w:rsidP="006057BE">
      <w:pPr>
        <w:spacing w:after="0" w:line="240" w:lineRule="auto"/>
        <w:rPr>
          <w:rFonts w:ascii="Arial" w:hAnsi="Arial" w:cs="Arial"/>
          <w:b/>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In the Scherer review, the authors included studies that evaluated the following devices: Rapiscan™, OralLab™,  SalivaScreen™, Toxiquik™, Oratect™, Uplink™, Drugwipe™, Dräger DrugTest 5000™, OraLine™, OralSTAT™, Impact™, Uplink™,  RapidStat™, BIOSENS Dynamic™, DDS 806™, OrAlert™, and  DDS™. The Drugwipe™ (Securetec, Germany) was the most commonly evaluated device among the studies (n = 17), followed by the DrugTest 5000™ (Dräger Safety AG &amp; Co., Germany; n = 12), the Rapiscan™ (Cozart Biosciences Ltd., UK; n = 8) and the Rapid Stat™ (Mavand Solutions, Germany; n = 7) </w:t>
      </w:r>
      <w:r w:rsidRPr="00E82261">
        <w:rPr>
          <w:rFonts w:ascii="Arial" w:hAnsi="Arial" w:cs="Arial"/>
          <w:sz w:val="24"/>
          <w:szCs w:val="24"/>
        </w:rPr>
        <w:fldChar w:fldCharType="begin">
          <w:fldData xml:space="preserve">PEVuZE5vdGU+PENpdGU+PEF1dGhvcj5TY2hlcmVyPC9BdXRob3I+PFllYXI+MjAxNzwvWWVhcj48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=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PEVuZE5vdGU+PENpdGU+PEF1dGhvcj5TY2hlcmVyPC9BdXRob3I+PFllYXI+MjAxNzwvWWVhcj48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=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(Scherer et al., 2017)</w:t>
      </w:r>
      <w:r w:rsidRPr="00E82261">
        <w:rPr>
          <w:rFonts w:ascii="Arial" w:hAnsi="Arial" w:cs="Arial"/>
          <w:sz w:val="24"/>
          <w:szCs w:val="24"/>
        </w:rPr>
        <w:fldChar w:fldCharType="end"/>
      </w:r>
      <w:r w:rsidRPr="00E82261">
        <w:rPr>
          <w:rFonts w:ascii="Arial" w:hAnsi="Arial" w:cs="Arial"/>
          <w:sz w:val="24"/>
          <w:szCs w:val="24"/>
        </w:rPr>
        <w:t>. All other devices were evaluated in five or fewer studies. Most other articles we reviewed focused predominantly on the DT5000 or the Alere™ DDS2 (DDS2).</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The Alere™ DDS2 is a battery operated handheld device that provides a rapid qualitative assessment (positive/negative) of the presence or absence of delta-9-THC in oral fluid above a concentration of 25ng/mL. Samples are collected using a swab cartridge. After collection, the cartridge is inserted into the device for analysis. Results are available in five minutes and the device does not require oversight while the analysis is taking place. The device features a simple user interface, is lightweight, and has the ability to store up to 10,000 unique samples in its memory at once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&lt;EndNote&gt;&lt;Cite&gt;&lt;Year&gt;2018&lt;/Year&gt;&lt;RecNum&gt;242&lt;/RecNum&gt;&lt;DisplayText&gt;(&amp;quot;Alere DDS®2 Mobile Test System: Rapid Screening for Drugs of Abuse in Oral Fluid,&amp;quot; 2018)&lt;/DisplayText&gt;&lt;record&gt;&lt;rec-number&gt;242&lt;/rec-number&gt;&lt;foreign-keys&gt;&lt;key app="EN" db-id="d0tr9f9wrrzr9lef5rsvpsadtz2we0sa25tw" timestamp="1521773431"&gt;242&lt;/key&gt;&lt;/foreign-keys&gt;&lt;ref-type name="Web Page"&gt;12&lt;/ref-type&gt;&lt;contributors&gt;&lt;/contributors&gt;&lt;titles&gt;&lt;title&gt;Alere DDS®2 Mobile Test System: Rapid Screening for Drugs of Abuse in Oral Fluid&lt;/title&gt;&lt;/titles&gt;&lt;pages&gt;Actionable screening results for 6 drugs in 5 minutes.&lt;/pages&gt;&lt;dates&gt;&lt;year&gt;2018&lt;/year&gt;&lt;/dates&gt;&lt;urls&gt;&lt;related-urls&gt;&lt;url&gt;https://www.alere.com/en/home/product-details/dds2-mobile-test-system.html#&lt;/url&gt;&lt;/related-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("Alere DDS®2 Mobile Test System: Rapid Screening for Drugs of Abuse in Oral Fluid," 2018)</w:t>
      </w:r>
      <w:r w:rsidRPr="00E82261">
        <w:rPr>
          <w:rFonts w:ascii="Arial" w:hAnsi="Arial" w:cs="Arial"/>
          <w:sz w:val="24"/>
          <w:szCs w:val="24"/>
        </w:rPr>
        <w:fldChar w:fldCharType="end"/>
      </w:r>
      <w:r w:rsidRPr="00E82261">
        <w:rPr>
          <w:rFonts w:ascii="Arial" w:hAnsi="Arial" w:cs="Arial"/>
          <w:sz w:val="24"/>
          <w:szCs w:val="24"/>
        </w:rPr>
        <w:t xml:space="preserve">.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The Dräger DrugTest 5000™ (DT5000) is a portable device that provides a rapid qualitative assessment (positive/negative) of the presence or absence of delta-9-THC above a concentration of 5ng/mL. Samples are collected using a test cassette. After collection, the cassette is inserted into the device for analysis. Results are available in less than 9 minutes in most cases and the device does not require oversight while the analysis is taking place. The device features a simple graphical display that communicates results in plain text and has the ability to store up to 500 results at one time. Stored results are tagged with date and time. Results can also be printed using the Dräger Mobile Printer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&lt;EndNote&gt;&lt;Cite&gt;&lt;Year&gt;2018&lt;/Year&gt;&lt;RecNum&gt;243&lt;/RecNum&gt;&lt;DisplayText&gt;(&amp;quot;Dräger DrugTest® 5000: Analysis system for detecting drugs,&amp;quot; 2018)&lt;/DisplayText&gt;&lt;record&gt;&lt;rec-number&gt;243&lt;/rec-number&gt;&lt;foreign-keys&gt;&lt;key app="EN" db-id="d0tr9f9wrrzr9lef5rsvpsadtz2we0sa25tw" timestamp="1521773604"&gt;243&lt;/key&gt;&lt;/foreign-keys&gt;&lt;ref-type name="Web Page"&gt;12&lt;/ref-type&gt;&lt;contributors&gt;&lt;/contributors&gt;&lt;titles&gt;&lt;title&gt;Dräger DrugTest® 5000: Analysis system for detecting drugs&lt;/title&gt;&lt;/titles&gt;&lt;dates&gt;&lt;year&gt;2018&lt;/year&gt;&lt;/dates&gt;&lt;urls&gt;&lt;related-urls&gt;&lt;url&gt;https://www.draeger.com/Library/Content/drugtest_5000_pi_9041006_en.pdf&lt;/url&gt;&lt;/related-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("Dräger DrugTest® 5000: Analysis system for detecting drugs," 2018)</w:t>
      </w:r>
      <w:r w:rsidRPr="00E82261">
        <w:rPr>
          <w:rFonts w:ascii="Arial" w:hAnsi="Arial" w:cs="Arial"/>
          <w:sz w:val="24"/>
          <w:szCs w:val="24"/>
        </w:rPr>
        <w:fldChar w:fldCharType="end"/>
      </w:r>
      <w:r w:rsidRPr="00E82261">
        <w:rPr>
          <w:rFonts w:ascii="Arial" w:hAnsi="Arial" w:cs="Arial"/>
          <w:sz w:val="24"/>
          <w:szCs w:val="24"/>
        </w:rPr>
        <w:t>.</w:t>
      </w:r>
    </w:p>
    <w:p w:rsidR="006D0A50" w:rsidRPr="0084373E" w:rsidRDefault="006D0A50" w:rsidP="006057BE">
      <w:pPr>
        <w:spacing w:after="0" w:line="240" w:lineRule="auto"/>
        <w:rPr>
          <w:rFonts w:ascii="Arial" w:hAnsi="Arial" w:cs="Arial"/>
          <w:szCs w:val="24"/>
        </w:rPr>
      </w:pPr>
    </w:p>
    <w:p w:rsidR="00EC25F0" w:rsidRPr="00505004" w:rsidRDefault="00EC25F0" w:rsidP="006057BE">
      <w:pPr>
        <w:spacing w:after="0" w:line="240" w:lineRule="auto"/>
        <w:rPr>
          <w:rFonts w:ascii="Arial" w:hAnsi="Arial" w:cs="Arial"/>
          <w:b/>
          <w:sz w:val="24"/>
          <w:szCs w:val="24"/>
        </w:rPr>
      </w:pPr>
      <w:r w:rsidRPr="00505004">
        <w:rPr>
          <w:rFonts w:ascii="Arial" w:hAnsi="Arial" w:cs="Arial"/>
          <w:b/>
          <w:sz w:val="24"/>
          <w:szCs w:val="24"/>
        </w:rPr>
        <w:t>Study Designs for Evaluating POCT Devices</w:t>
      </w:r>
    </w:p>
    <w:p w:rsidR="006D0A50" w:rsidRPr="0084373E" w:rsidRDefault="006D0A50" w:rsidP="006057BE">
      <w:pPr>
        <w:spacing w:after="0" w:line="240" w:lineRule="auto"/>
        <w:rPr>
          <w:rFonts w:ascii="Arial" w:hAnsi="Arial" w:cs="Arial"/>
          <w:b/>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A variety of study designs were included in the articles we reviewed. The review article by Scherer et al. included studies of oral fluid POCT drug tests among varied populations (e.g. drivers, drug users, laboratory participants, etc.). Generally speaking, the methodology of the reviewed studies was a slight variation of the following: Participants ingested cannabis either by smoking, vaporizing, or consumption of foods such as brownies in a controlled environment. Upon cannabis consumption, oral fluid specimens were qualitatively analyzed (i.e. pass or fail) using the specified on-site device. Quantitative analytic specimens were concurrently collected to be used as comparators. Analytic samples were either blood or oral fluid (If oral fluid, usually collected with a Quantisal device)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&lt;EndNote&gt;&lt;Cite&gt;&lt;Year&gt;2018&lt;/Year&gt;&lt;RecNum&gt;256&lt;/RecNum&gt;&lt;DisplayText&gt;(&amp;quot;Quantisal™ Oral Fluid Collection Device,&amp;quot; 2018)&lt;/DisplayText&gt;&lt;record&gt;&lt;rec-number&gt;256&lt;/rec-number&gt;&lt;foreign-keys&gt;&lt;key app="EN" db-id="d0tr9f9wrrzr9lef5rsvpsadtz2we0sa25tw" timestamp="1521984931"&gt;256&lt;/key&gt;&lt;/foreign-keys&gt;&lt;ref-type name="Web Page"&gt;12&lt;/ref-type&gt;&lt;contributors&gt;&lt;/contributors&gt;&lt;titles&gt;&lt;title&gt;Quantisal™ Oral Fluid Collection Device&lt;/title&gt;&lt;/titles&gt;&lt;dates&gt;&lt;year&gt;2018&lt;/year&gt;&lt;/dates&gt;&lt;work-type&gt;Website&lt;/work-type&gt;&lt;urls&gt;&lt;related-urls&gt;&lt;url&gt;https://www.alere.com/en/home/product-details/QuantisalOralFluidCollectionDevice-au.html&lt;/url&gt;&lt;/related-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("Quantisal™ Oral Fluid Collection Device," 2018)</w:t>
      </w:r>
      <w:r w:rsidRPr="00E82261">
        <w:rPr>
          <w:rFonts w:ascii="Arial" w:hAnsi="Arial" w:cs="Arial"/>
          <w:sz w:val="24"/>
          <w:szCs w:val="24"/>
        </w:rPr>
        <w:fldChar w:fldCharType="end"/>
      </w:r>
      <w:r w:rsidRPr="00E82261">
        <w:rPr>
          <w:rFonts w:ascii="Arial" w:hAnsi="Arial" w:cs="Arial"/>
          <w:sz w:val="24"/>
          <w:szCs w:val="24"/>
        </w:rPr>
        <w:t xml:space="preserve"> and were analyzed at a later date using standard, validated laboratory techniques. Results were obtained by comparing the performance of the on-site OF device to the validated laboratory method to determine sensitivity and specificity of the POC device. Most studies defined cut-off values for a “true positive” using only delta-9-THC, although one did conduct additional analyses that included combinations of delta-9-THC and other cannabinoids (we did not report on these results in our analysis). Of note, two studies did not administer cannabis in a controlled setting but rather screened for it in field settings </w:t>
      </w:r>
      <w:r w:rsidRPr="00E82261">
        <w:rPr>
          <w:rFonts w:ascii="Arial" w:hAnsi="Arial" w:cs="Arial"/>
          <w:sz w:val="24"/>
          <w:szCs w:val="24"/>
        </w:rPr>
        <w:fldChar w:fldCharType="begin">
          <w:fldData xml:space="preserve">PEVuZE5vdGU+PENpdGU+PEF1dGhvcj5HZW50aWxpPC9BdXRob3I+PFllYXI+MjAxNjwvWWVhcj48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PEVuZE5vdGU+PENpdGU+PEF1dGhvcj5HZW50aWxpPC9BdXRob3I+PFllYXI+MjAxNjwvWWVhcj48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(Edwards et al., 2017; S. Gentili et al., 2016)</w:t>
      </w:r>
      <w:r w:rsidRPr="00E82261">
        <w:rPr>
          <w:rFonts w:ascii="Arial" w:hAnsi="Arial" w:cs="Arial"/>
          <w:sz w:val="24"/>
          <w:szCs w:val="24"/>
        </w:rPr>
        <w:fldChar w:fldCharType="end"/>
      </w:r>
      <w:r w:rsidRPr="00E82261">
        <w:rPr>
          <w:rFonts w:ascii="Arial" w:hAnsi="Arial" w:cs="Arial"/>
          <w:sz w:val="24"/>
          <w:szCs w:val="24"/>
        </w:rPr>
        <w:t xml:space="preserve">. Otherwise, the general outline of their analyses were the same.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autoSpaceDE w:val="0"/>
        <w:autoSpaceDN w:val="0"/>
        <w:adjustRightInd w:val="0"/>
        <w:spacing w:after="0" w:line="240" w:lineRule="auto"/>
        <w:rPr>
          <w:rFonts w:ascii="Arial" w:hAnsi="Arial" w:cs="Arial"/>
          <w:sz w:val="24"/>
          <w:szCs w:val="24"/>
        </w:rPr>
      </w:pPr>
      <w:r w:rsidRPr="00E82261">
        <w:rPr>
          <w:rFonts w:ascii="Arial" w:hAnsi="Arial" w:cs="Arial"/>
          <w:sz w:val="24"/>
          <w:szCs w:val="24"/>
        </w:rPr>
        <w:t xml:space="preserve">The choice of a confirmation cut-point matters for the correct identification of cannabis exposure via a POCT device. The European Union’s Driving Under the Influence of Drugs, Alcohol, and Medicines (DRUID) program has suggested an 80% target for analytical sensitivity, specificity, and efficiency when evaluating devices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&lt;EndNote&gt;&lt;Cite&gt;&lt;Author&gt;Blencowe&lt;/Author&gt;&lt;Year&gt;2010&lt;/Year&gt;&lt;RecNum&gt;1438&lt;/RecNum&gt;&lt;DisplayText&gt;(Blencowe, Pehrsson, &amp;amp; Lillsunde, 2010)&lt;/DisplayText&gt;&lt;record&gt;&lt;rec-number&gt;1438&lt;/rec-number&gt;&lt;foreign-keys&gt;&lt;key app="EN" db-id="d0tr9f9wrrzr9lef5rsvpsadtz2we0sa25tw" timestamp="1522256559"&gt;1438&lt;/key&gt;&lt;key app="ENWeb" db-id=""&gt;0&lt;/key&gt;&lt;/foreign-keys&gt;&lt;ref-type name="Report"&gt;27&lt;/ref-type&gt;&lt;contributors&gt;&lt;authors&gt;&lt;author&gt;Blencowe, T&lt;/author&gt;&lt;author&gt;Pehrsson, A&lt;/author&gt;&lt;author&gt;Lillsunde, P.&lt;/author&gt;&lt;/authors&gt;&lt;tertiary-authors&gt;&lt;author&gt;Driving Under the Influence of Drugs, Alcohol and Medicines&lt;/author&gt;&lt;/tertiary-authors&gt;&lt;/contributors&gt;&lt;titles&gt;&lt;title&gt;Analytical evaluation of oral fluid screening devices and preceding selection procedures&lt;/title&gt;&lt;/titles&gt;&lt;dates&gt;&lt;year&gt;2010&lt;/year&gt;&lt;/dates&gt;&lt;urls&gt;&lt;related-urls&gt;&lt;url&gt;https://www.bast.de/Druid/EN/deliverales-list/downloads/Deliverable_3_2_2.pdf?__blob=publicationFile&amp;amp;v=1&lt;/url&gt;&lt;/related-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(Blencowe, Pehrsson, &amp; Lillsunde, 2010)</w:t>
      </w:r>
      <w:r w:rsidRPr="00E82261">
        <w:rPr>
          <w:rFonts w:ascii="Arial" w:hAnsi="Arial" w:cs="Arial"/>
          <w:sz w:val="24"/>
          <w:szCs w:val="24"/>
        </w:rPr>
        <w:fldChar w:fldCharType="end"/>
      </w:r>
      <w:r w:rsidRPr="00E82261">
        <w:rPr>
          <w:rFonts w:ascii="Arial" w:hAnsi="Arial" w:cs="Arial"/>
          <w:sz w:val="24"/>
          <w:szCs w:val="24"/>
        </w:rPr>
        <w:t xml:space="preserve">. The DRUID project utilized a confirmatory cutoff of 1ng/mL of delta-9-THC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&lt;EndNote&gt;&lt;Cite&gt;&lt;Author&gt;Verstraete&lt;/Author&gt;&lt;Year&gt;2011&lt;/Year&gt;&lt;RecNum&gt;254&lt;/RecNum&gt;&lt;DisplayText&gt;(Verstraete et al., 2011)&lt;/DisplayText&gt;&lt;record&gt;&lt;rec-number&gt;254&lt;/rec-number&gt;&lt;foreign-keys&gt;&lt;key app="EN" db-id="d0tr9f9wrrzr9lef5rsvpsadtz2we0sa25tw" timestamp="1521983967"&gt;254&lt;/key&gt;&lt;/foreign-keys&gt;&lt;ref-type name="Journal Article"&gt;17&lt;/ref-type&gt;&lt;contributors&gt;&lt;authors&gt;&lt;author&gt;Verstraete, Alain&lt;/author&gt;&lt;author&gt;Knoche, Anja&lt;/author&gt;&lt;author&gt;Jantos, Ricarda&lt;/author&gt;&lt;author&gt;Skopp, Gisela&lt;/author&gt;&lt;author&gt;Gjerde, Hallvard&lt;/author&gt;&lt;author&gt;Vindenes, Vigdis&lt;/author&gt;&lt;author&gt;Mørland, Jørg&lt;/author&gt;&lt;author&gt;Langel, Kaarina&lt;/author&gt;&lt;author&gt;Lillsunde, Pirjo&lt;/author&gt;&lt;/authors&gt;&lt;/contributors&gt;&lt;titles&gt;&lt;title&gt;Per se limits: methods of defining cut-off values for zero tolerance&lt;/title&gt;&lt;/titles&gt;&lt;dates&gt;&lt;year&gt;2011&lt;/year&gt;&lt;/dates&gt;&lt;urls&gt;&lt;/urls&gt;&lt;/record&gt;&lt;/Cite&gt;&lt;/EndNote&gt;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(Verstraete et al., 2011)</w:t>
      </w:r>
      <w:r w:rsidRPr="00E82261">
        <w:rPr>
          <w:rFonts w:ascii="Arial" w:hAnsi="Arial" w:cs="Arial"/>
          <w:sz w:val="24"/>
          <w:szCs w:val="24"/>
        </w:rPr>
        <w:fldChar w:fldCharType="end"/>
      </w:r>
      <w:r w:rsidRPr="00E82261">
        <w:rPr>
          <w:rFonts w:ascii="Arial" w:hAnsi="Arial" w:cs="Arial"/>
          <w:sz w:val="24"/>
          <w:szCs w:val="24"/>
        </w:rPr>
        <w:t xml:space="preserve">. The U.S. Substance Abuse and Mental Health Services Administration (SAMHSA) has recommended a cutoff of 2ng/mL as a definition for a positive cannabis test in a workplace setting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&lt;EndNote&gt;&lt;Cite&gt;&lt;Author&gt;Department of Health and Human Services&lt;/Author&gt;&lt;Year&gt;2015&lt;/Year&gt;&lt;RecNum&gt;255&lt;/RecNum&gt;&lt;DisplayText&gt;(Department of Health and Human Services, 2015)&lt;/DisplayText&gt;&lt;record&gt;&lt;rec-number&gt;255&lt;/rec-number&gt;&lt;foreign-keys&gt;&lt;key app="EN" db-id="d0tr9f9wrrzr9lef5rsvpsadtz2we0sa25tw" timestamp="1521984422"&gt;255&lt;/key&gt;&lt;/foreign-keys&gt;&lt;ref-type name="Report"&gt;27&lt;/ref-type&gt;&lt;contributors&gt;&lt;authors&gt;&lt;author&gt;Department of Health and Human Services,&lt;/author&gt;&lt;/authors&gt;&lt;/contributors&gt;&lt;titles&gt;&lt;title&gt;Mandatory Guidelines for Federal Workplace Drug Testing Programs&lt;/title&gt;&lt;secondary-title&gt;Federal Register&lt;/secondary-title&gt;&lt;/titles&gt;&lt;pages&gt;15&lt;/pages&gt;&lt;volume&gt;80&lt;/volume&gt;&lt;num-vols&gt;28054 –101&lt;/num-vols&gt;&lt;dates&gt;&lt;year&gt;2015&lt;/year&gt;&lt;/dates&gt;&lt;publisher&gt;Substance Abuse and Mental Health Services Administration&amp;#xD;&lt;/publisher&gt;&lt;urls&gt;&lt;/urls&gt;&lt;/record&gt;&lt;/Cite&gt;&lt;/EndNote&gt;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(Department of Health and Human Services, 2015)</w:t>
      </w:r>
      <w:r w:rsidRPr="00E82261">
        <w:rPr>
          <w:rFonts w:ascii="Arial" w:hAnsi="Arial" w:cs="Arial"/>
          <w:sz w:val="24"/>
          <w:szCs w:val="24"/>
        </w:rPr>
        <w:fldChar w:fldCharType="end"/>
      </w:r>
      <w:r w:rsidRPr="00E82261">
        <w:rPr>
          <w:rFonts w:ascii="Arial" w:hAnsi="Arial" w:cs="Arial"/>
          <w:sz w:val="24"/>
          <w:szCs w:val="24"/>
        </w:rPr>
        <w:t xml:space="preserve">. Thus, the papers we reviewed most commonly report sensitivity and specificity at a variety of cutoffs: 25 ng/mL (the devices own cutoff for the DDS2), 5 ng/mL (the device cutoff for the DT5000), 2 ng/mL (SAMHSA), 1 ng/mL (DRUID), and 0.2 or 0.5 ng/mL (the limit of quantitation). Walsh’s guidelines for research on drugged driving suggest that for drugs with therapeutic use, the confirmatory testing cut-off concentrations should be at least as low as the low end of the therapeutic range. For recreational drugs without any therapeutic use, the guidelines suggest use of a low analytical cut-off </w:t>
      </w:r>
      <w:r w:rsidRPr="00E82261">
        <w:rPr>
          <w:rFonts w:ascii="Arial" w:hAnsi="Arial" w:cs="Arial"/>
          <w:sz w:val="24"/>
          <w:szCs w:val="24"/>
        </w:rPr>
        <w:fldChar w:fldCharType="begin">
          <w:fldData xml:space="preserve">PEVuZE5vdGU+PENpdGU+PEF1dGhvcj5XYWxzaDwvQXV0aG9yPjxZZWFyPjIwMDg8L1llYXI+PFJl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PEVuZE5vdGU+PENpdGU+PEF1dGhvcj5XYWxzaDwvQXV0aG9yPjxZZWFyPjIwMDg8L1llYXI+PFJl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(J. M. Walsh, 2008; J Michael Walsh et al., 2008)</w:t>
      </w:r>
      <w:r w:rsidRPr="00E82261">
        <w:rPr>
          <w:rFonts w:ascii="Arial" w:hAnsi="Arial" w:cs="Arial"/>
          <w:sz w:val="24"/>
          <w:szCs w:val="24"/>
        </w:rPr>
        <w:fldChar w:fldCharType="end"/>
      </w:r>
      <w:r w:rsidRPr="00E82261">
        <w:rPr>
          <w:rFonts w:ascii="Arial" w:hAnsi="Arial" w:cs="Arial"/>
          <w:sz w:val="24"/>
          <w:szCs w:val="24"/>
        </w:rPr>
        <w:t xml:space="preserve">. For cannabis, which is used both medically and recreationally in Massachusetts, and has wide interpersonal variation in pharmacokinetics, establishing a cutoff presents a challenge. We, therefore, present sensitivity and specificity estimates at multiple cut-offs when possible. </w:t>
      </w:r>
    </w:p>
    <w:p w:rsidR="006D0A50" w:rsidRPr="00E82261" w:rsidRDefault="006D0A50" w:rsidP="006057BE">
      <w:pPr>
        <w:autoSpaceDE w:val="0"/>
        <w:autoSpaceDN w:val="0"/>
        <w:adjustRightInd w:val="0"/>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Testing revealed, not unexpectedly, that sensitivity and specificity were highest when the cut-off level was highest (25ng/mL in the studies of OF POCT devices). The tests perform better at correctly identifying the presence of THC when higher levels of THC are present in the matrix. The 25ng/mL cutoff was assessed only for the DDS2 device, since this is the level above which it is designed to report a positive test.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Another important factor in examining the performance of POCTs is the cannabis use history of the study participants. Prior studies have documented that POCT device sensitivity is higher in chronic frequent as compared to occasional cannabis smokers due to longer detection windows and higher true positive rates.</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&lt;EndNote&gt;&lt;Cite&gt;&lt;Author&gt;Huestis&lt;/Author&gt;&lt;Year&gt;2013&lt;/Year&gt;&lt;RecNum&gt;1432&lt;/RecNum&gt;&lt;DisplayText&gt;(M. A. Huestis et al., 2013)&lt;/DisplayText&gt;&lt;record&gt;&lt;rec-number&gt;1432&lt;/rec-number&gt;&lt;foreign-keys&gt;&lt;key app="EN" db-id="d0tr9f9wrrzr9lef5rsvpsadtz2we0sa25tw" timestamp="1522256543"&gt;1432&lt;/key&gt;&lt;key app="ENWeb" db-id=""&gt;0&lt;/key&gt;&lt;/foreign-keys&gt;&lt;ref-type name="Report"&gt;27&lt;/ref-type&gt;&lt;contributors&gt;&lt;authors&gt;&lt;author&gt;Huestis, M. A.&lt;/author&gt;&lt;author&gt;Milman, G&lt;/author&gt;&lt;author&gt;Mendu, D&lt;/author&gt;&lt;author&gt;Lee, D&lt;/author&gt;&lt;author&gt;Barnes, A.J.&lt;/author&gt;&lt;author&gt;Schwope, D. &lt;/author&gt;&lt;author&gt;Gorelick, D.A.&lt;/author&gt;&lt;author&gt;Desrosier, N.A.&lt;/author&gt;&lt;/authors&gt;&lt;/contributors&gt;&lt;titles&gt;&lt;title&gt;Evaluation the on-site Draeger DrugTest 5000 in occasional and chronic frequent smokers following controlled cannabis smoking&lt;/title&gt;&lt;/titles&gt;&lt;dates&gt;&lt;year&gt;2013&lt;/year&gt;&lt;/dates&gt;&lt;urls&gt;&lt;related-urls&gt;&lt;url&gt;http://www.icadtsinternational.com/files/documents/2013_058.pdf&lt;/url&gt;&lt;/related-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(M. A. Huestis et al., 2013)</w:t>
      </w:r>
      <w:r w:rsidRPr="00E82261">
        <w:rPr>
          <w:rFonts w:ascii="Arial" w:hAnsi="Arial" w:cs="Arial"/>
          <w:sz w:val="24"/>
          <w:szCs w:val="24"/>
        </w:rPr>
        <w:fldChar w:fldCharType="end"/>
      </w:r>
      <w:r w:rsidRPr="00E82261">
        <w:rPr>
          <w:rFonts w:ascii="Arial" w:hAnsi="Arial" w:cs="Arial"/>
          <w:sz w:val="24"/>
          <w:szCs w:val="24"/>
        </w:rPr>
        <w:t xml:space="preserve"> Because THC is fat soluble, it is stored in adipose tissue and can leak back into circulation over time, even long after the psychoactive effects of acute cannabis use have ceased </w:t>
      </w:r>
      <w:r w:rsidRPr="00E82261">
        <w:rPr>
          <w:rFonts w:ascii="Arial" w:hAnsi="Arial" w:cs="Arial"/>
          <w:sz w:val="24"/>
          <w:szCs w:val="24"/>
        </w:rPr>
        <w:fldChar w:fldCharType="begin">
          <w:fldData xml:space="preserve">PEVuZE5vdGU+PENpdGU+PEF1dGhvcj5HdW5hc2VrYXJhbjwvQXV0aG9yPjxZZWFyPjIwMDk8L1ll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PEVuZE5vdGU+PENpdGU+PEF1dGhvcj5HdW5hc2VrYXJhbjwvQXV0aG9yPjxZZWFyPjIwMDk8L1ll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(Gunasekaran et al., 2009; Wong et al., 2014; Wong et al., 2013)</w:t>
      </w:r>
      <w:r w:rsidRPr="00E82261">
        <w:rPr>
          <w:rFonts w:ascii="Arial" w:hAnsi="Arial" w:cs="Arial"/>
          <w:sz w:val="24"/>
          <w:szCs w:val="24"/>
        </w:rPr>
        <w:fldChar w:fldCharType="end"/>
      </w:r>
      <w:r w:rsidRPr="00E82261">
        <w:rPr>
          <w:rFonts w:ascii="Arial" w:hAnsi="Arial" w:cs="Arial"/>
          <w:sz w:val="24"/>
          <w:szCs w:val="24"/>
        </w:rPr>
        <w:t xml:space="preserve">. However, at least one study has concluded that the cannabinoid concentration changes that result from THC reentering circulation are not likely to negatively impact the ability to correctly interpret a drug test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&lt;EndNote&gt;&lt;Cite&gt;&lt;Author&gt;Westin&lt;/Author&gt;&lt;Year&gt;2014&lt;/Year&gt;&lt;RecNum&gt;257&lt;/RecNum&gt;&lt;DisplayText&gt;(Westin, Mjønes, Burchardt, Fuskevåg, &amp;amp; Slørdal, 2014)&lt;/DisplayText&gt;&lt;record&gt;&lt;rec-number&gt;257&lt;/rec-number&gt;&lt;foreign-keys&gt;&lt;key app="EN" db-id="d0tr9f9wrrzr9lef5rsvpsadtz2we0sa25tw" timestamp="1522012907"&gt;257&lt;/key&gt;&lt;/foreign-keys&gt;&lt;ref-type name="Journal Article"&gt;17&lt;/ref-type&gt;&lt;contributors&gt;&lt;authors&gt;&lt;author&gt;Westin, Andreas Austgulen&lt;/author&gt;&lt;author&gt;Mjønes, George&lt;/author&gt;&lt;author&gt;Burchardt, Ola&lt;/author&gt;&lt;author&gt;Fuskevåg, Ole Martin&lt;/author&gt;&lt;author&gt;Slørdal, Lars&lt;/author&gt;&lt;/authors&gt;&lt;/contributors&gt;&lt;titles&gt;&lt;title&gt;Can Physical Exercise or Food Deprivation Cause Release of Fat-Stored Cannabinoids?&lt;/title&gt;&lt;secondary-title&gt;Basic &amp;amp; Clinical Pharmacology &amp;amp; Toxicology&lt;/secondary-title&gt;&lt;/titles&gt;&lt;periodical&gt;&lt;full-title&gt;Basic &amp;amp; Clinical Pharmacology &amp;amp; Toxicology&lt;/full-title&gt;&lt;/periodical&gt;&lt;pages&gt;467-471&lt;/pages&gt;&lt;volume&gt;115&lt;/volume&gt;&lt;number&gt;5&lt;/number&gt;&lt;dates&gt;&lt;year&gt;2014&lt;/year&gt;&lt;pub-dates&gt;&lt;date&gt;04/22&amp;#xD;01/21/received&amp;#xD;03/07/accepted&lt;/date&gt;&lt;/pub-dates&gt;&lt;/dates&gt;&lt;pub-location&gt;Oxford, UK&lt;/pub-location&gt;&lt;publisher&gt;BlackWell Publishing Ltd&lt;/publisher&gt;&lt;isbn&gt;1742-7835&amp;#xD;1742-7843&lt;/isbn&gt;&lt;accession-num&gt;PMC4270258&lt;/accession-num&gt;&lt;urls&gt;&lt;related-urls&gt;&lt;url&gt;http://www.ncbi.nlm.nih.gov/pmc/articles/PMC4270258/&lt;/url&gt;&lt;/related-urls&gt;&lt;/urls&gt;&lt;electronic-resource-num&gt;10.1111/bcpt.12235&lt;/electronic-resource-num&gt;&lt;remote-database-name&gt;PMC&lt;/remote-database-name&gt;&lt;/record&gt;&lt;/Cite&gt;&lt;/EndNote&gt;</w:instrText>
      </w:r>
      <w:r w:rsidRPr="00E82261">
        <w:rPr>
          <w:rFonts w:ascii="Arial" w:hAnsi="Arial" w:cs="Arial"/>
          <w:sz w:val="24"/>
          <w:szCs w:val="24"/>
        </w:rPr>
        <w:fldChar w:fldCharType="separate"/>
      </w:r>
      <w:r w:rsidRPr="00E82261">
        <w:rPr>
          <w:rFonts w:ascii="Arial" w:hAnsi="Arial" w:cs="Arial"/>
          <w:noProof/>
          <w:sz w:val="24"/>
          <w:szCs w:val="24"/>
        </w:rPr>
        <w:t>(Westin, Mjønes, Burchardt, Fuskevåg, &amp; Slørdal, 2014)</w:t>
      </w:r>
      <w:r w:rsidRPr="00E82261">
        <w:rPr>
          <w:rFonts w:ascii="Arial" w:hAnsi="Arial" w:cs="Arial"/>
          <w:sz w:val="24"/>
          <w:szCs w:val="24"/>
        </w:rPr>
        <w:fldChar w:fldCharType="end"/>
      </w:r>
      <w:r w:rsidRPr="00E82261">
        <w:rPr>
          <w:rFonts w:ascii="Arial" w:hAnsi="Arial" w:cs="Arial"/>
          <w:sz w:val="24"/>
          <w:szCs w:val="24"/>
        </w:rPr>
        <w:t xml:space="preserve">. In addition, since cannabis is consumed via different routes of exposure (e.g. smoked, vaporized, edible), POCT devices may not assess all possible routes of exposure. </w:t>
      </w:r>
    </w:p>
    <w:p w:rsidR="006D0A50" w:rsidRPr="0084373E" w:rsidRDefault="006D0A50" w:rsidP="006057BE">
      <w:pPr>
        <w:spacing w:after="0" w:line="240" w:lineRule="auto"/>
        <w:rPr>
          <w:rFonts w:ascii="Arial" w:hAnsi="Arial" w:cs="Arial"/>
          <w:szCs w:val="24"/>
        </w:rPr>
      </w:pPr>
    </w:p>
    <w:p w:rsidR="00EC25F0" w:rsidRPr="00505004" w:rsidRDefault="00EC25F0" w:rsidP="006057BE">
      <w:pPr>
        <w:spacing w:after="0" w:line="240" w:lineRule="auto"/>
        <w:rPr>
          <w:rFonts w:ascii="Arial" w:hAnsi="Arial" w:cs="Arial"/>
          <w:b/>
          <w:sz w:val="24"/>
          <w:szCs w:val="24"/>
        </w:rPr>
      </w:pPr>
      <w:r w:rsidRPr="00505004">
        <w:rPr>
          <w:rFonts w:ascii="Arial" w:hAnsi="Arial" w:cs="Arial"/>
          <w:b/>
          <w:sz w:val="24"/>
          <w:szCs w:val="24"/>
        </w:rPr>
        <w:t xml:space="preserve">Overall POC Test Performance </w:t>
      </w:r>
    </w:p>
    <w:p w:rsidR="006D0A50" w:rsidRPr="0084373E" w:rsidRDefault="006D0A50" w:rsidP="006057BE">
      <w:pPr>
        <w:spacing w:after="0" w:line="240" w:lineRule="auto"/>
        <w:rPr>
          <w:rFonts w:ascii="Arial" w:hAnsi="Arial" w:cs="Arial"/>
          <w:b/>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Table 2 shows the results from studies of OF POCT devices included in this review, number of participants), route of administration, and the sensitivity, specificity, and accuracy of the device for detecting marijuana exposure as compared to laboratory-based confirmation methods. In this table, we include the overall results from studies that included both chronic and frequent users, as well as results from the meta-analysis and studies conducted in naturalistic settings (e.g. pubs, bars; individuals arrested for driving impairment). </w:t>
      </w: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Scherer and colleagues pooled data from the studies in their meta-analysis to examine performance of individual POCT devices for cannabinoid detection. They found that the DDS2 had a sensitivity of 92.5% and specificity of 92.1%.  The DT5000 had a sensitivity of 86.5% and specificity of 95.2%. Two other devices, the DrugWipe5+ and RapidStat also performed well for cannabis detection. The RapidStat was not reviewed in any other studies since Scherer’s publication. The DrugWipe5A was examined in one naturalistic setting (social venues) and had low sensitivity (29%) and acceptable specificity (88%)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&lt;EndNote&gt;&lt;Cite&gt;&lt;Author&gt;Gentili&lt;/Author&gt;&lt;Year&gt;2016&lt;/Year&gt;&lt;RecNum&gt;1186&lt;/RecNum&gt;&lt;DisplayText&gt;(Stefano Gentili, Solimini, Tittarelli, Mannocchi, &amp;amp; Busardò, 2016)&lt;/DisplayText&gt;&lt;record&gt;&lt;rec-number&gt;1186&lt;/rec-number&gt;&lt;foreign-keys&gt;&lt;key app="EN" db-id="d0tr9f9wrrzr9lef5rsvpsadtz2we0sa25tw" timestamp="1522256130"&gt;1186&lt;/key&gt;&lt;key app="ENWeb" db-id=""&gt;0&lt;/key&gt;&lt;/foreign-keys&gt;&lt;ref-type name="Journal Article"&gt;17&lt;/ref-type&gt;&lt;contributors&gt;&lt;authors&gt;&lt;author&gt;Gentili, Stefano&lt;/author&gt;&lt;author&gt;Solimini, Renata&lt;/author&gt;&lt;author&gt;Tittarelli, Roberta&lt;/author&gt;&lt;author&gt;Mannocchi, Giulio&lt;/author&gt;&lt;author&gt;Busardò, Francesco Paolo&lt;/author&gt;&lt;/authors&gt;&lt;/contributors&gt;&lt;titles&gt;&lt;title&gt;A Study on the Reliability of an On-Site Oral Fluid Drug Test in a Recreational Context&lt;/title&gt;&lt;secondary-title&gt;Journal of Analytical Methods in Chemistry&lt;/secondary-title&gt;&lt;/titles&gt;&lt;periodical&gt;&lt;full-title&gt;J Anal Methods Chem&lt;/full-title&gt;&lt;abbr-1&gt;Journal of analytical methods in chemistry&lt;/abbr-1&gt;&lt;/periodical&gt;&lt;pages&gt;1234581&lt;/pages&gt;&lt;volume&gt;2016&lt;/volume&gt;&lt;dates&gt;&lt;year&gt;2016&lt;/year&gt;&lt;pub-dates&gt;&lt;date&gt;08/17&amp;#xD;04/07/received&amp;#xD;07/15/revised&amp;#xD;07/26/accepted&lt;/date&gt;&lt;/pub-dates&gt;&lt;/dates&gt;&lt;publisher&gt;Hindawi Publishing Corporation&lt;/publisher&gt;&lt;isbn&gt;2090-8865&amp;#xD;2090-8873&lt;/isbn&gt;&lt;accession-num&gt;PMC5005587&lt;/accession-num&gt;&lt;urls&gt;&lt;related-urls&gt;&lt;url&gt;http://www.ncbi.nlm.nih.gov/pmc/articles/PMC5005587/&lt;/url&gt;&lt;/related-urls&gt;&lt;/urls&gt;&lt;electronic-resource-num&gt;10.1155/2016/1234581&lt;/electronic-resource-num&gt;&lt;remote-database-name&gt;PMC&lt;/remote-database-name&gt;&lt;/record&gt;&lt;/Cite&gt;&lt;/EndNote&gt;</w:instrText>
      </w:r>
      <w:r w:rsidRPr="00E82261">
        <w:rPr>
          <w:rFonts w:ascii="Arial" w:hAnsi="Arial" w:cs="Arial"/>
          <w:sz w:val="24"/>
          <w:szCs w:val="24"/>
        </w:rPr>
        <w:fldChar w:fldCharType="separate"/>
      </w:r>
      <w:r w:rsidRPr="00E82261">
        <w:rPr>
          <w:rFonts w:ascii="Arial" w:hAnsi="Arial" w:cs="Arial"/>
          <w:noProof/>
          <w:sz w:val="24"/>
          <w:szCs w:val="24"/>
        </w:rPr>
        <w:t>(Stefano Gentili, Solimini, Tittarelli, Mannocchi, &amp; Busardò, 2016)</w:t>
      </w:r>
      <w:r w:rsidRPr="00E82261">
        <w:rPr>
          <w:rFonts w:ascii="Arial" w:hAnsi="Arial" w:cs="Arial"/>
          <w:sz w:val="24"/>
          <w:szCs w:val="24"/>
        </w:rPr>
        <w:fldChar w:fldCharType="end"/>
      </w:r>
      <w:r w:rsidRPr="00E82261">
        <w:rPr>
          <w:rFonts w:ascii="Arial" w:hAnsi="Arial" w:cs="Arial"/>
          <w:sz w:val="24"/>
          <w:szCs w:val="24"/>
        </w:rPr>
        <w:t xml:space="preserve">. We do not discuss it further in this review. </w:t>
      </w: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Among all cannabis users, including frequent and occasional users, and across exposure routes, using a confirmation cut-off of 5ng/mL, the DDS2 had a sensitivity of 84.4% and specificity of 94.5% </w:t>
      </w:r>
      <w:r w:rsidRPr="00E82261">
        <w:rPr>
          <w:rFonts w:ascii="Arial" w:hAnsi="Arial" w:cs="Arial"/>
          <w:sz w:val="24"/>
          <w:szCs w:val="24"/>
        </w:rPr>
        <w:fldChar w:fldCharType="begin">
          <w:fldData xml:space="preserve">PEVuZE5vdGU+PENpdGU+PEF1dGhvcj5Td29ydHdvb2Q8L0F1dGhvcj48WWVhcj4yMDE3PC9ZZWFy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PEVuZE5vdGU+PENpdGU+PEF1dGhvcj5Td29ydHdvb2Q8L0F1dGhvcj48WWVhcj4yMDE3PC9ZZWFy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(Swortwood et al., 2017)</w:t>
      </w:r>
      <w:r w:rsidRPr="00E82261">
        <w:rPr>
          <w:rFonts w:ascii="Arial" w:hAnsi="Arial" w:cs="Arial"/>
          <w:sz w:val="24"/>
          <w:szCs w:val="24"/>
        </w:rPr>
        <w:fldChar w:fldCharType="end"/>
      </w:r>
      <w:r w:rsidRPr="00E82261">
        <w:rPr>
          <w:rFonts w:ascii="Arial" w:hAnsi="Arial" w:cs="Arial"/>
          <w:sz w:val="24"/>
          <w:szCs w:val="24"/>
        </w:rPr>
        <w:t xml:space="preserve">. The DT5000 had a sensitivity of 80.0% and specificity of 91.9% at the same cut-off </w:t>
      </w:r>
      <w:r w:rsidRPr="00E82261">
        <w:rPr>
          <w:rFonts w:ascii="Arial" w:hAnsi="Arial" w:cs="Arial"/>
          <w:sz w:val="24"/>
          <w:szCs w:val="24"/>
        </w:rPr>
        <w:fldChar w:fldCharType="begin">
          <w:fldData xml:space="preserve">PEVuZE5vdGU+PENpdGU+PEF1dGhvcj5Td29ydHdvb2Q8L0F1dGhvcj48WWVhcj4yMDE3PC9ZZWFy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PEVuZE5vdGU+PENpdGU+PEF1dGhvcj5Td29ydHdvb2Q8L0F1dGhvcj48WWVhcj4yMDE3PC9ZZWFy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(Swortwood et al., 2017)</w:t>
      </w:r>
      <w:r w:rsidRPr="00E82261">
        <w:rPr>
          <w:rFonts w:ascii="Arial" w:hAnsi="Arial" w:cs="Arial"/>
          <w:sz w:val="24"/>
          <w:szCs w:val="24"/>
        </w:rPr>
        <w:fldChar w:fldCharType="end"/>
      </w:r>
      <w:r w:rsidRPr="00E82261">
        <w:rPr>
          <w:rFonts w:ascii="Arial" w:hAnsi="Arial" w:cs="Arial"/>
          <w:sz w:val="24"/>
          <w:szCs w:val="24"/>
        </w:rPr>
        <w:t xml:space="preserve">. The DDS2 was also tested among individuals arrested for operating a motor vehicle while intoxicated (OWI) and compared to blood test values. Using a cutoff of 25 ng/mL that mirrors the devices own cutoff level, Edwards and colleagues report a sensitivity of 88.4 and specificity of 86.9 </w:t>
      </w:r>
      <w:r w:rsidRPr="00E82261">
        <w:rPr>
          <w:rFonts w:ascii="Arial" w:hAnsi="Arial" w:cs="Arial"/>
          <w:sz w:val="24"/>
          <w:szCs w:val="24"/>
        </w:rPr>
        <w:fldChar w:fldCharType="begin">
          <w:fldData xml:space="preserve">PEVuZE5vdGU+PENpdGU+PEF1dGhvcj5FZHdhcmRzPC9BdXRob3I+PFllYXI+MjAxNzwvWWVhcj48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PEVuZE5vdGU+PENpdGU+PEF1dGhvcj5FZHdhcmRzPC9BdXRob3I+PFllYXI+MjAxNzwvWWVhcj48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(Edwards et al., 2017)</w:t>
      </w:r>
      <w:r w:rsidRPr="00E82261">
        <w:rPr>
          <w:rFonts w:ascii="Arial" w:hAnsi="Arial" w:cs="Arial"/>
          <w:sz w:val="24"/>
          <w:szCs w:val="24"/>
        </w:rPr>
        <w:fldChar w:fldCharType="end"/>
      </w:r>
      <w:r w:rsidRPr="00E82261">
        <w:rPr>
          <w:rFonts w:ascii="Arial" w:hAnsi="Arial" w:cs="Arial"/>
          <w:sz w:val="24"/>
          <w:szCs w:val="24"/>
        </w:rPr>
        <w:t>.</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Huestis and colleagues (2013) tested the DT5000 among 24 cannabis users (10 occasional, 14 frequent) and provided information about sensitivity 6-8 hours post-inhalation of smoked cannabis because this time frame is relevant for detecting drivers who may be under the influence of recently used marijuana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&lt;EndNote&gt;&lt;Cite&gt;&lt;Author&gt;Huestis&lt;/Author&gt;&lt;Year&gt;2013&lt;/Year&gt;&lt;RecNum&gt;241&lt;/RecNum&gt;&lt;DisplayText&gt;(Marilyn A Huestis et al., 2013)&lt;/DisplayText&gt;&lt;record&gt;&lt;rec-number&gt;241&lt;/rec-number&gt;&lt;foreign-keys&gt;&lt;key app="EN" db-id="d0tr9f9wrrzr9lef5rsvpsadtz2we0sa25tw" timestamp="1521761860"&gt;241&lt;/key&gt;&lt;/foreign-keys&gt;&lt;ref-type name="Conference Proceedings"&gt;10&lt;/ref-type&gt;&lt;contributors&gt;&lt;authors&gt;&lt;author&gt;Huestis, Marilyn A&lt;/author&gt;&lt;author&gt;Milman, Garry&lt;/author&gt;&lt;author&gt;Mendu, Damodara&lt;/author&gt;&lt;author&gt;Lee, Dayong&lt;/author&gt;&lt;author&gt;Barnes, Allan J&lt;/author&gt;&lt;author&gt;Schwope, David M&lt;/author&gt;&lt;author&gt;Gorelick, David A&lt;/author&gt;&lt;author&gt;Desrosiers, Nathalie A&lt;/author&gt;&lt;/authors&gt;&lt;/contributors&gt;&lt;titles&gt;&lt;title&gt;Evaluation of the on-site Draeger DrugTest 5000 in occasional and chronic frequent smokers following controlled cannabis smoking&lt;/title&gt;&lt;secondary-title&gt;International Conference on Alcohol, Drugs and Traffic Safety (T2013), 20th, 2013, Brisbane, Queensland, Australia&lt;/secondary-title&gt;&lt;/titles&gt;&lt;dates&gt;&lt;year&gt;2013&lt;/year&gt;&lt;/dates&gt;&lt;urls&gt;&lt;/urls&gt;&lt;/record&gt;&lt;/Cite&gt;&lt;/EndNote&gt;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(Huestis et al., 2013)</w:t>
      </w:r>
      <w:r w:rsidRPr="00E82261">
        <w:rPr>
          <w:rFonts w:ascii="Arial" w:hAnsi="Arial" w:cs="Arial"/>
          <w:sz w:val="24"/>
          <w:szCs w:val="24"/>
        </w:rPr>
        <w:fldChar w:fldCharType="end"/>
      </w:r>
      <w:r w:rsidRPr="00E82261">
        <w:rPr>
          <w:rFonts w:ascii="Arial" w:hAnsi="Arial" w:cs="Arial"/>
          <w:sz w:val="24"/>
          <w:szCs w:val="24"/>
        </w:rPr>
        <w:t xml:space="preserve"> They found the device sensitivity within 6 and 8 hour time frames was 85.6 and 84.7%, respectively, at the confirmation cutoff of 2ng/mL (SAMHSA). Sensitivity within 6 and 8 hour time frames was 84.0 and 82.5%, respectively, at the cutoff of 1ng/mL (DRUID)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&lt;EndNote&gt;&lt;Cite&gt;&lt;Author&gt;Huestis&lt;/Author&gt;&lt;Year&gt;2013&lt;/Year&gt;&lt;RecNum&gt;241&lt;/RecNum&gt;&lt;DisplayText&gt;(Marilyn A Huestis et al., 2013)&lt;/DisplayText&gt;&lt;record&gt;&lt;rec-number&gt;241&lt;/rec-number&gt;&lt;foreign-keys&gt;&lt;key app="EN" db-id="d0tr9f9wrrzr9lef5rsvpsadtz2we0sa25tw" timestamp="1521761860"&gt;241&lt;/key&gt;&lt;/foreign-keys&gt;&lt;ref-type name="Conference Proceedings"&gt;10&lt;/ref-type&gt;&lt;contributors&gt;&lt;authors&gt;&lt;author&gt;Huestis, Marilyn A&lt;/author&gt;&lt;author&gt;Milman, Garry&lt;/author&gt;&lt;author&gt;Mendu, Damodara&lt;/author&gt;&lt;author&gt;Lee, Dayong&lt;/author&gt;&lt;author&gt;Barnes, Allan J&lt;/author&gt;&lt;author&gt;Schwope, David M&lt;/author&gt;&lt;author&gt;Gorelick, David A&lt;/author&gt;&lt;author&gt;Desrosiers, Nathalie A&lt;/author&gt;&lt;/authors&gt;&lt;/contributors&gt;&lt;titles&gt;&lt;title&gt;Evaluation of the on-site Draeger DrugTest 5000 in occasional and chronic frequent smokers following controlled cannabis smoking&lt;/title&gt;&lt;secondary-title&gt;International Conference on Alcohol, Drugs and Traffic Safety (T2013), 20th, 2013, Brisbane, Queensland, Australia&lt;/secondary-title&gt;&lt;/titles&gt;&lt;dates&gt;&lt;year&gt;2013&lt;/year&gt;&lt;/dates&gt;&lt;urls&gt;&lt;/urls&gt;&lt;/record&gt;&lt;/Cite&gt;&lt;/EndNote&gt;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(Huestis et al., 2013)</w:t>
      </w:r>
      <w:r w:rsidRPr="00E82261">
        <w:rPr>
          <w:rFonts w:ascii="Arial" w:hAnsi="Arial" w:cs="Arial"/>
          <w:sz w:val="24"/>
          <w:szCs w:val="24"/>
        </w:rPr>
        <w:fldChar w:fldCharType="end"/>
      </w:r>
      <w:r w:rsidRPr="00E82261">
        <w:rPr>
          <w:rFonts w:ascii="Arial" w:hAnsi="Arial" w:cs="Arial"/>
          <w:sz w:val="24"/>
          <w:szCs w:val="24"/>
        </w:rPr>
        <w:t>. This can be interpreted to mean that the DT5000 provides a positive test result that accurately identifies approximately 85% of cannabis users who are 6-8 hour post smoking, with 15% false negatives (i.e. the test provides a negative results but the individual has THC levels above the confirmation cutoff).</w:t>
      </w:r>
    </w:p>
    <w:p w:rsidR="00EC25F0" w:rsidRPr="0084373E" w:rsidRDefault="00EC25F0" w:rsidP="006057BE">
      <w:pPr>
        <w:spacing w:after="0" w:line="240" w:lineRule="auto"/>
        <w:rPr>
          <w:rFonts w:ascii="Arial" w:hAnsi="Arial" w:cs="Arial"/>
          <w:szCs w:val="24"/>
        </w:rPr>
        <w:sectPr w:rsidR="00EC25F0" w:rsidRPr="0084373E" w:rsidSect="00626599">
          <w:headerReference w:type="default" r:id="rId32"/>
          <w:headerReference w:type="first" r:id="rId33"/>
          <w:footerReference w:type="first" r:id="rId34"/>
          <w:pgSz w:w="12240" w:h="15840"/>
          <w:pgMar w:top="1440" w:right="1440" w:bottom="1440" w:left="1440" w:header="720" w:footer="720" w:gutter="0"/>
          <w:cols w:space="720"/>
          <w:docGrid w:linePitch="360"/>
        </w:sectPr>
      </w:pPr>
      <w:r w:rsidRPr="00E82261">
        <w:rPr>
          <w:rFonts w:ascii="Arial" w:hAnsi="Arial" w:cs="Arial"/>
          <w:sz w:val="24"/>
          <w:szCs w:val="24"/>
        </w:rPr>
        <w:t>The DRUID project recommended a threshold of 80% sensitivity, 80% specificity, and 80% accuracy has been established as minimum acceptable level of testing performance for a roadside drug screening test. Across all studies, the DT5000 had a sensitivity range from 80.0%-85.5% and specificity range from 82.5%-95.2%. The DDS2 had a sensitivity range from 84.4%-92.5% and specificity range from 86.9-94.5%.</w:t>
      </w:r>
    </w:p>
    <w:tbl>
      <w:tblPr>
        <w:tblpPr w:leftFromText="180" w:rightFromText="180" w:vertAnchor="text" w:horzAnchor="margin" w:tblpXSpec="center" w:tblpY="706"/>
        <w:tblW w:w="14009" w:type="dxa"/>
        <w:tblLayout w:type="fixed"/>
        <w:tblLook w:val="04A0" w:firstRow="1" w:lastRow="0" w:firstColumn="1" w:lastColumn="0" w:noHBand="0" w:noVBand="1"/>
        <w:tblCaption w:val="Sensitivity and Specificity of Point of Collection Devices for Measuring Cannabis Exposure in Oral Fluid, All Users"/>
      </w:tblPr>
      <w:tblGrid>
        <w:gridCol w:w="1139"/>
        <w:gridCol w:w="1515"/>
        <w:gridCol w:w="575"/>
        <w:gridCol w:w="835"/>
        <w:gridCol w:w="654"/>
        <w:gridCol w:w="1254"/>
        <w:gridCol w:w="1017"/>
        <w:gridCol w:w="1390"/>
        <w:gridCol w:w="1288"/>
        <w:gridCol w:w="1526"/>
        <w:gridCol w:w="1546"/>
        <w:gridCol w:w="1219"/>
        <w:gridCol w:w="51"/>
      </w:tblGrid>
      <w:tr w:rsidR="00EC25F0" w:rsidRPr="0084373E" w:rsidTr="00C23696">
        <w:trPr>
          <w:gridAfter w:val="1"/>
          <w:wAfter w:w="51" w:type="dxa"/>
          <w:trHeight w:val="451"/>
        </w:trPr>
        <w:tc>
          <w:tcPr>
            <w:tcW w:w="1139"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Device(s)</w:t>
            </w:r>
          </w:p>
        </w:tc>
        <w:tc>
          <w:tcPr>
            <w:tcW w:w="151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Study</w:t>
            </w:r>
          </w:p>
        </w:tc>
        <w:tc>
          <w:tcPr>
            <w:tcW w:w="57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Year</w:t>
            </w:r>
          </w:p>
        </w:tc>
        <w:tc>
          <w:tcPr>
            <w:tcW w:w="83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 xml:space="preserve">N </w:t>
            </w:r>
          </w:p>
        </w:tc>
        <w:tc>
          <w:tcPr>
            <w:tcW w:w="6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 xml:space="preserve">Age </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Population</w:t>
            </w:r>
          </w:p>
        </w:tc>
        <w:tc>
          <w:tcPr>
            <w:tcW w:w="101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Exposure route</w:t>
            </w:r>
          </w:p>
        </w:tc>
        <w:tc>
          <w:tcPr>
            <w:tcW w:w="139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Comparison Matrix/Method</w:t>
            </w:r>
          </w:p>
        </w:tc>
        <w:tc>
          <w:tcPr>
            <w:tcW w:w="128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Cut off value(s)</w:t>
            </w:r>
          </w:p>
        </w:tc>
        <w:tc>
          <w:tcPr>
            <w:tcW w:w="152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Sensitivity</w:t>
            </w:r>
          </w:p>
        </w:tc>
        <w:tc>
          <w:tcPr>
            <w:tcW w:w="154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Specificity</w:t>
            </w:r>
          </w:p>
        </w:tc>
        <w:tc>
          <w:tcPr>
            <w:tcW w:w="1219"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Accuracy</w:t>
            </w:r>
          </w:p>
        </w:tc>
      </w:tr>
      <w:tr w:rsidR="00EC25F0" w:rsidRPr="0084373E" w:rsidTr="00C23696">
        <w:trPr>
          <w:gridAfter w:val="1"/>
          <w:wAfter w:w="51" w:type="dxa"/>
          <w:trHeight w:val="835"/>
        </w:trPr>
        <w:tc>
          <w:tcPr>
            <w:tcW w:w="1139" w:type="dxa"/>
            <w:tcBorders>
              <w:top w:val="single" w:sz="4" w:space="0" w:color="auto"/>
              <w:left w:val="single" w:sz="4" w:space="0" w:color="auto"/>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17 devices including:</w:t>
            </w:r>
            <w:r w:rsidRPr="0084373E">
              <w:rPr>
                <w:rFonts w:ascii="Arial" w:eastAsia="Times New Roman" w:hAnsi="Arial" w:cs="Arial"/>
                <w:color w:val="000000"/>
                <w:sz w:val="16"/>
                <w:szCs w:val="16"/>
              </w:rPr>
              <w:br/>
              <w:t>DDS™</w:t>
            </w:r>
            <w:r w:rsidRPr="0084373E">
              <w:rPr>
                <w:rFonts w:ascii="Arial" w:eastAsia="Times New Roman" w:hAnsi="Arial" w:cs="Arial"/>
                <w:color w:val="000000"/>
                <w:sz w:val="16"/>
                <w:szCs w:val="16"/>
              </w:rPr>
              <w:br/>
              <w:t>DT5000</w:t>
            </w:r>
            <w:r w:rsidRPr="0084373E">
              <w:rPr>
                <w:rFonts w:ascii="Arial" w:eastAsia="Times New Roman" w:hAnsi="Arial" w:cs="Arial"/>
                <w:color w:val="000000"/>
                <w:sz w:val="16"/>
                <w:szCs w:val="16"/>
              </w:rPr>
              <w:br/>
              <w:t>Drugwipe™</w:t>
            </w:r>
          </w:p>
        </w:tc>
        <w:tc>
          <w:tcPr>
            <w:tcW w:w="151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Scherer et al. </w:t>
            </w:r>
          </w:p>
        </w:tc>
        <w:tc>
          <w:tcPr>
            <w:tcW w:w="57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83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NA (Meta analysis) </w:t>
            </w:r>
          </w:p>
        </w:tc>
        <w:tc>
          <w:tcPr>
            <w:tcW w:w="654"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NA </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Drivers; Drug users; Laboratory participants</w:t>
            </w:r>
          </w:p>
        </w:tc>
        <w:tc>
          <w:tcPr>
            <w:tcW w:w="101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Various</w:t>
            </w:r>
          </w:p>
        </w:tc>
        <w:tc>
          <w:tcPr>
            <w:tcW w:w="139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Validated chromato-graphic assay</w:t>
            </w:r>
          </w:p>
        </w:tc>
        <w:tc>
          <w:tcPr>
            <w:tcW w:w="1288"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Not reported</w:t>
            </w:r>
          </w:p>
        </w:tc>
        <w:tc>
          <w:tcPr>
            <w:tcW w:w="152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80.5% (7 - 100%)</w:t>
            </w:r>
          </w:p>
        </w:tc>
        <w:tc>
          <w:tcPr>
            <w:tcW w:w="1546"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81.3% (9 - 100%)</w:t>
            </w:r>
          </w:p>
        </w:tc>
        <w:tc>
          <w:tcPr>
            <w:tcW w:w="1219" w:type="dxa"/>
            <w:tcBorders>
              <w:top w:val="single" w:sz="4" w:space="0" w:color="auto"/>
              <w:left w:val="nil"/>
              <w:bottom w:val="single" w:sz="4" w:space="0" w:color="auto"/>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41 - 100% </w:t>
            </w:r>
          </w:p>
        </w:tc>
      </w:tr>
      <w:tr w:rsidR="00EC25F0" w:rsidRPr="0084373E" w:rsidTr="00C23696">
        <w:trPr>
          <w:gridAfter w:val="1"/>
          <w:wAfter w:w="51" w:type="dxa"/>
          <w:trHeight w:val="911"/>
        </w:trPr>
        <w:tc>
          <w:tcPr>
            <w:tcW w:w="1139" w:type="dxa"/>
            <w:tcBorders>
              <w:top w:val="single" w:sz="4" w:space="0" w:color="auto"/>
              <w:left w:val="single" w:sz="4" w:space="0" w:color="auto"/>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DDS2</w:t>
            </w:r>
          </w:p>
        </w:tc>
        <w:tc>
          <w:tcPr>
            <w:tcW w:w="151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Swortwood et al. </w:t>
            </w:r>
          </w:p>
        </w:tc>
        <w:tc>
          <w:tcPr>
            <w:tcW w:w="57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83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545</w:t>
            </w:r>
          </w:p>
        </w:tc>
        <w:tc>
          <w:tcPr>
            <w:tcW w:w="6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18-50 </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Healthy users*</w:t>
            </w:r>
          </w:p>
        </w:tc>
        <w:tc>
          <w:tcPr>
            <w:tcW w:w="101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Multiple**</w:t>
            </w:r>
          </w:p>
        </w:tc>
        <w:tc>
          <w:tcPr>
            <w:tcW w:w="139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(LCMS/MS)</w:t>
            </w:r>
          </w:p>
        </w:tc>
        <w:tc>
          <w:tcPr>
            <w:tcW w:w="128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25 ng/mL</w:t>
            </w:r>
            <w:r w:rsidRPr="0084373E">
              <w:rPr>
                <w:rFonts w:ascii="Arial" w:eastAsia="Times New Roman" w:hAnsi="Arial" w:cs="Arial"/>
                <w:color w:val="000000"/>
                <w:sz w:val="16"/>
                <w:szCs w:val="16"/>
              </w:rPr>
              <w:br/>
              <w:t xml:space="preserve"> ≥ 5 ng/mL</w:t>
            </w:r>
            <w:r w:rsidRPr="0084373E">
              <w:rPr>
                <w:rFonts w:ascii="Arial" w:eastAsia="Times New Roman" w:hAnsi="Arial" w:cs="Arial"/>
                <w:color w:val="000000"/>
                <w:sz w:val="16"/>
                <w:szCs w:val="16"/>
              </w:rPr>
              <w:br/>
              <w:t xml:space="preserve"> ≥ 2 ng/mL</w:t>
            </w:r>
            <w:r w:rsidRPr="0084373E">
              <w:rPr>
                <w:rFonts w:ascii="Arial" w:eastAsia="Times New Roman" w:hAnsi="Arial" w:cs="Arial"/>
                <w:color w:val="000000"/>
                <w:sz w:val="16"/>
                <w:szCs w:val="16"/>
              </w:rPr>
              <w:br/>
              <w:t>≥ 1n g/L</w:t>
            </w:r>
            <w:r w:rsidRPr="0084373E">
              <w:rPr>
                <w:rFonts w:ascii="Arial" w:eastAsia="Times New Roman" w:hAnsi="Arial" w:cs="Arial"/>
                <w:color w:val="000000"/>
                <w:sz w:val="16"/>
                <w:szCs w:val="16"/>
              </w:rPr>
              <w:br/>
              <w:t xml:space="preserve"> ≥ 0.2 ng/mL</w:t>
            </w:r>
          </w:p>
        </w:tc>
        <w:tc>
          <w:tcPr>
            <w:tcW w:w="152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25 ng/mL =98.5</w:t>
            </w:r>
            <w:r w:rsidRPr="0084373E">
              <w:rPr>
                <w:rFonts w:ascii="Arial" w:eastAsia="Times New Roman" w:hAnsi="Arial" w:cs="Arial"/>
                <w:color w:val="000000"/>
                <w:sz w:val="16"/>
                <w:szCs w:val="16"/>
              </w:rPr>
              <w:br/>
              <w:t>≥ 5 ng/mL =84.4</w:t>
            </w:r>
            <w:r w:rsidRPr="0084373E">
              <w:rPr>
                <w:rFonts w:ascii="Arial" w:eastAsia="Times New Roman" w:hAnsi="Arial" w:cs="Arial"/>
                <w:color w:val="000000"/>
                <w:sz w:val="16"/>
                <w:szCs w:val="16"/>
              </w:rPr>
              <w:br/>
              <w:t>≥ 2 ng/mL =65.1</w:t>
            </w:r>
            <w:r w:rsidRPr="0084373E">
              <w:rPr>
                <w:rFonts w:ascii="Arial" w:eastAsia="Times New Roman" w:hAnsi="Arial" w:cs="Arial"/>
                <w:color w:val="000000"/>
                <w:sz w:val="16"/>
                <w:szCs w:val="16"/>
              </w:rPr>
              <w:br/>
              <w:t>≥ 1 ng/mL =53.2</w:t>
            </w:r>
            <w:r w:rsidRPr="0084373E">
              <w:rPr>
                <w:rFonts w:ascii="Arial" w:eastAsia="Times New Roman" w:hAnsi="Arial" w:cs="Arial"/>
                <w:color w:val="000000"/>
                <w:sz w:val="16"/>
                <w:szCs w:val="16"/>
              </w:rPr>
              <w:br/>
              <w:t>≥ 0.2 ng/mL =36.5</w:t>
            </w:r>
          </w:p>
        </w:tc>
        <w:tc>
          <w:tcPr>
            <w:tcW w:w="154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25 ng/mL =84.0</w:t>
            </w:r>
            <w:r w:rsidRPr="0084373E">
              <w:rPr>
                <w:rFonts w:ascii="Arial" w:eastAsia="Times New Roman" w:hAnsi="Arial" w:cs="Arial"/>
                <w:color w:val="000000"/>
                <w:sz w:val="16"/>
                <w:szCs w:val="16"/>
              </w:rPr>
              <w:br/>
              <w:t>≥ 5 ng/mL =94.5</w:t>
            </w:r>
            <w:r w:rsidRPr="0084373E">
              <w:rPr>
                <w:rFonts w:ascii="Arial" w:eastAsia="Times New Roman" w:hAnsi="Arial" w:cs="Arial"/>
                <w:color w:val="000000"/>
                <w:sz w:val="16"/>
                <w:szCs w:val="16"/>
              </w:rPr>
              <w:br/>
              <w:t>≥ 2 ng/mL =97.6</w:t>
            </w:r>
            <w:r w:rsidRPr="0084373E">
              <w:rPr>
                <w:rFonts w:ascii="Arial" w:eastAsia="Times New Roman" w:hAnsi="Arial" w:cs="Arial"/>
                <w:color w:val="000000"/>
                <w:sz w:val="16"/>
                <w:szCs w:val="16"/>
              </w:rPr>
              <w:br/>
              <w:t>≥ 1 ng/mL =98.2</w:t>
            </w:r>
            <w:r w:rsidRPr="0084373E">
              <w:rPr>
                <w:rFonts w:ascii="Arial" w:eastAsia="Times New Roman" w:hAnsi="Arial" w:cs="Arial"/>
                <w:color w:val="000000"/>
                <w:sz w:val="16"/>
                <w:szCs w:val="16"/>
              </w:rPr>
              <w:br/>
              <w:t>≥ 0.2 ng/mL =99.2</w:t>
            </w:r>
          </w:p>
        </w:tc>
        <w:tc>
          <w:tcPr>
            <w:tcW w:w="1219"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NA</w:t>
            </w:r>
          </w:p>
        </w:tc>
      </w:tr>
      <w:tr w:rsidR="00EC25F0" w:rsidRPr="0084373E" w:rsidTr="00C23696">
        <w:trPr>
          <w:gridAfter w:val="1"/>
          <w:wAfter w:w="51" w:type="dxa"/>
          <w:trHeight w:val="1032"/>
        </w:trPr>
        <w:tc>
          <w:tcPr>
            <w:tcW w:w="1139"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DDS2</w:t>
            </w:r>
          </w:p>
        </w:tc>
        <w:tc>
          <w:tcPr>
            <w:tcW w:w="151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Newmeyer et al.</w:t>
            </w:r>
          </w:p>
        </w:tc>
        <w:tc>
          <w:tcPr>
            <w:tcW w:w="57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83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134</w:t>
            </w:r>
          </w:p>
        </w:tc>
        <w:tc>
          <w:tcPr>
            <w:tcW w:w="654"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18-50 </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Healthy users*</w:t>
            </w:r>
          </w:p>
        </w:tc>
        <w:tc>
          <w:tcPr>
            <w:tcW w:w="101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Edible </w:t>
            </w:r>
          </w:p>
        </w:tc>
        <w:tc>
          <w:tcPr>
            <w:tcW w:w="139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and Blood (LCMS/MS)</w:t>
            </w:r>
          </w:p>
        </w:tc>
        <w:tc>
          <w:tcPr>
            <w:tcW w:w="128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25 ng/mL</w:t>
            </w:r>
            <w:r w:rsidRPr="0084373E">
              <w:rPr>
                <w:rFonts w:ascii="Arial" w:eastAsia="Times New Roman" w:hAnsi="Arial" w:cs="Arial"/>
                <w:color w:val="000000"/>
                <w:sz w:val="16"/>
                <w:szCs w:val="16"/>
              </w:rPr>
              <w:br/>
              <w:t>≥ 10 ng/mL</w:t>
            </w:r>
            <w:r w:rsidRPr="0084373E">
              <w:rPr>
                <w:rFonts w:ascii="Arial" w:eastAsia="Times New Roman" w:hAnsi="Arial" w:cs="Arial"/>
                <w:color w:val="000000"/>
                <w:sz w:val="16"/>
                <w:szCs w:val="16"/>
              </w:rPr>
              <w:br/>
              <w:t xml:space="preserve"> ≥ 5 ng/mL</w:t>
            </w:r>
            <w:r w:rsidRPr="0084373E">
              <w:rPr>
                <w:rFonts w:ascii="Arial" w:eastAsia="Times New Roman" w:hAnsi="Arial" w:cs="Arial"/>
                <w:color w:val="000000"/>
                <w:sz w:val="16"/>
                <w:szCs w:val="16"/>
              </w:rPr>
              <w:br/>
              <w:t xml:space="preserve"> ≥ 2 ng/mL</w:t>
            </w:r>
            <w:r w:rsidRPr="0084373E">
              <w:rPr>
                <w:rFonts w:ascii="Arial" w:eastAsia="Times New Roman" w:hAnsi="Arial" w:cs="Arial"/>
                <w:color w:val="000000"/>
                <w:sz w:val="16"/>
                <w:szCs w:val="16"/>
              </w:rPr>
              <w:br/>
              <w:t xml:space="preserve"> ≥ 1 ng/mL</w:t>
            </w:r>
            <w:r w:rsidRPr="0084373E">
              <w:rPr>
                <w:rFonts w:ascii="Arial" w:eastAsia="Times New Roman" w:hAnsi="Arial" w:cs="Arial"/>
                <w:color w:val="000000"/>
                <w:sz w:val="16"/>
                <w:szCs w:val="16"/>
              </w:rPr>
              <w:br/>
              <w:t xml:space="preserve"> ≥0.2 ng/mL </w:t>
            </w:r>
          </w:p>
        </w:tc>
        <w:tc>
          <w:tcPr>
            <w:tcW w:w="152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25 ng/mL =95.5</w:t>
            </w:r>
            <w:r w:rsidRPr="0084373E">
              <w:rPr>
                <w:rFonts w:ascii="Arial" w:eastAsia="Times New Roman" w:hAnsi="Arial" w:cs="Arial"/>
                <w:color w:val="000000"/>
                <w:sz w:val="16"/>
                <w:szCs w:val="16"/>
              </w:rPr>
              <w:br/>
              <w:t xml:space="preserve"> ≥ 10 ng/mL =96.0</w:t>
            </w:r>
            <w:r w:rsidRPr="0084373E">
              <w:rPr>
                <w:rFonts w:ascii="Arial" w:eastAsia="Times New Roman" w:hAnsi="Arial" w:cs="Arial"/>
                <w:color w:val="000000"/>
                <w:sz w:val="16"/>
                <w:szCs w:val="16"/>
              </w:rPr>
              <w:br/>
              <w:t>≥ 5 ng/mL=96.8</w:t>
            </w:r>
            <w:r w:rsidRPr="0084373E">
              <w:rPr>
                <w:rFonts w:ascii="Arial" w:eastAsia="Times New Roman" w:hAnsi="Arial" w:cs="Arial"/>
                <w:color w:val="000000"/>
                <w:sz w:val="16"/>
                <w:szCs w:val="16"/>
              </w:rPr>
              <w:br/>
              <w:t xml:space="preserve"> ≥ 2 ng/mL =61.7</w:t>
            </w:r>
            <w:r w:rsidRPr="0084373E">
              <w:rPr>
                <w:rFonts w:ascii="Arial" w:eastAsia="Times New Roman" w:hAnsi="Arial" w:cs="Arial"/>
                <w:color w:val="000000"/>
                <w:sz w:val="16"/>
                <w:szCs w:val="16"/>
              </w:rPr>
              <w:br/>
              <w:t xml:space="preserve"> ≥ 1 ng/mL =61.7</w:t>
            </w:r>
            <w:r w:rsidRPr="0084373E">
              <w:rPr>
                <w:rFonts w:ascii="Arial" w:eastAsia="Times New Roman" w:hAnsi="Arial" w:cs="Arial"/>
                <w:color w:val="000000"/>
                <w:sz w:val="16"/>
                <w:szCs w:val="16"/>
              </w:rPr>
              <w:br/>
              <w:t xml:space="preserve"> ≥0.2 ng/mL =44.1</w:t>
            </w:r>
          </w:p>
        </w:tc>
        <w:tc>
          <w:tcPr>
            <w:tcW w:w="154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25 ng/mL =79.5</w:t>
            </w:r>
            <w:r w:rsidRPr="0084373E">
              <w:rPr>
                <w:rFonts w:ascii="Arial" w:eastAsia="Times New Roman" w:hAnsi="Arial" w:cs="Arial"/>
                <w:color w:val="000000"/>
                <w:sz w:val="16"/>
                <w:szCs w:val="16"/>
              </w:rPr>
              <w:br/>
              <w:t xml:space="preserve"> ≥ 10 ng/mL =81.7</w:t>
            </w:r>
            <w:r w:rsidRPr="0084373E">
              <w:rPr>
                <w:rFonts w:ascii="Arial" w:eastAsia="Times New Roman" w:hAnsi="Arial" w:cs="Arial"/>
                <w:color w:val="000000"/>
                <w:sz w:val="16"/>
                <w:szCs w:val="16"/>
              </w:rPr>
              <w:br/>
              <w:t>≥ 5 ng/mL=86.4</w:t>
            </w:r>
            <w:r w:rsidRPr="0084373E">
              <w:rPr>
                <w:rFonts w:ascii="Arial" w:eastAsia="Times New Roman" w:hAnsi="Arial" w:cs="Arial"/>
                <w:color w:val="000000"/>
                <w:sz w:val="16"/>
                <w:szCs w:val="16"/>
              </w:rPr>
              <w:br/>
              <w:t xml:space="preserve"> ≥ 2 ng/mL =90.5</w:t>
            </w:r>
            <w:r w:rsidRPr="0084373E">
              <w:rPr>
                <w:rFonts w:ascii="Arial" w:eastAsia="Times New Roman" w:hAnsi="Arial" w:cs="Arial"/>
                <w:color w:val="000000"/>
                <w:sz w:val="16"/>
                <w:szCs w:val="16"/>
              </w:rPr>
              <w:br/>
              <w:t xml:space="preserve"> ≥ 1 ng/mL =90.5</w:t>
            </w:r>
            <w:r w:rsidRPr="0084373E">
              <w:rPr>
                <w:rFonts w:ascii="Arial" w:eastAsia="Times New Roman" w:hAnsi="Arial" w:cs="Arial"/>
                <w:color w:val="000000"/>
                <w:sz w:val="16"/>
                <w:szCs w:val="16"/>
              </w:rPr>
              <w:br/>
              <w:t xml:space="preserve"> ≥0.2 ng/mL =92.7</w:t>
            </w:r>
          </w:p>
        </w:tc>
        <w:tc>
          <w:tcPr>
            <w:tcW w:w="1219" w:type="dxa"/>
            <w:tcBorders>
              <w:top w:val="single" w:sz="4" w:space="0" w:color="auto"/>
              <w:left w:val="nil"/>
              <w:bottom w:val="single" w:sz="4" w:space="0" w:color="auto"/>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NA</w:t>
            </w:r>
          </w:p>
        </w:tc>
      </w:tr>
      <w:tr w:rsidR="00EC25F0" w:rsidRPr="0084373E" w:rsidTr="00C23696">
        <w:trPr>
          <w:gridAfter w:val="1"/>
          <w:wAfter w:w="51" w:type="dxa"/>
          <w:trHeight w:val="615"/>
        </w:trPr>
        <w:tc>
          <w:tcPr>
            <w:tcW w:w="1139"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DDS2</w:t>
            </w:r>
          </w:p>
        </w:tc>
        <w:tc>
          <w:tcPr>
            <w:tcW w:w="151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Edwards et al.</w:t>
            </w:r>
          </w:p>
        </w:tc>
        <w:tc>
          <w:tcPr>
            <w:tcW w:w="57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83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104</w:t>
            </w:r>
          </w:p>
        </w:tc>
        <w:tc>
          <w:tcPr>
            <w:tcW w:w="654"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18-72</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subjects arrested for  (OWI)</w:t>
            </w:r>
          </w:p>
        </w:tc>
        <w:tc>
          <w:tcPr>
            <w:tcW w:w="101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NA</w:t>
            </w:r>
          </w:p>
        </w:tc>
        <w:tc>
          <w:tcPr>
            <w:tcW w:w="139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Blood (Enzyme Immunoassay)</w:t>
            </w:r>
          </w:p>
        </w:tc>
        <w:tc>
          <w:tcPr>
            <w:tcW w:w="1288"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25 ng/mL</w:t>
            </w:r>
          </w:p>
        </w:tc>
        <w:tc>
          <w:tcPr>
            <w:tcW w:w="1526"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88.37</w:t>
            </w:r>
          </w:p>
        </w:tc>
        <w:tc>
          <w:tcPr>
            <w:tcW w:w="1546"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86.89</w:t>
            </w:r>
          </w:p>
        </w:tc>
        <w:tc>
          <w:tcPr>
            <w:tcW w:w="1219"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87.5</w:t>
            </w:r>
            <w:r w:rsidRPr="0084373E">
              <w:rPr>
                <w:rFonts w:ascii="Arial" w:eastAsia="Times New Roman" w:hAnsi="Arial" w:cs="Arial"/>
                <w:color w:val="000000"/>
                <w:sz w:val="16"/>
                <w:szCs w:val="16"/>
              </w:rPr>
              <w:br/>
              <w:t>PPV: 82.61</w:t>
            </w:r>
            <w:r w:rsidRPr="0084373E">
              <w:rPr>
                <w:rFonts w:ascii="Arial" w:eastAsia="Times New Roman" w:hAnsi="Arial" w:cs="Arial"/>
                <w:color w:val="000000"/>
                <w:sz w:val="16"/>
                <w:szCs w:val="16"/>
              </w:rPr>
              <w:br/>
              <w:t>NPV: 91.34</w:t>
            </w:r>
          </w:p>
        </w:tc>
      </w:tr>
      <w:tr w:rsidR="00EC25F0" w:rsidRPr="0084373E" w:rsidTr="00C23696">
        <w:trPr>
          <w:gridAfter w:val="1"/>
          <w:wAfter w:w="51" w:type="dxa"/>
          <w:trHeight w:val="804"/>
        </w:trPr>
        <w:tc>
          <w:tcPr>
            <w:tcW w:w="1139" w:type="dxa"/>
            <w:tcBorders>
              <w:top w:val="single" w:sz="4" w:space="0" w:color="auto"/>
              <w:left w:val="single" w:sz="4" w:space="0" w:color="auto"/>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DT5000</w:t>
            </w:r>
          </w:p>
        </w:tc>
        <w:tc>
          <w:tcPr>
            <w:tcW w:w="151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Swortwood et al. </w:t>
            </w:r>
          </w:p>
        </w:tc>
        <w:tc>
          <w:tcPr>
            <w:tcW w:w="57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83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551</w:t>
            </w:r>
          </w:p>
        </w:tc>
        <w:tc>
          <w:tcPr>
            <w:tcW w:w="6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18-50 </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Healthy  Users*</w:t>
            </w:r>
          </w:p>
        </w:tc>
        <w:tc>
          <w:tcPr>
            <w:tcW w:w="101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Multiple**</w:t>
            </w:r>
          </w:p>
        </w:tc>
        <w:tc>
          <w:tcPr>
            <w:tcW w:w="139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(LCMS/MS)</w:t>
            </w:r>
          </w:p>
        </w:tc>
        <w:tc>
          <w:tcPr>
            <w:tcW w:w="128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w:t>
            </w:r>
            <w:r w:rsidRPr="0084373E">
              <w:rPr>
                <w:rFonts w:ascii="Arial" w:eastAsia="Times New Roman" w:hAnsi="Arial" w:cs="Arial"/>
                <w:color w:val="000000"/>
                <w:sz w:val="16"/>
                <w:szCs w:val="16"/>
              </w:rPr>
              <w:br/>
              <w:t xml:space="preserve"> ≥ 2 ng/mL</w:t>
            </w:r>
            <w:r w:rsidRPr="0084373E">
              <w:rPr>
                <w:rFonts w:ascii="Arial" w:eastAsia="Times New Roman" w:hAnsi="Arial" w:cs="Arial"/>
                <w:color w:val="000000"/>
                <w:sz w:val="16"/>
                <w:szCs w:val="16"/>
              </w:rPr>
              <w:br/>
              <w:t>≥1 ng/mL</w:t>
            </w:r>
            <w:r w:rsidRPr="0084373E">
              <w:rPr>
                <w:rFonts w:ascii="Arial" w:eastAsia="Times New Roman" w:hAnsi="Arial" w:cs="Arial"/>
                <w:color w:val="000000"/>
                <w:sz w:val="16"/>
                <w:szCs w:val="16"/>
              </w:rPr>
              <w:br/>
              <w:t xml:space="preserve"> ≥0.2 ng/mL</w:t>
            </w:r>
          </w:p>
        </w:tc>
        <w:tc>
          <w:tcPr>
            <w:tcW w:w="152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 80.0</w:t>
            </w:r>
            <w:r w:rsidRPr="0084373E">
              <w:rPr>
                <w:rFonts w:ascii="Arial" w:eastAsia="Times New Roman" w:hAnsi="Arial" w:cs="Arial"/>
                <w:color w:val="000000"/>
                <w:sz w:val="16"/>
                <w:szCs w:val="16"/>
              </w:rPr>
              <w:br/>
              <w:t xml:space="preserve"> ≥ 2 ng/mL: 66.3</w:t>
            </w:r>
            <w:r w:rsidRPr="0084373E">
              <w:rPr>
                <w:rFonts w:ascii="Arial" w:eastAsia="Times New Roman" w:hAnsi="Arial" w:cs="Arial"/>
                <w:color w:val="000000"/>
                <w:sz w:val="16"/>
                <w:szCs w:val="16"/>
              </w:rPr>
              <w:br/>
              <w:t xml:space="preserve"> ≥1 ng/mL: 57.5</w:t>
            </w:r>
            <w:r w:rsidRPr="0084373E">
              <w:rPr>
                <w:rFonts w:ascii="Arial" w:eastAsia="Times New Roman" w:hAnsi="Arial" w:cs="Arial"/>
                <w:color w:val="000000"/>
                <w:sz w:val="16"/>
                <w:szCs w:val="16"/>
              </w:rPr>
              <w:br/>
              <w:t xml:space="preserve"> ≥0.2 ng/mL: 36.9</w:t>
            </w:r>
          </w:p>
        </w:tc>
        <w:tc>
          <w:tcPr>
            <w:tcW w:w="154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 91.9</w:t>
            </w:r>
            <w:r w:rsidRPr="0084373E">
              <w:rPr>
                <w:rFonts w:ascii="Arial" w:eastAsia="Times New Roman" w:hAnsi="Arial" w:cs="Arial"/>
                <w:color w:val="000000"/>
                <w:sz w:val="16"/>
                <w:szCs w:val="16"/>
              </w:rPr>
              <w:br/>
              <w:t xml:space="preserve"> ≥ 2 ng/mL: 96.8</w:t>
            </w:r>
            <w:r w:rsidRPr="0084373E">
              <w:rPr>
                <w:rFonts w:ascii="Arial" w:eastAsia="Times New Roman" w:hAnsi="Arial" w:cs="Arial"/>
                <w:color w:val="000000"/>
                <w:sz w:val="16"/>
                <w:szCs w:val="16"/>
              </w:rPr>
              <w:br/>
              <w:t xml:space="preserve"> ≥1 ng/mL: 98.7</w:t>
            </w:r>
            <w:r w:rsidRPr="0084373E">
              <w:rPr>
                <w:rFonts w:ascii="Arial" w:eastAsia="Times New Roman" w:hAnsi="Arial" w:cs="Arial"/>
                <w:color w:val="000000"/>
                <w:sz w:val="16"/>
                <w:szCs w:val="16"/>
              </w:rPr>
              <w:br/>
              <w:t xml:space="preserve"> ≥0.2 ng/mL: 99.3</w:t>
            </w:r>
          </w:p>
        </w:tc>
        <w:tc>
          <w:tcPr>
            <w:tcW w:w="1219"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NA</w:t>
            </w:r>
          </w:p>
        </w:tc>
      </w:tr>
      <w:tr w:rsidR="00EC25F0" w:rsidRPr="0084373E" w:rsidTr="00C23696">
        <w:trPr>
          <w:gridAfter w:val="1"/>
          <w:wAfter w:w="51" w:type="dxa"/>
          <w:trHeight w:val="804"/>
        </w:trPr>
        <w:tc>
          <w:tcPr>
            <w:tcW w:w="1139"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DT5000</w:t>
            </w:r>
          </w:p>
        </w:tc>
        <w:tc>
          <w:tcPr>
            <w:tcW w:w="151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Newmeyer et al.</w:t>
            </w:r>
          </w:p>
        </w:tc>
        <w:tc>
          <w:tcPr>
            <w:tcW w:w="57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83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103</w:t>
            </w:r>
          </w:p>
        </w:tc>
        <w:tc>
          <w:tcPr>
            <w:tcW w:w="654"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18-50 </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Healthy  Users*</w:t>
            </w:r>
          </w:p>
        </w:tc>
        <w:tc>
          <w:tcPr>
            <w:tcW w:w="101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Edible</w:t>
            </w:r>
          </w:p>
        </w:tc>
        <w:tc>
          <w:tcPr>
            <w:tcW w:w="139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and Blood (LCMS/MS)</w:t>
            </w:r>
          </w:p>
        </w:tc>
        <w:tc>
          <w:tcPr>
            <w:tcW w:w="128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w:t>
            </w:r>
            <w:r w:rsidRPr="0084373E">
              <w:rPr>
                <w:rFonts w:ascii="Arial" w:eastAsia="Times New Roman" w:hAnsi="Arial" w:cs="Arial"/>
                <w:color w:val="000000"/>
                <w:sz w:val="16"/>
                <w:szCs w:val="16"/>
              </w:rPr>
              <w:br/>
              <w:t>≥ 2 ng/mL</w:t>
            </w:r>
            <w:r w:rsidRPr="0084373E">
              <w:rPr>
                <w:rFonts w:ascii="Arial" w:eastAsia="Times New Roman" w:hAnsi="Arial" w:cs="Arial"/>
                <w:color w:val="000000"/>
                <w:sz w:val="16"/>
                <w:szCs w:val="16"/>
              </w:rPr>
              <w:br/>
              <w:t>≥ 1 ng/mL</w:t>
            </w:r>
            <w:r w:rsidRPr="0084373E">
              <w:rPr>
                <w:rFonts w:ascii="Arial" w:eastAsia="Times New Roman" w:hAnsi="Arial" w:cs="Arial"/>
                <w:color w:val="000000"/>
                <w:sz w:val="16"/>
                <w:szCs w:val="16"/>
              </w:rPr>
              <w:br/>
              <w:t xml:space="preserve">≥ 0.2 ng/mL </w:t>
            </w:r>
          </w:p>
        </w:tc>
        <w:tc>
          <w:tcPr>
            <w:tcW w:w="152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 =89.3</w:t>
            </w:r>
            <w:r w:rsidRPr="0084373E">
              <w:rPr>
                <w:rFonts w:ascii="Arial" w:eastAsia="Times New Roman" w:hAnsi="Arial" w:cs="Arial"/>
                <w:color w:val="000000"/>
                <w:sz w:val="16"/>
                <w:szCs w:val="16"/>
              </w:rPr>
              <w:br/>
              <w:t xml:space="preserve"> ≥ 2 ng/mL =50.0</w:t>
            </w:r>
            <w:r w:rsidRPr="0084373E">
              <w:rPr>
                <w:rFonts w:ascii="Arial" w:eastAsia="Times New Roman" w:hAnsi="Arial" w:cs="Arial"/>
                <w:color w:val="000000"/>
                <w:sz w:val="16"/>
                <w:szCs w:val="16"/>
              </w:rPr>
              <w:br/>
              <w:t xml:space="preserve"> ≥1 ng/mL  =50.0</w:t>
            </w:r>
            <w:r w:rsidRPr="0084373E">
              <w:rPr>
                <w:rFonts w:ascii="Arial" w:eastAsia="Times New Roman" w:hAnsi="Arial" w:cs="Arial"/>
                <w:color w:val="000000"/>
                <w:sz w:val="16"/>
                <w:szCs w:val="16"/>
              </w:rPr>
              <w:br/>
              <w:t xml:space="preserve"> ≥0.2 ng/mL =34.9</w:t>
            </w:r>
          </w:p>
        </w:tc>
        <w:tc>
          <w:tcPr>
            <w:tcW w:w="154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 =94.7</w:t>
            </w:r>
            <w:r w:rsidRPr="0084373E">
              <w:rPr>
                <w:rFonts w:ascii="Arial" w:eastAsia="Times New Roman" w:hAnsi="Arial" w:cs="Arial"/>
                <w:color w:val="000000"/>
                <w:sz w:val="16"/>
                <w:szCs w:val="16"/>
              </w:rPr>
              <w:br/>
              <w:t xml:space="preserve"> ≥ 2 ng/mL =97.9</w:t>
            </w:r>
            <w:r w:rsidRPr="0084373E">
              <w:rPr>
                <w:rFonts w:ascii="Arial" w:eastAsia="Times New Roman" w:hAnsi="Arial" w:cs="Arial"/>
                <w:color w:val="000000"/>
                <w:sz w:val="16"/>
                <w:szCs w:val="16"/>
              </w:rPr>
              <w:br/>
              <w:t xml:space="preserve"> ≥1 ng/mL  =97.9</w:t>
            </w:r>
            <w:r w:rsidRPr="0084373E">
              <w:rPr>
                <w:rFonts w:ascii="Arial" w:eastAsia="Times New Roman" w:hAnsi="Arial" w:cs="Arial"/>
                <w:color w:val="000000"/>
                <w:sz w:val="16"/>
                <w:szCs w:val="16"/>
              </w:rPr>
              <w:br/>
              <w:t xml:space="preserve"> ≥0.2 ng/mL =100</w:t>
            </w:r>
          </w:p>
        </w:tc>
        <w:tc>
          <w:tcPr>
            <w:tcW w:w="1219" w:type="dxa"/>
            <w:tcBorders>
              <w:top w:val="single" w:sz="4" w:space="0" w:color="auto"/>
              <w:left w:val="nil"/>
              <w:bottom w:val="single" w:sz="4" w:space="0" w:color="auto"/>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NA</w:t>
            </w:r>
          </w:p>
        </w:tc>
      </w:tr>
      <w:tr w:rsidR="00EC25F0" w:rsidRPr="0084373E" w:rsidTr="00C23696">
        <w:trPr>
          <w:gridAfter w:val="1"/>
          <w:wAfter w:w="51" w:type="dxa"/>
          <w:trHeight w:val="603"/>
        </w:trPr>
        <w:tc>
          <w:tcPr>
            <w:tcW w:w="1139"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DT5000</w:t>
            </w:r>
          </w:p>
        </w:tc>
        <w:tc>
          <w:tcPr>
            <w:tcW w:w="151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Hartman et al.</w:t>
            </w:r>
          </w:p>
        </w:tc>
        <w:tc>
          <w:tcPr>
            <w:tcW w:w="57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2015</w:t>
            </w:r>
          </w:p>
        </w:tc>
        <w:tc>
          <w:tcPr>
            <w:tcW w:w="83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43</w:t>
            </w:r>
          </w:p>
        </w:tc>
        <w:tc>
          <w:tcPr>
            <w:tcW w:w="654"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21-42</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Healthy users*</w:t>
            </w:r>
          </w:p>
        </w:tc>
        <w:tc>
          <w:tcPr>
            <w:tcW w:w="101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Vaporizer</w:t>
            </w:r>
          </w:p>
        </w:tc>
        <w:tc>
          <w:tcPr>
            <w:tcW w:w="139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(2D-GCMS)</w:t>
            </w:r>
          </w:p>
        </w:tc>
        <w:tc>
          <w:tcPr>
            <w:tcW w:w="128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5 ng/mL</w:t>
            </w:r>
            <w:r w:rsidRPr="0084373E">
              <w:rPr>
                <w:rFonts w:ascii="Arial" w:eastAsia="Times New Roman" w:hAnsi="Arial" w:cs="Arial"/>
                <w:color w:val="000000"/>
                <w:sz w:val="16"/>
                <w:szCs w:val="16"/>
              </w:rPr>
              <w:br/>
              <w:t>2 ng/mL</w:t>
            </w:r>
            <w:r w:rsidRPr="0084373E">
              <w:rPr>
                <w:rFonts w:ascii="Arial" w:eastAsia="Times New Roman" w:hAnsi="Arial" w:cs="Arial"/>
                <w:color w:val="000000"/>
                <w:sz w:val="16"/>
                <w:szCs w:val="16"/>
              </w:rPr>
              <w:br/>
              <w:t>1 ng/mL</w:t>
            </w:r>
          </w:p>
        </w:tc>
        <w:tc>
          <w:tcPr>
            <w:tcW w:w="152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5 ng/mL: 64.9</w:t>
            </w:r>
            <w:r w:rsidRPr="0084373E">
              <w:rPr>
                <w:rFonts w:ascii="Arial" w:eastAsia="Times New Roman" w:hAnsi="Arial" w:cs="Arial"/>
                <w:color w:val="000000"/>
                <w:sz w:val="16"/>
                <w:szCs w:val="16"/>
              </w:rPr>
              <w:br/>
              <w:t>2 ng/mL: 53.8</w:t>
            </w:r>
            <w:r w:rsidRPr="0084373E">
              <w:rPr>
                <w:rFonts w:ascii="Arial" w:eastAsia="Times New Roman" w:hAnsi="Arial" w:cs="Arial"/>
                <w:color w:val="000000"/>
                <w:sz w:val="16"/>
                <w:szCs w:val="16"/>
              </w:rPr>
              <w:br/>
              <w:t>1 ng/mL: 48.7</w:t>
            </w:r>
          </w:p>
        </w:tc>
        <w:tc>
          <w:tcPr>
            <w:tcW w:w="154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5 ng/mL: 97.2</w:t>
            </w:r>
            <w:r w:rsidRPr="0084373E">
              <w:rPr>
                <w:rFonts w:ascii="Arial" w:eastAsia="Times New Roman" w:hAnsi="Arial" w:cs="Arial"/>
                <w:color w:val="000000"/>
                <w:sz w:val="16"/>
                <w:szCs w:val="16"/>
              </w:rPr>
              <w:br/>
              <w:t>2 ng/mL: 99.3</w:t>
            </w:r>
            <w:r w:rsidRPr="0084373E">
              <w:rPr>
                <w:rFonts w:ascii="Arial" w:eastAsia="Times New Roman" w:hAnsi="Arial" w:cs="Arial"/>
                <w:color w:val="000000"/>
                <w:sz w:val="16"/>
                <w:szCs w:val="16"/>
              </w:rPr>
              <w:br/>
              <w:t>1 ng/mL: 100</w:t>
            </w:r>
          </w:p>
        </w:tc>
        <w:tc>
          <w:tcPr>
            <w:tcW w:w="1219"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5 ng/L: 77.5</w:t>
            </w:r>
            <w:r w:rsidRPr="0084373E">
              <w:rPr>
                <w:rFonts w:ascii="Arial" w:eastAsia="Times New Roman" w:hAnsi="Arial" w:cs="Arial"/>
                <w:color w:val="000000"/>
                <w:sz w:val="16"/>
                <w:szCs w:val="16"/>
              </w:rPr>
              <w:br/>
              <w:t>2 ng/L: 65.0</w:t>
            </w:r>
            <w:r w:rsidRPr="0084373E">
              <w:rPr>
                <w:rFonts w:ascii="Arial" w:eastAsia="Times New Roman" w:hAnsi="Arial" w:cs="Arial"/>
                <w:color w:val="000000"/>
                <w:sz w:val="16"/>
                <w:szCs w:val="16"/>
              </w:rPr>
              <w:br/>
              <w:t>1 ng/L: 57.1</w:t>
            </w:r>
          </w:p>
        </w:tc>
      </w:tr>
      <w:tr w:rsidR="00EC25F0" w:rsidRPr="0084373E" w:rsidTr="00C23696">
        <w:trPr>
          <w:gridAfter w:val="1"/>
          <w:wAfter w:w="51" w:type="dxa"/>
          <w:trHeight w:val="443"/>
        </w:trPr>
        <w:tc>
          <w:tcPr>
            <w:tcW w:w="1139"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DT5000</w:t>
            </w:r>
          </w:p>
        </w:tc>
        <w:tc>
          <w:tcPr>
            <w:tcW w:w="151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Huestis et al.</w:t>
            </w:r>
          </w:p>
        </w:tc>
        <w:tc>
          <w:tcPr>
            <w:tcW w:w="57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2013</w:t>
            </w:r>
          </w:p>
        </w:tc>
        <w:tc>
          <w:tcPr>
            <w:tcW w:w="83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24</w:t>
            </w:r>
          </w:p>
        </w:tc>
        <w:tc>
          <w:tcPr>
            <w:tcW w:w="654"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18-45</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Healthy users*</w:t>
            </w:r>
          </w:p>
        </w:tc>
        <w:tc>
          <w:tcPr>
            <w:tcW w:w="101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Smoked</w:t>
            </w:r>
          </w:p>
        </w:tc>
        <w:tc>
          <w:tcPr>
            <w:tcW w:w="139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(2D-GCMS)</w:t>
            </w:r>
          </w:p>
        </w:tc>
        <w:tc>
          <w:tcPr>
            <w:tcW w:w="128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 ng/mL</w:t>
            </w:r>
            <w:r w:rsidRPr="0084373E">
              <w:rPr>
                <w:rFonts w:ascii="Arial" w:eastAsia="Times New Roman" w:hAnsi="Arial" w:cs="Arial"/>
                <w:color w:val="000000"/>
                <w:sz w:val="16"/>
                <w:szCs w:val="16"/>
              </w:rPr>
              <w:br/>
              <w:t>1 ng/mL</w:t>
            </w:r>
          </w:p>
        </w:tc>
        <w:tc>
          <w:tcPr>
            <w:tcW w:w="152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 ng/mL: 75.3</w:t>
            </w:r>
            <w:r w:rsidRPr="0084373E">
              <w:rPr>
                <w:rFonts w:ascii="Arial" w:eastAsia="Times New Roman" w:hAnsi="Arial" w:cs="Arial"/>
                <w:color w:val="000000"/>
                <w:sz w:val="16"/>
                <w:szCs w:val="16"/>
              </w:rPr>
              <w:br/>
              <w:t>1 ng/mL: 66.4</w:t>
            </w:r>
          </w:p>
        </w:tc>
        <w:tc>
          <w:tcPr>
            <w:tcW w:w="154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 ng/mL: 94.1</w:t>
            </w:r>
            <w:r w:rsidRPr="0084373E">
              <w:rPr>
                <w:rFonts w:ascii="Arial" w:eastAsia="Times New Roman" w:hAnsi="Arial" w:cs="Arial"/>
                <w:color w:val="000000"/>
                <w:sz w:val="16"/>
                <w:szCs w:val="16"/>
              </w:rPr>
              <w:br/>
              <w:t>1 ng/mL: 98.9</w:t>
            </w:r>
          </w:p>
        </w:tc>
        <w:tc>
          <w:tcPr>
            <w:tcW w:w="1219"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 ng/mL: 81.8</w:t>
            </w:r>
            <w:r w:rsidRPr="0084373E">
              <w:rPr>
                <w:rFonts w:ascii="Arial" w:eastAsia="Times New Roman" w:hAnsi="Arial" w:cs="Arial"/>
                <w:color w:val="000000"/>
                <w:sz w:val="16"/>
                <w:szCs w:val="16"/>
              </w:rPr>
              <w:br/>
              <w:t>1 ng/mL: 73.9</w:t>
            </w:r>
          </w:p>
        </w:tc>
      </w:tr>
      <w:tr w:rsidR="00EC25F0" w:rsidRPr="0084373E" w:rsidTr="00C23696">
        <w:trPr>
          <w:gridAfter w:val="1"/>
          <w:wAfter w:w="51" w:type="dxa"/>
          <w:trHeight w:val="610"/>
        </w:trPr>
        <w:tc>
          <w:tcPr>
            <w:tcW w:w="1139"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DrugWipe5A</w:t>
            </w:r>
          </w:p>
        </w:tc>
        <w:tc>
          <w:tcPr>
            <w:tcW w:w="151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Gentili et al. </w:t>
            </w:r>
          </w:p>
        </w:tc>
        <w:tc>
          <w:tcPr>
            <w:tcW w:w="57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2016</w:t>
            </w:r>
          </w:p>
        </w:tc>
        <w:tc>
          <w:tcPr>
            <w:tcW w:w="83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83</w:t>
            </w:r>
          </w:p>
        </w:tc>
        <w:tc>
          <w:tcPr>
            <w:tcW w:w="654"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NA</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Subjects in a social setting (e.g. bars)</w:t>
            </w:r>
          </w:p>
        </w:tc>
        <w:tc>
          <w:tcPr>
            <w:tcW w:w="101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NA</w:t>
            </w:r>
          </w:p>
        </w:tc>
        <w:tc>
          <w:tcPr>
            <w:tcW w:w="139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(HS-SPME-GC, MS- EIO)</w:t>
            </w:r>
          </w:p>
        </w:tc>
        <w:tc>
          <w:tcPr>
            <w:tcW w:w="1288"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30 ng/mL</w:t>
            </w:r>
          </w:p>
        </w:tc>
        <w:tc>
          <w:tcPr>
            <w:tcW w:w="1526"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29</w:t>
            </w:r>
          </w:p>
        </w:tc>
        <w:tc>
          <w:tcPr>
            <w:tcW w:w="1546"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88</w:t>
            </w:r>
          </w:p>
        </w:tc>
        <w:tc>
          <w:tcPr>
            <w:tcW w:w="1219" w:type="dxa"/>
            <w:tcBorders>
              <w:top w:val="single" w:sz="4" w:space="0" w:color="auto"/>
              <w:left w:val="nil"/>
              <w:bottom w:val="single" w:sz="4" w:space="0" w:color="auto"/>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53</w:t>
            </w:r>
          </w:p>
        </w:tc>
      </w:tr>
      <w:tr w:rsidR="00EC25F0" w:rsidRPr="0084373E" w:rsidTr="00C23696">
        <w:trPr>
          <w:trHeight w:val="741"/>
        </w:trPr>
        <w:tc>
          <w:tcPr>
            <w:tcW w:w="14009" w:type="dxa"/>
            <w:gridSpan w:val="13"/>
            <w:tcBorders>
              <w:top w:val="single" w:sz="4" w:space="0" w:color="auto"/>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Note: Studies that tested multiple populations and devices may appear more than once. DT5000=Drager™ DrugTest 5000; DDS2= Alere™ DDS2; OF=Oral Fluid; LC-MS/MS=Liquid chromatography – tandem mass spectrometry; 2D-GCMS=Two dimensional gas chromatography-mass spectrometry; HS-SPME-GC=Headspace-Solid Phase Microextraction-Gas Chromatography; MS-EIO= mass spectrometry, electron impact ionization; OWI=operating while intoxicated; *Healthy cannabis users in a laboratory setting; ** multiple routes refers to exposure by controlled smoking, vaporizing, and edible routes in a laboratory setting. The limit of quantitation (LOQ) was 0.2 ng/mL.</w:t>
            </w:r>
          </w:p>
        </w:tc>
      </w:tr>
    </w:tbl>
    <w:p w:rsidR="00EC25F0" w:rsidRPr="0084373E" w:rsidRDefault="00EC25F0" w:rsidP="006057BE">
      <w:pPr>
        <w:pStyle w:val="Caption"/>
        <w:spacing w:after="0"/>
        <w:jc w:val="both"/>
        <w:rPr>
          <w:rFonts w:ascii="Arial" w:hAnsi="Arial" w:cs="Arial"/>
          <w:b/>
          <w:szCs w:val="24"/>
        </w:rPr>
      </w:pPr>
      <w:r w:rsidRPr="0084373E">
        <w:rPr>
          <w:rFonts w:ascii="Arial" w:hAnsi="Arial" w:cs="Arial"/>
          <w:b/>
          <w:szCs w:val="24"/>
        </w:rPr>
        <w:t>Table 2. Sensitivity and Specificity of Point of Collection Devices for Measuring Cannabis Exposure in Oral Fluid, All Users</w:t>
      </w:r>
    </w:p>
    <w:p w:rsidR="00EC25F0" w:rsidRPr="0084373E" w:rsidRDefault="00EC25F0" w:rsidP="006057BE">
      <w:pPr>
        <w:pStyle w:val="Caption"/>
        <w:spacing w:after="0"/>
        <w:rPr>
          <w:rFonts w:ascii="Arial" w:hAnsi="Arial" w:cs="Arial"/>
          <w:b/>
          <w:sz w:val="16"/>
          <w:szCs w:val="16"/>
        </w:rPr>
      </w:pPr>
    </w:p>
    <w:p w:rsidR="00EC25F0" w:rsidRPr="0084373E" w:rsidRDefault="00EC25F0" w:rsidP="006057BE">
      <w:pPr>
        <w:pStyle w:val="Caption"/>
        <w:spacing w:after="0"/>
        <w:rPr>
          <w:rFonts w:ascii="Arial" w:hAnsi="Arial" w:cs="Arial"/>
          <w:b/>
        </w:rPr>
      </w:pPr>
      <w:r w:rsidRPr="0084373E">
        <w:rPr>
          <w:rFonts w:ascii="Arial" w:hAnsi="Arial" w:cs="Arial"/>
          <w:b/>
        </w:rPr>
        <w:t>Table 3. Sensitivity and Specificity of Point of Collection Oral Fluid Cannabis Exposure Screening Devices, by Cannabis Use Frequency</w:t>
      </w:r>
    </w:p>
    <w:tbl>
      <w:tblPr>
        <w:tblW w:w="13401" w:type="dxa"/>
        <w:jc w:val="center"/>
        <w:tblLook w:val="04A0" w:firstRow="1" w:lastRow="0" w:firstColumn="1" w:lastColumn="0" w:noHBand="0" w:noVBand="1"/>
        <w:tblCaption w:val="Sensitivity and Specificity of Point of Collection Oral Fluid Cannabis Exposure Screening Devices, by Cannabis Use Frequency"/>
      </w:tblPr>
      <w:tblGrid>
        <w:gridCol w:w="1026"/>
        <w:gridCol w:w="1725"/>
        <w:gridCol w:w="651"/>
        <w:gridCol w:w="568"/>
        <w:gridCol w:w="721"/>
        <w:gridCol w:w="1289"/>
        <w:gridCol w:w="1254"/>
        <w:gridCol w:w="1535"/>
        <w:gridCol w:w="1358"/>
        <w:gridCol w:w="1620"/>
        <w:gridCol w:w="1654"/>
      </w:tblGrid>
      <w:tr w:rsidR="00EC25F0" w:rsidRPr="0084373E" w:rsidTr="00C63AA0">
        <w:trPr>
          <w:trHeight w:val="418"/>
          <w:jc w:val="center"/>
        </w:trPr>
        <w:tc>
          <w:tcPr>
            <w:tcW w:w="1026"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Device(s)</w:t>
            </w:r>
          </w:p>
        </w:tc>
        <w:tc>
          <w:tcPr>
            <w:tcW w:w="172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Study</w:t>
            </w:r>
          </w:p>
        </w:tc>
        <w:tc>
          <w:tcPr>
            <w:tcW w:w="651"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Year</w:t>
            </w:r>
          </w:p>
        </w:tc>
        <w:tc>
          <w:tcPr>
            <w:tcW w:w="56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 xml:space="preserve">N </w:t>
            </w:r>
          </w:p>
        </w:tc>
        <w:tc>
          <w:tcPr>
            <w:tcW w:w="721"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 xml:space="preserve">Age </w:t>
            </w:r>
          </w:p>
        </w:tc>
        <w:tc>
          <w:tcPr>
            <w:tcW w:w="1289"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Population</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Exposure route</w:t>
            </w:r>
          </w:p>
        </w:tc>
        <w:tc>
          <w:tcPr>
            <w:tcW w:w="153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Comparison Matrix/Method</w:t>
            </w:r>
          </w:p>
        </w:tc>
        <w:tc>
          <w:tcPr>
            <w:tcW w:w="135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Cut off value(s)</w:t>
            </w:r>
          </w:p>
        </w:tc>
        <w:tc>
          <w:tcPr>
            <w:tcW w:w="162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Sensitivity</w:t>
            </w:r>
          </w:p>
        </w:tc>
        <w:tc>
          <w:tcPr>
            <w:tcW w:w="1654"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6"/>
                <w:szCs w:val="16"/>
              </w:rPr>
            </w:pPr>
            <w:r w:rsidRPr="0084373E">
              <w:rPr>
                <w:rFonts w:ascii="Arial" w:eastAsia="Times New Roman" w:hAnsi="Arial" w:cs="Arial"/>
                <w:b/>
                <w:bCs/>
                <w:color w:val="000000"/>
                <w:sz w:val="16"/>
                <w:szCs w:val="16"/>
              </w:rPr>
              <w:t>Specificity</w:t>
            </w:r>
          </w:p>
        </w:tc>
      </w:tr>
      <w:tr w:rsidR="00EC25F0" w:rsidRPr="0084373E" w:rsidTr="00C63AA0">
        <w:trPr>
          <w:trHeight w:val="875"/>
          <w:jc w:val="center"/>
        </w:trPr>
        <w:tc>
          <w:tcPr>
            <w:tcW w:w="1026"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DDS2</w:t>
            </w:r>
          </w:p>
        </w:tc>
        <w:tc>
          <w:tcPr>
            <w:tcW w:w="172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Swortwood et al. </w:t>
            </w:r>
          </w:p>
        </w:tc>
        <w:tc>
          <w:tcPr>
            <w:tcW w:w="651"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568"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345</w:t>
            </w:r>
          </w:p>
        </w:tc>
        <w:tc>
          <w:tcPr>
            <w:tcW w:w="721"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18-50 </w:t>
            </w:r>
          </w:p>
        </w:tc>
        <w:tc>
          <w:tcPr>
            <w:tcW w:w="1289"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Frequent users</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Multiple</w:t>
            </w:r>
          </w:p>
        </w:tc>
        <w:tc>
          <w:tcPr>
            <w:tcW w:w="153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(LCMS/MS)</w:t>
            </w:r>
          </w:p>
        </w:tc>
        <w:tc>
          <w:tcPr>
            <w:tcW w:w="135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25 ng/mL</w:t>
            </w:r>
            <w:r w:rsidRPr="0084373E">
              <w:rPr>
                <w:rFonts w:ascii="Arial" w:eastAsia="Times New Roman" w:hAnsi="Arial" w:cs="Arial"/>
                <w:color w:val="000000"/>
                <w:sz w:val="16"/>
                <w:szCs w:val="16"/>
              </w:rPr>
              <w:br/>
              <w:t xml:space="preserve"> ≥ 5 ng/mL</w:t>
            </w:r>
            <w:r w:rsidRPr="0084373E">
              <w:rPr>
                <w:rFonts w:ascii="Arial" w:eastAsia="Times New Roman" w:hAnsi="Arial" w:cs="Arial"/>
                <w:color w:val="000000"/>
                <w:sz w:val="16"/>
                <w:szCs w:val="16"/>
              </w:rPr>
              <w:br/>
              <w:t xml:space="preserve"> ≥ 2 ng/mL</w:t>
            </w:r>
            <w:r w:rsidRPr="0084373E">
              <w:rPr>
                <w:rFonts w:ascii="Arial" w:eastAsia="Times New Roman" w:hAnsi="Arial" w:cs="Arial"/>
                <w:color w:val="000000"/>
                <w:sz w:val="16"/>
                <w:szCs w:val="16"/>
              </w:rPr>
              <w:br/>
              <w:t xml:space="preserve"> ≥ 1 ng/mL </w:t>
            </w:r>
            <w:r w:rsidRPr="0084373E">
              <w:rPr>
                <w:rFonts w:ascii="Arial" w:eastAsia="Times New Roman" w:hAnsi="Arial" w:cs="Arial"/>
                <w:color w:val="000000"/>
                <w:sz w:val="16"/>
                <w:szCs w:val="16"/>
              </w:rPr>
              <w:br/>
              <w:t xml:space="preserve"> ≥0.2 ng/mL</w:t>
            </w:r>
          </w:p>
        </w:tc>
        <w:tc>
          <w:tcPr>
            <w:tcW w:w="162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25 ng/mL =98.0</w:t>
            </w:r>
            <w:r w:rsidRPr="0084373E">
              <w:rPr>
                <w:rFonts w:ascii="Arial" w:eastAsia="Times New Roman" w:hAnsi="Arial" w:cs="Arial"/>
                <w:color w:val="000000"/>
                <w:sz w:val="16"/>
                <w:szCs w:val="16"/>
              </w:rPr>
              <w:br/>
              <w:t xml:space="preserve"> ≥ 5 ng/mL =85.6</w:t>
            </w:r>
            <w:r w:rsidRPr="0084373E">
              <w:rPr>
                <w:rFonts w:ascii="Arial" w:eastAsia="Times New Roman" w:hAnsi="Arial" w:cs="Arial"/>
                <w:color w:val="000000"/>
                <w:sz w:val="16"/>
                <w:szCs w:val="16"/>
              </w:rPr>
              <w:br/>
              <w:t xml:space="preserve"> ≥ 2 ng/mL =64.0</w:t>
            </w:r>
            <w:r w:rsidRPr="0084373E">
              <w:rPr>
                <w:rFonts w:ascii="Arial" w:eastAsia="Times New Roman" w:hAnsi="Arial" w:cs="Arial"/>
                <w:color w:val="000000"/>
                <w:sz w:val="16"/>
                <w:szCs w:val="16"/>
              </w:rPr>
              <w:br/>
              <w:t xml:space="preserve"> ≥ 1 ng/mL =51.6</w:t>
            </w:r>
            <w:r w:rsidRPr="0084373E">
              <w:rPr>
                <w:rFonts w:ascii="Arial" w:eastAsia="Times New Roman" w:hAnsi="Arial" w:cs="Arial"/>
                <w:color w:val="000000"/>
                <w:sz w:val="16"/>
                <w:szCs w:val="16"/>
              </w:rPr>
              <w:br/>
              <w:t xml:space="preserve"> ≥0.2 ng/mL =37.0</w:t>
            </w:r>
          </w:p>
        </w:tc>
        <w:tc>
          <w:tcPr>
            <w:tcW w:w="1654"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25 ng/mL =82.7</w:t>
            </w:r>
            <w:r w:rsidRPr="0084373E">
              <w:rPr>
                <w:rFonts w:ascii="Arial" w:eastAsia="Times New Roman" w:hAnsi="Arial" w:cs="Arial"/>
                <w:color w:val="000000"/>
                <w:sz w:val="16"/>
                <w:szCs w:val="16"/>
              </w:rPr>
              <w:br/>
              <w:t xml:space="preserve"> ≥ 5 ng/mL =93.1</w:t>
            </w:r>
            <w:r w:rsidRPr="0084373E">
              <w:rPr>
                <w:rFonts w:ascii="Arial" w:eastAsia="Times New Roman" w:hAnsi="Arial" w:cs="Arial"/>
                <w:color w:val="000000"/>
                <w:sz w:val="16"/>
                <w:szCs w:val="16"/>
              </w:rPr>
              <w:br/>
              <w:t xml:space="preserve"> ≥ 2 ng/mL =97.9</w:t>
            </w:r>
            <w:r w:rsidRPr="0084373E">
              <w:rPr>
                <w:rFonts w:ascii="Arial" w:eastAsia="Times New Roman" w:hAnsi="Arial" w:cs="Arial"/>
                <w:color w:val="000000"/>
                <w:sz w:val="16"/>
                <w:szCs w:val="16"/>
              </w:rPr>
              <w:br/>
              <w:t xml:space="preserve"> ≥ 1 ng/mL =98.7</w:t>
            </w:r>
            <w:r w:rsidRPr="0084373E">
              <w:rPr>
                <w:rFonts w:ascii="Arial" w:eastAsia="Times New Roman" w:hAnsi="Arial" w:cs="Arial"/>
                <w:color w:val="000000"/>
                <w:sz w:val="16"/>
                <w:szCs w:val="16"/>
              </w:rPr>
              <w:br/>
              <w:t xml:space="preserve"> ≥0.2 ng/mL =100</w:t>
            </w:r>
          </w:p>
        </w:tc>
      </w:tr>
      <w:tr w:rsidR="00EC25F0" w:rsidRPr="0084373E" w:rsidTr="00C63AA0">
        <w:trPr>
          <w:trHeight w:val="862"/>
          <w:jc w:val="center"/>
        </w:trPr>
        <w:tc>
          <w:tcPr>
            <w:tcW w:w="1026"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DDS2</w:t>
            </w:r>
          </w:p>
        </w:tc>
        <w:tc>
          <w:tcPr>
            <w:tcW w:w="172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Newmeyer et al.</w:t>
            </w:r>
          </w:p>
        </w:tc>
        <w:tc>
          <w:tcPr>
            <w:tcW w:w="651"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568"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72</w:t>
            </w:r>
          </w:p>
        </w:tc>
        <w:tc>
          <w:tcPr>
            <w:tcW w:w="721"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18-50 </w:t>
            </w:r>
          </w:p>
        </w:tc>
        <w:tc>
          <w:tcPr>
            <w:tcW w:w="1289"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Frequent users</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Edible</w:t>
            </w:r>
          </w:p>
        </w:tc>
        <w:tc>
          <w:tcPr>
            <w:tcW w:w="153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and Blood</w:t>
            </w:r>
          </w:p>
        </w:tc>
        <w:tc>
          <w:tcPr>
            <w:tcW w:w="135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25 ng/mL</w:t>
            </w:r>
            <w:r w:rsidRPr="0084373E">
              <w:rPr>
                <w:rFonts w:ascii="Arial" w:eastAsia="Times New Roman" w:hAnsi="Arial" w:cs="Arial"/>
                <w:color w:val="000000"/>
                <w:sz w:val="16"/>
                <w:szCs w:val="16"/>
              </w:rPr>
              <w:br/>
              <w:t xml:space="preserve"> ≥ 5 ng/mL</w:t>
            </w:r>
            <w:r w:rsidRPr="0084373E">
              <w:rPr>
                <w:rFonts w:ascii="Arial" w:eastAsia="Times New Roman" w:hAnsi="Arial" w:cs="Arial"/>
                <w:color w:val="000000"/>
                <w:sz w:val="16"/>
                <w:szCs w:val="16"/>
              </w:rPr>
              <w:br/>
              <w:t xml:space="preserve"> ≥ 2 ng/mL</w:t>
            </w:r>
            <w:r w:rsidRPr="0084373E">
              <w:rPr>
                <w:rFonts w:ascii="Arial" w:eastAsia="Times New Roman" w:hAnsi="Arial" w:cs="Arial"/>
                <w:color w:val="000000"/>
                <w:sz w:val="16"/>
                <w:szCs w:val="16"/>
              </w:rPr>
              <w:br/>
              <w:t xml:space="preserve"> ≥ 1 ng/mL </w:t>
            </w:r>
            <w:r w:rsidRPr="0084373E">
              <w:rPr>
                <w:rFonts w:ascii="Arial" w:eastAsia="Times New Roman" w:hAnsi="Arial" w:cs="Arial"/>
                <w:color w:val="000000"/>
                <w:sz w:val="16"/>
                <w:szCs w:val="16"/>
              </w:rPr>
              <w:br/>
              <w:t xml:space="preserve"> ≥0.2 ng/mL</w:t>
            </w:r>
            <w:r w:rsidRPr="0084373E">
              <w:rPr>
                <w:rFonts w:ascii="Arial" w:eastAsia="Times New Roman" w:hAnsi="Arial" w:cs="Arial"/>
                <w:color w:val="000000"/>
                <w:sz w:val="16"/>
                <w:szCs w:val="16"/>
              </w:rPr>
              <w:br/>
              <w:t xml:space="preserve"> </w:t>
            </w:r>
          </w:p>
        </w:tc>
        <w:tc>
          <w:tcPr>
            <w:tcW w:w="162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25 ng/mL =100</w:t>
            </w:r>
            <w:r w:rsidRPr="0084373E">
              <w:rPr>
                <w:rFonts w:ascii="Arial" w:eastAsia="Times New Roman" w:hAnsi="Arial" w:cs="Arial"/>
                <w:color w:val="000000"/>
                <w:sz w:val="16"/>
                <w:szCs w:val="16"/>
              </w:rPr>
              <w:br/>
              <w:t>≥ 5 ng/mL=100</w:t>
            </w:r>
            <w:r w:rsidRPr="0084373E">
              <w:rPr>
                <w:rFonts w:ascii="Arial" w:eastAsia="Times New Roman" w:hAnsi="Arial" w:cs="Arial"/>
                <w:color w:val="000000"/>
                <w:sz w:val="16"/>
                <w:szCs w:val="16"/>
              </w:rPr>
              <w:br/>
              <w:t xml:space="preserve"> ≥ 2 ng/mL =58.8</w:t>
            </w:r>
            <w:r w:rsidRPr="0084373E">
              <w:rPr>
                <w:rFonts w:ascii="Arial" w:eastAsia="Times New Roman" w:hAnsi="Arial" w:cs="Arial"/>
                <w:color w:val="000000"/>
                <w:sz w:val="16"/>
                <w:szCs w:val="16"/>
              </w:rPr>
              <w:br/>
              <w:t xml:space="preserve"> ≥ 1 ng/mL =58.8</w:t>
            </w:r>
            <w:r w:rsidRPr="0084373E">
              <w:rPr>
                <w:rFonts w:ascii="Arial" w:eastAsia="Times New Roman" w:hAnsi="Arial" w:cs="Arial"/>
                <w:color w:val="000000"/>
                <w:sz w:val="16"/>
                <w:szCs w:val="16"/>
              </w:rPr>
              <w:br/>
              <w:t xml:space="preserve"> ≥0.2 ng/mL =37.0</w:t>
            </w:r>
          </w:p>
        </w:tc>
        <w:tc>
          <w:tcPr>
            <w:tcW w:w="1654"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25 ng/mL =86.7</w:t>
            </w:r>
            <w:r w:rsidRPr="0084373E">
              <w:rPr>
                <w:rFonts w:ascii="Arial" w:eastAsia="Times New Roman" w:hAnsi="Arial" w:cs="Arial"/>
                <w:color w:val="000000"/>
                <w:sz w:val="16"/>
                <w:szCs w:val="16"/>
              </w:rPr>
              <w:br/>
              <w:t>≥ 5 ng/mL=94.5</w:t>
            </w:r>
            <w:r w:rsidRPr="0084373E">
              <w:rPr>
                <w:rFonts w:ascii="Arial" w:eastAsia="Times New Roman" w:hAnsi="Arial" w:cs="Arial"/>
                <w:color w:val="000000"/>
                <w:sz w:val="16"/>
                <w:szCs w:val="16"/>
              </w:rPr>
              <w:br/>
              <w:t xml:space="preserve"> ≥ 2 ng/mL =100</w:t>
            </w:r>
            <w:r w:rsidRPr="0084373E">
              <w:rPr>
                <w:rFonts w:ascii="Arial" w:eastAsia="Times New Roman" w:hAnsi="Arial" w:cs="Arial"/>
                <w:color w:val="000000"/>
                <w:sz w:val="16"/>
                <w:szCs w:val="16"/>
              </w:rPr>
              <w:br/>
              <w:t xml:space="preserve"> ≥ 1 ng/mL =100</w:t>
            </w:r>
            <w:r w:rsidRPr="0084373E">
              <w:rPr>
                <w:rFonts w:ascii="Arial" w:eastAsia="Times New Roman" w:hAnsi="Arial" w:cs="Arial"/>
                <w:color w:val="000000"/>
                <w:sz w:val="16"/>
                <w:szCs w:val="16"/>
              </w:rPr>
              <w:br/>
              <w:t xml:space="preserve"> ≥0.2 ng/mL =100</w:t>
            </w:r>
          </w:p>
        </w:tc>
      </w:tr>
      <w:tr w:rsidR="00EC25F0" w:rsidRPr="0084373E" w:rsidTr="00C63AA0">
        <w:trPr>
          <w:trHeight w:val="722"/>
          <w:jc w:val="center"/>
        </w:trPr>
        <w:tc>
          <w:tcPr>
            <w:tcW w:w="1026" w:type="dxa"/>
            <w:tcBorders>
              <w:top w:val="single" w:sz="4" w:space="0" w:color="auto"/>
              <w:left w:val="single" w:sz="4" w:space="0" w:color="auto"/>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DT5000</w:t>
            </w:r>
          </w:p>
        </w:tc>
        <w:tc>
          <w:tcPr>
            <w:tcW w:w="172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Swortwood et al. </w:t>
            </w:r>
          </w:p>
        </w:tc>
        <w:tc>
          <w:tcPr>
            <w:tcW w:w="651"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568"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300</w:t>
            </w:r>
          </w:p>
        </w:tc>
        <w:tc>
          <w:tcPr>
            <w:tcW w:w="721"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18-50 </w:t>
            </w:r>
          </w:p>
        </w:tc>
        <w:tc>
          <w:tcPr>
            <w:tcW w:w="1289"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Frequent users</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Multiple</w:t>
            </w:r>
          </w:p>
        </w:tc>
        <w:tc>
          <w:tcPr>
            <w:tcW w:w="153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(LCMS/MS)</w:t>
            </w:r>
          </w:p>
        </w:tc>
        <w:tc>
          <w:tcPr>
            <w:tcW w:w="135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w:t>
            </w:r>
            <w:r w:rsidRPr="0084373E">
              <w:rPr>
                <w:rFonts w:ascii="Arial" w:eastAsia="Times New Roman" w:hAnsi="Arial" w:cs="Arial"/>
                <w:color w:val="000000"/>
                <w:sz w:val="16"/>
                <w:szCs w:val="16"/>
              </w:rPr>
              <w:br/>
              <w:t xml:space="preserve"> ≥ 2 ng/mL</w:t>
            </w:r>
            <w:r w:rsidRPr="0084373E">
              <w:rPr>
                <w:rFonts w:ascii="Arial" w:eastAsia="Times New Roman" w:hAnsi="Arial" w:cs="Arial"/>
                <w:color w:val="000000"/>
                <w:sz w:val="16"/>
                <w:szCs w:val="16"/>
              </w:rPr>
              <w:br/>
              <w:t xml:space="preserve">≥1 ng/mL  </w:t>
            </w:r>
            <w:r w:rsidRPr="0084373E">
              <w:rPr>
                <w:rFonts w:ascii="Arial" w:eastAsia="Times New Roman" w:hAnsi="Arial" w:cs="Arial"/>
                <w:color w:val="000000"/>
                <w:sz w:val="16"/>
                <w:szCs w:val="16"/>
              </w:rPr>
              <w:br/>
              <w:t xml:space="preserve"> ≥0.2 ng/mL</w:t>
            </w:r>
          </w:p>
        </w:tc>
        <w:tc>
          <w:tcPr>
            <w:tcW w:w="162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 =79.1</w:t>
            </w:r>
            <w:r w:rsidRPr="0084373E">
              <w:rPr>
                <w:rFonts w:ascii="Arial" w:eastAsia="Times New Roman" w:hAnsi="Arial" w:cs="Arial"/>
                <w:color w:val="000000"/>
                <w:sz w:val="16"/>
                <w:szCs w:val="16"/>
              </w:rPr>
              <w:br/>
              <w:t xml:space="preserve"> ≥ 2 ng/mL =65.0</w:t>
            </w:r>
            <w:r w:rsidRPr="0084373E">
              <w:rPr>
                <w:rFonts w:ascii="Arial" w:eastAsia="Times New Roman" w:hAnsi="Arial" w:cs="Arial"/>
                <w:color w:val="000000"/>
                <w:sz w:val="16"/>
                <w:szCs w:val="16"/>
              </w:rPr>
              <w:br/>
              <w:t xml:space="preserve"> ≥1 ng/mL  =56.6</w:t>
            </w:r>
            <w:r w:rsidRPr="0084373E">
              <w:rPr>
                <w:rFonts w:ascii="Arial" w:eastAsia="Times New Roman" w:hAnsi="Arial" w:cs="Arial"/>
                <w:color w:val="000000"/>
                <w:sz w:val="16"/>
                <w:szCs w:val="16"/>
              </w:rPr>
              <w:br/>
              <w:t xml:space="preserve"> ≥0.2 ng/mL =39.5</w:t>
            </w:r>
          </w:p>
        </w:tc>
        <w:tc>
          <w:tcPr>
            <w:tcW w:w="1654"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 =89.5</w:t>
            </w:r>
            <w:r w:rsidRPr="0084373E">
              <w:rPr>
                <w:rFonts w:ascii="Arial" w:eastAsia="Times New Roman" w:hAnsi="Arial" w:cs="Arial"/>
                <w:color w:val="000000"/>
                <w:sz w:val="16"/>
                <w:szCs w:val="16"/>
              </w:rPr>
              <w:br/>
              <w:t xml:space="preserve"> ≥ 2 ng/mL =97.9</w:t>
            </w:r>
            <w:r w:rsidRPr="0084373E">
              <w:rPr>
                <w:rFonts w:ascii="Arial" w:eastAsia="Times New Roman" w:hAnsi="Arial" w:cs="Arial"/>
                <w:color w:val="000000"/>
                <w:sz w:val="16"/>
                <w:szCs w:val="16"/>
              </w:rPr>
              <w:br/>
              <w:t xml:space="preserve"> ≥1 ng/mL  =100</w:t>
            </w:r>
            <w:r w:rsidRPr="0084373E">
              <w:rPr>
                <w:rFonts w:ascii="Arial" w:eastAsia="Times New Roman" w:hAnsi="Arial" w:cs="Arial"/>
                <w:color w:val="000000"/>
                <w:sz w:val="16"/>
                <w:szCs w:val="16"/>
              </w:rPr>
              <w:br/>
              <w:t xml:space="preserve"> ≥0.2 ng/mL =100</w:t>
            </w:r>
          </w:p>
        </w:tc>
      </w:tr>
      <w:tr w:rsidR="00EC25F0" w:rsidRPr="0084373E" w:rsidTr="00C63AA0">
        <w:trPr>
          <w:trHeight w:val="700"/>
          <w:jc w:val="center"/>
        </w:trPr>
        <w:tc>
          <w:tcPr>
            <w:tcW w:w="1026" w:type="dxa"/>
            <w:tcBorders>
              <w:top w:val="single" w:sz="4" w:space="0" w:color="auto"/>
              <w:left w:val="single" w:sz="4" w:space="0" w:color="auto"/>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DT5000</w:t>
            </w:r>
          </w:p>
        </w:tc>
        <w:tc>
          <w:tcPr>
            <w:tcW w:w="172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Newmeyer et al.</w:t>
            </w:r>
          </w:p>
        </w:tc>
        <w:tc>
          <w:tcPr>
            <w:tcW w:w="651"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568"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60</w:t>
            </w:r>
          </w:p>
        </w:tc>
        <w:tc>
          <w:tcPr>
            <w:tcW w:w="721"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18-50 </w:t>
            </w:r>
          </w:p>
        </w:tc>
        <w:tc>
          <w:tcPr>
            <w:tcW w:w="1289"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Frequent users</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Edible</w:t>
            </w:r>
          </w:p>
        </w:tc>
        <w:tc>
          <w:tcPr>
            <w:tcW w:w="153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and Blood</w:t>
            </w:r>
          </w:p>
        </w:tc>
        <w:tc>
          <w:tcPr>
            <w:tcW w:w="135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w:t>
            </w:r>
            <w:r w:rsidRPr="0084373E">
              <w:rPr>
                <w:rFonts w:ascii="Arial" w:eastAsia="Times New Roman" w:hAnsi="Arial" w:cs="Arial"/>
                <w:color w:val="000000"/>
                <w:sz w:val="16"/>
                <w:szCs w:val="16"/>
              </w:rPr>
              <w:br/>
              <w:t>≥ 2 ng/mL</w:t>
            </w:r>
            <w:r w:rsidRPr="0084373E">
              <w:rPr>
                <w:rFonts w:ascii="Arial" w:eastAsia="Times New Roman" w:hAnsi="Arial" w:cs="Arial"/>
                <w:color w:val="000000"/>
                <w:sz w:val="16"/>
                <w:szCs w:val="16"/>
              </w:rPr>
              <w:br/>
              <w:t>≥ 1 ng/mL</w:t>
            </w:r>
            <w:r w:rsidRPr="0084373E">
              <w:rPr>
                <w:rFonts w:ascii="Arial" w:eastAsia="Times New Roman" w:hAnsi="Arial" w:cs="Arial"/>
                <w:color w:val="000000"/>
                <w:sz w:val="16"/>
                <w:szCs w:val="16"/>
              </w:rPr>
              <w:br/>
              <w:t xml:space="preserve">≥ 0.2 ng/mL </w:t>
            </w:r>
          </w:p>
        </w:tc>
        <w:tc>
          <w:tcPr>
            <w:tcW w:w="162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 =82.4</w:t>
            </w:r>
            <w:r w:rsidRPr="0084373E">
              <w:rPr>
                <w:rFonts w:ascii="Arial" w:eastAsia="Times New Roman" w:hAnsi="Arial" w:cs="Arial"/>
                <w:color w:val="000000"/>
                <w:sz w:val="16"/>
                <w:szCs w:val="16"/>
              </w:rPr>
              <w:br/>
              <w:t xml:space="preserve"> ≥ 2 ng/mL =43.2</w:t>
            </w:r>
            <w:r w:rsidRPr="0084373E">
              <w:rPr>
                <w:rFonts w:ascii="Arial" w:eastAsia="Times New Roman" w:hAnsi="Arial" w:cs="Arial"/>
                <w:color w:val="000000"/>
                <w:sz w:val="16"/>
                <w:szCs w:val="16"/>
              </w:rPr>
              <w:br/>
              <w:t xml:space="preserve"> ≥1 ng/mL  =43.2</w:t>
            </w:r>
            <w:r w:rsidRPr="0084373E">
              <w:rPr>
                <w:rFonts w:ascii="Arial" w:eastAsia="Times New Roman" w:hAnsi="Arial" w:cs="Arial"/>
                <w:color w:val="000000"/>
                <w:sz w:val="16"/>
                <w:szCs w:val="16"/>
              </w:rPr>
              <w:br/>
              <w:t xml:space="preserve"> ≥0.2 ng/mL =30.4</w:t>
            </w:r>
          </w:p>
        </w:tc>
        <w:tc>
          <w:tcPr>
            <w:tcW w:w="1654"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 =93.0</w:t>
            </w:r>
            <w:r w:rsidRPr="0084373E">
              <w:rPr>
                <w:rFonts w:ascii="Arial" w:eastAsia="Times New Roman" w:hAnsi="Arial" w:cs="Arial"/>
                <w:color w:val="000000"/>
                <w:sz w:val="16"/>
                <w:szCs w:val="16"/>
              </w:rPr>
              <w:br/>
              <w:t xml:space="preserve"> ≥ 2 ng/mL =95.7</w:t>
            </w:r>
            <w:r w:rsidRPr="0084373E">
              <w:rPr>
                <w:rFonts w:ascii="Arial" w:eastAsia="Times New Roman" w:hAnsi="Arial" w:cs="Arial"/>
                <w:color w:val="000000"/>
                <w:sz w:val="16"/>
                <w:szCs w:val="16"/>
              </w:rPr>
              <w:br/>
              <w:t xml:space="preserve"> ≥1 ng/mL  =95.7</w:t>
            </w:r>
            <w:r w:rsidRPr="0084373E">
              <w:rPr>
                <w:rFonts w:ascii="Arial" w:eastAsia="Times New Roman" w:hAnsi="Arial" w:cs="Arial"/>
                <w:color w:val="000000"/>
                <w:sz w:val="16"/>
                <w:szCs w:val="16"/>
              </w:rPr>
              <w:br/>
              <w:t xml:space="preserve"> ≥0.2 ng/mL =100</w:t>
            </w:r>
          </w:p>
        </w:tc>
      </w:tr>
      <w:tr w:rsidR="00EC25F0" w:rsidRPr="0084373E" w:rsidTr="00C63AA0">
        <w:trPr>
          <w:trHeight w:val="897"/>
          <w:jc w:val="center"/>
        </w:trPr>
        <w:tc>
          <w:tcPr>
            <w:tcW w:w="1026"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DDS2</w:t>
            </w:r>
          </w:p>
        </w:tc>
        <w:tc>
          <w:tcPr>
            <w:tcW w:w="172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Swortwood et al. </w:t>
            </w:r>
          </w:p>
        </w:tc>
        <w:tc>
          <w:tcPr>
            <w:tcW w:w="651"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568"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200</w:t>
            </w:r>
          </w:p>
        </w:tc>
        <w:tc>
          <w:tcPr>
            <w:tcW w:w="721"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18-50 </w:t>
            </w:r>
          </w:p>
        </w:tc>
        <w:tc>
          <w:tcPr>
            <w:tcW w:w="1289"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Occasional users</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Multiple</w:t>
            </w:r>
          </w:p>
        </w:tc>
        <w:tc>
          <w:tcPr>
            <w:tcW w:w="153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(LCMS/MS)</w:t>
            </w:r>
          </w:p>
        </w:tc>
        <w:tc>
          <w:tcPr>
            <w:tcW w:w="135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25 ng/mL</w:t>
            </w:r>
            <w:r w:rsidRPr="0084373E">
              <w:rPr>
                <w:rFonts w:ascii="Arial" w:eastAsia="Times New Roman" w:hAnsi="Arial" w:cs="Arial"/>
                <w:color w:val="000000"/>
                <w:sz w:val="16"/>
                <w:szCs w:val="16"/>
              </w:rPr>
              <w:br/>
              <w:t xml:space="preserve"> ≥ 5 ng/mL</w:t>
            </w:r>
            <w:r w:rsidRPr="0084373E">
              <w:rPr>
                <w:rFonts w:ascii="Arial" w:eastAsia="Times New Roman" w:hAnsi="Arial" w:cs="Arial"/>
                <w:color w:val="000000"/>
                <w:sz w:val="16"/>
                <w:szCs w:val="16"/>
              </w:rPr>
              <w:br/>
              <w:t xml:space="preserve"> ≥ 2 ng/mL</w:t>
            </w:r>
            <w:r w:rsidRPr="0084373E">
              <w:rPr>
                <w:rFonts w:ascii="Arial" w:eastAsia="Times New Roman" w:hAnsi="Arial" w:cs="Arial"/>
                <w:color w:val="000000"/>
                <w:sz w:val="16"/>
                <w:szCs w:val="16"/>
              </w:rPr>
              <w:br/>
              <w:t>≥ 1 ng/mL</w:t>
            </w:r>
            <w:r w:rsidRPr="0084373E">
              <w:rPr>
                <w:rFonts w:ascii="Arial" w:eastAsia="Times New Roman" w:hAnsi="Arial" w:cs="Arial"/>
                <w:color w:val="000000"/>
                <w:sz w:val="16"/>
                <w:szCs w:val="16"/>
              </w:rPr>
              <w:br/>
              <w:t xml:space="preserve"> ≥0.2 ng/mL</w:t>
            </w:r>
          </w:p>
        </w:tc>
        <w:tc>
          <w:tcPr>
            <w:tcW w:w="162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25 ng/mL =100</w:t>
            </w:r>
            <w:r w:rsidRPr="0084373E">
              <w:rPr>
                <w:rFonts w:ascii="Arial" w:eastAsia="Times New Roman" w:hAnsi="Arial" w:cs="Arial"/>
                <w:color w:val="000000"/>
                <w:sz w:val="16"/>
                <w:szCs w:val="16"/>
              </w:rPr>
              <w:br/>
              <w:t xml:space="preserve"> ≥ 5 ng/mL =82.0</w:t>
            </w:r>
            <w:r w:rsidRPr="0084373E">
              <w:rPr>
                <w:rFonts w:ascii="Arial" w:eastAsia="Times New Roman" w:hAnsi="Arial" w:cs="Arial"/>
                <w:color w:val="000000"/>
                <w:sz w:val="16"/>
                <w:szCs w:val="16"/>
              </w:rPr>
              <w:br/>
              <w:t xml:space="preserve"> ≥ 2 ng/mL =67.7</w:t>
            </w:r>
            <w:r w:rsidRPr="0084373E">
              <w:rPr>
                <w:rFonts w:ascii="Arial" w:eastAsia="Times New Roman" w:hAnsi="Arial" w:cs="Arial"/>
                <w:color w:val="000000"/>
                <w:sz w:val="16"/>
                <w:szCs w:val="16"/>
              </w:rPr>
              <w:br/>
              <w:t xml:space="preserve"> ≥ 1 ng/mL =57.3</w:t>
            </w:r>
            <w:r w:rsidRPr="0084373E">
              <w:rPr>
                <w:rFonts w:ascii="Arial" w:eastAsia="Times New Roman" w:hAnsi="Arial" w:cs="Arial"/>
                <w:color w:val="000000"/>
                <w:sz w:val="16"/>
                <w:szCs w:val="16"/>
              </w:rPr>
              <w:br/>
              <w:t xml:space="preserve"> ≥0.2 ng/mL =35.4</w:t>
            </w:r>
          </w:p>
        </w:tc>
        <w:tc>
          <w:tcPr>
            <w:tcW w:w="1654"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25 ng/mL =86.2</w:t>
            </w:r>
            <w:r w:rsidRPr="0084373E">
              <w:rPr>
                <w:rFonts w:ascii="Arial" w:eastAsia="Times New Roman" w:hAnsi="Arial" w:cs="Arial"/>
                <w:color w:val="000000"/>
                <w:sz w:val="16"/>
                <w:szCs w:val="16"/>
              </w:rPr>
              <w:br/>
              <w:t xml:space="preserve"> ≥ 5 ng/mL =96.7</w:t>
            </w:r>
            <w:r w:rsidRPr="0084373E">
              <w:rPr>
                <w:rFonts w:ascii="Arial" w:eastAsia="Times New Roman" w:hAnsi="Arial" w:cs="Arial"/>
                <w:color w:val="000000"/>
                <w:sz w:val="16"/>
                <w:szCs w:val="16"/>
              </w:rPr>
              <w:br/>
              <w:t xml:space="preserve"> ≥ 2 ng/mL =97.1</w:t>
            </w:r>
            <w:r w:rsidRPr="0084373E">
              <w:rPr>
                <w:rFonts w:ascii="Arial" w:eastAsia="Times New Roman" w:hAnsi="Arial" w:cs="Arial"/>
                <w:color w:val="000000"/>
                <w:sz w:val="16"/>
                <w:szCs w:val="16"/>
              </w:rPr>
              <w:br/>
              <w:t xml:space="preserve"> ≥ 1 ng/mL =97.6</w:t>
            </w:r>
            <w:r w:rsidRPr="0084373E">
              <w:rPr>
                <w:rFonts w:ascii="Arial" w:eastAsia="Times New Roman" w:hAnsi="Arial" w:cs="Arial"/>
                <w:color w:val="000000"/>
                <w:sz w:val="16"/>
                <w:szCs w:val="16"/>
              </w:rPr>
              <w:br/>
              <w:t xml:space="preserve"> ≥0.2 ng/mL =98.6</w:t>
            </w:r>
          </w:p>
        </w:tc>
      </w:tr>
      <w:tr w:rsidR="00EC25F0" w:rsidRPr="0084373E" w:rsidTr="00C63AA0">
        <w:trPr>
          <w:trHeight w:val="862"/>
          <w:jc w:val="center"/>
        </w:trPr>
        <w:tc>
          <w:tcPr>
            <w:tcW w:w="1026"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DDS2</w:t>
            </w:r>
          </w:p>
        </w:tc>
        <w:tc>
          <w:tcPr>
            <w:tcW w:w="172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Newmeyer et al.</w:t>
            </w:r>
          </w:p>
        </w:tc>
        <w:tc>
          <w:tcPr>
            <w:tcW w:w="651"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568"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62</w:t>
            </w:r>
          </w:p>
        </w:tc>
        <w:tc>
          <w:tcPr>
            <w:tcW w:w="721"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18-50 </w:t>
            </w:r>
          </w:p>
        </w:tc>
        <w:tc>
          <w:tcPr>
            <w:tcW w:w="1289"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Occasional users</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Edible Cannabis</w:t>
            </w:r>
          </w:p>
        </w:tc>
        <w:tc>
          <w:tcPr>
            <w:tcW w:w="153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and Blood</w:t>
            </w:r>
          </w:p>
        </w:tc>
        <w:tc>
          <w:tcPr>
            <w:tcW w:w="135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25 ng/mL</w:t>
            </w:r>
            <w:r w:rsidRPr="0084373E">
              <w:rPr>
                <w:rFonts w:ascii="Arial" w:eastAsia="Times New Roman" w:hAnsi="Arial" w:cs="Arial"/>
                <w:color w:val="000000"/>
                <w:sz w:val="16"/>
                <w:szCs w:val="16"/>
              </w:rPr>
              <w:br/>
              <w:t xml:space="preserve"> ≥ 5 ng/mL</w:t>
            </w:r>
            <w:r w:rsidRPr="0084373E">
              <w:rPr>
                <w:rFonts w:ascii="Arial" w:eastAsia="Times New Roman" w:hAnsi="Arial" w:cs="Arial"/>
                <w:color w:val="000000"/>
                <w:sz w:val="16"/>
                <w:szCs w:val="16"/>
              </w:rPr>
              <w:br/>
              <w:t xml:space="preserve"> ≥ 2 ng/mL</w:t>
            </w:r>
            <w:r w:rsidRPr="0084373E">
              <w:rPr>
                <w:rFonts w:ascii="Arial" w:eastAsia="Times New Roman" w:hAnsi="Arial" w:cs="Arial"/>
                <w:color w:val="000000"/>
                <w:sz w:val="16"/>
                <w:szCs w:val="16"/>
              </w:rPr>
              <w:br/>
              <w:t xml:space="preserve"> ≥ 1 ng/mL</w:t>
            </w:r>
            <w:r w:rsidRPr="0084373E">
              <w:rPr>
                <w:rFonts w:ascii="Arial" w:eastAsia="Times New Roman" w:hAnsi="Arial" w:cs="Arial"/>
                <w:color w:val="000000"/>
                <w:sz w:val="16"/>
                <w:szCs w:val="16"/>
              </w:rPr>
              <w:br/>
              <w:t xml:space="preserve"> ≥0.2 ng/mL </w:t>
            </w:r>
            <w:r w:rsidRPr="0084373E">
              <w:rPr>
                <w:rFonts w:ascii="Arial" w:eastAsia="Times New Roman" w:hAnsi="Arial" w:cs="Arial"/>
                <w:color w:val="000000"/>
                <w:sz w:val="16"/>
                <w:szCs w:val="16"/>
              </w:rPr>
              <w:br/>
              <w:t xml:space="preserve"> </w:t>
            </w:r>
          </w:p>
        </w:tc>
        <w:tc>
          <w:tcPr>
            <w:tcW w:w="162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25 ng/mL =90.0</w:t>
            </w:r>
            <w:r w:rsidRPr="0084373E">
              <w:rPr>
                <w:rFonts w:ascii="Arial" w:eastAsia="Times New Roman" w:hAnsi="Arial" w:cs="Arial"/>
                <w:color w:val="000000"/>
                <w:sz w:val="16"/>
                <w:szCs w:val="16"/>
              </w:rPr>
              <w:br/>
              <w:t>≥ 5 ng/mL=92.9</w:t>
            </w:r>
            <w:r w:rsidRPr="0084373E">
              <w:rPr>
                <w:rFonts w:ascii="Arial" w:eastAsia="Times New Roman" w:hAnsi="Arial" w:cs="Arial"/>
                <w:color w:val="000000"/>
                <w:sz w:val="16"/>
                <w:szCs w:val="16"/>
              </w:rPr>
              <w:br/>
              <w:t xml:space="preserve"> ≥ 2 ng/mL =65.4</w:t>
            </w:r>
            <w:r w:rsidRPr="0084373E">
              <w:rPr>
                <w:rFonts w:ascii="Arial" w:eastAsia="Times New Roman" w:hAnsi="Arial" w:cs="Arial"/>
                <w:color w:val="000000"/>
                <w:sz w:val="16"/>
                <w:szCs w:val="16"/>
              </w:rPr>
              <w:br/>
              <w:t xml:space="preserve"> ≥ 1 ng/mL =65.4</w:t>
            </w:r>
            <w:r w:rsidRPr="0084373E">
              <w:rPr>
                <w:rFonts w:ascii="Arial" w:eastAsia="Times New Roman" w:hAnsi="Arial" w:cs="Arial"/>
                <w:color w:val="000000"/>
                <w:sz w:val="16"/>
                <w:szCs w:val="16"/>
              </w:rPr>
              <w:br/>
              <w:t xml:space="preserve"> ≥0.2 ng/mL =53.8</w:t>
            </w:r>
          </w:p>
        </w:tc>
        <w:tc>
          <w:tcPr>
            <w:tcW w:w="1654"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25 ng/mL =71.2</w:t>
            </w:r>
            <w:r w:rsidRPr="0084373E">
              <w:rPr>
                <w:rFonts w:ascii="Arial" w:eastAsia="Times New Roman" w:hAnsi="Arial" w:cs="Arial"/>
                <w:color w:val="000000"/>
                <w:sz w:val="16"/>
                <w:szCs w:val="16"/>
              </w:rPr>
              <w:br/>
              <w:t>≥ 5 ng/mL=77.1</w:t>
            </w:r>
            <w:r w:rsidRPr="0084373E">
              <w:rPr>
                <w:rFonts w:ascii="Arial" w:eastAsia="Times New Roman" w:hAnsi="Arial" w:cs="Arial"/>
                <w:color w:val="000000"/>
                <w:sz w:val="16"/>
                <w:szCs w:val="16"/>
              </w:rPr>
              <w:br/>
              <w:t xml:space="preserve"> ≥ 2 ng/mL =80.6</w:t>
            </w:r>
            <w:r w:rsidRPr="0084373E">
              <w:rPr>
                <w:rFonts w:ascii="Arial" w:eastAsia="Times New Roman" w:hAnsi="Arial" w:cs="Arial"/>
                <w:color w:val="000000"/>
                <w:sz w:val="16"/>
                <w:szCs w:val="16"/>
              </w:rPr>
              <w:br/>
              <w:t xml:space="preserve"> ≥ 1 ng/mL =80.6</w:t>
            </w:r>
            <w:r w:rsidRPr="0084373E">
              <w:rPr>
                <w:rFonts w:ascii="Arial" w:eastAsia="Times New Roman" w:hAnsi="Arial" w:cs="Arial"/>
                <w:color w:val="000000"/>
                <w:sz w:val="16"/>
                <w:szCs w:val="16"/>
              </w:rPr>
              <w:br/>
              <w:t xml:space="preserve"> ≥0.2 ng/mL =87.0</w:t>
            </w:r>
          </w:p>
        </w:tc>
      </w:tr>
      <w:tr w:rsidR="00EC25F0" w:rsidRPr="0084373E" w:rsidTr="00C63AA0">
        <w:trPr>
          <w:trHeight w:val="700"/>
          <w:jc w:val="center"/>
        </w:trPr>
        <w:tc>
          <w:tcPr>
            <w:tcW w:w="1026"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DT5000</w:t>
            </w:r>
          </w:p>
        </w:tc>
        <w:tc>
          <w:tcPr>
            <w:tcW w:w="172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Swortwood et al. </w:t>
            </w:r>
          </w:p>
        </w:tc>
        <w:tc>
          <w:tcPr>
            <w:tcW w:w="651"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568"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251</w:t>
            </w:r>
          </w:p>
        </w:tc>
        <w:tc>
          <w:tcPr>
            <w:tcW w:w="721"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18-50 </w:t>
            </w:r>
          </w:p>
        </w:tc>
        <w:tc>
          <w:tcPr>
            <w:tcW w:w="1289"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Occasional users</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Multiple</w:t>
            </w:r>
          </w:p>
        </w:tc>
        <w:tc>
          <w:tcPr>
            <w:tcW w:w="153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(LCMS/MS)</w:t>
            </w:r>
          </w:p>
        </w:tc>
        <w:tc>
          <w:tcPr>
            <w:tcW w:w="135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w:t>
            </w:r>
            <w:r w:rsidRPr="0084373E">
              <w:rPr>
                <w:rFonts w:ascii="Arial" w:eastAsia="Times New Roman" w:hAnsi="Arial" w:cs="Arial"/>
                <w:color w:val="000000"/>
                <w:sz w:val="16"/>
                <w:szCs w:val="16"/>
              </w:rPr>
              <w:br/>
              <w:t xml:space="preserve"> ≥ 2 ng/mL</w:t>
            </w:r>
            <w:r w:rsidRPr="0084373E">
              <w:rPr>
                <w:rFonts w:ascii="Arial" w:eastAsia="Times New Roman" w:hAnsi="Arial" w:cs="Arial"/>
                <w:color w:val="000000"/>
                <w:sz w:val="16"/>
                <w:szCs w:val="16"/>
              </w:rPr>
              <w:br/>
              <w:t xml:space="preserve"> ≥ 1 ng/mL</w:t>
            </w:r>
            <w:r w:rsidRPr="0084373E">
              <w:rPr>
                <w:rFonts w:ascii="Arial" w:eastAsia="Times New Roman" w:hAnsi="Arial" w:cs="Arial"/>
                <w:color w:val="000000"/>
                <w:sz w:val="16"/>
                <w:szCs w:val="16"/>
              </w:rPr>
              <w:br/>
              <w:t xml:space="preserve"> ≥0.2 ng/mL</w:t>
            </w:r>
          </w:p>
        </w:tc>
        <w:tc>
          <w:tcPr>
            <w:tcW w:w="162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 =82.9</w:t>
            </w:r>
            <w:r w:rsidRPr="0084373E">
              <w:rPr>
                <w:rFonts w:ascii="Arial" w:eastAsia="Times New Roman" w:hAnsi="Arial" w:cs="Arial"/>
                <w:color w:val="000000"/>
                <w:sz w:val="16"/>
                <w:szCs w:val="16"/>
              </w:rPr>
              <w:br/>
              <w:t xml:space="preserve"> ≥ 2 ng/mL =70.8</w:t>
            </w:r>
            <w:r w:rsidRPr="0084373E">
              <w:rPr>
                <w:rFonts w:ascii="Arial" w:eastAsia="Times New Roman" w:hAnsi="Arial" w:cs="Arial"/>
                <w:color w:val="000000"/>
                <w:sz w:val="16"/>
                <w:szCs w:val="16"/>
              </w:rPr>
              <w:br/>
              <w:t xml:space="preserve"> ≥1 ng/mL  =60.3</w:t>
            </w:r>
            <w:r w:rsidRPr="0084373E">
              <w:rPr>
                <w:rFonts w:ascii="Arial" w:eastAsia="Times New Roman" w:hAnsi="Arial" w:cs="Arial"/>
                <w:color w:val="000000"/>
                <w:sz w:val="16"/>
                <w:szCs w:val="16"/>
              </w:rPr>
              <w:br/>
              <w:t xml:space="preserve"> ≥0.2 ng/mL =31.5</w:t>
            </w:r>
          </w:p>
        </w:tc>
        <w:tc>
          <w:tcPr>
            <w:tcW w:w="1654"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 =94.0</w:t>
            </w:r>
            <w:r w:rsidRPr="0084373E">
              <w:rPr>
                <w:rFonts w:ascii="Arial" w:eastAsia="Times New Roman" w:hAnsi="Arial" w:cs="Arial"/>
                <w:color w:val="000000"/>
                <w:sz w:val="16"/>
                <w:szCs w:val="16"/>
              </w:rPr>
              <w:br/>
              <w:t xml:space="preserve"> ≥ 2 ng/mL =96.1</w:t>
            </w:r>
            <w:r w:rsidRPr="0084373E">
              <w:rPr>
                <w:rFonts w:ascii="Arial" w:eastAsia="Times New Roman" w:hAnsi="Arial" w:cs="Arial"/>
                <w:color w:val="000000"/>
                <w:sz w:val="16"/>
                <w:szCs w:val="16"/>
              </w:rPr>
              <w:br/>
              <w:t xml:space="preserve"> ≥1 ng/mL  =97.9</w:t>
            </w:r>
            <w:r w:rsidRPr="0084373E">
              <w:rPr>
                <w:rFonts w:ascii="Arial" w:eastAsia="Times New Roman" w:hAnsi="Arial" w:cs="Arial"/>
                <w:color w:val="000000"/>
                <w:sz w:val="16"/>
                <w:szCs w:val="16"/>
              </w:rPr>
              <w:br/>
              <w:t xml:space="preserve"> ≥0.2 ng/mL =99.2</w:t>
            </w:r>
          </w:p>
        </w:tc>
      </w:tr>
      <w:tr w:rsidR="00EC25F0" w:rsidRPr="0084373E" w:rsidTr="00C63AA0">
        <w:trPr>
          <w:trHeight w:val="722"/>
          <w:jc w:val="center"/>
        </w:trPr>
        <w:tc>
          <w:tcPr>
            <w:tcW w:w="1026"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DT5000</w:t>
            </w:r>
          </w:p>
        </w:tc>
        <w:tc>
          <w:tcPr>
            <w:tcW w:w="1725"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Newmeyer et al.</w:t>
            </w:r>
          </w:p>
        </w:tc>
        <w:tc>
          <w:tcPr>
            <w:tcW w:w="651"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2017</w:t>
            </w:r>
          </w:p>
        </w:tc>
        <w:tc>
          <w:tcPr>
            <w:tcW w:w="568"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43</w:t>
            </w:r>
          </w:p>
        </w:tc>
        <w:tc>
          <w:tcPr>
            <w:tcW w:w="721"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18-50 </w:t>
            </w:r>
          </w:p>
        </w:tc>
        <w:tc>
          <w:tcPr>
            <w:tcW w:w="1289"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Occasional users</w:t>
            </w:r>
          </w:p>
        </w:tc>
        <w:tc>
          <w:tcPr>
            <w:tcW w:w="125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Edible</w:t>
            </w:r>
          </w:p>
        </w:tc>
        <w:tc>
          <w:tcPr>
            <w:tcW w:w="153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OF and Blood</w:t>
            </w:r>
          </w:p>
        </w:tc>
        <w:tc>
          <w:tcPr>
            <w:tcW w:w="135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w:t>
            </w:r>
            <w:r w:rsidRPr="0084373E">
              <w:rPr>
                <w:rFonts w:ascii="Arial" w:eastAsia="Times New Roman" w:hAnsi="Arial" w:cs="Arial"/>
                <w:color w:val="000000"/>
                <w:sz w:val="16"/>
                <w:szCs w:val="16"/>
              </w:rPr>
              <w:br/>
              <w:t>≥ 2 ng/mL</w:t>
            </w:r>
            <w:r w:rsidRPr="0084373E">
              <w:rPr>
                <w:rFonts w:ascii="Arial" w:eastAsia="Times New Roman" w:hAnsi="Arial" w:cs="Arial"/>
                <w:color w:val="000000"/>
                <w:sz w:val="16"/>
                <w:szCs w:val="16"/>
              </w:rPr>
              <w:br/>
              <w:t>≥ 1 ng/mL</w:t>
            </w:r>
            <w:r w:rsidRPr="0084373E">
              <w:rPr>
                <w:rFonts w:ascii="Arial" w:eastAsia="Times New Roman" w:hAnsi="Arial" w:cs="Arial"/>
                <w:color w:val="000000"/>
                <w:sz w:val="16"/>
                <w:szCs w:val="16"/>
              </w:rPr>
              <w:br/>
              <w:t xml:space="preserve">≥ 0.2 ng/mL </w:t>
            </w:r>
          </w:p>
        </w:tc>
        <w:tc>
          <w:tcPr>
            <w:tcW w:w="162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 =100</w:t>
            </w:r>
            <w:r w:rsidRPr="0084373E">
              <w:rPr>
                <w:rFonts w:ascii="Arial" w:eastAsia="Times New Roman" w:hAnsi="Arial" w:cs="Arial"/>
                <w:color w:val="000000"/>
                <w:sz w:val="16"/>
                <w:szCs w:val="16"/>
              </w:rPr>
              <w:br/>
              <w:t xml:space="preserve"> ≥ 2 ng/mL =63.2</w:t>
            </w:r>
            <w:r w:rsidRPr="0084373E">
              <w:rPr>
                <w:rFonts w:ascii="Arial" w:eastAsia="Times New Roman" w:hAnsi="Arial" w:cs="Arial"/>
                <w:color w:val="000000"/>
                <w:sz w:val="16"/>
                <w:szCs w:val="16"/>
              </w:rPr>
              <w:br/>
              <w:t xml:space="preserve"> ≥1 ng/mL  =63.2</w:t>
            </w:r>
            <w:r w:rsidRPr="0084373E">
              <w:rPr>
                <w:rFonts w:ascii="Arial" w:eastAsia="Times New Roman" w:hAnsi="Arial" w:cs="Arial"/>
                <w:color w:val="000000"/>
                <w:sz w:val="16"/>
                <w:szCs w:val="16"/>
              </w:rPr>
              <w:br/>
              <w:t xml:space="preserve"> ≥0.2 ng/mL =44.4</w:t>
            </w:r>
          </w:p>
        </w:tc>
        <w:tc>
          <w:tcPr>
            <w:tcW w:w="1654"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16"/>
              </w:rPr>
            </w:pPr>
            <w:r w:rsidRPr="0084373E">
              <w:rPr>
                <w:rFonts w:ascii="Arial" w:eastAsia="Times New Roman" w:hAnsi="Arial" w:cs="Arial"/>
                <w:color w:val="000000"/>
                <w:sz w:val="16"/>
                <w:szCs w:val="16"/>
              </w:rPr>
              <w:t xml:space="preserve"> ≥ 5 ng/mL =96.9</w:t>
            </w:r>
            <w:r w:rsidRPr="0084373E">
              <w:rPr>
                <w:rFonts w:ascii="Arial" w:eastAsia="Times New Roman" w:hAnsi="Arial" w:cs="Arial"/>
                <w:color w:val="000000"/>
                <w:sz w:val="16"/>
                <w:szCs w:val="16"/>
              </w:rPr>
              <w:br/>
              <w:t xml:space="preserve"> ≥ 2 ng/mL =100</w:t>
            </w:r>
            <w:r w:rsidRPr="0084373E">
              <w:rPr>
                <w:rFonts w:ascii="Arial" w:eastAsia="Times New Roman" w:hAnsi="Arial" w:cs="Arial"/>
                <w:color w:val="000000"/>
                <w:sz w:val="16"/>
                <w:szCs w:val="16"/>
              </w:rPr>
              <w:br/>
              <w:t xml:space="preserve"> ≥1 ng/mL  =100</w:t>
            </w:r>
            <w:r w:rsidRPr="0084373E">
              <w:rPr>
                <w:rFonts w:ascii="Arial" w:eastAsia="Times New Roman" w:hAnsi="Arial" w:cs="Arial"/>
                <w:color w:val="000000"/>
                <w:sz w:val="16"/>
                <w:szCs w:val="16"/>
              </w:rPr>
              <w:br/>
              <w:t xml:space="preserve"> ≥0.2 ng/mL =100</w:t>
            </w:r>
          </w:p>
        </w:tc>
      </w:tr>
      <w:tr w:rsidR="00EC25F0" w:rsidRPr="0084373E" w:rsidTr="00C63AA0">
        <w:trPr>
          <w:trHeight w:val="584"/>
          <w:jc w:val="center"/>
        </w:trPr>
        <w:tc>
          <w:tcPr>
            <w:tcW w:w="13401" w:type="dxa"/>
            <w:gridSpan w:val="11"/>
            <w:tcBorders>
              <w:top w:val="single" w:sz="4" w:space="0" w:color="auto"/>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6"/>
                <w:szCs w:val="20"/>
              </w:rPr>
            </w:pPr>
            <w:r w:rsidRPr="0084373E">
              <w:rPr>
                <w:rFonts w:ascii="Arial" w:eastAsia="Times New Roman" w:hAnsi="Arial" w:cs="Arial"/>
                <w:color w:val="000000"/>
                <w:sz w:val="16"/>
                <w:szCs w:val="20"/>
              </w:rPr>
              <w:t>Note: Studies that tested multiple populations and devices may appear more than once. Table reflects same studies and participants as prior table stratified by frequency of cannabis use. Accuracy not available in these studies for these subpopulations. DT5000=Drager™ DrugTest 5000; DDS2= Alere™ DDS2; OF=Oral Fluid; LC-MS/MS=liquid chromotography-tandem mass spectrometry; The limit of quantitation (LOQ) was ~ 0.2 ng/mL.</w:t>
            </w:r>
          </w:p>
        </w:tc>
      </w:tr>
    </w:tbl>
    <w:p w:rsidR="00EC25F0" w:rsidRPr="0084373E" w:rsidRDefault="00EC25F0" w:rsidP="006057BE">
      <w:pPr>
        <w:spacing w:after="0" w:line="240" w:lineRule="auto"/>
        <w:rPr>
          <w:rFonts w:cs="Times New Roman"/>
          <w:szCs w:val="24"/>
        </w:rPr>
        <w:sectPr w:rsidR="00EC25F0" w:rsidRPr="0084373E" w:rsidSect="00465399">
          <w:pgSz w:w="15840" w:h="12240" w:orient="landscape"/>
          <w:pgMar w:top="1440" w:right="1440" w:bottom="1440" w:left="1440" w:header="720" w:footer="720" w:gutter="0"/>
          <w:cols w:space="720"/>
          <w:titlePg/>
          <w:docGrid w:linePitch="360"/>
        </w:sectPr>
      </w:pPr>
    </w:p>
    <w:p w:rsidR="00EC25F0" w:rsidRPr="00505004" w:rsidRDefault="00EC25F0" w:rsidP="006057BE">
      <w:pPr>
        <w:spacing w:after="0" w:line="240" w:lineRule="auto"/>
        <w:rPr>
          <w:rFonts w:ascii="Arial" w:hAnsi="Arial" w:cs="Arial"/>
          <w:b/>
          <w:sz w:val="24"/>
          <w:szCs w:val="24"/>
        </w:rPr>
      </w:pPr>
      <w:r w:rsidRPr="00505004">
        <w:rPr>
          <w:rFonts w:ascii="Arial" w:hAnsi="Arial" w:cs="Arial"/>
          <w:b/>
          <w:sz w:val="24"/>
          <w:szCs w:val="24"/>
        </w:rPr>
        <w:t>Chronic Frequent Users versus Occasional Users</w:t>
      </w:r>
    </w:p>
    <w:p w:rsidR="006D0A50" w:rsidRPr="0084373E" w:rsidRDefault="006D0A50" w:rsidP="006057BE">
      <w:pPr>
        <w:spacing w:after="0" w:line="240" w:lineRule="auto"/>
        <w:rPr>
          <w:rFonts w:ascii="Arial" w:hAnsi="Arial" w:cs="Arial"/>
          <w:b/>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Table 3 shows the results from studies testing the accuracy of the OF POCT devices, grouped by participant cannabis use history (e.g. frequent user vs. occasional) and by device. This table reflects the two key studies found by our search that differentiated results based on the participants’ cannabis use history. These are the same studies as reported above, but broken out for the subpopulations included rather than overall results.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Swortwood’s study for the DDS did not show substantially different performance (e.g. more than few percentage points) between chronic vs. frequent users at a 25ng/ML or 5ng/mL confirmation cutoff. In both groups, sensitivity approached 100% for the 25ng/mL cutoff, and sensitivity was 82%-86%. The same study suggested that at the 5ng/ML cutoff, the DT5000 had a sensitivity of 79.1 for frequent users vs. 82.9 for occasional users; specificity of 89.5 for frequent users vs. 94.0 for occasional users. In their study of smoked cannabis, Huestis et al. report that the sensitivity of the DT5000 was was 6-11% higher in frequent as compared to occasional cannabis users and suggest that this was due to having a longer detection windows and higher true positive rates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&lt;EndNote&gt;&lt;Cite&gt;&lt;Author&gt;Huestis&lt;/Author&gt;&lt;Year&gt;2013&lt;/Year&gt;&lt;RecNum&gt;241&lt;/RecNum&gt;&lt;DisplayText&gt;(M. A. Huestis et al., 2013; Marilyn A Huestis et al., 2013)&lt;/DisplayText&gt;&lt;record&gt;&lt;rec-number&gt;241&lt;/rec-number&gt;&lt;foreign-keys&gt;&lt;key app="EN" db-id="d0tr9f9wrrzr9lef5rsvpsadtz2we0sa25tw" timestamp="1521761860"&gt;241&lt;/key&gt;&lt;/foreign-keys&gt;&lt;ref-type name="Conference Proceedings"&gt;10&lt;/ref-type&gt;&lt;contributors&gt;&lt;authors&gt;&lt;author&gt;Huestis, Marilyn A&lt;/author&gt;&lt;author&gt;Milman, Garry&lt;/author&gt;&lt;author&gt;Mendu, Damodara&lt;/author&gt;&lt;author&gt;Lee, Dayong&lt;/author&gt;&lt;author&gt;Barnes, Allan J&lt;/author&gt;&lt;author&gt;Schwope, David M&lt;/author&gt;&lt;author&gt;Gorelick, David A&lt;/author&gt;&lt;author&gt;Desrosiers, Nathalie A&lt;/author&gt;&lt;/authors&gt;&lt;/contributors&gt;&lt;titles&gt;&lt;title&gt;Evaluation of the on-site Draeger DrugTest 5000 in occasional and chronic frequent smokers following controlled cannabis smoking&lt;/title&gt;&lt;secondary-title&gt;International Conference on Alcohol, Drugs and Traffic Safety (T2013), 20th, 2013, Brisbane, Queensland, Australia&lt;/secondary-title&gt;&lt;/titles&gt;&lt;dates&gt;&lt;year&gt;2013&lt;/year&gt;&lt;/dates&gt;&lt;urls&gt;&lt;/urls&gt;&lt;/record&gt;&lt;/Cite&gt;&lt;Cite&gt;&lt;Author&gt;Huestis&lt;/Author&gt;&lt;Year&gt;2013&lt;/Year&gt;&lt;RecNum&gt;1432&lt;/RecNum&gt;&lt;record&gt;&lt;rec-number&gt;1432&lt;/rec-number&gt;&lt;foreign-keys&gt;&lt;key app="EN" db-id="d0tr9f9wrrzr9lef5rsvpsadtz2we0sa25tw" timestamp="1522256543"&gt;1432&lt;/key&gt;&lt;key app="ENWeb" db-id=""&gt;0&lt;/key&gt;&lt;/foreign-keys&gt;&lt;ref-type name="Report"&gt;27&lt;/ref-type&gt;&lt;contributors&gt;&lt;authors&gt;&lt;author&gt;Huestis, M. A.&lt;/author&gt;&lt;author&gt;Milman, G&lt;/author&gt;&lt;author&gt;Mendu, D&lt;/author&gt;&lt;author&gt;Lee, D&lt;/author&gt;&lt;author&gt;Barnes, A.J.&lt;/author&gt;&lt;author&gt;Schwope, D. &lt;/author&gt;&lt;author&gt;Gorelick, D.A.&lt;/author&gt;&lt;author&gt;Desrosier, N.A.&lt;/author&gt;&lt;/authors&gt;&lt;/contributors&gt;&lt;titles&gt;&lt;title&gt;Evaluation the on-site Draeger DrugTest 5000 in occasional and chronic frequent smokers following controlled cannabis smoking&lt;/title&gt;&lt;/titles&gt;&lt;dates&gt;&lt;year&gt;2013&lt;/year&gt;&lt;/dates&gt;&lt;urls&gt;&lt;related-urls&gt;&lt;url&gt;http://www.icadtsinternational.com/files/documents/2013_058.pdf&lt;/url&gt;&lt;/related-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(Huestis et al., 2013; Huestis et al., 2013)</w:t>
      </w:r>
      <w:r w:rsidRPr="00E82261">
        <w:rPr>
          <w:rFonts w:ascii="Arial" w:hAnsi="Arial" w:cs="Arial"/>
          <w:sz w:val="24"/>
          <w:szCs w:val="24"/>
        </w:rPr>
        <w:fldChar w:fldCharType="end"/>
      </w:r>
      <w:r w:rsidRPr="00E82261">
        <w:rPr>
          <w:rFonts w:ascii="Arial" w:hAnsi="Arial" w:cs="Arial"/>
          <w:sz w:val="24"/>
          <w:szCs w:val="24"/>
        </w:rPr>
        <w:t xml:space="preserve">. The DDS performed slightly better that the DT5000 among frequent users at the 5ng/mL cutoff in the two original studies we reviewed that directly compared the devices. Taking all evidence into account, both devices perform reasonably well for both frequent and occasional users. </w:t>
      </w:r>
    </w:p>
    <w:p w:rsidR="006D0A50" w:rsidRPr="00E82261" w:rsidRDefault="006D0A50" w:rsidP="006057BE">
      <w:pPr>
        <w:spacing w:after="0" w:line="240" w:lineRule="auto"/>
        <w:rPr>
          <w:rFonts w:ascii="Arial" w:hAnsi="Arial" w:cs="Arial"/>
          <w:sz w:val="24"/>
          <w:szCs w:val="24"/>
        </w:rPr>
      </w:pPr>
    </w:p>
    <w:p w:rsidR="00EC25F0" w:rsidRPr="00505004" w:rsidRDefault="00EC25F0" w:rsidP="006057BE">
      <w:pPr>
        <w:spacing w:after="0" w:line="240" w:lineRule="auto"/>
        <w:rPr>
          <w:rFonts w:ascii="Arial" w:hAnsi="Arial" w:cs="Arial"/>
          <w:b/>
          <w:sz w:val="24"/>
          <w:szCs w:val="24"/>
        </w:rPr>
      </w:pPr>
      <w:r w:rsidRPr="00505004">
        <w:rPr>
          <w:rFonts w:ascii="Arial" w:hAnsi="Arial" w:cs="Arial"/>
          <w:b/>
          <w:sz w:val="24"/>
          <w:szCs w:val="24"/>
        </w:rPr>
        <w:t>Edible Route of Exposure</w:t>
      </w:r>
    </w:p>
    <w:p w:rsidR="006D0A50" w:rsidRPr="0084373E" w:rsidRDefault="006D0A50" w:rsidP="006057BE">
      <w:pPr>
        <w:spacing w:after="0" w:line="240" w:lineRule="auto"/>
        <w:rPr>
          <w:rFonts w:ascii="Arial" w:hAnsi="Arial" w:cs="Arial"/>
          <w:b/>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As shown in Table 3, the DT5000, in a study that focused only on edible cannabis, had a sensitivity of 64.9% and specificity of 97.2%, for an overall accuracy of 77.5% </w:t>
      </w:r>
      <w:r w:rsidRPr="00E82261">
        <w:rPr>
          <w:rFonts w:ascii="Arial" w:hAnsi="Arial" w:cs="Arial"/>
          <w:sz w:val="24"/>
          <w:szCs w:val="24"/>
        </w:rPr>
        <w:fldChar w:fldCharType="begin">
          <w:fldData xml:space="preserve">PEVuZE5vdGU+PENpdGU+PEF1dGhvcj5IYXJ0bWFuPC9BdXRob3I+PFllYXI+MjAxNTwvWWVhcj48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PEVuZE5vdGU+PENpdGU+PEF1dGhvcj5IYXJ0bWFuPC9BdXRob3I+PFllYXI+MjAxNTwvWWVhcj48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(Hartman et al., 2015)</w:t>
      </w:r>
      <w:r w:rsidRPr="00E82261">
        <w:rPr>
          <w:rFonts w:ascii="Arial" w:hAnsi="Arial" w:cs="Arial"/>
          <w:sz w:val="24"/>
          <w:szCs w:val="24"/>
        </w:rPr>
        <w:fldChar w:fldCharType="end"/>
      </w:r>
      <w:r w:rsidRPr="00E82261">
        <w:rPr>
          <w:rFonts w:ascii="Arial" w:hAnsi="Arial" w:cs="Arial"/>
          <w:sz w:val="24"/>
          <w:szCs w:val="24"/>
        </w:rPr>
        <w:t xml:space="preserve">. A smaller study found a sensitivity of 89.3 and specificity of 94.7. This is in contrast to the DDS2 which, in the smaller study, had a sensitivity of 96.8 and specificity of 86.5. The DT5000 may perform slightly better than the DDS2 when edible cannabis has been consumed, as its specificity was higher (96.9% vs. 77.1%) in the study by Newmeyer and colleagues that focused on the edible route of exposure </w:t>
      </w:r>
      <w:r w:rsidRPr="00E82261">
        <w:rPr>
          <w:rFonts w:ascii="Arial" w:hAnsi="Arial" w:cs="Arial"/>
          <w:sz w:val="24"/>
          <w:szCs w:val="24"/>
        </w:rPr>
        <w:fldChar w:fldCharType="begin">
          <w:fldData xml:space="preserve">PEVuZE5vdGU+PENpdGU+PEF1dGhvcj5OZXdtZXllcjwvQXV0aG9yPjxZZWFyPjIwMTc8L1llYXI+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=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PEVuZE5vdGU+PENpdGU+PEF1dGhvcj5OZXdtZXllcjwvQXV0aG9yPjxZZWFyPjIwMTc8L1llYXI+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=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(Newmeyer et al., 2017a)</w:t>
      </w:r>
      <w:r w:rsidRPr="00E82261">
        <w:rPr>
          <w:rFonts w:ascii="Arial" w:hAnsi="Arial" w:cs="Arial"/>
          <w:sz w:val="24"/>
          <w:szCs w:val="24"/>
        </w:rPr>
        <w:fldChar w:fldCharType="end"/>
      </w:r>
      <w:r w:rsidRPr="00E82261">
        <w:rPr>
          <w:rFonts w:ascii="Arial" w:hAnsi="Arial" w:cs="Arial"/>
          <w:sz w:val="24"/>
          <w:szCs w:val="24"/>
        </w:rPr>
        <w:t xml:space="preserve">. </w:t>
      </w:r>
    </w:p>
    <w:p w:rsidR="006D0A50" w:rsidRPr="00E82261" w:rsidRDefault="006D0A50" w:rsidP="006057BE">
      <w:pPr>
        <w:spacing w:after="0" w:line="240" w:lineRule="auto"/>
        <w:rPr>
          <w:rFonts w:ascii="Arial" w:hAnsi="Arial" w:cs="Arial"/>
          <w:sz w:val="24"/>
          <w:szCs w:val="24"/>
        </w:rPr>
      </w:pPr>
    </w:p>
    <w:p w:rsidR="00EC25F0" w:rsidRPr="00505004" w:rsidRDefault="00EC25F0" w:rsidP="006057BE">
      <w:pPr>
        <w:spacing w:after="0" w:line="240" w:lineRule="auto"/>
        <w:rPr>
          <w:rFonts w:ascii="Arial" w:hAnsi="Arial" w:cs="Arial"/>
          <w:b/>
          <w:sz w:val="24"/>
          <w:szCs w:val="24"/>
        </w:rPr>
      </w:pPr>
      <w:r w:rsidRPr="00505004">
        <w:rPr>
          <w:rFonts w:ascii="Arial" w:hAnsi="Arial" w:cs="Arial"/>
          <w:b/>
          <w:sz w:val="24"/>
          <w:szCs w:val="24"/>
        </w:rPr>
        <w:t>Vaporized Route of Exposure</w:t>
      </w:r>
    </w:p>
    <w:p w:rsidR="006D0A50" w:rsidRPr="0084373E" w:rsidRDefault="006D0A50" w:rsidP="006057BE">
      <w:pPr>
        <w:spacing w:after="0" w:line="240" w:lineRule="auto"/>
        <w:rPr>
          <w:rFonts w:ascii="Arial" w:hAnsi="Arial" w:cs="Arial"/>
          <w:b/>
          <w:szCs w:val="24"/>
        </w:rPr>
      </w:pPr>
    </w:p>
    <w:p w:rsidR="00EC25F0" w:rsidRDefault="00EC25F0" w:rsidP="006057BE">
      <w:pPr>
        <w:spacing w:after="0" w:line="240" w:lineRule="auto"/>
        <w:rPr>
          <w:rFonts w:ascii="Arial" w:hAnsi="Arial" w:cs="Arial"/>
          <w:sz w:val="24"/>
          <w:szCs w:val="24"/>
        </w:rPr>
      </w:pPr>
      <w:r w:rsidRPr="00E82261">
        <w:rPr>
          <w:rFonts w:ascii="Arial" w:hAnsi="Arial" w:cs="Arial"/>
          <w:sz w:val="24"/>
          <w:szCs w:val="24"/>
        </w:rPr>
        <w:t xml:space="preserve">Hartman and colleagues (2015) reported that the DT5000 showed sensitivity of 64.9, specificity of 97.2, and efficiency of 77.5% after vaporized cannabis, using the 5ng/mL confirmatory cutoff </w:t>
      </w:r>
      <w:r w:rsidRPr="00E82261">
        <w:rPr>
          <w:rFonts w:ascii="Arial" w:hAnsi="Arial" w:cs="Arial"/>
          <w:sz w:val="24"/>
          <w:szCs w:val="24"/>
        </w:rPr>
        <w:fldChar w:fldCharType="begin">
          <w:fldData xml:space="preserve">PEVuZE5vdGU+PENpdGU+PEF1dGhvcj5IYXJ0bWFuPC9BdXRob3I+PFllYXI+MjAxNTwvWWVhcj48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PEVuZE5vdGU+PENpdGU+PEF1dGhvcj5IYXJ0bWFuPC9BdXRob3I+PFllYXI+MjAxNTwvWWVhcj48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(Hartman et al., 2015)</w:t>
      </w:r>
      <w:r w:rsidRPr="00E82261">
        <w:rPr>
          <w:rFonts w:ascii="Arial" w:hAnsi="Arial" w:cs="Arial"/>
          <w:sz w:val="24"/>
          <w:szCs w:val="24"/>
        </w:rPr>
        <w:fldChar w:fldCharType="end"/>
      </w:r>
      <w:r w:rsidRPr="00E82261">
        <w:rPr>
          <w:rFonts w:ascii="Arial" w:hAnsi="Arial" w:cs="Arial"/>
          <w:sz w:val="24"/>
          <w:szCs w:val="24"/>
        </w:rPr>
        <w:t xml:space="preserve">. These authors noted that cannabis vapor may interact with oral mucosa differently to smoke, altering the performance of the POCT </w:t>
      </w:r>
      <w:r w:rsidRPr="00E82261">
        <w:rPr>
          <w:rFonts w:ascii="Arial" w:hAnsi="Arial" w:cs="Arial"/>
          <w:sz w:val="24"/>
          <w:szCs w:val="24"/>
        </w:rPr>
        <w:fldChar w:fldCharType="begin">
          <w:fldData xml:space="preserve">PEVuZE5vdGU+PENpdGU+PEF1dGhvcj5IYXJ0bWFuPC9BdXRob3I+PFllYXI+MjAxNTwvWWVhcj48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PEVuZE5vdGU+PENpdGU+PEF1dGhvcj5IYXJ0bWFuPC9BdXRob3I+PFllYXI+MjAxNTwvWWVhcj48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(Hartman et al., 2015)</w:t>
      </w:r>
      <w:r w:rsidRPr="00E82261">
        <w:rPr>
          <w:rFonts w:ascii="Arial" w:hAnsi="Arial" w:cs="Arial"/>
          <w:sz w:val="24"/>
          <w:szCs w:val="24"/>
        </w:rPr>
        <w:fldChar w:fldCharType="end"/>
      </w:r>
      <w:r w:rsidRPr="00E82261">
        <w:rPr>
          <w:rFonts w:ascii="Arial" w:hAnsi="Arial" w:cs="Arial"/>
          <w:sz w:val="24"/>
          <w:szCs w:val="24"/>
        </w:rPr>
        <w:t>. While the sensitivity in this study was reduced due to false negatives compared to other studies that tested the device after smoked or edible routes of administration, the high specificity indicates that false positives were rare.</w:t>
      </w:r>
    </w:p>
    <w:p w:rsidR="00E82261" w:rsidRDefault="00E82261" w:rsidP="006057BE">
      <w:pPr>
        <w:spacing w:after="0" w:line="240" w:lineRule="auto"/>
        <w:rPr>
          <w:rFonts w:ascii="Arial" w:hAnsi="Arial" w:cs="Arial"/>
          <w:sz w:val="24"/>
          <w:szCs w:val="24"/>
        </w:rPr>
      </w:pPr>
    </w:p>
    <w:p w:rsidR="00E82261" w:rsidRDefault="00E82261" w:rsidP="006057BE">
      <w:pPr>
        <w:spacing w:after="0" w:line="240" w:lineRule="auto"/>
        <w:rPr>
          <w:rFonts w:ascii="Arial" w:hAnsi="Arial" w:cs="Arial"/>
          <w:sz w:val="24"/>
          <w:szCs w:val="24"/>
        </w:rPr>
      </w:pPr>
    </w:p>
    <w:p w:rsidR="00E82261" w:rsidRPr="00E82261" w:rsidRDefault="00E82261" w:rsidP="006057BE">
      <w:pPr>
        <w:spacing w:after="0" w:line="240" w:lineRule="auto"/>
        <w:rPr>
          <w:rFonts w:ascii="Arial" w:hAnsi="Arial" w:cs="Arial"/>
          <w:sz w:val="24"/>
          <w:szCs w:val="24"/>
        </w:rPr>
      </w:pPr>
    </w:p>
    <w:p w:rsidR="006D0A50" w:rsidRPr="0084373E" w:rsidRDefault="006D0A50" w:rsidP="006057BE">
      <w:pPr>
        <w:spacing w:after="0" w:line="240" w:lineRule="auto"/>
        <w:rPr>
          <w:rFonts w:ascii="Arial" w:hAnsi="Arial" w:cs="Arial"/>
          <w:b/>
          <w:szCs w:val="24"/>
        </w:rPr>
      </w:pPr>
    </w:p>
    <w:p w:rsidR="00EC25F0" w:rsidRPr="00505004" w:rsidRDefault="00EC25F0" w:rsidP="006057BE">
      <w:pPr>
        <w:spacing w:after="0" w:line="240" w:lineRule="auto"/>
        <w:rPr>
          <w:rFonts w:ascii="Arial" w:hAnsi="Arial" w:cs="Arial"/>
          <w:b/>
          <w:sz w:val="24"/>
          <w:szCs w:val="24"/>
        </w:rPr>
      </w:pPr>
      <w:r w:rsidRPr="00505004">
        <w:rPr>
          <w:rFonts w:ascii="Arial" w:hAnsi="Arial" w:cs="Arial"/>
          <w:b/>
          <w:sz w:val="24"/>
          <w:szCs w:val="24"/>
        </w:rPr>
        <w:t>POC Urine Testing</w:t>
      </w:r>
    </w:p>
    <w:p w:rsidR="006D0A50" w:rsidRPr="0084373E" w:rsidRDefault="006D0A50" w:rsidP="006057BE">
      <w:pPr>
        <w:spacing w:after="0" w:line="240" w:lineRule="auto"/>
        <w:rPr>
          <w:rFonts w:ascii="Arial" w:hAnsi="Arial" w:cs="Arial"/>
          <w:b/>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One study returned by our searches evaluated POTC urine tests, the EZ Cup and the Multi4Card </w:t>
      </w:r>
      <w:r w:rsidRPr="00E82261">
        <w:rPr>
          <w:rFonts w:ascii="Arial" w:hAnsi="Arial" w:cs="Arial"/>
          <w:sz w:val="24"/>
          <w:szCs w:val="24"/>
        </w:rPr>
        <w:fldChar w:fldCharType="begin">
          <w:fldData xml:space="preserve">PEVuZE5vdGU+PENpdGU+PEF1dGhvcj5LaW08L0F1dGhvcj48WWVhcj4yMDE3PC9ZZWFyPjxSZWNO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PEVuZE5vdGU+PENpdGU+PEF1dGhvcj5LaW08L0F1dGhvcj48WWVhcj4yMDE3PC9ZZWFyPjxSZWNO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(Kim et al., 2017)</w:t>
      </w:r>
      <w:r w:rsidRPr="00E82261">
        <w:rPr>
          <w:rFonts w:ascii="Arial" w:hAnsi="Arial" w:cs="Arial"/>
          <w:sz w:val="24"/>
          <w:szCs w:val="24"/>
        </w:rPr>
        <w:fldChar w:fldCharType="end"/>
      </w:r>
      <w:r w:rsidRPr="00E82261">
        <w:rPr>
          <w:rFonts w:ascii="Arial" w:hAnsi="Arial" w:cs="Arial"/>
          <w:sz w:val="24"/>
          <w:szCs w:val="24"/>
        </w:rPr>
        <w:t xml:space="preserve">. The study utilized commercially available samples (Detectabuse) and information about the individuals who originally provided the samples was not available. The cut-off value for these tests was 50 ng/mL of THC-COOH. The results were assessed on a grading scale (G2-G4) where lower grade meant a higher drug concentration for confirmation testing. The EZ Cup had a sensitivity ranging from 98.5 (G2) to 100 (G4) and a specificity ranging from 93.0 (G2) to 53.0 (G4).  The Multi4Card had a sensitivity range from 6.0 (G2) to 92.0 (G4) and a specificity range from 99.2 (G2) to 87.7 (G4). The EZ cup had with consistently low false negative tests, but, as concentration decreased, there were more false positives. The EZ Cup therefore exhibited better performance, but it is important to note that the inactive metabolite THC-COOH can be detected for days to weeks after cannabis administration (Goodwin et al., 2008) and a positive screening result alone (absent other information) does not permit inference regarding time of cannabis use. </w:t>
      </w:r>
    </w:p>
    <w:p w:rsidR="006D0A50" w:rsidRPr="0084373E" w:rsidRDefault="006D0A50" w:rsidP="006057BE">
      <w:pPr>
        <w:spacing w:after="0" w:line="240" w:lineRule="auto"/>
        <w:rPr>
          <w:rFonts w:ascii="Arial" w:hAnsi="Arial" w:cs="Arial"/>
          <w:szCs w:val="24"/>
        </w:rPr>
      </w:pPr>
    </w:p>
    <w:p w:rsidR="00EC25F0" w:rsidRPr="00332358" w:rsidRDefault="00EC25F0" w:rsidP="006057BE">
      <w:pPr>
        <w:spacing w:after="0" w:line="240" w:lineRule="auto"/>
        <w:rPr>
          <w:rFonts w:ascii="Arial" w:hAnsi="Arial" w:cs="Arial"/>
          <w:b/>
          <w:sz w:val="24"/>
          <w:szCs w:val="24"/>
        </w:rPr>
      </w:pPr>
      <w:r w:rsidRPr="00332358">
        <w:rPr>
          <w:rFonts w:ascii="Arial" w:hAnsi="Arial" w:cs="Arial"/>
          <w:b/>
          <w:sz w:val="24"/>
          <w:szCs w:val="24"/>
        </w:rPr>
        <w:t>Other Considerations</w:t>
      </w:r>
    </w:p>
    <w:p w:rsidR="006D0A50" w:rsidRPr="0084373E" w:rsidRDefault="006D0A50" w:rsidP="006057BE">
      <w:pPr>
        <w:spacing w:after="0" w:line="240" w:lineRule="auto"/>
        <w:rPr>
          <w:rFonts w:ascii="Arial" w:hAnsi="Arial" w:cs="Arial"/>
          <w:b/>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Across all studies, authors note that frequent smokers had significantly later median t</w:t>
      </w:r>
      <w:r w:rsidRPr="00E82261">
        <w:rPr>
          <w:rFonts w:ascii="Arial" w:hAnsi="Arial" w:cs="Arial"/>
          <w:sz w:val="24"/>
          <w:szCs w:val="24"/>
          <w:vertAlign w:val="subscript"/>
        </w:rPr>
        <w:t xml:space="preserve">last </w:t>
      </w:r>
      <w:r w:rsidRPr="00E82261">
        <w:rPr>
          <w:rFonts w:ascii="Arial" w:hAnsi="Arial" w:cs="Arial"/>
          <w:sz w:val="24"/>
          <w:szCs w:val="24"/>
        </w:rPr>
        <w:t xml:space="preserve">(time of last cannabis detection) compared to occasional smokers. This means that frequent marijuana users may show positive results on POCT results for longer after cannabis administration compared to occasional users who used the same amount.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The studies described here utilize THC as the confirmation marker of cannabis exposure. Hartman (2015) and colleagues note that THC-COOH has been proposed as a potential additional confirmatory criterion, to be used with THC because it helps rule out passive environmental exposure, detects oral cannabis use, and can extend detection windows in chronic frequent cannabis smokers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&lt;EndNote&gt;&lt;Cite&gt;&lt;Author&gt;Moore&lt;/Author&gt;&lt;Year&gt;2011&lt;/Year&gt;&lt;RecNum&gt;248&lt;/RecNum&gt;&lt;DisplayText&gt;(Lee et al., 2011; Moore et al., 2011)&lt;/DisplayText&gt;&lt;record&gt;&lt;rec-number&gt;248&lt;/rec-number&gt;&lt;foreign-keys&gt;&lt;key app="EN" db-id="d0tr9f9wrrzr9lef5rsvpsadtz2we0sa25tw" timestamp="1521902404"&gt;248&lt;/key&gt;&lt;/foreign-keys&gt;&lt;ref-type name="Journal Article"&gt;17&lt;/ref-type&gt;&lt;contributors&gt;&lt;authors&gt;&lt;author&gt;Moore, Christine&lt;/author&gt;&lt;author&gt;Coulter, Cynthia&lt;/author&gt;&lt;author&gt;Uges, Donald&lt;/author&gt;&lt;author&gt;Tuyay, James&lt;/author&gt;&lt;author&gt;Van der Linde, Susanne&lt;/author&gt;&lt;author&gt;Van Leeuwen, Arthur&lt;/author&gt;&lt;author&gt;Garnier, Margaux&lt;/author&gt;&lt;author&gt;Orbita Jr, Jonathan&lt;/author&gt;&lt;/authors&gt;&lt;/contributors&gt;&lt;titles&gt;&lt;title&gt;Cannabinoids in oral fluid following passive exposure to marijuana smoke&lt;/title&gt;&lt;secondary-title&gt;Forensic science international&lt;/secondary-title&gt;&lt;/titles&gt;&lt;periodical&gt;&lt;full-title&gt;Forensic Sci Int&lt;/full-title&gt;&lt;abbr-1&gt;Forensic science international&lt;/abbr-1&gt;&lt;/periodical&gt;&lt;pages&gt;227-230&lt;/pages&gt;&lt;volume&gt;212&lt;/volume&gt;&lt;number&gt;1-3&lt;/number&gt;&lt;dates&gt;&lt;year&gt;2011&lt;/year&gt;&lt;/dates&gt;&lt;isbn&gt;0379-0738&lt;/isbn&gt;&lt;urls&gt;&lt;/urls&gt;&lt;/record&gt;&lt;/Cite&gt;&lt;Cite&gt;&lt;Author&gt;Lee&lt;/Author&gt;&lt;Year&gt;2011&lt;/Year&gt;&lt;RecNum&gt;249&lt;/RecNum&gt;&lt;record&gt;&lt;rec-number&gt;249&lt;/rec-number&gt;&lt;foreign-keys&gt;&lt;key app="EN" db-id="d0tr9f9wrrzr9lef5rsvpsadtz2we0sa25tw" timestamp="1521902434"&gt;249&lt;/key&gt;&lt;/foreign-keys&gt;&lt;ref-type name="Journal Article"&gt;17&lt;/ref-type&gt;&lt;contributors&gt;&lt;authors&gt;&lt;author&gt;Lee, Dayong&lt;/author&gt;&lt;author&gt;Milman, Garry&lt;/author&gt;&lt;author&gt;Barnes, Allan J&lt;/author&gt;&lt;author&gt;Goodwin, Robert S&lt;/author&gt;&lt;author&gt;Hirvonen, Jussi&lt;/author&gt;&lt;author&gt;Huestis, Marilyn A&lt;/author&gt;&lt;/authors&gt;&lt;/contributors&gt;&lt;titles&gt;&lt;title&gt;Oral fluid cannabinoids in chronic, daily cannabis smokers during sustained, monitored abstinence&lt;/title&gt;&lt;secondary-title&gt;Clinical chemistry&lt;/secondary-title&gt;&lt;/titles&gt;&lt;periodical&gt;&lt;full-title&gt;Clin Chem&lt;/full-title&gt;&lt;abbr-1&gt;Clinical chemistry&lt;/abbr-1&gt;&lt;/periodical&gt;&lt;pages&gt;1127-1136&lt;/pages&gt;&lt;volume&gt;57&lt;/volume&gt;&lt;number&gt;8&lt;/number&gt;&lt;dates&gt;&lt;year&gt;2011&lt;/year&gt;&lt;/dates&gt;&lt;isbn&gt;0009-9147&lt;/isbn&gt;&lt;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(Lee et al., 2011; Moore et al., 2011)</w:t>
      </w:r>
      <w:r w:rsidRPr="00E82261">
        <w:rPr>
          <w:rFonts w:ascii="Arial" w:hAnsi="Arial" w:cs="Arial"/>
          <w:sz w:val="24"/>
          <w:szCs w:val="24"/>
        </w:rPr>
        <w:fldChar w:fldCharType="end"/>
      </w:r>
      <w:r w:rsidRPr="00E82261">
        <w:rPr>
          <w:rFonts w:ascii="Arial" w:hAnsi="Arial" w:cs="Arial"/>
          <w:sz w:val="24"/>
          <w:szCs w:val="24"/>
        </w:rPr>
        <w:t xml:space="preserve">. However, in Hartman’s study of vaporized cannabis, THCCOOH was not always detected; including THCCOOH as a requirement for confirmation decreased sensitivity. At this point, the use of additional metabolites as a confirmatory method with POCT devices is not firmly established in the literature. </w:t>
      </w:r>
    </w:p>
    <w:p w:rsidR="006D0A50" w:rsidRPr="0084373E" w:rsidRDefault="006D0A50" w:rsidP="006057BE">
      <w:pPr>
        <w:spacing w:after="0" w:line="240" w:lineRule="auto"/>
        <w:rPr>
          <w:rFonts w:ascii="Arial" w:hAnsi="Arial" w:cs="Arial"/>
          <w:szCs w:val="24"/>
        </w:rPr>
      </w:pPr>
    </w:p>
    <w:p w:rsidR="00EC25F0" w:rsidRDefault="00EC25F0" w:rsidP="00332358">
      <w:pPr>
        <w:pStyle w:val="Heading3"/>
      </w:pPr>
      <w:bookmarkStart w:id="313" w:name="_Toc512861206"/>
      <w:bookmarkStart w:id="314" w:name="_Toc11765981"/>
      <w:bookmarkStart w:id="315" w:name="_Toc11766636"/>
      <w:r w:rsidRPr="0084373E">
        <w:t>Research Question 3a: Cognitive and Behavioral Effects Relevant to Driving</w:t>
      </w:r>
      <w:bookmarkEnd w:id="313"/>
      <w:bookmarkEnd w:id="314"/>
      <w:bookmarkEnd w:id="315"/>
    </w:p>
    <w:p w:rsidR="006D0A50" w:rsidRPr="006D0A50" w:rsidRDefault="006D0A50" w:rsidP="006057BE">
      <w:pPr>
        <w:pStyle w:val="BodyText"/>
        <w:spacing w:line="240" w:lineRule="auto"/>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We reviewed 29 studies that contained information about the cognitive and behavioral indicators of marijuana exposure that are relevant to operating a motor vehicle. The study designs utilized can be grouped into four categories: laboratory studies, studies conducted in a driving simulator, on-road studies, and observational studies. The cognitive and behavioral effects of marijuana that relate to driving fall into three domains which include automotive behavior, control behavior, and executive function/planning. These domains were described in Walsh’s 2008 Guidelines for Research on Drugged Driving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&lt;EndNote&gt;&lt;Cite&gt;&lt;Author&gt;Walsh&lt;/Author&gt;&lt;Year&gt;2008&lt;/Year&gt;&lt;RecNum&gt;250&lt;/RecNum&gt;&lt;DisplayText&gt;(J Michael Walsh et al., 2008)&lt;/DisplayText&gt;&lt;record&gt;&lt;rec-number&gt;250&lt;/rec-number&gt;&lt;foreign-keys&gt;&lt;key app="EN" db-id="d0tr9f9wrrzr9lef5rsvpsadtz2we0sa25tw" timestamp="1521902683"&gt;250&lt;/key&gt;&lt;/foreign-keys&gt;&lt;ref-type name="Journal Article"&gt;17&lt;/ref-type&gt;&lt;contributors&gt;&lt;authors&gt;&lt;author&gt;Walsh, J Michael&lt;/author&gt;&lt;author&gt;Verstraete, Alain G&lt;/author&gt;&lt;author&gt;Huestis, Marilyn A&lt;/author&gt;&lt;author&gt;Mørland, Jørg&lt;/author&gt;&lt;/authors&gt;&lt;/contributors&gt;&lt;titles&gt;&lt;title&gt;Guidelines for research on drugged driving&lt;/title&gt;&lt;secondary-title&gt;Addiction&lt;/secondary-title&gt;&lt;/titles&gt;&lt;periodical&gt;&lt;full-title&gt;Addiction&lt;/full-title&gt;&lt;abbr-1&gt;Addiction (Abingdon, England)&lt;/abbr-1&gt;&lt;/periodical&gt;&lt;pages&gt;1258-1268&lt;/pages&gt;&lt;volume&gt;103&lt;/volume&gt;&lt;number&gt;8&lt;/number&gt;&lt;dates&gt;&lt;year&gt;2008&lt;/year&gt;&lt;/dates&gt;&lt;isbn&gt;1360-0443&lt;/isbn&gt;&lt;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 Walsh et al., 2008)</w:t>
      </w:r>
      <w:r w:rsidRPr="00E82261">
        <w:rPr>
          <w:rFonts w:ascii="Arial" w:hAnsi="Arial" w:cs="Arial"/>
          <w:sz w:val="24"/>
          <w:szCs w:val="24"/>
        </w:rPr>
        <w:fldChar w:fldCharType="end"/>
      </w:r>
      <w:r w:rsidRPr="00E82261">
        <w:rPr>
          <w:rFonts w:ascii="Arial" w:hAnsi="Arial" w:cs="Arial"/>
          <w:sz w:val="24"/>
          <w:szCs w:val="24"/>
        </w:rPr>
        <w:t xml:space="preserve">. Based on the literature we obtained through our search, for the purpose of this review, we address an additional behavioral domain which is driving performance/safety. Table 4 describes the domains and provides examples of tasks/tests that measure them. </w:t>
      </w:r>
    </w:p>
    <w:p w:rsidR="006D0A50" w:rsidRPr="0084373E" w:rsidRDefault="006D0A50" w:rsidP="006057BE">
      <w:pPr>
        <w:spacing w:after="0" w:line="240" w:lineRule="auto"/>
        <w:rPr>
          <w:rFonts w:ascii="Arial" w:hAnsi="Arial" w:cs="Arial"/>
          <w:szCs w:val="24"/>
        </w:rPr>
      </w:pPr>
    </w:p>
    <w:p w:rsidR="006D0A50" w:rsidRPr="00E82261" w:rsidRDefault="00EC25F0" w:rsidP="006057BE">
      <w:pPr>
        <w:pStyle w:val="Caption"/>
        <w:spacing w:after="0"/>
        <w:contextualSpacing w:val="0"/>
        <w:rPr>
          <w:rFonts w:ascii="Arial" w:hAnsi="Arial" w:cs="Arial"/>
          <w:szCs w:val="24"/>
        </w:rPr>
      </w:pPr>
      <w:r w:rsidRPr="0084373E">
        <w:rPr>
          <w:rFonts w:ascii="Arial" w:hAnsi="Arial" w:cs="Arial"/>
          <w:szCs w:val="24"/>
        </w:rPr>
        <w:t>Multiple effects may be measured in one study, and different study designs are well-suited to evaluate different types of effects. For example, only the simulator and on-road studies can address driving performance and safe driving. We also considered the elements of the standardized field sobriety test (SFST) which is reflective of control behavior. The SFST includes activities such as a one leg stand, walk and turn, and the modified Romberg balance test.</w:t>
      </w:r>
      <w:bookmarkStart w:id="316" w:name="_Ref509536932"/>
    </w:p>
    <w:p w:rsidR="005D7694" w:rsidRDefault="005D7694" w:rsidP="006057BE">
      <w:pPr>
        <w:pStyle w:val="Caption"/>
        <w:spacing w:after="0"/>
        <w:rPr>
          <w:rFonts w:ascii="Arial" w:hAnsi="Arial" w:cs="Arial"/>
          <w:b/>
          <w:szCs w:val="24"/>
        </w:rPr>
      </w:pPr>
    </w:p>
    <w:p w:rsidR="006D0A50" w:rsidRPr="00A3309E" w:rsidRDefault="00EC25F0" w:rsidP="00A3309E">
      <w:pPr>
        <w:pStyle w:val="Caption"/>
        <w:spacing w:after="0"/>
        <w:rPr>
          <w:rFonts w:ascii="Arial" w:hAnsi="Arial" w:cs="Arial"/>
          <w:b/>
          <w:szCs w:val="24"/>
        </w:rPr>
      </w:pPr>
      <w:r w:rsidRPr="0084373E">
        <w:rPr>
          <w:rFonts w:ascii="Arial" w:hAnsi="Arial" w:cs="Arial"/>
          <w:b/>
          <w:szCs w:val="24"/>
        </w:rPr>
        <w:t>Table 4. Domains of Driving-Related Cognitive and Behavioral Effects of Marijuana</w:t>
      </w:r>
    </w:p>
    <w:tbl>
      <w:tblPr>
        <w:tblStyle w:val="TableGrid"/>
        <w:tblpPr w:leftFromText="180" w:rightFromText="180" w:vertAnchor="text" w:horzAnchor="margin" w:tblpXSpec="center" w:tblpY="59"/>
        <w:tblW w:w="8838" w:type="dxa"/>
        <w:tblLook w:val="04A0" w:firstRow="1" w:lastRow="0" w:firstColumn="1" w:lastColumn="0" w:noHBand="0" w:noVBand="1"/>
        <w:tblCaption w:val="Domains of Driving-Related Cognitive and Behavioral Effects of Marijuana"/>
      </w:tblPr>
      <w:tblGrid>
        <w:gridCol w:w="2478"/>
        <w:gridCol w:w="2187"/>
        <w:gridCol w:w="4173"/>
      </w:tblGrid>
      <w:tr w:rsidR="00EC25F0" w:rsidRPr="0084373E" w:rsidTr="00C23696">
        <w:tc>
          <w:tcPr>
            <w:tcW w:w="2478" w:type="dxa"/>
            <w:shd w:val="clear" w:color="auto" w:fill="auto"/>
          </w:tcPr>
          <w:bookmarkEnd w:id="316"/>
          <w:p w:rsidR="00EC25F0" w:rsidRPr="0084373E" w:rsidRDefault="00EC25F0" w:rsidP="006057BE">
            <w:pPr>
              <w:rPr>
                <w:rFonts w:ascii="Arial" w:hAnsi="Arial" w:cs="Arial"/>
                <w:sz w:val="20"/>
                <w:szCs w:val="24"/>
              </w:rPr>
            </w:pPr>
            <w:r w:rsidRPr="0084373E">
              <w:rPr>
                <w:rFonts w:ascii="Arial" w:hAnsi="Arial" w:cs="Arial"/>
                <w:b/>
                <w:bCs/>
                <w:sz w:val="20"/>
                <w:szCs w:val="24"/>
              </w:rPr>
              <w:t>Domain</w:t>
            </w:r>
          </w:p>
        </w:tc>
        <w:tc>
          <w:tcPr>
            <w:tcW w:w="2187" w:type="dxa"/>
            <w:shd w:val="clear" w:color="auto" w:fill="auto"/>
          </w:tcPr>
          <w:p w:rsidR="00EC25F0" w:rsidRPr="0084373E" w:rsidRDefault="00EC25F0" w:rsidP="006057BE">
            <w:pPr>
              <w:rPr>
                <w:rFonts w:ascii="Arial" w:hAnsi="Arial" w:cs="Arial"/>
                <w:b/>
                <w:bCs/>
                <w:sz w:val="20"/>
                <w:szCs w:val="24"/>
              </w:rPr>
            </w:pPr>
            <w:r w:rsidRPr="0084373E">
              <w:rPr>
                <w:rFonts w:ascii="Arial" w:hAnsi="Arial" w:cs="Arial"/>
                <w:b/>
                <w:bCs/>
                <w:sz w:val="20"/>
                <w:szCs w:val="24"/>
              </w:rPr>
              <w:t>Definition</w:t>
            </w:r>
          </w:p>
        </w:tc>
        <w:tc>
          <w:tcPr>
            <w:tcW w:w="4173" w:type="dxa"/>
            <w:shd w:val="clear" w:color="auto" w:fill="auto"/>
          </w:tcPr>
          <w:p w:rsidR="00EC25F0" w:rsidRPr="0084373E" w:rsidRDefault="00EC25F0" w:rsidP="006057BE">
            <w:pPr>
              <w:rPr>
                <w:rFonts w:ascii="Arial" w:hAnsi="Arial" w:cs="Arial"/>
                <w:sz w:val="20"/>
                <w:szCs w:val="24"/>
              </w:rPr>
            </w:pPr>
            <w:r w:rsidRPr="0084373E">
              <w:rPr>
                <w:rFonts w:ascii="Arial" w:hAnsi="Arial" w:cs="Arial"/>
                <w:b/>
                <w:bCs/>
                <w:sz w:val="20"/>
                <w:szCs w:val="24"/>
              </w:rPr>
              <w:t>Example Tasks Used for Measurement</w:t>
            </w:r>
          </w:p>
        </w:tc>
      </w:tr>
      <w:tr w:rsidR="00EC25F0" w:rsidRPr="0084373E" w:rsidTr="00C23696">
        <w:tc>
          <w:tcPr>
            <w:tcW w:w="2478" w:type="dxa"/>
          </w:tcPr>
          <w:p w:rsidR="00EC25F0" w:rsidRPr="0084373E" w:rsidRDefault="00EC25F0" w:rsidP="006057BE">
            <w:pPr>
              <w:rPr>
                <w:rFonts w:ascii="Arial" w:hAnsi="Arial" w:cs="Arial"/>
                <w:sz w:val="20"/>
                <w:szCs w:val="24"/>
              </w:rPr>
            </w:pPr>
            <w:r w:rsidRPr="0084373E">
              <w:rPr>
                <w:rFonts w:ascii="Arial" w:hAnsi="Arial" w:cs="Arial"/>
                <w:sz w:val="20"/>
                <w:szCs w:val="24"/>
              </w:rPr>
              <w:t xml:space="preserve">Automative Behavior* </w:t>
            </w:r>
          </w:p>
        </w:tc>
        <w:tc>
          <w:tcPr>
            <w:tcW w:w="2187" w:type="dxa"/>
          </w:tcPr>
          <w:p w:rsidR="00EC25F0" w:rsidRPr="0084373E" w:rsidRDefault="00EC25F0" w:rsidP="006057BE">
            <w:pPr>
              <w:rPr>
                <w:rFonts w:ascii="Arial" w:hAnsi="Arial" w:cs="Arial"/>
                <w:sz w:val="20"/>
                <w:szCs w:val="24"/>
              </w:rPr>
            </w:pPr>
            <w:r w:rsidRPr="0084373E">
              <w:rPr>
                <w:rFonts w:ascii="Arial" w:hAnsi="Arial" w:cs="Arial"/>
                <w:sz w:val="20"/>
                <w:szCs w:val="24"/>
              </w:rPr>
              <w:t>Well-learned skills</w:t>
            </w:r>
          </w:p>
        </w:tc>
        <w:tc>
          <w:tcPr>
            <w:tcW w:w="4173" w:type="dxa"/>
            <w:vAlign w:val="bottom"/>
          </w:tcPr>
          <w:p w:rsidR="00EC25F0" w:rsidRPr="0084373E" w:rsidRDefault="00EC25F0" w:rsidP="008A25CE">
            <w:pPr>
              <w:pStyle w:val="ListParagraph"/>
              <w:numPr>
                <w:ilvl w:val="0"/>
                <w:numId w:val="11"/>
              </w:numPr>
              <w:ind w:left="346" w:hanging="270"/>
              <w:rPr>
                <w:rFonts w:ascii="Arial" w:hAnsi="Arial" w:cs="Arial"/>
                <w:sz w:val="20"/>
              </w:rPr>
            </w:pPr>
            <w:r w:rsidRPr="0084373E">
              <w:rPr>
                <w:rFonts w:ascii="Arial" w:hAnsi="Arial" w:cs="Arial"/>
                <w:sz w:val="20"/>
              </w:rPr>
              <w:t>Tracking, steering (road tracking, critical tracking, compensatory tasks).</w:t>
            </w:r>
          </w:p>
          <w:p w:rsidR="00EC25F0" w:rsidRPr="0084373E" w:rsidRDefault="00EC25F0" w:rsidP="008A25CE">
            <w:pPr>
              <w:pStyle w:val="ListParagraph"/>
              <w:numPr>
                <w:ilvl w:val="0"/>
                <w:numId w:val="11"/>
              </w:numPr>
              <w:ind w:left="346" w:hanging="270"/>
              <w:rPr>
                <w:rFonts w:ascii="Arial" w:hAnsi="Arial" w:cs="Arial"/>
                <w:sz w:val="20"/>
              </w:rPr>
            </w:pPr>
            <w:r w:rsidRPr="0084373E">
              <w:rPr>
                <w:rFonts w:ascii="Arial" w:hAnsi="Arial" w:cs="Arial"/>
                <w:sz w:val="20"/>
              </w:rPr>
              <w:t>Vigilance or sustained attention (e.g. Mackworth Clock Test).</w:t>
            </w:r>
          </w:p>
        </w:tc>
      </w:tr>
      <w:tr w:rsidR="00EC25F0" w:rsidRPr="0084373E" w:rsidTr="00C23696">
        <w:tc>
          <w:tcPr>
            <w:tcW w:w="2478" w:type="dxa"/>
          </w:tcPr>
          <w:p w:rsidR="00EC25F0" w:rsidRPr="0084373E" w:rsidRDefault="00EC25F0" w:rsidP="006057BE">
            <w:pPr>
              <w:rPr>
                <w:rFonts w:ascii="Arial" w:hAnsi="Arial" w:cs="Arial"/>
                <w:sz w:val="20"/>
                <w:szCs w:val="24"/>
              </w:rPr>
            </w:pPr>
            <w:r w:rsidRPr="0084373E">
              <w:rPr>
                <w:rFonts w:ascii="Arial" w:hAnsi="Arial" w:cs="Arial"/>
                <w:sz w:val="20"/>
                <w:szCs w:val="24"/>
              </w:rPr>
              <w:t>Control Behavior*</w:t>
            </w:r>
          </w:p>
        </w:tc>
        <w:tc>
          <w:tcPr>
            <w:tcW w:w="2187" w:type="dxa"/>
          </w:tcPr>
          <w:p w:rsidR="00EC25F0" w:rsidRPr="0084373E" w:rsidRDefault="00EC25F0" w:rsidP="006057BE">
            <w:pPr>
              <w:rPr>
                <w:rFonts w:ascii="Arial" w:hAnsi="Arial" w:cs="Arial"/>
                <w:sz w:val="20"/>
                <w:szCs w:val="24"/>
              </w:rPr>
            </w:pPr>
            <w:r w:rsidRPr="0084373E">
              <w:rPr>
                <w:rFonts w:ascii="Arial" w:hAnsi="Arial" w:cs="Arial"/>
                <w:sz w:val="20"/>
                <w:szCs w:val="24"/>
              </w:rPr>
              <w:t>Maintaining distance, passing, etc.</w:t>
            </w:r>
          </w:p>
          <w:p w:rsidR="00EC25F0" w:rsidRPr="0084373E" w:rsidRDefault="00EC25F0" w:rsidP="006057BE">
            <w:pPr>
              <w:rPr>
                <w:rFonts w:ascii="Arial" w:hAnsi="Arial" w:cs="Arial"/>
                <w:sz w:val="20"/>
                <w:szCs w:val="24"/>
              </w:rPr>
            </w:pPr>
          </w:p>
        </w:tc>
        <w:tc>
          <w:tcPr>
            <w:tcW w:w="4173" w:type="dxa"/>
            <w:vAlign w:val="bottom"/>
          </w:tcPr>
          <w:p w:rsidR="00EC25F0" w:rsidRPr="0084373E" w:rsidRDefault="00EC25F0" w:rsidP="008A25CE">
            <w:pPr>
              <w:pStyle w:val="ListParagraph"/>
              <w:numPr>
                <w:ilvl w:val="0"/>
                <w:numId w:val="12"/>
              </w:numPr>
              <w:ind w:left="346" w:hanging="270"/>
              <w:rPr>
                <w:rFonts w:ascii="Arial" w:hAnsi="Arial" w:cs="Arial"/>
                <w:sz w:val="20"/>
              </w:rPr>
            </w:pPr>
            <w:r w:rsidRPr="0084373E">
              <w:rPr>
                <w:rFonts w:ascii="Arial" w:hAnsi="Arial" w:cs="Arial"/>
                <w:sz w:val="20"/>
              </w:rPr>
              <w:t>Motor performance, maneuvers (reaction time, car following tasks).</w:t>
            </w:r>
          </w:p>
          <w:p w:rsidR="00EC25F0" w:rsidRPr="0084373E" w:rsidRDefault="00EC25F0" w:rsidP="008A25CE">
            <w:pPr>
              <w:pStyle w:val="ListParagraph"/>
              <w:numPr>
                <w:ilvl w:val="0"/>
                <w:numId w:val="12"/>
              </w:numPr>
              <w:ind w:left="346" w:hanging="270"/>
              <w:rPr>
                <w:rFonts w:ascii="Arial" w:hAnsi="Arial" w:cs="Arial"/>
                <w:sz w:val="20"/>
              </w:rPr>
            </w:pPr>
            <w:r w:rsidRPr="0084373E">
              <w:rPr>
                <w:rFonts w:ascii="Arial" w:hAnsi="Arial" w:cs="Arial"/>
                <w:sz w:val="20"/>
              </w:rPr>
              <w:t>Divided attention (dual attention tasks).</w:t>
            </w:r>
          </w:p>
          <w:p w:rsidR="00EC25F0" w:rsidRPr="0084373E" w:rsidRDefault="00EC25F0" w:rsidP="008A25CE">
            <w:pPr>
              <w:pStyle w:val="ListParagraph"/>
              <w:numPr>
                <w:ilvl w:val="0"/>
                <w:numId w:val="12"/>
              </w:numPr>
              <w:ind w:left="346" w:hanging="270"/>
              <w:rPr>
                <w:rFonts w:ascii="Arial" w:hAnsi="Arial" w:cs="Arial"/>
                <w:sz w:val="20"/>
              </w:rPr>
            </w:pPr>
            <w:r w:rsidRPr="0084373E">
              <w:rPr>
                <w:rFonts w:ascii="Arial" w:hAnsi="Arial" w:cs="Arial"/>
                <w:sz w:val="20"/>
              </w:rPr>
              <w:t>Perception (time to collision-type tasks).</w:t>
            </w:r>
          </w:p>
        </w:tc>
      </w:tr>
      <w:tr w:rsidR="00EC25F0" w:rsidRPr="0084373E" w:rsidTr="00C23696">
        <w:tc>
          <w:tcPr>
            <w:tcW w:w="2478" w:type="dxa"/>
          </w:tcPr>
          <w:p w:rsidR="00EC25F0" w:rsidRPr="0084373E" w:rsidRDefault="00EC25F0" w:rsidP="006057BE">
            <w:pPr>
              <w:rPr>
                <w:rFonts w:ascii="Arial" w:hAnsi="Arial" w:cs="Arial"/>
                <w:sz w:val="20"/>
                <w:szCs w:val="24"/>
              </w:rPr>
            </w:pPr>
            <w:r w:rsidRPr="0084373E">
              <w:rPr>
                <w:rFonts w:ascii="Arial" w:hAnsi="Arial" w:cs="Arial"/>
                <w:sz w:val="20"/>
                <w:szCs w:val="24"/>
              </w:rPr>
              <w:t xml:space="preserve">Executive Function/Executive Planning * </w:t>
            </w:r>
          </w:p>
          <w:p w:rsidR="00EC25F0" w:rsidRPr="0084373E" w:rsidRDefault="00EC25F0" w:rsidP="006057BE">
            <w:pPr>
              <w:rPr>
                <w:rFonts w:ascii="Arial" w:hAnsi="Arial" w:cs="Arial"/>
                <w:sz w:val="20"/>
                <w:szCs w:val="24"/>
              </w:rPr>
            </w:pPr>
          </w:p>
        </w:tc>
        <w:tc>
          <w:tcPr>
            <w:tcW w:w="2187" w:type="dxa"/>
          </w:tcPr>
          <w:p w:rsidR="00EC25F0" w:rsidRPr="0084373E" w:rsidRDefault="00EC25F0" w:rsidP="006057BE">
            <w:pPr>
              <w:rPr>
                <w:rFonts w:ascii="Arial" w:hAnsi="Arial" w:cs="Arial"/>
                <w:sz w:val="20"/>
                <w:szCs w:val="24"/>
              </w:rPr>
            </w:pPr>
            <w:r w:rsidRPr="0084373E">
              <w:rPr>
                <w:rFonts w:ascii="Arial" w:hAnsi="Arial" w:cs="Arial"/>
                <w:sz w:val="20"/>
                <w:szCs w:val="24"/>
              </w:rPr>
              <w:t>Interactive functions with ongoing traffic.</w:t>
            </w:r>
          </w:p>
        </w:tc>
        <w:tc>
          <w:tcPr>
            <w:tcW w:w="4173" w:type="dxa"/>
            <w:vAlign w:val="bottom"/>
          </w:tcPr>
          <w:p w:rsidR="00EC25F0" w:rsidRPr="0084373E" w:rsidRDefault="00EC25F0" w:rsidP="008A25CE">
            <w:pPr>
              <w:pStyle w:val="ListParagraph"/>
              <w:numPr>
                <w:ilvl w:val="0"/>
                <w:numId w:val="13"/>
              </w:numPr>
              <w:ind w:left="346" w:hanging="270"/>
              <w:rPr>
                <w:rFonts w:ascii="Arial" w:hAnsi="Arial" w:cs="Arial"/>
                <w:sz w:val="20"/>
              </w:rPr>
            </w:pPr>
            <w:r w:rsidRPr="0084373E">
              <w:rPr>
                <w:rFonts w:ascii="Arial" w:hAnsi="Arial" w:cs="Arial"/>
                <w:sz w:val="20"/>
              </w:rPr>
              <w:t>Risk taking, impulsivity (e.g. stop signal, Iowa gambling</w:t>
            </w:r>
            <w:r w:rsidRPr="0084373E">
              <w:rPr>
                <w:rFonts w:ascii="Arial" w:hAnsi="Arial" w:cs="Arial"/>
                <w:sz w:val="20"/>
              </w:rPr>
              <w:br/>
              <w:t>tasks).</w:t>
            </w:r>
          </w:p>
          <w:p w:rsidR="00EC25F0" w:rsidRPr="0084373E" w:rsidRDefault="00EC25F0" w:rsidP="008A25CE">
            <w:pPr>
              <w:pStyle w:val="ListParagraph"/>
              <w:numPr>
                <w:ilvl w:val="0"/>
                <w:numId w:val="13"/>
              </w:numPr>
              <w:ind w:left="346" w:hanging="270"/>
              <w:rPr>
                <w:rFonts w:ascii="Arial" w:hAnsi="Arial" w:cs="Arial"/>
                <w:sz w:val="20"/>
              </w:rPr>
            </w:pPr>
            <w:r w:rsidRPr="0084373E">
              <w:rPr>
                <w:rFonts w:ascii="Arial" w:hAnsi="Arial" w:cs="Arial"/>
                <w:sz w:val="20"/>
              </w:rPr>
              <w:t>Information processing, attention (choice, reaction time, selective or focused attention tasks).</w:t>
            </w:r>
          </w:p>
          <w:p w:rsidR="00EC25F0" w:rsidRPr="0084373E" w:rsidRDefault="00EC25F0" w:rsidP="008A25CE">
            <w:pPr>
              <w:pStyle w:val="ListParagraph"/>
              <w:numPr>
                <w:ilvl w:val="0"/>
                <w:numId w:val="13"/>
              </w:numPr>
              <w:ind w:left="346" w:hanging="270"/>
              <w:rPr>
                <w:rFonts w:ascii="Arial" w:hAnsi="Arial" w:cs="Arial"/>
                <w:sz w:val="20"/>
              </w:rPr>
            </w:pPr>
            <w:r w:rsidRPr="0084373E">
              <w:rPr>
                <w:rFonts w:ascii="Arial" w:hAnsi="Arial" w:cs="Arial"/>
                <w:sz w:val="20"/>
              </w:rPr>
              <w:t xml:space="preserve">Cognition, judgement </w:t>
            </w:r>
          </w:p>
        </w:tc>
      </w:tr>
      <w:tr w:rsidR="00EC25F0" w:rsidRPr="0084373E" w:rsidTr="00C23696">
        <w:tc>
          <w:tcPr>
            <w:tcW w:w="2478" w:type="dxa"/>
          </w:tcPr>
          <w:p w:rsidR="00EC25F0" w:rsidRPr="0084373E" w:rsidRDefault="00EC25F0" w:rsidP="006057BE">
            <w:pPr>
              <w:rPr>
                <w:rFonts w:ascii="Arial" w:hAnsi="Arial" w:cs="Arial"/>
                <w:sz w:val="20"/>
                <w:szCs w:val="24"/>
              </w:rPr>
            </w:pPr>
            <w:r w:rsidRPr="0084373E">
              <w:rPr>
                <w:rFonts w:ascii="Arial" w:hAnsi="Arial" w:cs="Arial"/>
                <w:sz w:val="20"/>
                <w:szCs w:val="24"/>
              </w:rPr>
              <w:t>Driving performance/safety</w:t>
            </w:r>
          </w:p>
        </w:tc>
        <w:tc>
          <w:tcPr>
            <w:tcW w:w="2187" w:type="dxa"/>
          </w:tcPr>
          <w:p w:rsidR="00EC25F0" w:rsidRPr="0084373E" w:rsidRDefault="00EC25F0" w:rsidP="006057BE">
            <w:pPr>
              <w:rPr>
                <w:rFonts w:ascii="Arial" w:hAnsi="Arial" w:cs="Arial"/>
                <w:sz w:val="20"/>
                <w:szCs w:val="24"/>
              </w:rPr>
            </w:pPr>
            <w:r w:rsidRPr="0084373E">
              <w:rPr>
                <w:rFonts w:ascii="Arial" w:hAnsi="Arial" w:cs="Arial"/>
                <w:sz w:val="20"/>
                <w:szCs w:val="24"/>
              </w:rPr>
              <w:t>Appropriate and safe operation of a vehicle</w:t>
            </w:r>
          </w:p>
        </w:tc>
        <w:tc>
          <w:tcPr>
            <w:tcW w:w="4173" w:type="dxa"/>
          </w:tcPr>
          <w:p w:rsidR="00EC25F0" w:rsidRPr="0084373E" w:rsidRDefault="00EC25F0" w:rsidP="008A25CE">
            <w:pPr>
              <w:pStyle w:val="ListParagraph"/>
              <w:numPr>
                <w:ilvl w:val="0"/>
                <w:numId w:val="14"/>
              </w:numPr>
              <w:ind w:left="346" w:hanging="270"/>
              <w:rPr>
                <w:rFonts w:ascii="Arial" w:hAnsi="Arial" w:cs="Arial"/>
                <w:sz w:val="20"/>
              </w:rPr>
            </w:pPr>
            <w:r w:rsidRPr="0084373E">
              <w:rPr>
                <w:rFonts w:ascii="Arial" w:hAnsi="Arial" w:cs="Arial"/>
                <w:sz w:val="20"/>
              </w:rPr>
              <w:t>Maintaining proper headway</w:t>
            </w:r>
          </w:p>
          <w:p w:rsidR="00EC25F0" w:rsidRPr="0084373E" w:rsidRDefault="00EC25F0" w:rsidP="008A25CE">
            <w:pPr>
              <w:pStyle w:val="ListParagraph"/>
              <w:numPr>
                <w:ilvl w:val="0"/>
                <w:numId w:val="14"/>
              </w:numPr>
              <w:ind w:left="346" w:hanging="270"/>
              <w:rPr>
                <w:rFonts w:ascii="Arial" w:hAnsi="Arial" w:cs="Arial"/>
                <w:sz w:val="20"/>
              </w:rPr>
            </w:pPr>
            <w:r w:rsidRPr="0084373E">
              <w:rPr>
                <w:rFonts w:ascii="Arial" w:hAnsi="Arial" w:cs="Arial"/>
                <w:sz w:val="20"/>
              </w:rPr>
              <w:t>Lane positioning</w:t>
            </w:r>
          </w:p>
          <w:p w:rsidR="00EC25F0" w:rsidRPr="0084373E" w:rsidRDefault="00EC25F0" w:rsidP="008A25CE">
            <w:pPr>
              <w:pStyle w:val="ListParagraph"/>
              <w:numPr>
                <w:ilvl w:val="0"/>
                <w:numId w:val="14"/>
              </w:numPr>
              <w:ind w:left="346" w:hanging="270"/>
              <w:rPr>
                <w:rFonts w:ascii="Arial" w:hAnsi="Arial" w:cs="Arial"/>
                <w:sz w:val="20"/>
              </w:rPr>
            </w:pPr>
            <w:r w:rsidRPr="0084373E">
              <w:rPr>
                <w:rFonts w:ascii="Arial" w:hAnsi="Arial" w:cs="Arial"/>
                <w:sz w:val="20"/>
              </w:rPr>
              <w:t>Speed and braking</w:t>
            </w:r>
          </w:p>
        </w:tc>
      </w:tr>
      <w:tr w:rsidR="00EC25F0" w:rsidRPr="0084373E" w:rsidTr="00C23696">
        <w:tc>
          <w:tcPr>
            <w:tcW w:w="8838" w:type="dxa"/>
            <w:gridSpan w:val="3"/>
          </w:tcPr>
          <w:p w:rsidR="00EC25F0" w:rsidRPr="0084373E" w:rsidRDefault="00EC25F0" w:rsidP="006057BE">
            <w:pPr>
              <w:rPr>
                <w:rFonts w:ascii="Arial" w:hAnsi="Arial" w:cs="Arial"/>
                <w:sz w:val="20"/>
                <w:szCs w:val="24"/>
              </w:rPr>
            </w:pPr>
            <w:r w:rsidRPr="0084373E">
              <w:rPr>
                <w:rFonts w:ascii="Arial" w:hAnsi="Arial" w:cs="Arial"/>
                <w:sz w:val="20"/>
                <w:szCs w:val="24"/>
              </w:rPr>
              <w:t>Note: *Definitions from Walsh et al. 2008 "Guidelines for Research on Drugged Driving"</w:t>
            </w:r>
          </w:p>
        </w:tc>
      </w:tr>
    </w:tbl>
    <w:p w:rsidR="00EC25F0" w:rsidRPr="0084373E" w:rsidRDefault="00EC25F0" w:rsidP="006057BE">
      <w:pPr>
        <w:spacing w:after="0" w:line="240" w:lineRule="auto"/>
        <w:rPr>
          <w:rFonts w:ascii="Arial" w:hAnsi="Arial" w:cs="Arial"/>
          <w:b/>
          <w:szCs w:val="24"/>
        </w:rPr>
      </w:pPr>
    </w:p>
    <w:p w:rsidR="00EC25F0" w:rsidRPr="00E82261" w:rsidRDefault="00EC25F0" w:rsidP="006057BE">
      <w:pPr>
        <w:spacing w:after="0" w:line="240" w:lineRule="auto"/>
        <w:rPr>
          <w:rFonts w:ascii="Arial" w:hAnsi="Arial" w:cs="Arial"/>
          <w:b/>
          <w:sz w:val="24"/>
          <w:szCs w:val="24"/>
        </w:rPr>
      </w:pPr>
      <w:r w:rsidRPr="00E82261">
        <w:rPr>
          <w:rFonts w:ascii="Arial" w:hAnsi="Arial" w:cs="Arial"/>
          <w:b/>
          <w:sz w:val="24"/>
          <w:szCs w:val="24"/>
        </w:rPr>
        <w:t xml:space="preserve">Automative Behavior </w:t>
      </w:r>
    </w:p>
    <w:p w:rsidR="006D0A50" w:rsidRPr="0084373E" w:rsidRDefault="006D0A50" w:rsidP="006057BE">
      <w:pPr>
        <w:spacing w:after="0" w:line="240" w:lineRule="auto"/>
        <w:rPr>
          <w:rFonts w:ascii="Arial" w:hAnsi="Arial" w:cs="Arial"/>
          <w:b/>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In lab-based studies, we found evidence for 15 different measurements of automotive behavior across 6 studies. For frequent users, 5 out of 6 saw no effect, and 1 found hurt performance, although it must be noted that two of these studies included low doses of cannabis. For occasional users, 5/5 tests indicated that marijuana hurt performance. In 4 studies in which the population cannabis use history was not specified, both low and medium dose administration resulted in generally worse task performance (3/4). Two simulator studies that included measurement of automative behavior both found decreased performance after marijuana administration. </w:t>
      </w:r>
    </w:p>
    <w:p w:rsidR="00EC25F0" w:rsidRPr="0084373E" w:rsidRDefault="00EC25F0" w:rsidP="006057BE">
      <w:pPr>
        <w:spacing w:after="0" w:line="240" w:lineRule="auto"/>
        <w:rPr>
          <w:rFonts w:ascii="Arial" w:hAnsi="Arial" w:cs="Arial"/>
          <w:b/>
          <w:szCs w:val="24"/>
        </w:rPr>
        <w:sectPr w:rsidR="00EC25F0" w:rsidRPr="0084373E" w:rsidSect="00626599">
          <w:pgSz w:w="12240" w:h="15840"/>
          <w:pgMar w:top="1440" w:right="1440" w:bottom="1440" w:left="1440" w:header="720" w:footer="720" w:gutter="0"/>
          <w:cols w:space="720"/>
          <w:docGrid w:linePitch="360"/>
        </w:sectPr>
      </w:pPr>
    </w:p>
    <w:p w:rsidR="006D0A50" w:rsidRPr="0084373E" w:rsidRDefault="00EC25F0" w:rsidP="006057BE">
      <w:pPr>
        <w:spacing w:after="0" w:line="240" w:lineRule="auto"/>
        <w:rPr>
          <w:rFonts w:ascii="Arial" w:hAnsi="Arial" w:cs="Arial"/>
          <w:b/>
          <w:szCs w:val="24"/>
        </w:rPr>
      </w:pPr>
      <w:r w:rsidRPr="0084373E">
        <w:rPr>
          <w:rFonts w:ascii="Arial" w:hAnsi="Arial" w:cs="Arial"/>
          <w:b/>
          <w:szCs w:val="24"/>
        </w:rPr>
        <w:t xml:space="preserve">Table 5. Assessments of the Impact of Cannabis Exposure on Automative Behavior </w:t>
      </w:r>
    </w:p>
    <w:tbl>
      <w:tblPr>
        <w:tblW w:w="9934" w:type="dxa"/>
        <w:tblLook w:val="04A0" w:firstRow="1" w:lastRow="0" w:firstColumn="1" w:lastColumn="0" w:noHBand="0" w:noVBand="1"/>
        <w:tblCaption w:val="Assessments of the Impact of Cannabis Exposure on Automative Behavior "/>
      </w:tblPr>
      <w:tblGrid>
        <w:gridCol w:w="1560"/>
        <w:gridCol w:w="806"/>
        <w:gridCol w:w="518"/>
        <w:gridCol w:w="1250"/>
        <w:gridCol w:w="1073"/>
        <w:gridCol w:w="1531"/>
        <w:gridCol w:w="906"/>
        <w:gridCol w:w="1194"/>
        <w:gridCol w:w="1096"/>
      </w:tblGrid>
      <w:tr w:rsidR="00EC25F0" w:rsidRPr="0084373E" w:rsidTr="00C23696">
        <w:trPr>
          <w:trHeight w:val="444"/>
          <w:tblHeader/>
        </w:trPr>
        <w:tc>
          <w:tcPr>
            <w:tcW w:w="1560" w:type="dxa"/>
            <w:tcBorders>
              <w:top w:val="single" w:sz="4" w:space="0" w:color="auto"/>
              <w:left w:val="single" w:sz="4" w:space="0" w:color="auto"/>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20"/>
                <w:szCs w:val="20"/>
              </w:rPr>
            </w:pPr>
            <w:r w:rsidRPr="0084373E">
              <w:rPr>
                <w:rFonts w:ascii="Arial" w:eastAsia="Times New Roman" w:hAnsi="Arial" w:cs="Arial"/>
                <w:b/>
                <w:bCs/>
                <w:color w:val="000000"/>
                <w:sz w:val="20"/>
                <w:szCs w:val="20"/>
              </w:rPr>
              <w:t>Study</w:t>
            </w:r>
          </w:p>
        </w:tc>
        <w:tc>
          <w:tcPr>
            <w:tcW w:w="80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20"/>
                <w:szCs w:val="20"/>
              </w:rPr>
            </w:pPr>
            <w:r w:rsidRPr="0084373E">
              <w:rPr>
                <w:rFonts w:ascii="Arial" w:eastAsia="Times New Roman" w:hAnsi="Arial" w:cs="Arial"/>
                <w:b/>
                <w:bCs/>
                <w:color w:val="000000"/>
                <w:sz w:val="20"/>
                <w:szCs w:val="20"/>
              </w:rPr>
              <w:t>Study Type</w:t>
            </w:r>
          </w:p>
        </w:tc>
        <w:tc>
          <w:tcPr>
            <w:tcW w:w="51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20"/>
                <w:szCs w:val="20"/>
              </w:rPr>
            </w:pPr>
            <w:r w:rsidRPr="0084373E">
              <w:rPr>
                <w:rFonts w:ascii="Arial" w:eastAsia="Times New Roman" w:hAnsi="Arial" w:cs="Arial"/>
                <w:b/>
                <w:bCs/>
                <w:color w:val="000000"/>
                <w:sz w:val="20"/>
                <w:szCs w:val="20"/>
              </w:rPr>
              <w:t xml:space="preserve">n </w:t>
            </w:r>
          </w:p>
        </w:tc>
        <w:tc>
          <w:tcPr>
            <w:tcW w:w="1250"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20"/>
                <w:szCs w:val="20"/>
              </w:rPr>
            </w:pPr>
            <w:r w:rsidRPr="0084373E">
              <w:rPr>
                <w:rFonts w:ascii="Arial" w:eastAsia="Times New Roman" w:hAnsi="Arial" w:cs="Arial"/>
                <w:b/>
                <w:bCs/>
                <w:color w:val="000000"/>
                <w:sz w:val="20"/>
                <w:szCs w:val="20"/>
              </w:rPr>
              <w:t xml:space="preserve">User Population </w:t>
            </w:r>
          </w:p>
        </w:tc>
        <w:tc>
          <w:tcPr>
            <w:tcW w:w="1073"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20"/>
                <w:szCs w:val="20"/>
              </w:rPr>
            </w:pPr>
            <w:r w:rsidRPr="0084373E">
              <w:rPr>
                <w:rFonts w:ascii="Arial" w:eastAsia="Times New Roman" w:hAnsi="Arial" w:cs="Arial"/>
                <w:b/>
                <w:bCs/>
                <w:color w:val="000000"/>
                <w:sz w:val="20"/>
                <w:szCs w:val="20"/>
              </w:rPr>
              <w:t>THC Dosage (Route)</w:t>
            </w:r>
          </w:p>
        </w:tc>
        <w:tc>
          <w:tcPr>
            <w:tcW w:w="1531"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20"/>
                <w:szCs w:val="20"/>
              </w:rPr>
            </w:pPr>
            <w:r w:rsidRPr="0084373E">
              <w:rPr>
                <w:rFonts w:ascii="Arial" w:eastAsia="Times New Roman" w:hAnsi="Arial" w:cs="Arial"/>
                <w:b/>
                <w:bCs/>
                <w:color w:val="000000"/>
                <w:sz w:val="20"/>
                <w:szCs w:val="20"/>
              </w:rPr>
              <w:t xml:space="preserve">Brief description </w:t>
            </w:r>
          </w:p>
          <w:p w:rsidR="00EC25F0" w:rsidRPr="0084373E" w:rsidRDefault="00EC25F0" w:rsidP="006057BE">
            <w:pPr>
              <w:spacing w:after="0" w:line="240" w:lineRule="auto"/>
              <w:rPr>
                <w:rFonts w:ascii="Arial" w:eastAsia="Times New Roman" w:hAnsi="Arial" w:cs="Arial"/>
                <w:b/>
                <w:bCs/>
                <w:color w:val="000000"/>
                <w:sz w:val="20"/>
                <w:szCs w:val="20"/>
              </w:rPr>
            </w:pPr>
          </w:p>
        </w:tc>
        <w:tc>
          <w:tcPr>
            <w:tcW w:w="906"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20"/>
                <w:szCs w:val="20"/>
              </w:rPr>
            </w:pPr>
            <w:r w:rsidRPr="0084373E">
              <w:rPr>
                <w:rFonts w:ascii="Arial" w:eastAsia="Times New Roman" w:hAnsi="Arial" w:cs="Arial"/>
                <w:b/>
                <w:bCs/>
                <w:color w:val="000000"/>
                <w:sz w:val="20"/>
                <w:szCs w:val="20"/>
              </w:rPr>
              <w:t>Result*</w:t>
            </w:r>
          </w:p>
        </w:tc>
        <w:tc>
          <w:tcPr>
            <w:tcW w:w="119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20"/>
                <w:szCs w:val="20"/>
              </w:rPr>
            </w:pPr>
            <w:r w:rsidRPr="0084373E">
              <w:rPr>
                <w:rFonts w:ascii="Arial" w:eastAsia="Times New Roman" w:hAnsi="Arial" w:cs="Arial"/>
                <w:b/>
                <w:bCs/>
                <w:color w:val="000000"/>
                <w:sz w:val="20"/>
                <w:szCs w:val="20"/>
              </w:rPr>
              <w:t xml:space="preserve">Magni-tude of Result* </w:t>
            </w:r>
          </w:p>
        </w:tc>
        <w:tc>
          <w:tcPr>
            <w:tcW w:w="1096"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20"/>
                <w:szCs w:val="20"/>
              </w:rPr>
            </w:pPr>
            <w:r w:rsidRPr="0084373E">
              <w:rPr>
                <w:rFonts w:ascii="Arial" w:eastAsia="Times New Roman" w:hAnsi="Arial" w:cs="Arial"/>
                <w:b/>
                <w:bCs/>
                <w:color w:val="000000"/>
                <w:sz w:val="20"/>
                <w:szCs w:val="20"/>
              </w:rPr>
              <w:t>Study Quality**</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Weinstein et al. 2008</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14</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Frequent</w:t>
            </w:r>
          </w:p>
        </w:tc>
        <w:tc>
          <w:tcPr>
            <w:tcW w:w="107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13 and 17 mg</w:t>
            </w:r>
          </w:p>
        </w:tc>
        <w:tc>
          <w:tcPr>
            <w:tcW w:w="15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Virtual Maze task</w:t>
            </w:r>
          </w:p>
        </w:tc>
        <w:tc>
          <w:tcPr>
            <w:tcW w:w="9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HP</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 NT</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Desroisers et al. 2015</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25</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Frequent</w:t>
            </w:r>
          </w:p>
        </w:tc>
        <w:tc>
          <w:tcPr>
            <w:tcW w:w="1073"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6.80%</w:t>
            </w:r>
          </w:p>
        </w:tc>
        <w:tc>
          <w:tcPr>
            <w:tcW w:w="15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CTT</w:t>
            </w:r>
          </w:p>
        </w:tc>
        <w:tc>
          <w:tcPr>
            <w:tcW w:w="906"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NE</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Shwope et al. 2012</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10</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Frequent</w:t>
            </w:r>
          </w:p>
        </w:tc>
        <w:tc>
          <w:tcPr>
            <w:tcW w:w="107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6.80%</w:t>
            </w:r>
          </w:p>
        </w:tc>
        <w:tc>
          <w:tcPr>
            <w:tcW w:w="15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CTT</w:t>
            </w:r>
          </w:p>
        </w:tc>
        <w:tc>
          <w:tcPr>
            <w:tcW w:w="9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NE</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LD, SS</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Shwope et al. 2012</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10</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Frequent</w:t>
            </w:r>
          </w:p>
        </w:tc>
        <w:tc>
          <w:tcPr>
            <w:tcW w:w="107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6.80%</w:t>
            </w:r>
          </w:p>
        </w:tc>
        <w:tc>
          <w:tcPr>
            <w:tcW w:w="15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Divided Attention Task</w:t>
            </w:r>
          </w:p>
        </w:tc>
        <w:tc>
          <w:tcPr>
            <w:tcW w:w="9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NE</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LD, SS</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Ramaekers et al. 2011</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21</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Frequent</w:t>
            </w:r>
          </w:p>
        </w:tc>
        <w:tc>
          <w:tcPr>
            <w:tcW w:w="107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 xml:space="preserve"> (~28mg)</w:t>
            </w:r>
          </w:p>
        </w:tc>
        <w:tc>
          <w:tcPr>
            <w:tcW w:w="15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Tracking Task</w:t>
            </w:r>
          </w:p>
        </w:tc>
        <w:tc>
          <w:tcPr>
            <w:tcW w:w="9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NE</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 LD,</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Ramaekers et al. 2009</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12</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Frequent</w:t>
            </w:r>
          </w:p>
        </w:tc>
        <w:tc>
          <w:tcPr>
            <w:tcW w:w="107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~35mg)</w:t>
            </w:r>
          </w:p>
        </w:tc>
        <w:tc>
          <w:tcPr>
            <w:tcW w:w="15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CTT</w:t>
            </w:r>
          </w:p>
        </w:tc>
        <w:tc>
          <w:tcPr>
            <w:tcW w:w="9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NE</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Sexton et al. 2000</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15</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NS</w:t>
            </w:r>
          </w:p>
        </w:tc>
        <w:tc>
          <w:tcPr>
            <w:tcW w:w="1073"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1.7% - 2.67%</w:t>
            </w:r>
          </w:p>
        </w:tc>
        <w:tc>
          <w:tcPr>
            <w:tcW w:w="15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Critical Tracking Task</w:t>
            </w:r>
          </w:p>
        </w:tc>
        <w:tc>
          <w:tcPr>
            <w:tcW w:w="9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HP</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 LD, UP</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Ramaekers et al. 2006</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20</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NS</w:t>
            </w:r>
          </w:p>
        </w:tc>
        <w:tc>
          <w:tcPr>
            <w:tcW w:w="107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17.5mg (4%)</w:t>
            </w:r>
          </w:p>
        </w:tc>
        <w:tc>
          <w:tcPr>
            <w:tcW w:w="15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Tracking Task</w:t>
            </w:r>
          </w:p>
        </w:tc>
        <w:tc>
          <w:tcPr>
            <w:tcW w:w="9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HP</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 LD, UP</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Ramaekers et al. 2006</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20</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NS</w:t>
            </w:r>
          </w:p>
        </w:tc>
        <w:tc>
          <w:tcPr>
            <w:tcW w:w="107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35mg (13%)</w:t>
            </w:r>
          </w:p>
        </w:tc>
        <w:tc>
          <w:tcPr>
            <w:tcW w:w="15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Tracking Task</w:t>
            </w:r>
          </w:p>
        </w:tc>
        <w:tc>
          <w:tcPr>
            <w:tcW w:w="9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HP</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 UP</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Sexton et al. 2000</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15</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NS</w:t>
            </w:r>
          </w:p>
        </w:tc>
        <w:tc>
          <w:tcPr>
            <w:tcW w:w="1073"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1.7% - 2.67%</w:t>
            </w:r>
          </w:p>
        </w:tc>
        <w:tc>
          <w:tcPr>
            <w:tcW w:w="15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Critical Tracking Task</w:t>
            </w:r>
          </w:p>
        </w:tc>
        <w:tc>
          <w:tcPr>
            <w:tcW w:w="9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NE</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 LD UP</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Desroisers et al. 2015</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25</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Occasional</w:t>
            </w:r>
          </w:p>
        </w:tc>
        <w:tc>
          <w:tcPr>
            <w:tcW w:w="1073"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6.80%</w:t>
            </w:r>
          </w:p>
        </w:tc>
        <w:tc>
          <w:tcPr>
            <w:tcW w:w="15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CTT</w:t>
            </w:r>
          </w:p>
        </w:tc>
        <w:tc>
          <w:tcPr>
            <w:tcW w:w="906"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HP</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Batistella et al. 2013</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31</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Occasional</w:t>
            </w:r>
          </w:p>
        </w:tc>
        <w:tc>
          <w:tcPr>
            <w:tcW w:w="107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42mg</w:t>
            </w:r>
          </w:p>
        </w:tc>
        <w:tc>
          <w:tcPr>
            <w:tcW w:w="15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CTT</w:t>
            </w:r>
          </w:p>
        </w:tc>
        <w:tc>
          <w:tcPr>
            <w:tcW w:w="9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HP</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Batistella et al. 2013</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31</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Occasional</w:t>
            </w:r>
          </w:p>
        </w:tc>
        <w:tc>
          <w:tcPr>
            <w:tcW w:w="107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42mg</w:t>
            </w:r>
          </w:p>
        </w:tc>
        <w:tc>
          <w:tcPr>
            <w:tcW w:w="1531" w:type="dxa"/>
            <w:tcBorders>
              <w:top w:val="nil"/>
              <w:left w:val="nil"/>
              <w:bottom w:val="nil"/>
              <w:right w:val="nil"/>
            </w:tcBorders>
            <w:shd w:val="clear" w:color="auto" w:fill="auto"/>
            <w:hideMark/>
          </w:tcPr>
          <w:p w:rsidR="00EC25F0" w:rsidRPr="0084373E" w:rsidRDefault="00EC25F0" w:rsidP="00A26D70">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FMRI (tracking)</w:t>
            </w:r>
          </w:p>
        </w:tc>
        <w:tc>
          <w:tcPr>
            <w:tcW w:w="9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HP</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Batistella et al. 2013</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31</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Occasional</w:t>
            </w:r>
          </w:p>
        </w:tc>
        <w:tc>
          <w:tcPr>
            <w:tcW w:w="107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42mg</w:t>
            </w:r>
          </w:p>
        </w:tc>
        <w:tc>
          <w:tcPr>
            <w:tcW w:w="15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 xml:space="preserve">FMRI </w:t>
            </w:r>
            <w:r w:rsidR="00A26D70">
              <w:rPr>
                <w:rFonts w:ascii="Arial" w:eastAsia="Times New Roman" w:hAnsi="Arial" w:cs="Arial"/>
                <w:color w:val="000000"/>
                <w:sz w:val="20"/>
                <w:szCs w:val="20"/>
              </w:rPr>
              <w:t>(</w:t>
            </w:r>
            <w:r w:rsidRPr="0084373E">
              <w:rPr>
                <w:rFonts w:ascii="Arial" w:eastAsia="Times New Roman" w:hAnsi="Arial" w:cs="Arial"/>
                <w:color w:val="000000"/>
                <w:sz w:val="20"/>
                <w:szCs w:val="20"/>
              </w:rPr>
              <w:t>target &amp; cursor)</w:t>
            </w:r>
          </w:p>
        </w:tc>
        <w:tc>
          <w:tcPr>
            <w:tcW w:w="9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HP</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w:t>
            </w:r>
          </w:p>
        </w:tc>
      </w:tr>
      <w:tr w:rsidR="00EC25F0" w:rsidRPr="0084373E" w:rsidTr="00C23696">
        <w:trPr>
          <w:trHeight w:val="220"/>
        </w:trPr>
        <w:tc>
          <w:tcPr>
            <w:tcW w:w="1560"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Ramaekers et al. 2009</w:t>
            </w:r>
          </w:p>
        </w:tc>
        <w:tc>
          <w:tcPr>
            <w:tcW w:w="8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Lab</w:t>
            </w:r>
          </w:p>
        </w:tc>
        <w:tc>
          <w:tcPr>
            <w:tcW w:w="51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12</w:t>
            </w:r>
          </w:p>
        </w:tc>
        <w:tc>
          <w:tcPr>
            <w:tcW w:w="1250"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Occasional</w:t>
            </w:r>
          </w:p>
        </w:tc>
        <w:tc>
          <w:tcPr>
            <w:tcW w:w="107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~35mg</w:t>
            </w:r>
          </w:p>
        </w:tc>
        <w:tc>
          <w:tcPr>
            <w:tcW w:w="15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CTT</w:t>
            </w:r>
          </w:p>
        </w:tc>
        <w:tc>
          <w:tcPr>
            <w:tcW w:w="906"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HP</w:t>
            </w:r>
          </w:p>
        </w:tc>
        <w:tc>
          <w:tcPr>
            <w:tcW w:w="119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w:t>
            </w:r>
          </w:p>
        </w:tc>
      </w:tr>
      <w:tr w:rsidR="00EC25F0" w:rsidRPr="0084373E" w:rsidTr="00C23696">
        <w:trPr>
          <w:trHeight w:val="220"/>
        </w:trPr>
        <w:tc>
          <w:tcPr>
            <w:tcW w:w="1560" w:type="dxa"/>
            <w:tcBorders>
              <w:top w:val="nil"/>
              <w:left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Papafotiou et al. 2005</w:t>
            </w:r>
          </w:p>
        </w:tc>
        <w:tc>
          <w:tcPr>
            <w:tcW w:w="806" w:type="dxa"/>
            <w:tcBorders>
              <w:top w:val="nil"/>
              <w:left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Sim.</w:t>
            </w:r>
          </w:p>
        </w:tc>
        <w:tc>
          <w:tcPr>
            <w:tcW w:w="518" w:type="dxa"/>
            <w:tcBorders>
              <w:top w:val="nil"/>
              <w:left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40</w:t>
            </w:r>
          </w:p>
        </w:tc>
        <w:tc>
          <w:tcPr>
            <w:tcW w:w="1250" w:type="dxa"/>
            <w:tcBorders>
              <w:top w:val="nil"/>
              <w:left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NS</w:t>
            </w:r>
          </w:p>
        </w:tc>
        <w:tc>
          <w:tcPr>
            <w:tcW w:w="1073" w:type="dxa"/>
            <w:tcBorders>
              <w:top w:val="nil"/>
              <w:left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14mg &amp; 52mg</w:t>
            </w:r>
          </w:p>
        </w:tc>
        <w:tc>
          <w:tcPr>
            <w:tcW w:w="1531" w:type="dxa"/>
            <w:tcBorders>
              <w:top w:val="nil"/>
              <w:left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Tracking Task</w:t>
            </w:r>
          </w:p>
        </w:tc>
        <w:tc>
          <w:tcPr>
            <w:tcW w:w="906" w:type="dxa"/>
            <w:tcBorders>
              <w:top w:val="nil"/>
              <w:left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HP</w:t>
            </w:r>
          </w:p>
        </w:tc>
        <w:tc>
          <w:tcPr>
            <w:tcW w:w="1194" w:type="dxa"/>
            <w:tcBorders>
              <w:top w:val="nil"/>
              <w:left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UP</w:t>
            </w:r>
          </w:p>
        </w:tc>
      </w:tr>
      <w:tr w:rsidR="00EC25F0" w:rsidRPr="0084373E" w:rsidTr="00C23696">
        <w:trPr>
          <w:trHeight w:val="444"/>
        </w:trPr>
        <w:tc>
          <w:tcPr>
            <w:tcW w:w="1560" w:type="dxa"/>
            <w:tcBorders>
              <w:top w:val="nil"/>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Menetrey et al. 2005</w:t>
            </w:r>
          </w:p>
        </w:tc>
        <w:tc>
          <w:tcPr>
            <w:tcW w:w="806"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Sim.</w:t>
            </w:r>
          </w:p>
        </w:tc>
        <w:tc>
          <w:tcPr>
            <w:tcW w:w="518"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8</w:t>
            </w:r>
          </w:p>
        </w:tc>
        <w:tc>
          <w:tcPr>
            <w:tcW w:w="1250"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Occasional</w:t>
            </w:r>
          </w:p>
        </w:tc>
        <w:tc>
          <w:tcPr>
            <w:tcW w:w="1073" w:type="dxa"/>
            <w:tcBorders>
              <w:top w:val="nil"/>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 xml:space="preserve">16.5mg &amp; 45.7mg (oral) </w:t>
            </w:r>
          </w:p>
        </w:tc>
        <w:tc>
          <w:tcPr>
            <w:tcW w:w="1531" w:type="dxa"/>
            <w:tcBorders>
              <w:top w:val="nil"/>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Tracking Task</w:t>
            </w:r>
          </w:p>
        </w:tc>
        <w:tc>
          <w:tcPr>
            <w:tcW w:w="906"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HP</w:t>
            </w:r>
          </w:p>
        </w:tc>
        <w:tc>
          <w:tcPr>
            <w:tcW w:w="1194"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NA</w:t>
            </w:r>
          </w:p>
        </w:tc>
        <w:tc>
          <w:tcPr>
            <w:tcW w:w="1096" w:type="dxa"/>
            <w:tcBorders>
              <w:top w:val="nil"/>
              <w:left w:val="nil"/>
              <w:bottom w:val="single" w:sz="4" w:space="0" w:color="auto"/>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SS, NT</w:t>
            </w:r>
          </w:p>
        </w:tc>
      </w:tr>
      <w:tr w:rsidR="00EC25F0" w:rsidRPr="0084373E" w:rsidTr="00C23696">
        <w:trPr>
          <w:trHeight w:val="444"/>
        </w:trPr>
        <w:tc>
          <w:tcPr>
            <w:tcW w:w="9934" w:type="dxa"/>
            <w:gridSpan w:val="9"/>
            <w:tcBorders>
              <w:top w:val="single" w:sz="4" w:space="0" w:color="auto"/>
              <w:left w:val="single" w:sz="4" w:space="0" w:color="auto"/>
              <w:bottom w:val="single" w:sz="4" w:space="0" w:color="auto"/>
              <w:right w:val="single" w:sz="4" w:space="0" w:color="auto"/>
            </w:tcBorders>
            <w:shd w:val="clear" w:color="auto" w:fill="auto"/>
            <w:noWrap/>
          </w:tcPr>
          <w:p w:rsidR="00EC25F0" w:rsidRPr="0084373E" w:rsidRDefault="00EC25F0" w:rsidP="006057BE">
            <w:pPr>
              <w:spacing w:after="0" w:line="240" w:lineRule="auto"/>
              <w:rPr>
                <w:rFonts w:ascii="Arial" w:eastAsia="Times New Roman" w:hAnsi="Arial" w:cs="Arial"/>
                <w:color w:val="000000"/>
                <w:sz w:val="20"/>
                <w:szCs w:val="20"/>
              </w:rPr>
            </w:pPr>
            <w:r w:rsidRPr="0084373E">
              <w:rPr>
                <w:rFonts w:ascii="Arial" w:eastAsia="Times New Roman" w:hAnsi="Arial" w:cs="Arial"/>
                <w:color w:val="000000"/>
                <w:sz w:val="20"/>
                <w:szCs w:val="20"/>
              </w:rPr>
              <w:t>Note: NS=not specified; CTT=critical tracking task; *Result classified as: HP=hurt performance, IP=improved performance, NE=no effect. Magnitude of results only provided if statically significant. **</w:t>
            </w:r>
            <w:r w:rsidRPr="0084373E">
              <w:rPr>
                <w:rFonts w:ascii="Arial" w:hAnsi="Arial" w:cs="Arial"/>
                <w:sz w:val="20"/>
                <w:szCs w:val="20"/>
              </w:rPr>
              <w:t xml:space="preserve"> </w:t>
            </w:r>
            <w:r w:rsidRPr="0084373E">
              <w:rPr>
                <w:rFonts w:ascii="Arial" w:eastAsia="Times New Roman" w:hAnsi="Arial" w:cs="Arial"/>
                <w:color w:val="000000"/>
                <w:sz w:val="20"/>
                <w:szCs w:val="20"/>
              </w:rPr>
              <w:t>Issues potentially impacting study quality were noted as: SS=small sample size; NT = no validated tool used; LD = low dose marijuana, UP=user population not defined, DR= use of subjective high with no dose response gradient; OT=other quality issues. Sim.= Driving simulator study.</w:t>
            </w:r>
          </w:p>
        </w:tc>
      </w:tr>
    </w:tbl>
    <w:p w:rsidR="00EC25F0" w:rsidRPr="0084373E" w:rsidRDefault="00EC25F0" w:rsidP="006057BE">
      <w:pPr>
        <w:spacing w:after="0" w:line="240" w:lineRule="auto"/>
        <w:rPr>
          <w:rFonts w:ascii="Arial" w:hAnsi="Arial" w:cs="Arial"/>
          <w:b/>
          <w:szCs w:val="24"/>
        </w:rPr>
      </w:pPr>
    </w:p>
    <w:p w:rsidR="00EC25F0" w:rsidRPr="00E82261" w:rsidRDefault="00EC25F0" w:rsidP="006057BE">
      <w:pPr>
        <w:spacing w:after="0" w:line="240" w:lineRule="auto"/>
        <w:rPr>
          <w:rFonts w:ascii="Arial" w:hAnsi="Arial" w:cs="Arial"/>
          <w:b/>
          <w:sz w:val="24"/>
          <w:szCs w:val="24"/>
        </w:rPr>
      </w:pPr>
      <w:r w:rsidRPr="00E82261">
        <w:rPr>
          <w:rFonts w:ascii="Arial" w:hAnsi="Arial" w:cs="Arial"/>
          <w:b/>
          <w:sz w:val="24"/>
          <w:szCs w:val="24"/>
        </w:rPr>
        <w:t>Control Behavior</w:t>
      </w:r>
    </w:p>
    <w:p w:rsidR="006D0A50" w:rsidRPr="00E82261" w:rsidRDefault="006D0A50" w:rsidP="006057BE">
      <w:pPr>
        <w:spacing w:after="0" w:line="240" w:lineRule="auto"/>
        <w:rPr>
          <w:rFonts w:ascii="Arial" w:hAnsi="Arial" w:cs="Arial"/>
          <w:b/>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In 18 lab-based measurements of control behavior, 11 focused on frequent or not specified user population, and 4 observed poorer performances after marijuana administration, 1 with improved performance, and 6 with no effect. Of note, the largest study had 136 participants and demonstrated poorer performance.  Among tests in occasional users, 6/7 demonstrated poorer performance with one demonstrating no effect. Simulator-based studies showed an even split between hurt performance and no effect. In three on-road studies, control behavior, and specifically reaction time, was not impacted.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In lab studies, 9/9 tests that used elements of the SFST to assess control behavior among frequent users demonstrated no effect. In occasional users, this was 3/9. And in two observational studies that together accounted for results on seven tests of control behavior as measured with a SFST, decreased performance was noted in all tests, though it must be noted that the study design did not allow assessment of most potential limitations.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b/>
          <w:sz w:val="24"/>
          <w:szCs w:val="24"/>
        </w:rPr>
      </w:pPr>
      <w:r w:rsidRPr="00E82261">
        <w:rPr>
          <w:rFonts w:ascii="Arial" w:hAnsi="Arial" w:cs="Arial"/>
          <w:b/>
          <w:sz w:val="24"/>
          <w:szCs w:val="24"/>
        </w:rPr>
        <w:t>Executive Function and Planning</w:t>
      </w:r>
    </w:p>
    <w:p w:rsidR="006D0A50" w:rsidRPr="00E82261" w:rsidRDefault="006D0A50" w:rsidP="006057BE">
      <w:pPr>
        <w:spacing w:after="0" w:line="240" w:lineRule="auto"/>
        <w:rPr>
          <w:rFonts w:ascii="Arial" w:hAnsi="Arial" w:cs="Arial"/>
          <w:b/>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In 16 tests of executive function among frequent cannabis users, six hurt performance and 10 showed no effect. Among occasional users, six hurt performance, and six showed no effect. For non-specified users, 9/10 studies showed hurt performance. These results indicate more evidence for decreased executive function regardless of use history, with about half or more of the studies finding decreased performance. </w:t>
      </w:r>
    </w:p>
    <w:p w:rsidR="00EC25F0" w:rsidRPr="00E82261" w:rsidRDefault="00EC25F0" w:rsidP="006057BE">
      <w:pPr>
        <w:spacing w:after="0" w:line="240" w:lineRule="auto"/>
        <w:rPr>
          <w:rFonts w:ascii="Arial" w:hAnsi="Arial" w:cs="Arial"/>
          <w:b/>
          <w:sz w:val="24"/>
          <w:szCs w:val="24"/>
        </w:rPr>
      </w:pPr>
    </w:p>
    <w:p w:rsidR="00EC25F0" w:rsidRPr="00E82261" w:rsidRDefault="00EC25F0" w:rsidP="006057BE">
      <w:pPr>
        <w:spacing w:after="0" w:line="240" w:lineRule="auto"/>
        <w:rPr>
          <w:rFonts w:ascii="Arial" w:hAnsi="Arial" w:cs="Arial"/>
          <w:b/>
          <w:sz w:val="24"/>
          <w:szCs w:val="24"/>
        </w:rPr>
      </w:pPr>
      <w:r w:rsidRPr="00E82261">
        <w:rPr>
          <w:rFonts w:ascii="Arial" w:hAnsi="Arial" w:cs="Arial"/>
          <w:b/>
          <w:sz w:val="24"/>
          <w:szCs w:val="24"/>
        </w:rPr>
        <w:t>Driving Performance and Safety</w:t>
      </w:r>
    </w:p>
    <w:p w:rsidR="006D0A50" w:rsidRPr="00E82261" w:rsidRDefault="006D0A50" w:rsidP="006057BE">
      <w:pPr>
        <w:spacing w:after="0" w:line="240" w:lineRule="auto"/>
        <w:rPr>
          <w:rFonts w:ascii="Arial" w:hAnsi="Arial" w:cs="Arial"/>
          <w:b/>
          <w:sz w:val="24"/>
          <w:szCs w:val="24"/>
        </w:rPr>
      </w:pPr>
    </w:p>
    <w:p w:rsidR="00EC25F0" w:rsidRPr="0084373E" w:rsidRDefault="00EC25F0" w:rsidP="006057BE">
      <w:pPr>
        <w:spacing w:after="0" w:line="240" w:lineRule="auto"/>
        <w:rPr>
          <w:rFonts w:ascii="Arial" w:hAnsi="Arial" w:cs="Arial"/>
          <w:szCs w:val="24"/>
        </w:rPr>
        <w:sectPr w:rsidR="00EC25F0" w:rsidRPr="0084373E" w:rsidSect="00626599">
          <w:pgSz w:w="12240" w:h="15840"/>
          <w:pgMar w:top="1440" w:right="1440" w:bottom="1440" w:left="1440" w:header="720" w:footer="720" w:gutter="0"/>
          <w:cols w:space="720"/>
          <w:docGrid w:linePitch="360"/>
        </w:sectPr>
      </w:pPr>
      <w:r w:rsidRPr="00E82261">
        <w:rPr>
          <w:rFonts w:ascii="Arial" w:hAnsi="Arial" w:cs="Arial"/>
          <w:sz w:val="24"/>
          <w:szCs w:val="24"/>
        </w:rPr>
        <w:t xml:space="preserve">In simulator studies, mean speed decreased in 6/14 studies conducted among occasional users. We did not characterize decreased speed as either an improvement or detriment to driving performance, since in a real-world environment this behavior could be associated either with safer driving or with an increased crash risk, depending on the circumstance. There were three studies with decreased performance, including on a measure of collisions, and all other results showed no effect. In two studies that did not specify the cannabis use history of participants, there was decreased performance on 5/7 measures. These included mean headway and lateral position, and speed measures. In 10 driving performance tasks conducted in on-road studies of occasional users, the authors observed impaired performance for five tasks and no effect for five tasks. </w:t>
      </w:r>
    </w:p>
    <w:p w:rsidR="00EC25F0" w:rsidRPr="0084373E" w:rsidRDefault="00EC25F0" w:rsidP="006057BE">
      <w:pPr>
        <w:pStyle w:val="Caption"/>
        <w:spacing w:after="0"/>
        <w:contextualSpacing w:val="0"/>
        <w:rPr>
          <w:rFonts w:ascii="Arial" w:hAnsi="Arial" w:cs="Arial"/>
          <w:b/>
        </w:rPr>
      </w:pPr>
      <w:r w:rsidRPr="0084373E">
        <w:rPr>
          <w:rFonts w:ascii="Arial" w:hAnsi="Arial" w:cs="Arial"/>
          <w:b/>
        </w:rPr>
        <w:t>Table 6. Assessments of the Impact of Cannabis Exposure on Control Behavior</w:t>
      </w:r>
    </w:p>
    <w:tbl>
      <w:tblPr>
        <w:tblW w:w="14153" w:type="dxa"/>
        <w:tblInd w:w="-455" w:type="dxa"/>
        <w:tblLook w:val="04A0" w:firstRow="1" w:lastRow="0" w:firstColumn="1" w:lastColumn="0" w:noHBand="0" w:noVBand="1"/>
        <w:tblCaption w:val="Assessments of the Impact of Cannabis Exposure on Control Behavior"/>
      </w:tblPr>
      <w:tblGrid>
        <w:gridCol w:w="2145"/>
        <w:gridCol w:w="977"/>
        <w:gridCol w:w="517"/>
        <w:gridCol w:w="1223"/>
        <w:gridCol w:w="1865"/>
        <w:gridCol w:w="4281"/>
        <w:gridCol w:w="767"/>
        <w:gridCol w:w="1188"/>
        <w:gridCol w:w="1033"/>
        <w:gridCol w:w="206"/>
      </w:tblGrid>
      <w:tr w:rsidR="00EC25F0" w:rsidRPr="0084373E" w:rsidTr="00C23696">
        <w:trPr>
          <w:trHeight w:val="377"/>
        </w:trPr>
        <w:tc>
          <w:tcPr>
            <w:tcW w:w="2145" w:type="dxa"/>
            <w:tcBorders>
              <w:top w:val="single" w:sz="4" w:space="0" w:color="auto"/>
              <w:left w:val="single" w:sz="4" w:space="0" w:color="auto"/>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Study</w:t>
            </w:r>
          </w:p>
        </w:tc>
        <w:tc>
          <w:tcPr>
            <w:tcW w:w="974"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Study Type</w:t>
            </w:r>
          </w:p>
        </w:tc>
        <w:tc>
          <w:tcPr>
            <w:tcW w:w="50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 xml:space="preserve">n </w:t>
            </w:r>
          </w:p>
        </w:tc>
        <w:tc>
          <w:tcPr>
            <w:tcW w:w="1223"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 xml:space="preserve">User Population </w:t>
            </w:r>
          </w:p>
        </w:tc>
        <w:tc>
          <w:tcPr>
            <w:tcW w:w="1865"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THC Dosage (Route)</w:t>
            </w:r>
          </w:p>
        </w:tc>
        <w:tc>
          <w:tcPr>
            <w:tcW w:w="4281"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Brief description</w:t>
            </w:r>
          </w:p>
        </w:tc>
        <w:tc>
          <w:tcPr>
            <w:tcW w:w="731"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Result</w:t>
            </w:r>
          </w:p>
        </w:tc>
        <w:tc>
          <w:tcPr>
            <w:tcW w:w="118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 xml:space="preserve">Result Magnitude* </w:t>
            </w:r>
          </w:p>
        </w:tc>
        <w:tc>
          <w:tcPr>
            <w:tcW w:w="1239" w:type="dxa"/>
            <w:gridSpan w:val="2"/>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Study Quality</w:t>
            </w:r>
          </w:p>
        </w:tc>
      </w:tr>
      <w:tr w:rsidR="00EC25F0" w:rsidRPr="0084373E" w:rsidTr="00C23696">
        <w:trPr>
          <w:trHeight w:val="214"/>
        </w:trPr>
        <w:tc>
          <w:tcPr>
            <w:tcW w:w="2145" w:type="dxa"/>
            <w:tcBorders>
              <w:top w:val="single" w:sz="4" w:space="0" w:color="auto"/>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2000</w:t>
            </w:r>
          </w:p>
        </w:tc>
        <w:tc>
          <w:tcPr>
            <w:tcW w:w="974" w:type="dxa"/>
            <w:tcBorders>
              <w:top w:val="single" w:sz="4" w:space="0" w:color="auto"/>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On-road </w:t>
            </w:r>
          </w:p>
        </w:tc>
        <w:tc>
          <w:tcPr>
            <w:tcW w:w="507" w:type="dxa"/>
            <w:tcBorders>
              <w:top w:val="single" w:sz="4" w:space="0" w:color="auto"/>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18</w:t>
            </w:r>
          </w:p>
        </w:tc>
        <w:tc>
          <w:tcPr>
            <w:tcW w:w="1223" w:type="dxa"/>
            <w:tcBorders>
              <w:top w:val="single" w:sz="4" w:space="0" w:color="auto"/>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65" w:type="dxa"/>
            <w:tcBorders>
              <w:top w:val="single" w:sz="4" w:space="0" w:color="auto"/>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100 and 200 ng/kg</w:t>
            </w:r>
          </w:p>
        </w:tc>
        <w:tc>
          <w:tcPr>
            <w:tcW w:w="4281" w:type="dxa"/>
            <w:tcBorders>
              <w:top w:val="single" w:sz="4" w:space="0" w:color="auto"/>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Reaction time</w:t>
            </w:r>
          </w:p>
        </w:tc>
        <w:tc>
          <w:tcPr>
            <w:tcW w:w="731" w:type="dxa"/>
            <w:tcBorders>
              <w:top w:val="single" w:sz="4" w:space="0" w:color="auto"/>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single" w:sz="4" w:space="0" w:color="auto"/>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single" w:sz="4" w:space="0" w:color="auto"/>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UP</w:t>
            </w:r>
          </w:p>
        </w:tc>
      </w:tr>
      <w:tr w:rsidR="00EC25F0" w:rsidRPr="0084373E" w:rsidTr="00C23696">
        <w:trPr>
          <w:trHeight w:val="306"/>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Robbe et al. 1998 # 2</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On-road </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16</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100, 200, 300 ng/kg</w:t>
            </w:r>
          </w:p>
        </w:tc>
        <w:tc>
          <w:tcPr>
            <w:tcW w:w="428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Reaction time</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41"/>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Robbe et al. 1998 # 4</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On-road </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18</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100 and 200 ng/kg</w:t>
            </w:r>
          </w:p>
        </w:tc>
        <w:tc>
          <w:tcPr>
            <w:tcW w:w="428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Reaction time</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Lenne et al. 2009</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Simulator</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47</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65"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19mg &amp; 38mg</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Sign detection task</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UP</w:t>
            </w:r>
          </w:p>
        </w:tc>
      </w:tr>
      <w:tr w:rsidR="00EC25F0" w:rsidRPr="0084373E" w:rsidTr="00C23696">
        <w:trPr>
          <w:trHeight w:val="214"/>
        </w:trPr>
        <w:tc>
          <w:tcPr>
            <w:tcW w:w="2145" w:type="dxa"/>
            <w:tcBorders>
              <w:top w:val="nil"/>
              <w:left w:val="single" w:sz="4" w:space="0" w:color="auto"/>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Sexton et al. 2000 </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Simulator</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15</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65"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1.7% &amp; 2.6%</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Reaction time task</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UP</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Ronen et al. 2010</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Simulator</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12</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13mg</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Arithmetic Task </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NT</w:t>
            </w:r>
          </w:p>
        </w:tc>
      </w:tr>
      <w:tr w:rsidR="00EC25F0" w:rsidRPr="0084373E" w:rsidTr="00C23696">
        <w:trPr>
          <w:trHeight w:val="241"/>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Ronen et al. 2007</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Simulator</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14</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13mg &amp; 17mg</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Reaction time test - Computerized</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SS, NT </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Rafaelsen et al. 1973</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Simulator</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8</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200, 300, 400mg </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Reaction Time </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41"/>
        </w:trPr>
        <w:tc>
          <w:tcPr>
            <w:tcW w:w="2145" w:type="dxa"/>
            <w:tcBorders>
              <w:top w:val="nil"/>
              <w:left w:val="single" w:sz="4" w:space="0" w:color="auto"/>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Anderson et al. 2010</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Simulator</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85</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22.9mg</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Paced Auditory Serial-Addition Test [PASAT]</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w:t>
            </w:r>
          </w:p>
        </w:tc>
      </w:tr>
      <w:tr w:rsidR="00EC25F0" w:rsidRPr="0084373E" w:rsidTr="00C23696">
        <w:trPr>
          <w:trHeight w:val="217"/>
        </w:trPr>
        <w:tc>
          <w:tcPr>
            <w:tcW w:w="2145" w:type="dxa"/>
            <w:tcBorders>
              <w:top w:val="nil"/>
              <w:left w:val="single" w:sz="4" w:space="0" w:color="auto"/>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Anderson et al. 2010</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Simulator</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85</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22.9mg</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Emergency Vehicle Avoidance Task</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w:t>
            </w:r>
          </w:p>
        </w:tc>
      </w:tr>
      <w:tr w:rsidR="00EC25F0" w:rsidRPr="0084373E" w:rsidTr="00C23696">
        <w:trPr>
          <w:trHeight w:val="427"/>
        </w:trPr>
        <w:tc>
          <w:tcPr>
            <w:tcW w:w="2145" w:type="dxa"/>
            <w:tcBorders>
              <w:top w:val="nil"/>
              <w:left w:val="single" w:sz="4" w:space="0" w:color="auto"/>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Anderson et al. 2010</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Simulator</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85</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22.9mg</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Dog and intersection  Incursion Task, PASAT Task, Emergency vehicle avoidance task</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w:t>
            </w:r>
          </w:p>
        </w:tc>
      </w:tr>
      <w:tr w:rsidR="00EC25F0" w:rsidRPr="0084373E" w:rsidTr="00C23696">
        <w:trPr>
          <w:trHeight w:val="217"/>
        </w:trPr>
        <w:tc>
          <w:tcPr>
            <w:tcW w:w="2145" w:type="dxa"/>
            <w:tcBorders>
              <w:top w:val="nil"/>
              <w:left w:val="single" w:sz="4" w:space="0" w:color="auto"/>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Anderson et al. 2010</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Simulator</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85</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22.9mg</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Emergency Vehicle Avoidance Task</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Metrik et al. 2012</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136</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2.80%</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Stroop test</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LD</w:t>
            </w:r>
          </w:p>
        </w:tc>
      </w:tr>
      <w:tr w:rsidR="00EC25F0" w:rsidRPr="0084373E" w:rsidTr="00C23696">
        <w:trPr>
          <w:trHeight w:val="217"/>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Hart et al. 2001</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18</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65"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1.8% &amp; 3.9%</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Repeated Acquisition Task (Computerized)</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2011</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21</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~28mg</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Divided Attention Task</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w:t>
            </w:r>
          </w:p>
        </w:tc>
      </w:tr>
      <w:tr w:rsidR="00EC25F0" w:rsidRPr="0084373E" w:rsidTr="00C23696">
        <w:trPr>
          <w:trHeight w:val="217"/>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Theunissen et al. 2012</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24</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13%</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Electro Cap / Neuro Scan Software </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Hart et al. 2001</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18</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65"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1.8%  &amp; 3.9%</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Divided Attention Task </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IP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Shwope et al. 2012</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10</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6.80%</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DAT - Computerized</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LD, SS</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Shwope et al. 2012</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10</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6.80%</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DAT - Computerized</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LD, SS</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Theunissen et al. 2012</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24</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13%</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DAT - Computerized</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2009</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12</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~35mg</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Divided Attention Task</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Desroisers et al. 2015</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25</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65"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6.80%</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Divided Attention Task</w:t>
            </w:r>
          </w:p>
        </w:tc>
        <w:tc>
          <w:tcPr>
            <w:tcW w:w="7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185"/>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Theunissen et al. 2012</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24</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13%</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Electro Cap / Neuro Scan Software </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Chiat 1994</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14</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3.60%</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Time Production Test</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 UP</w:t>
            </w:r>
          </w:p>
        </w:tc>
      </w:tr>
      <w:tr w:rsidR="00EC25F0" w:rsidRPr="0084373E" w:rsidTr="00C23696">
        <w:trPr>
          <w:trHeight w:val="241"/>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Chiat 1994</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14</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3.60%</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Divided Attention Task</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 UP</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Desroisers et al. 2015</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25</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6.80%</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Divided Attention Task</w:t>
            </w:r>
          </w:p>
        </w:tc>
        <w:tc>
          <w:tcPr>
            <w:tcW w:w="73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nil"/>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4"/>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Theunissen et al. 2012</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24</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13%</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DAT - Computerized</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41"/>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Theunissen et al. 2012</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24</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13%</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Electro Cap / Neuro Scan Software </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41"/>
        </w:trPr>
        <w:tc>
          <w:tcPr>
            <w:tcW w:w="2145"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Theunissen et al. 2012</w:t>
            </w:r>
          </w:p>
        </w:tc>
        <w:tc>
          <w:tcPr>
            <w:tcW w:w="974"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24</w:t>
            </w:r>
          </w:p>
        </w:tc>
        <w:tc>
          <w:tcPr>
            <w:tcW w:w="122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13%</w:t>
            </w:r>
          </w:p>
        </w:tc>
        <w:tc>
          <w:tcPr>
            <w:tcW w:w="4281"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Electro Cap / Neuro Scan Software </w:t>
            </w:r>
          </w:p>
        </w:tc>
        <w:tc>
          <w:tcPr>
            <w:tcW w:w="731"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w:t>
            </w:r>
          </w:p>
        </w:tc>
        <w:tc>
          <w:tcPr>
            <w:tcW w:w="1239" w:type="dxa"/>
            <w:gridSpan w:val="2"/>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4"/>
        </w:trPr>
        <w:tc>
          <w:tcPr>
            <w:tcW w:w="2145" w:type="dxa"/>
            <w:tcBorders>
              <w:top w:val="nil"/>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2009</w:t>
            </w:r>
          </w:p>
        </w:tc>
        <w:tc>
          <w:tcPr>
            <w:tcW w:w="974"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07"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12</w:t>
            </w:r>
          </w:p>
        </w:tc>
        <w:tc>
          <w:tcPr>
            <w:tcW w:w="1223"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65"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~35mg</w:t>
            </w:r>
          </w:p>
        </w:tc>
        <w:tc>
          <w:tcPr>
            <w:tcW w:w="4281" w:type="dxa"/>
            <w:tcBorders>
              <w:top w:val="nil"/>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Divided Attention Task</w:t>
            </w:r>
          </w:p>
        </w:tc>
        <w:tc>
          <w:tcPr>
            <w:tcW w:w="731"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88"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39" w:type="dxa"/>
            <w:gridSpan w:val="2"/>
            <w:tcBorders>
              <w:top w:val="nil"/>
              <w:left w:val="nil"/>
              <w:bottom w:val="single" w:sz="4" w:space="0" w:color="auto"/>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gridAfter w:val="1"/>
          <w:wAfter w:w="206" w:type="dxa"/>
          <w:trHeight w:val="710"/>
        </w:trPr>
        <w:tc>
          <w:tcPr>
            <w:tcW w:w="13947" w:type="dxa"/>
            <w:gridSpan w:val="9"/>
            <w:tcBorders>
              <w:top w:val="single" w:sz="4" w:space="0" w:color="auto"/>
              <w:left w:val="nil"/>
              <w:bottom w:val="nil"/>
              <w:right w:val="nil"/>
            </w:tcBorders>
            <w:shd w:val="clear" w:color="auto" w:fill="auto"/>
            <w:vAlign w:val="bottom"/>
            <w:hideMark/>
          </w:tcPr>
          <w:p w:rsidR="00EC25F0" w:rsidRPr="0084373E" w:rsidRDefault="00EC25F0" w:rsidP="006057BE">
            <w:pPr>
              <w:spacing w:after="0" w:line="240" w:lineRule="auto"/>
              <w:rPr>
                <w:rFonts w:ascii="Arial" w:eastAsia="Times New Roman" w:hAnsi="Arial" w:cs="Arial"/>
                <w:color w:val="000000"/>
                <w:sz w:val="18"/>
                <w:szCs w:val="20"/>
              </w:rPr>
            </w:pPr>
            <w:r w:rsidRPr="0084373E">
              <w:rPr>
                <w:rFonts w:ascii="Arial" w:eastAsia="Times New Roman" w:hAnsi="Arial" w:cs="Arial"/>
                <w:color w:val="000000"/>
                <w:sz w:val="18"/>
                <w:szCs w:val="20"/>
              </w:rPr>
              <w:t>Note: DAT=divided attention task; *Result classified as: HP=hurt performance, IP=improved performance, NE=no effect. Magnitude of results only provided if statically significant. ** Issues potentially impacting study quality were noted as: SS=small sample size; NT = no validated tool used; LD = low dose marijuana, UP=user population not defined, DR= use of subjective high with no dose response gradient; OT=other quality issues.</w:t>
            </w:r>
          </w:p>
        </w:tc>
      </w:tr>
    </w:tbl>
    <w:p w:rsidR="00EC25F0" w:rsidRPr="0084373E" w:rsidRDefault="00EC25F0" w:rsidP="006057BE">
      <w:pPr>
        <w:spacing w:after="0" w:line="240" w:lineRule="auto"/>
        <w:rPr>
          <w:rFonts w:cs="Times New Roman"/>
          <w:b/>
          <w:iCs/>
          <w:szCs w:val="18"/>
        </w:rPr>
      </w:pPr>
    </w:p>
    <w:p w:rsidR="006D0A50" w:rsidRDefault="006D0A50" w:rsidP="006057BE">
      <w:pPr>
        <w:spacing w:after="0" w:line="240" w:lineRule="auto"/>
        <w:rPr>
          <w:rFonts w:ascii="Arial" w:hAnsi="Arial" w:cs="Arial"/>
          <w:b/>
          <w:iCs/>
          <w:szCs w:val="18"/>
        </w:rPr>
      </w:pPr>
    </w:p>
    <w:p w:rsidR="006D0A50" w:rsidRDefault="006D0A50" w:rsidP="006057BE">
      <w:pPr>
        <w:spacing w:after="0" w:line="240" w:lineRule="auto"/>
        <w:rPr>
          <w:rFonts w:ascii="Arial" w:hAnsi="Arial" w:cs="Arial"/>
          <w:b/>
          <w:iCs/>
          <w:szCs w:val="18"/>
        </w:rPr>
      </w:pPr>
    </w:p>
    <w:p w:rsidR="006D0A50" w:rsidRDefault="006D0A50" w:rsidP="006057BE">
      <w:pPr>
        <w:spacing w:after="0" w:line="240" w:lineRule="auto"/>
        <w:rPr>
          <w:rFonts w:ascii="Arial" w:hAnsi="Arial" w:cs="Arial"/>
          <w:b/>
          <w:iCs/>
          <w:szCs w:val="18"/>
        </w:rPr>
      </w:pPr>
    </w:p>
    <w:p w:rsidR="006D0A50" w:rsidRPr="0084373E" w:rsidRDefault="00EC25F0" w:rsidP="006057BE">
      <w:pPr>
        <w:spacing w:after="0" w:line="240" w:lineRule="auto"/>
        <w:rPr>
          <w:rFonts w:ascii="Arial" w:hAnsi="Arial" w:cs="Arial"/>
          <w:b/>
        </w:rPr>
      </w:pPr>
      <w:r w:rsidRPr="0084373E">
        <w:rPr>
          <w:rFonts w:ascii="Arial" w:hAnsi="Arial" w:cs="Arial"/>
          <w:b/>
          <w:iCs/>
          <w:szCs w:val="18"/>
        </w:rPr>
        <w:t>Table 7.</w:t>
      </w:r>
      <w:r w:rsidRPr="0084373E">
        <w:rPr>
          <w:rFonts w:ascii="Arial" w:hAnsi="Arial" w:cs="Arial"/>
          <w:b/>
        </w:rPr>
        <w:t xml:space="preserve"> Assessments of the Impact of Cannabis Exposure on Executive Function and Planning Behavior</w:t>
      </w:r>
    </w:p>
    <w:tbl>
      <w:tblPr>
        <w:tblW w:w="13872" w:type="dxa"/>
        <w:tblInd w:w="-5" w:type="dxa"/>
        <w:tblLook w:val="04A0" w:firstRow="1" w:lastRow="0" w:firstColumn="1" w:lastColumn="0" w:noHBand="0" w:noVBand="1"/>
        <w:tblCaption w:val="Assessments of the Impact of Cannabis Exposure on Executive Function and Planning Behavior"/>
      </w:tblPr>
      <w:tblGrid>
        <w:gridCol w:w="2539"/>
        <w:gridCol w:w="982"/>
        <w:gridCol w:w="543"/>
        <w:gridCol w:w="1233"/>
        <w:gridCol w:w="1848"/>
        <w:gridCol w:w="3197"/>
        <w:gridCol w:w="1128"/>
        <w:gridCol w:w="1198"/>
        <w:gridCol w:w="1204"/>
      </w:tblGrid>
      <w:tr w:rsidR="00EC25F0" w:rsidRPr="0084373E" w:rsidTr="00C23696">
        <w:trPr>
          <w:trHeight w:val="350"/>
        </w:trPr>
        <w:tc>
          <w:tcPr>
            <w:tcW w:w="2539" w:type="dxa"/>
            <w:tcBorders>
              <w:top w:val="single" w:sz="4" w:space="0" w:color="auto"/>
              <w:left w:val="single" w:sz="4" w:space="0" w:color="auto"/>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Study</w:t>
            </w:r>
          </w:p>
        </w:tc>
        <w:tc>
          <w:tcPr>
            <w:tcW w:w="982"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Study Type</w:t>
            </w:r>
          </w:p>
        </w:tc>
        <w:tc>
          <w:tcPr>
            <w:tcW w:w="543"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 xml:space="preserve">n </w:t>
            </w:r>
          </w:p>
        </w:tc>
        <w:tc>
          <w:tcPr>
            <w:tcW w:w="1233"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 xml:space="preserve">User Population </w:t>
            </w:r>
          </w:p>
        </w:tc>
        <w:tc>
          <w:tcPr>
            <w:tcW w:w="184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THC Dosage (Route)</w:t>
            </w:r>
          </w:p>
        </w:tc>
        <w:tc>
          <w:tcPr>
            <w:tcW w:w="319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Brief description</w:t>
            </w:r>
          </w:p>
        </w:tc>
        <w:tc>
          <w:tcPr>
            <w:tcW w:w="112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Result</w:t>
            </w:r>
          </w:p>
        </w:tc>
        <w:tc>
          <w:tcPr>
            <w:tcW w:w="1198"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 xml:space="preserve">Result Magnitude* </w:t>
            </w:r>
          </w:p>
        </w:tc>
        <w:tc>
          <w:tcPr>
            <w:tcW w:w="1204"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18"/>
                <w:szCs w:val="18"/>
              </w:rPr>
            </w:pPr>
            <w:r w:rsidRPr="0084373E">
              <w:rPr>
                <w:rFonts w:ascii="Arial" w:eastAsia="Times New Roman" w:hAnsi="Arial" w:cs="Arial"/>
                <w:b/>
                <w:bCs/>
                <w:color w:val="000000"/>
                <w:sz w:val="18"/>
                <w:szCs w:val="18"/>
              </w:rPr>
              <w:t>Study Quality</w:t>
            </w:r>
          </w:p>
        </w:tc>
      </w:tr>
      <w:tr w:rsidR="00EC25F0" w:rsidRPr="0084373E" w:rsidTr="00C23696">
        <w:trPr>
          <w:trHeight w:val="211"/>
        </w:trPr>
        <w:tc>
          <w:tcPr>
            <w:tcW w:w="2539" w:type="dxa"/>
            <w:tcBorders>
              <w:top w:val="single" w:sz="4" w:space="0" w:color="auto"/>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Metrik et al. 2012</w:t>
            </w:r>
          </w:p>
        </w:tc>
        <w:tc>
          <w:tcPr>
            <w:tcW w:w="982" w:type="dxa"/>
            <w:tcBorders>
              <w:top w:val="single" w:sz="4" w:space="0" w:color="auto"/>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single" w:sz="4" w:space="0" w:color="auto"/>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136</w:t>
            </w:r>
          </w:p>
        </w:tc>
        <w:tc>
          <w:tcPr>
            <w:tcW w:w="1233" w:type="dxa"/>
            <w:tcBorders>
              <w:top w:val="single" w:sz="4" w:space="0" w:color="auto"/>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single" w:sz="4" w:space="0" w:color="auto"/>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2.80%</w:t>
            </w:r>
          </w:p>
        </w:tc>
        <w:tc>
          <w:tcPr>
            <w:tcW w:w="3197" w:type="dxa"/>
            <w:tcBorders>
              <w:top w:val="single" w:sz="4" w:space="0" w:color="auto"/>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Stop Signal Task</w:t>
            </w:r>
          </w:p>
        </w:tc>
        <w:tc>
          <w:tcPr>
            <w:tcW w:w="1128" w:type="dxa"/>
            <w:tcBorders>
              <w:top w:val="single" w:sz="4" w:space="0" w:color="auto"/>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single" w:sz="4" w:space="0" w:color="auto"/>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w:t>
            </w:r>
          </w:p>
        </w:tc>
        <w:tc>
          <w:tcPr>
            <w:tcW w:w="1204" w:type="dxa"/>
            <w:tcBorders>
              <w:top w:val="single" w:sz="4" w:space="0" w:color="auto"/>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LD</w:t>
            </w:r>
          </w:p>
        </w:tc>
      </w:tr>
      <w:tr w:rsidR="00EC25F0" w:rsidRPr="0084373E" w:rsidTr="00C23696">
        <w:trPr>
          <w:trHeight w:val="209"/>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Weinstein et al. 2008</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14</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13 and 17 mg</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Wisconsin Card Sorting Task </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NT</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Weinstein et al. 2008</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14</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13 and 17 mg</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Gambling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NT</w:t>
            </w:r>
          </w:p>
        </w:tc>
      </w:tr>
      <w:tr w:rsidR="00EC25F0" w:rsidRPr="0084373E" w:rsidTr="00C23696">
        <w:trPr>
          <w:trHeight w:val="246"/>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Theunissen et al. 2012</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24</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500 ng/kg (13%)</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Stop Signal Task - computerized</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2009</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12</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500ng/kg (~35mg)</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Stop Signal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163"/>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Hart et al. 2001</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18</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1.8%  &amp; 3.9%</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Digit Recall Task (Computerized)</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 (3.9%)</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Vadhan et al. 2006</w:t>
            </w:r>
          </w:p>
        </w:tc>
        <w:tc>
          <w:tcPr>
            <w:tcW w:w="982" w:type="dxa"/>
            <w:tcBorders>
              <w:top w:val="nil"/>
              <w:left w:val="nil"/>
              <w:bottom w:val="nil"/>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36</w:t>
            </w:r>
          </w:p>
        </w:tc>
        <w:tc>
          <w:tcPr>
            <w:tcW w:w="1233" w:type="dxa"/>
            <w:tcBorders>
              <w:top w:val="nil"/>
              <w:left w:val="nil"/>
              <w:bottom w:val="nil"/>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1.8 &amp; 3.9%</w:t>
            </w:r>
          </w:p>
        </w:tc>
        <w:tc>
          <w:tcPr>
            <w:tcW w:w="3197" w:type="dxa"/>
            <w:tcBorders>
              <w:top w:val="nil"/>
              <w:left w:val="nil"/>
              <w:bottom w:val="nil"/>
              <w:right w:val="nil"/>
            </w:tcBorders>
            <w:shd w:val="clear" w:color="auto" w:fill="auto"/>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Gambling Task</w:t>
            </w:r>
          </w:p>
        </w:tc>
        <w:tc>
          <w:tcPr>
            <w:tcW w:w="1128" w:type="dxa"/>
            <w:tcBorders>
              <w:top w:val="nil"/>
              <w:left w:val="nil"/>
              <w:bottom w:val="nil"/>
              <w:right w:val="nil"/>
            </w:tcBorders>
            <w:shd w:val="clear" w:color="auto" w:fill="auto"/>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98" w:type="dxa"/>
            <w:tcBorders>
              <w:top w:val="nil"/>
              <w:left w:val="nil"/>
              <w:bottom w:val="nil"/>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LD, DR</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Desroisers et al. 2015</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25</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6.80%</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n-back task</w:t>
            </w:r>
          </w:p>
        </w:tc>
        <w:tc>
          <w:tcPr>
            <w:tcW w:w="1128"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Desroisers et al. 2015</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25</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6.80%</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Balloon Analog Task</w:t>
            </w:r>
          </w:p>
        </w:tc>
        <w:tc>
          <w:tcPr>
            <w:tcW w:w="1128"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Sewell et al. 2012</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44</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0.015 - 0.05 mg/kg</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Time Estimation </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LD, DR</w:t>
            </w:r>
          </w:p>
        </w:tc>
      </w:tr>
      <w:tr w:rsidR="00EC25F0" w:rsidRPr="0084373E" w:rsidTr="00C23696">
        <w:trPr>
          <w:trHeight w:val="239"/>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Hart et al. 2001</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18</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1.8%  &amp; 3.9%</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Digit Symbol Substitution  Task </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Weinstein et al. 2008</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14</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13 and 17 mg</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Novel TP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NT</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2011</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21</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400 ng/kg (~28mg)</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Stop Signal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2011</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21</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400 ng/kg (~28mg)</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Tower of London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2009</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12</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Frequent</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500ng/kg (~35mg)</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Tower of London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Chiat 1994</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14</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3.60%</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Backward Digit Span</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 UP</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2006</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20</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17.5mg (4%)</w:t>
            </w:r>
          </w:p>
        </w:tc>
        <w:tc>
          <w:tcPr>
            <w:tcW w:w="319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Stop Signal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 UP</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2006</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20</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17.5mg (4%)</w:t>
            </w:r>
          </w:p>
        </w:tc>
        <w:tc>
          <w:tcPr>
            <w:tcW w:w="319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Tower of London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 UP</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2006</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20</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17.5mg (4%)</w:t>
            </w:r>
          </w:p>
        </w:tc>
        <w:tc>
          <w:tcPr>
            <w:tcW w:w="319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Gambling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 UP</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2006</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20</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35mg (13%)</w:t>
            </w:r>
          </w:p>
        </w:tc>
        <w:tc>
          <w:tcPr>
            <w:tcW w:w="319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Stop Signal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UP</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2006</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20</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35mg (13%)</w:t>
            </w:r>
          </w:p>
        </w:tc>
        <w:tc>
          <w:tcPr>
            <w:tcW w:w="319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Tower of London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UP</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2006</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20</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35mg (13%)</w:t>
            </w:r>
          </w:p>
        </w:tc>
        <w:tc>
          <w:tcPr>
            <w:tcW w:w="3197"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Gambling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UP</w:t>
            </w:r>
          </w:p>
        </w:tc>
      </w:tr>
      <w:tr w:rsidR="00EC25F0" w:rsidRPr="0084373E" w:rsidTr="00C23696">
        <w:trPr>
          <w:trHeight w:val="209"/>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Chiat 1994</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14</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3.60%</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Digit Symbol Substitution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NE </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 UP</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Lane et al. 2005</w:t>
            </w:r>
          </w:p>
        </w:tc>
        <w:tc>
          <w:tcPr>
            <w:tcW w:w="982" w:type="dxa"/>
            <w:tcBorders>
              <w:top w:val="nil"/>
              <w:left w:val="nil"/>
              <w:bottom w:val="nil"/>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Lab</w:t>
            </w:r>
          </w:p>
        </w:tc>
        <w:tc>
          <w:tcPr>
            <w:tcW w:w="543" w:type="dxa"/>
            <w:tcBorders>
              <w:top w:val="nil"/>
              <w:left w:val="nil"/>
              <w:bottom w:val="nil"/>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10</w:t>
            </w:r>
          </w:p>
        </w:tc>
        <w:tc>
          <w:tcPr>
            <w:tcW w:w="1233" w:type="dxa"/>
            <w:tcBorders>
              <w:top w:val="nil"/>
              <w:left w:val="nil"/>
              <w:bottom w:val="nil"/>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NS</w:t>
            </w:r>
          </w:p>
        </w:tc>
        <w:tc>
          <w:tcPr>
            <w:tcW w:w="1848" w:type="dxa"/>
            <w:tcBorders>
              <w:top w:val="nil"/>
              <w:left w:val="nil"/>
              <w:bottom w:val="nil"/>
              <w:right w:val="nil"/>
            </w:tcBorders>
            <w:shd w:val="clear" w:color="auto" w:fill="auto"/>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1.77% &amp; 3.5%</w:t>
            </w:r>
          </w:p>
        </w:tc>
        <w:tc>
          <w:tcPr>
            <w:tcW w:w="3197" w:type="dxa"/>
            <w:tcBorders>
              <w:top w:val="nil"/>
              <w:left w:val="nil"/>
              <w:bottom w:val="nil"/>
              <w:right w:val="nil"/>
            </w:tcBorders>
            <w:shd w:val="clear" w:color="auto" w:fill="auto"/>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Computerized gambling ask</w:t>
            </w:r>
          </w:p>
        </w:tc>
        <w:tc>
          <w:tcPr>
            <w:tcW w:w="1128" w:type="dxa"/>
            <w:tcBorders>
              <w:top w:val="nil"/>
              <w:left w:val="nil"/>
              <w:bottom w:val="nil"/>
              <w:right w:val="nil"/>
            </w:tcBorders>
            <w:shd w:val="clear" w:color="auto" w:fill="auto"/>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w:t>
            </w:r>
          </w:p>
        </w:tc>
        <w:tc>
          <w:tcPr>
            <w:tcW w:w="1204" w:type="dxa"/>
            <w:tcBorders>
              <w:top w:val="nil"/>
              <w:left w:val="nil"/>
              <w:bottom w:val="nil"/>
              <w:right w:val="single" w:sz="4" w:space="0" w:color="auto"/>
            </w:tcBorders>
            <w:shd w:val="clear" w:color="auto" w:fill="auto"/>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 SS, LD, UP</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Desroisers et al. 2015</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25</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48"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6.80%</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n-back task</w:t>
            </w:r>
          </w:p>
        </w:tc>
        <w:tc>
          <w:tcPr>
            <w:tcW w:w="1128"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17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Desroisers et al. 2015</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25</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Occasional </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6.80%</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Balloon Analog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Sewell et al. 2012</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44</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0.015 - 0.05 mg/kg</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Time Estimation Software 2.0 </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LD, DR</w:t>
            </w:r>
          </w:p>
        </w:tc>
      </w:tr>
      <w:tr w:rsidR="00EC25F0" w:rsidRPr="0084373E" w:rsidTr="00C23696">
        <w:trPr>
          <w:trHeight w:val="239"/>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MacDonald et al. 2003</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37</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15mg (Oral)</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Verbal Digit Span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p>
        </w:tc>
      </w:tr>
      <w:tr w:rsidR="00EC25F0" w:rsidRPr="0084373E" w:rsidTr="00C23696">
        <w:trPr>
          <w:trHeight w:val="186"/>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MacDonald et al. 2003</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37</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15mg (Oral)</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time perception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p>
        </w:tc>
      </w:tr>
      <w:tr w:rsidR="00EC25F0" w:rsidRPr="0084373E" w:rsidTr="00C23696">
        <w:trPr>
          <w:trHeight w:val="209"/>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MacDonald et al. 2003</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37</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15mg (Oral)</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Computerized Stop Signal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Theunissen et al. 2012</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24</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500 ng/kg (13%)</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Stop Signal Task - computerized</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HP</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17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2009</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12</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500ng/kg (~35mg)</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Stop Signal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HP </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MacDonald et al. 2003</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37</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15mg (Oral)</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Delay Discounting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 LD</w:t>
            </w:r>
          </w:p>
        </w:tc>
      </w:tr>
      <w:tr w:rsidR="00EC25F0" w:rsidRPr="0084373E" w:rsidTr="00C23696">
        <w:trPr>
          <w:trHeight w:val="209"/>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Ramaekers et al. 2009</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12</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500ng/kg (~35mg)</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Tower of London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NE</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SS</w:t>
            </w:r>
          </w:p>
        </w:tc>
      </w:tr>
      <w:tr w:rsidR="00EC25F0" w:rsidRPr="0084373E" w:rsidTr="00C23696">
        <w:trPr>
          <w:trHeight w:val="211"/>
        </w:trPr>
        <w:tc>
          <w:tcPr>
            <w:tcW w:w="2539" w:type="dxa"/>
            <w:tcBorders>
              <w:top w:val="nil"/>
              <w:left w:val="single" w:sz="4" w:space="0" w:color="auto"/>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MacDonald et al. 2003</w:t>
            </w:r>
          </w:p>
        </w:tc>
        <w:tc>
          <w:tcPr>
            <w:tcW w:w="982"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37</w:t>
            </w:r>
          </w:p>
        </w:tc>
        <w:tc>
          <w:tcPr>
            <w:tcW w:w="1233"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4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15mg (Oral)</w:t>
            </w:r>
          </w:p>
        </w:tc>
        <w:tc>
          <w:tcPr>
            <w:tcW w:w="3197" w:type="dxa"/>
            <w:tcBorders>
              <w:top w:val="nil"/>
              <w:left w:val="nil"/>
              <w:bottom w:val="nil"/>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Hopkins Verbal Recall Task</w:t>
            </w:r>
          </w:p>
        </w:tc>
        <w:tc>
          <w:tcPr>
            <w:tcW w:w="112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NE </w:t>
            </w:r>
          </w:p>
        </w:tc>
        <w:tc>
          <w:tcPr>
            <w:tcW w:w="1198" w:type="dxa"/>
            <w:tcBorders>
              <w:top w:val="nil"/>
              <w:left w:val="nil"/>
              <w:bottom w:val="nil"/>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nil"/>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18"/>
                <w:szCs w:val="18"/>
              </w:rPr>
            </w:pPr>
          </w:p>
        </w:tc>
      </w:tr>
      <w:tr w:rsidR="00EC25F0" w:rsidRPr="0084373E" w:rsidTr="00C23696">
        <w:trPr>
          <w:trHeight w:val="211"/>
        </w:trPr>
        <w:tc>
          <w:tcPr>
            <w:tcW w:w="2539" w:type="dxa"/>
            <w:tcBorders>
              <w:top w:val="nil"/>
              <w:left w:val="single" w:sz="4" w:space="0" w:color="auto"/>
              <w:bottom w:val="single" w:sz="4" w:space="0" w:color="auto"/>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MacDonald et al. 2003</w:t>
            </w:r>
          </w:p>
        </w:tc>
        <w:tc>
          <w:tcPr>
            <w:tcW w:w="982" w:type="dxa"/>
            <w:tcBorders>
              <w:top w:val="nil"/>
              <w:left w:val="nil"/>
              <w:bottom w:val="single" w:sz="4" w:space="0" w:color="auto"/>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Lab  </w:t>
            </w:r>
          </w:p>
        </w:tc>
        <w:tc>
          <w:tcPr>
            <w:tcW w:w="543" w:type="dxa"/>
            <w:tcBorders>
              <w:top w:val="nil"/>
              <w:left w:val="nil"/>
              <w:bottom w:val="single" w:sz="4" w:space="0" w:color="auto"/>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37</w:t>
            </w:r>
          </w:p>
        </w:tc>
        <w:tc>
          <w:tcPr>
            <w:tcW w:w="1233" w:type="dxa"/>
            <w:tcBorders>
              <w:top w:val="nil"/>
              <w:left w:val="nil"/>
              <w:bottom w:val="single" w:sz="4" w:space="0" w:color="auto"/>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Occasional</w:t>
            </w:r>
          </w:p>
        </w:tc>
        <w:tc>
          <w:tcPr>
            <w:tcW w:w="1848" w:type="dxa"/>
            <w:tcBorders>
              <w:top w:val="nil"/>
              <w:left w:val="nil"/>
              <w:bottom w:val="single" w:sz="4" w:space="0" w:color="auto"/>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15mg (Oral)</w:t>
            </w:r>
          </w:p>
        </w:tc>
        <w:tc>
          <w:tcPr>
            <w:tcW w:w="3197" w:type="dxa"/>
            <w:tcBorders>
              <w:top w:val="nil"/>
              <w:left w:val="nil"/>
              <w:bottom w:val="single" w:sz="4" w:space="0" w:color="auto"/>
              <w:right w:val="nil"/>
            </w:tcBorders>
            <w:shd w:val="clear" w:color="auto" w:fill="auto"/>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Verbal Go no go task</w:t>
            </w:r>
          </w:p>
        </w:tc>
        <w:tc>
          <w:tcPr>
            <w:tcW w:w="1128" w:type="dxa"/>
            <w:tcBorders>
              <w:top w:val="nil"/>
              <w:left w:val="nil"/>
              <w:bottom w:val="single" w:sz="4" w:space="0" w:color="auto"/>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 xml:space="preserve">NE </w:t>
            </w:r>
          </w:p>
        </w:tc>
        <w:tc>
          <w:tcPr>
            <w:tcW w:w="1198" w:type="dxa"/>
            <w:tcBorders>
              <w:top w:val="nil"/>
              <w:left w:val="nil"/>
              <w:bottom w:val="single" w:sz="4" w:space="0" w:color="auto"/>
              <w:right w:val="nil"/>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8"/>
                <w:szCs w:val="18"/>
              </w:rPr>
              <w:t>NA</w:t>
            </w:r>
          </w:p>
        </w:tc>
        <w:tc>
          <w:tcPr>
            <w:tcW w:w="1204" w:type="dxa"/>
            <w:tcBorders>
              <w:top w:val="nil"/>
              <w:left w:val="nil"/>
              <w:bottom w:val="single" w:sz="4" w:space="0" w:color="auto"/>
              <w:right w:val="single" w:sz="4" w:space="0" w:color="auto"/>
            </w:tcBorders>
            <w:shd w:val="clear" w:color="auto" w:fill="auto"/>
            <w:noWrap/>
          </w:tcPr>
          <w:p w:rsidR="00EC25F0" w:rsidRPr="0084373E" w:rsidRDefault="00EC25F0" w:rsidP="006057BE">
            <w:pPr>
              <w:spacing w:after="0" w:line="240" w:lineRule="auto"/>
              <w:rPr>
                <w:rFonts w:ascii="Arial" w:eastAsia="Times New Roman" w:hAnsi="Arial" w:cs="Arial"/>
                <w:color w:val="000000"/>
                <w:sz w:val="18"/>
                <w:szCs w:val="18"/>
              </w:rPr>
            </w:pPr>
          </w:p>
        </w:tc>
      </w:tr>
      <w:tr w:rsidR="00EC25F0" w:rsidRPr="0084373E" w:rsidTr="00C23696">
        <w:trPr>
          <w:trHeight w:val="350"/>
        </w:trPr>
        <w:tc>
          <w:tcPr>
            <w:tcW w:w="13872" w:type="dxa"/>
            <w:gridSpan w:val="9"/>
            <w:tcBorders>
              <w:top w:val="single" w:sz="4" w:space="0" w:color="auto"/>
              <w:left w:val="nil"/>
              <w:bottom w:val="nil"/>
              <w:right w:val="nil"/>
            </w:tcBorders>
            <w:shd w:val="clear" w:color="auto" w:fill="auto"/>
            <w:vAlign w:val="bottom"/>
            <w:hideMark/>
          </w:tcPr>
          <w:p w:rsidR="00EC25F0" w:rsidRPr="0084373E" w:rsidRDefault="00EC25F0" w:rsidP="006057BE">
            <w:pPr>
              <w:spacing w:after="0" w:line="240" w:lineRule="auto"/>
              <w:rPr>
                <w:rFonts w:ascii="Arial" w:eastAsia="Times New Roman" w:hAnsi="Arial" w:cs="Arial"/>
                <w:color w:val="000000"/>
                <w:sz w:val="18"/>
                <w:szCs w:val="18"/>
              </w:rPr>
            </w:pPr>
            <w:r w:rsidRPr="0084373E">
              <w:rPr>
                <w:rFonts w:ascii="Arial" w:eastAsia="Times New Roman" w:hAnsi="Arial" w:cs="Arial"/>
                <w:color w:val="000000"/>
                <w:sz w:val="16"/>
                <w:szCs w:val="18"/>
              </w:rPr>
              <w:t>Note: DAT=divided attention task; *Result classified as: HP=hurt performance, IP=improved performance, NE=no effect. Magnitude of results only provided if statically significant. ** Issues potentially impacting study quality were noted as: SS=small sample size; NT = no validated tool used; LD = low dose marijuana, UP=user population not defined, DR= use of subjective high with no dose response gradient; OT=other quality issues.</w:t>
            </w:r>
          </w:p>
        </w:tc>
      </w:tr>
    </w:tbl>
    <w:p w:rsidR="00EC25F0" w:rsidRPr="0084373E" w:rsidRDefault="00EC25F0" w:rsidP="006057BE">
      <w:pPr>
        <w:spacing w:after="0" w:line="240" w:lineRule="auto"/>
        <w:rPr>
          <w:rFonts w:cs="Times New Roman"/>
          <w:szCs w:val="24"/>
        </w:rPr>
        <w:sectPr w:rsidR="00EC25F0" w:rsidRPr="0084373E" w:rsidSect="00626599">
          <w:pgSz w:w="15840" w:h="12240" w:orient="landscape"/>
          <w:pgMar w:top="1440" w:right="1440" w:bottom="1440" w:left="1440" w:header="720" w:footer="720" w:gutter="0"/>
          <w:cols w:space="720"/>
          <w:docGrid w:linePitch="360"/>
        </w:sectPr>
      </w:pPr>
    </w:p>
    <w:p w:rsidR="00EC25F0" w:rsidRPr="00E82261" w:rsidRDefault="00EC25F0" w:rsidP="00332358">
      <w:pPr>
        <w:pStyle w:val="Heading3"/>
      </w:pPr>
      <w:bookmarkStart w:id="317" w:name="_Toc512861207"/>
      <w:bookmarkStart w:id="318" w:name="_Toc11765982"/>
      <w:bookmarkStart w:id="319" w:name="_Toc11766637"/>
      <w:r w:rsidRPr="00E82261">
        <w:t>Research Question 3b: Field Measurement of Marijuana’s Effects and Accuracy for Determining Impairment</w:t>
      </w:r>
      <w:bookmarkEnd w:id="317"/>
      <w:bookmarkEnd w:id="318"/>
      <w:bookmarkEnd w:id="319"/>
    </w:p>
    <w:p w:rsidR="006D0A50" w:rsidRPr="00E82261" w:rsidRDefault="006D0A50" w:rsidP="006057BE">
      <w:pPr>
        <w:pStyle w:val="BodyText"/>
        <w:spacing w:line="240" w:lineRule="auto"/>
        <w:rPr>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Laboratory based measurement of marijuana’s cognitive and behavioral effects are described above. While there are many tools used to measure the domains of impairment in laboratory settings, as evidenced in Tables </w:t>
      </w:r>
      <w:r w:rsidR="00E82261">
        <w:rPr>
          <w:rFonts w:ascii="Arial" w:hAnsi="Arial" w:cs="Arial"/>
          <w:sz w:val="24"/>
          <w:szCs w:val="24"/>
        </w:rPr>
        <w:t>5-7, field measures lag behind.</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In the peer reviewed literature, we identified three studies testing SFST for detecting marijuana impairment. Accuracy was, at best approximately 50% for the one leg stand portion of the test. We also conducted a web search that identified several mobile applications that offer versions of some of the tests for automative behavior, executive function, and control behavior that were measured above, as being impacted by marijuana. Although only one tool: DRUID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&lt;EndNote&gt;&lt;Cite&gt;&lt;Author&gt;Milburn&lt;/Author&gt;&lt;Year&gt;2017&lt;/Year&gt;&lt;RecNum&gt;236&lt;/RecNum&gt;&lt;DisplayText&gt;(Milburn, 2017)&lt;/DisplayText&gt;&lt;record&gt;&lt;rec-number&gt;236&lt;/rec-number&gt;&lt;foreign-keys&gt;&lt;key app="EN" db-id="d0tr9f9wrrzr9lef5rsvpsadtz2we0sa25tw" timestamp="1521761209"&gt;236&lt;/key&gt;&lt;/foreign-keys&gt;&lt;ref-type name="Web Page"&gt;12&lt;/ref-type&gt;&lt;contributors&gt;&lt;authors&gt;&lt;author&gt;Milburn, M.&lt;/author&gt;&lt;/authors&gt;&lt;/contributors&gt;&lt;titles&gt;&lt;title&gt;DRUID&lt;/title&gt;&lt;/titles&gt;&lt;pages&gt;DRUID is an app that enables users to assess their level of physical &amp;amp; cognitive impairment.&lt;/pages&gt;&lt;dates&gt;&lt;year&gt;2017&lt;/year&gt;&lt;/dates&gt;&lt;work-type&gt;Website&lt;/work-type&gt;&lt;urls&gt;&lt;related-urls&gt;&lt;url&gt;https://www.druidapp.com&lt;/url&gt;&lt;/related-urls&gt;&lt;/urls&gt;&lt;/record&gt;&lt;/Cite&gt;&lt;/EndNote&gt;</w:instrText>
      </w:r>
      <w:r w:rsidRPr="00E82261">
        <w:rPr>
          <w:rFonts w:ascii="Arial" w:hAnsi="Arial" w:cs="Arial"/>
          <w:sz w:val="24"/>
          <w:szCs w:val="24"/>
        </w:rPr>
        <w:fldChar w:fldCharType="separate"/>
      </w:r>
      <w:r w:rsidRPr="00E82261">
        <w:rPr>
          <w:rFonts w:ascii="Arial" w:hAnsi="Arial" w:cs="Arial"/>
          <w:noProof/>
          <w:sz w:val="24"/>
          <w:szCs w:val="24"/>
        </w:rPr>
        <w:t>(Milburn, 2017)</w:t>
      </w:r>
      <w:r w:rsidRPr="00E82261">
        <w:rPr>
          <w:rFonts w:ascii="Arial" w:hAnsi="Arial" w:cs="Arial"/>
          <w:sz w:val="24"/>
          <w:szCs w:val="24"/>
        </w:rPr>
        <w:fldChar w:fldCharType="end"/>
      </w:r>
      <w:r w:rsidRPr="00E82261">
        <w:rPr>
          <w:rFonts w:ascii="Arial" w:hAnsi="Arial" w:cs="Arial"/>
          <w:sz w:val="24"/>
          <w:szCs w:val="24"/>
        </w:rPr>
        <w:t xml:space="preserve">, was developed explicitly for measuring marijuana-related effects, these tools in general may have promise. DRUID is being tested in an NIH-funded study at Brown University Medical School.  </w:t>
      </w:r>
    </w:p>
    <w:p w:rsidR="00EC25F0" w:rsidRPr="0084373E" w:rsidRDefault="00EC25F0" w:rsidP="006057BE">
      <w:pPr>
        <w:pStyle w:val="Caption"/>
        <w:spacing w:after="0"/>
        <w:rPr>
          <w:rFonts w:ascii="Arial" w:hAnsi="Arial" w:cs="Arial"/>
          <w:b/>
          <w:szCs w:val="24"/>
        </w:rPr>
        <w:sectPr w:rsidR="00EC25F0" w:rsidRPr="0084373E" w:rsidSect="00626599">
          <w:pgSz w:w="12240" w:h="15840"/>
          <w:pgMar w:top="1440" w:right="1440" w:bottom="1440" w:left="1440" w:header="720" w:footer="720" w:gutter="0"/>
          <w:cols w:space="720"/>
          <w:docGrid w:linePitch="360"/>
        </w:sectPr>
      </w:pPr>
    </w:p>
    <w:p w:rsidR="006D0A50" w:rsidRPr="00A3309E" w:rsidRDefault="00EC25F0" w:rsidP="00A3309E">
      <w:pPr>
        <w:pStyle w:val="Caption"/>
        <w:spacing w:after="0"/>
        <w:rPr>
          <w:rFonts w:ascii="Arial" w:hAnsi="Arial" w:cs="Arial"/>
          <w:b/>
          <w:szCs w:val="24"/>
        </w:rPr>
      </w:pPr>
      <w:r w:rsidRPr="0084373E">
        <w:rPr>
          <w:rFonts w:ascii="Arial" w:hAnsi="Arial" w:cs="Arial"/>
          <w:b/>
          <w:szCs w:val="24"/>
        </w:rPr>
        <w:t>Table 8. Field Tests for Cognitive and Behavioral Indicators of Marijuana Effects, Peer-Reviewed Literature</w:t>
      </w:r>
    </w:p>
    <w:tbl>
      <w:tblPr>
        <w:tblW w:w="9473" w:type="dxa"/>
        <w:tblInd w:w="-5" w:type="dxa"/>
        <w:tblLook w:val="04A0" w:firstRow="1" w:lastRow="0" w:firstColumn="1" w:lastColumn="0" w:noHBand="0" w:noVBand="1"/>
        <w:tblCaption w:val="Field Tests for Cognitive and Behavioral Indicators of Marijuana Effects, Peer-Reviewed Literature"/>
      </w:tblPr>
      <w:tblGrid>
        <w:gridCol w:w="1480"/>
        <w:gridCol w:w="1243"/>
        <w:gridCol w:w="1192"/>
        <w:gridCol w:w="1071"/>
        <w:gridCol w:w="1967"/>
        <w:gridCol w:w="2520"/>
      </w:tblGrid>
      <w:tr w:rsidR="00EC25F0" w:rsidRPr="0084373E" w:rsidTr="00C23696">
        <w:trPr>
          <w:trHeight w:val="462"/>
        </w:trPr>
        <w:tc>
          <w:tcPr>
            <w:tcW w:w="1480"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b/>
                <w:bCs/>
                <w:color w:val="000000"/>
                <w:sz w:val="20"/>
                <w:szCs w:val="24"/>
              </w:rPr>
            </w:pPr>
            <w:r w:rsidRPr="0084373E">
              <w:rPr>
                <w:rFonts w:ascii="Arial" w:eastAsia="Times New Roman" w:hAnsi="Arial" w:cs="Arial"/>
                <w:b/>
                <w:bCs/>
                <w:color w:val="000000"/>
                <w:sz w:val="20"/>
                <w:szCs w:val="24"/>
              </w:rPr>
              <w:t>Tool Type</w:t>
            </w:r>
          </w:p>
        </w:tc>
        <w:tc>
          <w:tcPr>
            <w:tcW w:w="1243"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b/>
                <w:bCs/>
                <w:color w:val="000000"/>
                <w:sz w:val="20"/>
                <w:szCs w:val="24"/>
              </w:rPr>
            </w:pPr>
            <w:r w:rsidRPr="0084373E">
              <w:rPr>
                <w:rFonts w:ascii="Arial" w:eastAsia="Times New Roman" w:hAnsi="Arial" w:cs="Arial"/>
                <w:b/>
                <w:bCs/>
                <w:color w:val="000000"/>
                <w:sz w:val="20"/>
                <w:szCs w:val="24"/>
              </w:rPr>
              <w:t>Tested for MJ</w:t>
            </w:r>
          </w:p>
        </w:tc>
        <w:tc>
          <w:tcPr>
            <w:tcW w:w="1192"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b/>
                <w:bCs/>
                <w:color w:val="000000"/>
                <w:sz w:val="20"/>
                <w:szCs w:val="24"/>
              </w:rPr>
            </w:pPr>
            <w:r w:rsidRPr="0084373E">
              <w:rPr>
                <w:rFonts w:ascii="Arial" w:eastAsia="Times New Roman" w:hAnsi="Arial" w:cs="Arial"/>
                <w:b/>
                <w:bCs/>
                <w:color w:val="000000"/>
                <w:sz w:val="20"/>
                <w:szCs w:val="24"/>
              </w:rPr>
              <w:t xml:space="preserve">Study </w:t>
            </w:r>
          </w:p>
        </w:tc>
        <w:tc>
          <w:tcPr>
            <w:tcW w:w="1071"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b/>
                <w:bCs/>
                <w:color w:val="000000"/>
                <w:sz w:val="20"/>
                <w:szCs w:val="24"/>
              </w:rPr>
            </w:pPr>
            <w:r w:rsidRPr="0084373E">
              <w:rPr>
                <w:rFonts w:ascii="Arial" w:eastAsia="Times New Roman" w:hAnsi="Arial" w:cs="Arial"/>
                <w:b/>
                <w:bCs/>
                <w:color w:val="000000"/>
                <w:sz w:val="20"/>
                <w:szCs w:val="24"/>
              </w:rPr>
              <w:t>Year</w:t>
            </w:r>
          </w:p>
        </w:tc>
        <w:tc>
          <w:tcPr>
            <w:tcW w:w="196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b/>
                <w:bCs/>
                <w:color w:val="000000"/>
                <w:sz w:val="20"/>
                <w:szCs w:val="24"/>
              </w:rPr>
            </w:pPr>
            <w:r w:rsidRPr="0084373E">
              <w:rPr>
                <w:rFonts w:ascii="Arial" w:eastAsia="Times New Roman" w:hAnsi="Arial" w:cs="Arial"/>
                <w:b/>
                <w:bCs/>
                <w:color w:val="000000"/>
                <w:sz w:val="20"/>
                <w:szCs w:val="24"/>
              </w:rPr>
              <w:t xml:space="preserve">Accuracy for MJ Impairment </w:t>
            </w:r>
          </w:p>
        </w:tc>
        <w:tc>
          <w:tcPr>
            <w:tcW w:w="2520" w:type="dxa"/>
            <w:tcBorders>
              <w:top w:val="single" w:sz="4" w:space="0" w:color="auto"/>
              <w:left w:val="nil"/>
              <w:bottom w:val="single" w:sz="4" w:space="0" w:color="auto"/>
              <w:right w:val="single" w:sz="4" w:space="0" w:color="auto"/>
            </w:tcBorders>
            <w:shd w:val="clear" w:color="auto" w:fill="auto"/>
            <w:noWrap/>
            <w:hideMark/>
          </w:tcPr>
          <w:p w:rsidR="00EC25F0" w:rsidRPr="0084373E" w:rsidRDefault="00EC25F0" w:rsidP="006057BE">
            <w:pPr>
              <w:spacing w:after="0" w:line="240" w:lineRule="auto"/>
              <w:rPr>
                <w:rFonts w:ascii="Arial" w:eastAsia="Times New Roman" w:hAnsi="Arial" w:cs="Arial"/>
                <w:b/>
                <w:bCs/>
                <w:color w:val="000000"/>
                <w:sz w:val="20"/>
                <w:szCs w:val="24"/>
              </w:rPr>
            </w:pPr>
            <w:r w:rsidRPr="0084373E">
              <w:rPr>
                <w:rFonts w:ascii="Arial" w:eastAsia="Times New Roman" w:hAnsi="Arial" w:cs="Arial"/>
                <w:b/>
                <w:bCs/>
                <w:color w:val="000000"/>
                <w:sz w:val="20"/>
                <w:szCs w:val="24"/>
              </w:rPr>
              <w:t>Overall Result</w:t>
            </w:r>
          </w:p>
        </w:tc>
      </w:tr>
      <w:tr w:rsidR="00EC25F0" w:rsidRPr="0084373E" w:rsidTr="00C23696">
        <w:trPr>
          <w:trHeight w:val="827"/>
        </w:trPr>
        <w:tc>
          <w:tcPr>
            <w:tcW w:w="1480" w:type="dxa"/>
            <w:tcBorders>
              <w:top w:val="nil"/>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 xml:space="preserve">SFST </w:t>
            </w:r>
          </w:p>
        </w:tc>
        <w:tc>
          <w:tcPr>
            <w:tcW w:w="1243"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Yes</w:t>
            </w:r>
          </w:p>
        </w:tc>
        <w:tc>
          <w:tcPr>
            <w:tcW w:w="1192"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Porath-Waller and Beirness</w:t>
            </w:r>
          </w:p>
        </w:tc>
        <w:tc>
          <w:tcPr>
            <w:tcW w:w="1071" w:type="dxa"/>
            <w:tcBorders>
              <w:top w:val="nil"/>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2014</w:t>
            </w:r>
          </w:p>
        </w:tc>
        <w:tc>
          <w:tcPr>
            <w:tcW w:w="1967" w:type="dxa"/>
            <w:tcBorders>
              <w:top w:val="nil"/>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 xml:space="preserve">Classification Rate: </w:t>
            </w:r>
            <w:r w:rsidRPr="0084373E">
              <w:rPr>
                <w:rFonts w:ascii="Arial" w:eastAsia="Times New Roman" w:hAnsi="Arial" w:cs="Arial"/>
                <w:color w:val="000000"/>
                <w:sz w:val="20"/>
                <w:szCs w:val="24"/>
              </w:rPr>
              <w:br/>
              <w:t>HGN: 1%</w:t>
            </w:r>
            <w:r w:rsidRPr="0084373E">
              <w:rPr>
                <w:rFonts w:ascii="Arial" w:eastAsia="Times New Roman" w:hAnsi="Arial" w:cs="Arial"/>
                <w:color w:val="000000"/>
                <w:sz w:val="20"/>
                <w:szCs w:val="24"/>
              </w:rPr>
              <w:br/>
              <w:t>OLS: 55.4%*</w:t>
            </w:r>
            <w:r w:rsidRPr="0084373E">
              <w:rPr>
                <w:rFonts w:ascii="Arial" w:eastAsia="Times New Roman" w:hAnsi="Arial" w:cs="Arial"/>
                <w:color w:val="000000"/>
                <w:sz w:val="20"/>
                <w:szCs w:val="24"/>
              </w:rPr>
              <w:br/>
              <w:t>WAT: 39.7%</w:t>
            </w:r>
          </w:p>
        </w:tc>
        <w:tc>
          <w:tcPr>
            <w:tcW w:w="2520" w:type="dxa"/>
            <w:tcBorders>
              <w:top w:val="nil"/>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Cannabis adversely affected performance on the OLS test but not the WAT and HGN tests</w:t>
            </w:r>
          </w:p>
        </w:tc>
      </w:tr>
      <w:tr w:rsidR="00EC25F0" w:rsidRPr="0084373E" w:rsidTr="00C23696">
        <w:trPr>
          <w:trHeight w:val="782"/>
        </w:trPr>
        <w:tc>
          <w:tcPr>
            <w:tcW w:w="1480"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 xml:space="preserve">SFST </w:t>
            </w:r>
          </w:p>
        </w:tc>
        <w:tc>
          <w:tcPr>
            <w:tcW w:w="1243"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 xml:space="preserve">Yes </w:t>
            </w:r>
          </w:p>
        </w:tc>
        <w:tc>
          <w:tcPr>
            <w:tcW w:w="1192"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1A181A"/>
                <w:sz w:val="20"/>
                <w:szCs w:val="24"/>
              </w:rPr>
            </w:pPr>
            <w:r w:rsidRPr="0084373E">
              <w:rPr>
                <w:rFonts w:ascii="Arial" w:eastAsia="Times New Roman" w:hAnsi="Arial" w:cs="Arial"/>
                <w:color w:val="1A181A"/>
                <w:sz w:val="20"/>
                <w:szCs w:val="24"/>
              </w:rPr>
              <w:t>Bosker et al.</w:t>
            </w:r>
          </w:p>
        </w:tc>
        <w:tc>
          <w:tcPr>
            <w:tcW w:w="1071"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2012</w:t>
            </w:r>
          </w:p>
        </w:tc>
        <w:tc>
          <w:tcPr>
            <w:tcW w:w="196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HGN: 15%</w:t>
            </w:r>
            <w:r w:rsidRPr="0084373E">
              <w:rPr>
                <w:rFonts w:ascii="Arial" w:eastAsia="Times New Roman" w:hAnsi="Arial" w:cs="Arial"/>
                <w:color w:val="000000"/>
                <w:sz w:val="20"/>
                <w:szCs w:val="24"/>
              </w:rPr>
              <w:br/>
              <w:t>OLS: 50%*</w:t>
            </w:r>
            <w:r w:rsidRPr="0084373E">
              <w:rPr>
                <w:rFonts w:ascii="Arial" w:eastAsia="Times New Roman" w:hAnsi="Arial" w:cs="Arial"/>
                <w:color w:val="000000"/>
                <w:sz w:val="20"/>
                <w:szCs w:val="24"/>
              </w:rPr>
              <w:br/>
              <w:t>WAT: 35%</w:t>
            </w:r>
          </w:p>
        </w:tc>
        <w:tc>
          <w:tcPr>
            <w:tcW w:w="2520"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 xml:space="preserve">Cannabis significantly impaired performance on the OLS </w:t>
            </w:r>
          </w:p>
        </w:tc>
      </w:tr>
      <w:tr w:rsidR="00EC25F0" w:rsidRPr="0084373E" w:rsidTr="00C23696">
        <w:trPr>
          <w:trHeight w:val="1520"/>
        </w:trPr>
        <w:tc>
          <w:tcPr>
            <w:tcW w:w="1480" w:type="dxa"/>
            <w:tcBorders>
              <w:top w:val="single" w:sz="4" w:space="0" w:color="auto"/>
              <w:left w:val="single" w:sz="4" w:space="0" w:color="auto"/>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SFST</w:t>
            </w:r>
          </w:p>
        </w:tc>
        <w:tc>
          <w:tcPr>
            <w:tcW w:w="1243"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Yes</w:t>
            </w:r>
          </w:p>
        </w:tc>
        <w:tc>
          <w:tcPr>
            <w:tcW w:w="1192"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1A181A"/>
                <w:sz w:val="20"/>
                <w:szCs w:val="24"/>
              </w:rPr>
            </w:pPr>
            <w:r w:rsidRPr="0084373E">
              <w:rPr>
                <w:rFonts w:ascii="Arial" w:eastAsia="Times New Roman" w:hAnsi="Arial" w:cs="Arial"/>
                <w:color w:val="1A181A"/>
                <w:sz w:val="20"/>
                <w:szCs w:val="24"/>
              </w:rPr>
              <w:t xml:space="preserve">Papafotiou </w:t>
            </w:r>
          </w:p>
        </w:tc>
        <w:tc>
          <w:tcPr>
            <w:tcW w:w="1071" w:type="dxa"/>
            <w:tcBorders>
              <w:top w:val="single" w:sz="4" w:space="0" w:color="auto"/>
              <w:left w:val="nil"/>
              <w:bottom w:val="single" w:sz="4" w:space="0" w:color="auto"/>
              <w:right w:val="nil"/>
            </w:tcBorders>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2005</w:t>
            </w:r>
          </w:p>
        </w:tc>
        <w:tc>
          <w:tcPr>
            <w:tcW w:w="1967" w:type="dxa"/>
            <w:tcBorders>
              <w:top w:val="single" w:sz="4" w:space="0" w:color="auto"/>
              <w:left w:val="nil"/>
              <w:bottom w:val="single" w:sz="4" w:space="0" w:color="auto"/>
              <w:right w:val="nil"/>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 xml:space="preserve">Overall SFST Battery: </w:t>
            </w:r>
            <w:r w:rsidRPr="0084373E">
              <w:rPr>
                <w:rFonts w:ascii="Arial" w:eastAsia="Times New Roman" w:hAnsi="Arial" w:cs="Arial"/>
                <w:color w:val="000000"/>
                <w:sz w:val="20"/>
                <w:szCs w:val="24"/>
              </w:rPr>
              <w:br/>
              <w:t>Time 1 (5 min post smoking): 46.2%</w:t>
            </w:r>
            <w:r w:rsidRPr="0084373E">
              <w:rPr>
                <w:rFonts w:ascii="Arial" w:eastAsia="Times New Roman" w:hAnsi="Arial" w:cs="Arial"/>
                <w:color w:val="000000"/>
                <w:sz w:val="20"/>
                <w:szCs w:val="24"/>
              </w:rPr>
              <w:br/>
              <w:t>Time 2 (55 min post smoking): 41%</w:t>
            </w:r>
            <w:r w:rsidRPr="0084373E">
              <w:rPr>
                <w:rFonts w:ascii="Arial" w:eastAsia="Times New Roman" w:hAnsi="Arial" w:cs="Arial"/>
                <w:color w:val="000000"/>
                <w:sz w:val="20"/>
                <w:szCs w:val="24"/>
              </w:rPr>
              <w:br/>
              <w:t>Time 3 (105 min post smoking): 28.2%</w:t>
            </w:r>
          </w:p>
        </w:tc>
        <w:tc>
          <w:tcPr>
            <w:tcW w:w="2520" w:type="dxa"/>
            <w:tcBorders>
              <w:top w:val="single" w:sz="4" w:space="0" w:color="auto"/>
              <w:left w:val="nil"/>
              <w:bottom w:val="single" w:sz="4" w:space="0" w:color="auto"/>
              <w:right w:val="single" w:sz="4" w:space="0" w:color="auto"/>
            </w:tcBorders>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The results indicated that the consumption of cannabis containing either 1.74% THC or 2.93% THC impaired performance on the SFSTs.</w:t>
            </w:r>
          </w:p>
        </w:tc>
      </w:tr>
      <w:tr w:rsidR="00EC25F0" w:rsidRPr="0084373E" w:rsidTr="00C23696">
        <w:trPr>
          <w:trHeight w:val="385"/>
        </w:trPr>
        <w:tc>
          <w:tcPr>
            <w:tcW w:w="9473" w:type="dxa"/>
            <w:gridSpan w:val="6"/>
            <w:tcBorders>
              <w:top w:val="single" w:sz="4" w:space="0" w:color="auto"/>
              <w:left w:val="nil"/>
              <w:bottom w:val="nil"/>
              <w:right w:val="nil"/>
            </w:tcBorders>
            <w:shd w:val="clear" w:color="auto" w:fill="auto"/>
            <w:noWrap/>
            <w:vAlign w:val="bottom"/>
            <w:hideMark/>
          </w:tcPr>
          <w:p w:rsidR="00EC25F0" w:rsidRPr="0084373E" w:rsidRDefault="00EC25F0" w:rsidP="006057BE">
            <w:pPr>
              <w:spacing w:after="0" w:line="240" w:lineRule="auto"/>
              <w:rPr>
                <w:rFonts w:ascii="Arial" w:eastAsia="Times New Roman" w:hAnsi="Arial" w:cs="Arial"/>
                <w:color w:val="000000"/>
                <w:szCs w:val="24"/>
              </w:rPr>
            </w:pPr>
            <w:r w:rsidRPr="0084373E">
              <w:rPr>
                <w:rFonts w:ascii="Arial" w:eastAsia="Times New Roman" w:hAnsi="Arial" w:cs="Arial"/>
                <w:color w:val="000000"/>
                <w:szCs w:val="24"/>
              </w:rPr>
              <w:t>Notes: HGN=horizontal gaze nystagmus; WAT=Walk and Turn: OLS= one leg stand</w:t>
            </w:r>
          </w:p>
        </w:tc>
      </w:tr>
    </w:tbl>
    <w:p w:rsidR="006D0A50" w:rsidRPr="00A3309E" w:rsidRDefault="00EC25F0" w:rsidP="006057BE">
      <w:pPr>
        <w:spacing w:after="0" w:line="240" w:lineRule="auto"/>
        <w:rPr>
          <w:rFonts w:ascii="Arial" w:hAnsi="Arial" w:cs="Arial"/>
          <w:b/>
        </w:rPr>
      </w:pPr>
      <w:r w:rsidRPr="0084373E">
        <w:rPr>
          <w:rFonts w:ascii="Arial" w:hAnsi="Arial" w:cs="Arial"/>
          <w:szCs w:val="24"/>
        </w:rPr>
        <w:br w:type="page"/>
      </w:r>
      <w:r w:rsidRPr="00E82261">
        <w:rPr>
          <w:rFonts w:ascii="Arial" w:hAnsi="Arial" w:cs="Arial"/>
          <w:b/>
          <w:sz w:val="24"/>
        </w:rPr>
        <w:t>Table 9. Field Tests of Cognitive and Behavioral Indicators of Marijuana’s Effects, Non-Peer Reviewed</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Caption w:val="Field Tests of Cognitive and Behavioral Indicators of Marijuana’s Effects, Non-Peer Reviewed"/>
      </w:tblPr>
      <w:tblGrid>
        <w:gridCol w:w="1237"/>
        <w:gridCol w:w="1283"/>
        <w:gridCol w:w="1440"/>
        <w:gridCol w:w="2250"/>
        <w:gridCol w:w="1794"/>
        <w:gridCol w:w="1896"/>
      </w:tblGrid>
      <w:tr w:rsidR="00EC25F0" w:rsidRPr="0084373E" w:rsidTr="00C63AA0">
        <w:trPr>
          <w:trHeight w:val="391"/>
          <w:jc w:val="center"/>
        </w:trPr>
        <w:tc>
          <w:tcPr>
            <w:tcW w:w="1237" w:type="dxa"/>
            <w:shd w:val="clear" w:color="auto" w:fill="auto"/>
            <w:noWrap/>
            <w:hideMark/>
          </w:tcPr>
          <w:p w:rsidR="00EC25F0" w:rsidRPr="0084373E" w:rsidRDefault="00EC25F0" w:rsidP="006057BE">
            <w:pPr>
              <w:spacing w:after="0" w:line="240" w:lineRule="auto"/>
              <w:rPr>
                <w:rFonts w:ascii="Arial" w:eastAsia="Times New Roman" w:hAnsi="Arial" w:cs="Arial"/>
                <w:b/>
                <w:bCs/>
                <w:color w:val="000000"/>
                <w:sz w:val="20"/>
                <w:szCs w:val="24"/>
              </w:rPr>
            </w:pPr>
            <w:r w:rsidRPr="0084373E">
              <w:rPr>
                <w:rFonts w:ascii="Arial" w:eastAsia="Times New Roman" w:hAnsi="Arial" w:cs="Arial"/>
                <w:b/>
                <w:bCs/>
                <w:color w:val="000000"/>
                <w:sz w:val="20"/>
                <w:szCs w:val="24"/>
              </w:rPr>
              <w:t>Tool Type</w:t>
            </w:r>
          </w:p>
        </w:tc>
        <w:tc>
          <w:tcPr>
            <w:tcW w:w="1283" w:type="dxa"/>
            <w:shd w:val="clear" w:color="auto" w:fill="auto"/>
            <w:noWrap/>
            <w:hideMark/>
          </w:tcPr>
          <w:p w:rsidR="00EC25F0" w:rsidRPr="0084373E" w:rsidRDefault="00EC25F0" w:rsidP="006057BE">
            <w:pPr>
              <w:spacing w:after="0" w:line="240" w:lineRule="auto"/>
              <w:rPr>
                <w:rFonts w:ascii="Arial" w:eastAsia="Times New Roman" w:hAnsi="Arial" w:cs="Arial"/>
                <w:b/>
                <w:bCs/>
                <w:color w:val="000000"/>
                <w:sz w:val="20"/>
                <w:szCs w:val="24"/>
              </w:rPr>
            </w:pPr>
            <w:r w:rsidRPr="0084373E">
              <w:rPr>
                <w:rFonts w:ascii="Arial" w:eastAsia="Times New Roman" w:hAnsi="Arial" w:cs="Arial"/>
                <w:b/>
                <w:bCs/>
                <w:color w:val="000000"/>
                <w:sz w:val="20"/>
                <w:szCs w:val="24"/>
              </w:rPr>
              <w:t>Tool Name</w:t>
            </w:r>
          </w:p>
        </w:tc>
        <w:tc>
          <w:tcPr>
            <w:tcW w:w="1440" w:type="dxa"/>
            <w:shd w:val="clear" w:color="auto" w:fill="auto"/>
            <w:hideMark/>
          </w:tcPr>
          <w:p w:rsidR="00EC25F0" w:rsidRPr="0084373E" w:rsidRDefault="00EC25F0" w:rsidP="006057BE">
            <w:pPr>
              <w:spacing w:after="0" w:line="240" w:lineRule="auto"/>
              <w:rPr>
                <w:rFonts w:ascii="Arial" w:eastAsia="Times New Roman" w:hAnsi="Arial" w:cs="Arial"/>
                <w:b/>
                <w:bCs/>
                <w:color w:val="000000"/>
                <w:sz w:val="20"/>
                <w:szCs w:val="24"/>
              </w:rPr>
            </w:pPr>
            <w:r w:rsidRPr="0084373E">
              <w:rPr>
                <w:rFonts w:ascii="Arial" w:eastAsia="Times New Roman" w:hAnsi="Arial" w:cs="Arial"/>
                <w:b/>
                <w:bCs/>
                <w:color w:val="000000"/>
                <w:sz w:val="20"/>
                <w:szCs w:val="24"/>
              </w:rPr>
              <w:t>Designed for MJ</w:t>
            </w:r>
          </w:p>
        </w:tc>
        <w:tc>
          <w:tcPr>
            <w:tcW w:w="2250" w:type="dxa"/>
            <w:shd w:val="clear" w:color="auto" w:fill="auto"/>
            <w:noWrap/>
            <w:hideMark/>
          </w:tcPr>
          <w:p w:rsidR="00EC25F0" w:rsidRPr="0084373E" w:rsidRDefault="00EC25F0" w:rsidP="006057BE">
            <w:pPr>
              <w:spacing w:after="0" w:line="240" w:lineRule="auto"/>
              <w:rPr>
                <w:rFonts w:ascii="Arial" w:eastAsia="Times New Roman" w:hAnsi="Arial" w:cs="Arial"/>
                <w:b/>
                <w:bCs/>
                <w:color w:val="000000"/>
                <w:sz w:val="20"/>
                <w:szCs w:val="24"/>
              </w:rPr>
            </w:pPr>
            <w:r w:rsidRPr="0084373E">
              <w:rPr>
                <w:rFonts w:ascii="Arial" w:eastAsia="Times New Roman" w:hAnsi="Arial" w:cs="Arial"/>
                <w:b/>
                <w:bCs/>
                <w:color w:val="000000"/>
                <w:sz w:val="20"/>
                <w:szCs w:val="24"/>
              </w:rPr>
              <w:t>Relates to R3A Task Category / Test</w:t>
            </w:r>
          </w:p>
        </w:tc>
        <w:tc>
          <w:tcPr>
            <w:tcW w:w="1794" w:type="dxa"/>
            <w:shd w:val="clear" w:color="auto" w:fill="auto"/>
            <w:noWrap/>
            <w:hideMark/>
          </w:tcPr>
          <w:p w:rsidR="00EC25F0" w:rsidRPr="0084373E" w:rsidRDefault="00EC25F0" w:rsidP="006057BE">
            <w:pPr>
              <w:spacing w:after="0" w:line="240" w:lineRule="auto"/>
              <w:rPr>
                <w:rFonts w:ascii="Arial" w:eastAsia="Times New Roman" w:hAnsi="Arial" w:cs="Arial"/>
                <w:b/>
                <w:bCs/>
                <w:color w:val="000000"/>
                <w:sz w:val="20"/>
                <w:szCs w:val="24"/>
              </w:rPr>
            </w:pPr>
            <w:r w:rsidRPr="0084373E">
              <w:rPr>
                <w:rFonts w:ascii="Arial" w:eastAsia="Times New Roman" w:hAnsi="Arial" w:cs="Arial"/>
                <w:b/>
                <w:bCs/>
                <w:color w:val="000000"/>
                <w:sz w:val="20"/>
                <w:szCs w:val="24"/>
              </w:rPr>
              <w:t>URL</w:t>
            </w:r>
          </w:p>
        </w:tc>
        <w:tc>
          <w:tcPr>
            <w:tcW w:w="1896" w:type="dxa"/>
            <w:shd w:val="clear" w:color="auto" w:fill="auto"/>
            <w:noWrap/>
            <w:hideMark/>
          </w:tcPr>
          <w:p w:rsidR="00EC25F0" w:rsidRPr="0084373E" w:rsidRDefault="00EC25F0" w:rsidP="006057BE">
            <w:pPr>
              <w:spacing w:after="0" w:line="240" w:lineRule="auto"/>
              <w:rPr>
                <w:rFonts w:ascii="Arial" w:eastAsia="Times New Roman" w:hAnsi="Arial" w:cs="Arial"/>
                <w:b/>
                <w:bCs/>
                <w:color w:val="000000"/>
                <w:sz w:val="20"/>
                <w:szCs w:val="24"/>
              </w:rPr>
            </w:pPr>
            <w:r w:rsidRPr="0084373E">
              <w:rPr>
                <w:rFonts w:ascii="Arial" w:eastAsia="Times New Roman" w:hAnsi="Arial" w:cs="Arial"/>
                <w:b/>
                <w:bCs/>
                <w:color w:val="000000"/>
                <w:sz w:val="20"/>
                <w:szCs w:val="24"/>
              </w:rPr>
              <w:t>Notes</w:t>
            </w:r>
          </w:p>
        </w:tc>
      </w:tr>
      <w:tr w:rsidR="00EC25F0" w:rsidRPr="0084373E" w:rsidTr="00C63AA0">
        <w:trPr>
          <w:trHeight w:val="1595"/>
          <w:jc w:val="center"/>
        </w:trPr>
        <w:tc>
          <w:tcPr>
            <w:tcW w:w="1237"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Mobile App</w:t>
            </w:r>
          </w:p>
        </w:tc>
        <w:tc>
          <w:tcPr>
            <w:tcW w:w="1283"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 xml:space="preserve">DRUID </w:t>
            </w:r>
          </w:p>
        </w:tc>
        <w:tc>
          <w:tcPr>
            <w:tcW w:w="1440"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Yes</w:t>
            </w:r>
          </w:p>
        </w:tc>
        <w:tc>
          <w:tcPr>
            <w:tcW w:w="2250" w:type="dxa"/>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Automotive behavior; Executive function; Control behavior</w:t>
            </w:r>
            <w:r w:rsidRPr="0084373E">
              <w:rPr>
                <w:rFonts w:ascii="Arial" w:eastAsia="Times New Roman" w:hAnsi="Arial" w:cs="Arial"/>
                <w:color w:val="000000"/>
                <w:sz w:val="20"/>
                <w:szCs w:val="24"/>
              </w:rPr>
              <w:br/>
              <w:t>o Reaction time</w:t>
            </w:r>
            <w:r w:rsidRPr="0084373E">
              <w:rPr>
                <w:rFonts w:ascii="Arial" w:eastAsia="Times New Roman" w:hAnsi="Arial" w:cs="Arial"/>
                <w:color w:val="000000"/>
                <w:sz w:val="20"/>
                <w:szCs w:val="24"/>
              </w:rPr>
              <w:br/>
              <w:t>o Decision making</w:t>
            </w:r>
            <w:r w:rsidRPr="0084373E">
              <w:rPr>
                <w:rFonts w:ascii="Arial" w:eastAsia="Times New Roman" w:hAnsi="Arial" w:cs="Arial"/>
                <w:color w:val="000000"/>
                <w:sz w:val="20"/>
                <w:szCs w:val="24"/>
              </w:rPr>
              <w:br/>
              <w:t>o Tracking</w:t>
            </w:r>
            <w:r w:rsidRPr="0084373E">
              <w:rPr>
                <w:rFonts w:ascii="Arial" w:eastAsia="Times New Roman" w:hAnsi="Arial" w:cs="Arial"/>
                <w:color w:val="000000"/>
                <w:sz w:val="20"/>
                <w:szCs w:val="24"/>
              </w:rPr>
              <w:br/>
              <w:t>o Time estimation</w:t>
            </w:r>
          </w:p>
        </w:tc>
        <w:tc>
          <w:tcPr>
            <w:tcW w:w="1794" w:type="dxa"/>
            <w:shd w:val="clear" w:color="auto" w:fill="auto"/>
            <w:hideMark/>
          </w:tcPr>
          <w:p w:rsidR="00EC25F0" w:rsidRPr="0084373E" w:rsidRDefault="000F38C4" w:rsidP="006057BE">
            <w:pPr>
              <w:spacing w:after="0" w:line="240" w:lineRule="auto"/>
              <w:rPr>
                <w:rFonts w:ascii="Arial" w:eastAsia="Times New Roman" w:hAnsi="Arial" w:cs="Arial"/>
                <w:color w:val="0563C1"/>
                <w:sz w:val="20"/>
                <w:szCs w:val="24"/>
                <w:u w:val="single"/>
              </w:rPr>
            </w:pPr>
            <w:hyperlink r:id="rId35" w:history="1">
              <w:r w:rsidR="00EC25F0" w:rsidRPr="0084373E">
                <w:rPr>
                  <w:rFonts w:ascii="Arial" w:eastAsia="Times New Roman" w:hAnsi="Arial" w:cs="Arial"/>
                  <w:color w:val="0563C1"/>
                  <w:sz w:val="20"/>
                  <w:szCs w:val="24"/>
                  <w:u w:val="single"/>
                </w:rPr>
                <w:t>https://www.druidapp.com</w:t>
              </w:r>
            </w:hyperlink>
          </w:p>
        </w:tc>
        <w:tc>
          <w:tcPr>
            <w:tcW w:w="1896" w:type="dxa"/>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"DRUID is currently being tested in a NIH-funded study at the Brown University Medical School."</w:t>
            </w:r>
          </w:p>
        </w:tc>
      </w:tr>
      <w:tr w:rsidR="00EC25F0" w:rsidRPr="0084373E" w:rsidTr="00C63AA0">
        <w:trPr>
          <w:trHeight w:val="3456"/>
          <w:jc w:val="center"/>
        </w:trPr>
        <w:tc>
          <w:tcPr>
            <w:tcW w:w="1237"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Mobile App</w:t>
            </w:r>
          </w:p>
        </w:tc>
        <w:tc>
          <w:tcPr>
            <w:tcW w:w="1283"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Brain Turk</w:t>
            </w:r>
          </w:p>
        </w:tc>
        <w:tc>
          <w:tcPr>
            <w:tcW w:w="1440"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No</w:t>
            </w:r>
          </w:p>
        </w:tc>
        <w:tc>
          <w:tcPr>
            <w:tcW w:w="2250" w:type="dxa"/>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Automotive behavior; Control behavior</w:t>
            </w:r>
            <w:r w:rsidRPr="0084373E">
              <w:rPr>
                <w:rFonts w:ascii="Arial" w:eastAsia="Times New Roman" w:hAnsi="Arial" w:cs="Arial"/>
                <w:color w:val="000000"/>
                <w:sz w:val="20"/>
                <w:szCs w:val="24"/>
              </w:rPr>
              <w:br/>
              <w:t xml:space="preserve">o Go -no go task </w:t>
            </w:r>
            <w:r w:rsidRPr="0084373E">
              <w:rPr>
                <w:rFonts w:ascii="Arial" w:eastAsia="Times New Roman" w:hAnsi="Arial" w:cs="Arial"/>
                <w:color w:val="000000"/>
                <w:sz w:val="20"/>
                <w:szCs w:val="24"/>
              </w:rPr>
              <w:br/>
              <w:t xml:space="preserve">o N Back task </w:t>
            </w:r>
            <w:r w:rsidRPr="0084373E">
              <w:rPr>
                <w:rFonts w:ascii="Arial" w:eastAsia="Times New Roman" w:hAnsi="Arial" w:cs="Arial"/>
                <w:color w:val="000000"/>
                <w:sz w:val="20"/>
                <w:szCs w:val="24"/>
              </w:rPr>
              <w:br/>
              <w:t xml:space="preserve">o Tracking </w:t>
            </w:r>
            <w:r w:rsidRPr="0084373E">
              <w:rPr>
                <w:rFonts w:ascii="Arial" w:eastAsia="Times New Roman" w:hAnsi="Arial" w:cs="Arial"/>
                <w:color w:val="000000"/>
                <w:sz w:val="20"/>
                <w:szCs w:val="24"/>
              </w:rPr>
              <w:br/>
              <w:t xml:space="preserve">o Digit tasks </w:t>
            </w:r>
            <w:r w:rsidRPr="0084373E">
              <w:rPr>
                <w:rFonts w:ascii="Arial" w:eastAsia="Times New Roman" w:hAnsi="Arial" w:cs="Arial"/>
                <w:color w:val="000000"/>
                <w:sz w:val="20"/>
                <w:szCs w:val="24"/>
              </w:rPr>
              <w:br/>
              <w:t>o Wisconsin card sorting task</w:t>
            </w:r>
            <w:r w:rsidRPr="0084373E">
              <w:rPr>
                <w:rFonts w:ascii="Arial" w:eastAsia="Times New Roman" w:hAnsi="Arial" w:cs="Arial"/>
                <w:color w:val="000000"/>
                <w:sz w:val="20"/>
                <w:szCs w:val="24"/>
              </w:rPr>
              <w:br/>
              <w:t>o Gambling / risk taking task</w:t>
            </w:r>
            <w:r w:rsidRPr="0084373E">
              <w:rPr>
                <w:rFonts w:ascii="Arial" w:eastAsia="Times New Roman" w:hAnsi="Arial" w:cs="Arial"/>
                <w:color w:val="000000"/>
                <w:sz w:val="20"/>
                <w:szCs w:val="24"/>
              </w:rPr>
              <w:br/>
              <w:t>o Recall tasks</w:t>
            </w:r>
            <w:r w:rsidRPr="0084373E">
              <w:rPr>
                <w:rFonts w:ascii="Arial" w:eastAsia="Times New Roman" w:hAnsi="Arial" w:cs="Arial"/>
                <w:color w:val="000000"/>
                <w:sz w:val="20"/>
                <w:szCs w:val="24"/>
              </w:rPr>
              <w:br/>
              <w:t>o Arithmetic task</w:t>
            </w:r>
            <w:r w:rsidRPr="0084373E">
              <w:rPr>
                <w:rFonts w:ascii="Arial" w:eastAsia="Times New Roman" w:hAnsi="Arial" w:cs="Arial"/>
                <w:color w:val="000000"/>
                <w:sz w:val="20"/>
                <w:szCs w:val="24"/>
              </w:rPr>
              <w:br/>
              <w:t>o Audio vision matching</w:t>
            </w:r>
            <w:r w:rsidRPr="0084373E">
              <w:rPr>
                <w:rFonts w:ascii="Arial" w:eastAsia="Times New Roman" w:hAnsi="Arial" w:cs="Arial"/>
                <w:color w:val="000000"/>
                <w:sz w:val="20"/>
                <w:szCs w:val="24"/>
              </w:rPr>
              <w:br/>
              <w:t>o Complex working memory</w:t>
            </w:r>
            <w:r w:rsidRPr="0084373E">
              <w:rPr>
                <w:rFonts w:ascii="Arial" w:eastAsia="Times New Roman" w:hAnsi="Arial" w:cs="Arial"/>
                <w:color w:val="000000"/>
                <w:sz w:val="20"/>
                <w:szCs w:val="24"/>
              </w:rPr>
              <w:br/>
              <w:t xml:space="preserve">o Advertises 40+ games / available tests on mobile app </w:t>
            </w:r>
          </w:p>
        </w:tc>
        <w:tc>
          <w:tcPr>
            <w:tcW w:w="1794" w:type="dxa"/>
            <w:shd w:val="clear" w:color="auto" w:fill="auto"/>
            <w:hideMark/>
          </w:tcPr>
          <w:p w:rsidR="00EC25F0" w:rsidRPr="0084373E" w:rsidRDefault="000F38C4" w:rsidP="006057BE">
            <w:pPr>
              <w:spacing w:after="0" w:line="240" w:lineRule="auto"/>
              <w:rPr>
                <w:rFonts w:ascii="Arial" w:eastAsia="Times New Roman" w:hAnsi="Arial" w:cs="Arial"/>
                <w:color w:val="0563C1"/>
                <w:sz w:val="20"/>
                <w:szCs w:val="24"/>
                <w:u w:val="single"/>
              </w:rPr>
            </w:pPr>
            <w:hyperlink r:id="rId36" w:history="1">
              <w:r w:rsidR="00EC25F0" w:rsidRPr="0084373E">
                <w:rPr>
                  <w:rFonts w:ascii="Arial" w:eastAsia="Times New Roman" w:hAnsi="Arial" w:cs="Arial"/>
                  <w:color w:val="0563C1"/>
                  <w:sz w:val="20"/>
                  <w:szCs w:val="24"/>
                  <w:u w:val="single"/>
                </w:rPr>
                <w:t>https://www.brainturk.com/games</w:t>
              </w:r>
            </w:hyperlink>
          </w:p>
        </w:tc>
        <w:tc>
          <w:tcPr>
            <w:tcW w:w="1896" w:type="dxa"/>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Advertised as cognitive games. Not meant to assess exposure to MJ. Included given mobile availability of many of the task category tests identified in RQ3A</w:t>
            </w:r>
          </w:p>
        </w:tc>
      </w:tr>
      <w:tr w:rsidR="00EC25F0" w:rsidRPr="0084373E" w:rsidTr="00C63AA0">
        <w:trPr>
          <w:trHeight w:val="813"/>
          <w:jc w:val="center"/>
        </w:trPr>
        <w:tc>
          <w:tcPr>
            <w:tcW w:w="1237"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Mobile App</w:t>
            </w:r>
          </w:p>
        </w:tc>
        <w:tc>
          <w:tcPr>
            <w:tcW w:w="1283"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Encephal-app</w:t>
            </w:r>
          </w:p>
        </w:tc>
        <w:tc>
          <w:tcPr>
            <w:tcW w:w="1440"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No</w:t>
            </w:r>
          </w:p>
        </w:tc>
        <w:tc>
          <w:tcPr>
            <w:tcW w:w="2250" w:type="dxa"/>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Control behavior</w:t>
            </w:r>
            <w:r w:rsidRPr="0084373E">
              <w:rPr>
                <w:rFonts w:ascii="Arial" w:eastAsia="Times New Roman" w:hAnsi="Arial" w:cs="Arial"/>
                <w:color w:val="000000"/>
                <w:sz w:val="20"/>
                <w:szCs w:val="24"/>
              </w:rPr>
              <w:br/>
              <w:t>- Stroop Test</w:t>
            </w:r>
          </w:p>
        </w:tc>
        <w:tc>
          <w:tcPr>
            <w:tcW w:w="1794" w:type="dxa"/>
            <w:shd w:val="clear" w:color="auto" w:fill="auto"/>
            <w:hideMark/>
          </w:tcPr>
          <w:p w:rsidR="00EC25F0" w:rsidRPr="0084373E" w:rsidRDefault="000F38C4" w:rsidP="006057BE">
            <w:pPr>
              <w:spacing w:after="0" w:line="240" w:lineRule="auto"/>
              <w:rPr>
                <w:rFonts w:ascii="Arial" w:eastAsia="Times New Roman" w:hAnsi="Arial" w:cs="Arial"/>
                <w:color w:val="0563C1"/>
                <w:sz w:val="20"/>
                <w:szCs w:val="24"/>
                <w:u w:val="single"/>
              </w:rPr>
            </w:pPr>
            <w:hyperlink r:id="rId37" w:history="1">
              <w:r w:rsidR="00EC25F0" w:rsidRPr="0084373E">
                <w:rPr>
                  <w:rFonts w:ascii="Arial" w:eastAsia="Times New Roman" w:hAnsi="Arial" w:cs="Arial"/>
                  <w:color w:val="0563C1"/>
                  <w:sz w:val="20"/>
                  <w:szCs w:val="24"/>
                  <w:u w:val="single"/>
                </w:rPr>
                <w:t>http://www.encephalapp.com</w:t>
              </w:r>
            </w:hyperlink>
          </w:p>
        </w:tc>
        <w:tc>
          <w:tcPr>
            <w:tcW w:w="1896" w:type="dxa"/>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Not meant to assess exposure to MJ. Included given mobile availability of task category tests identified in RQ3A</w:t>
            </w:r>
          </w:p>
        </w:tc>
      </w:tr>
      <w:tr w:rsidR="00EC25F0" w:rsidRPr="0084373E" w:rsidTr="00C63AA0">
        <w:trPr>
          <w:trHeight w:val="797"/>
          <w:jc w:val="center"/>
        </w:trPr>
        <w:tc>
          <w:tcPr>
            <w:tcW w:w="1237" w:type="dxa"/>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Mobile App</w:t>
            </w:r>
          </w:p>
        </w:tc>
        <w:tc>
          <w:tcPr>
            <w:tcW w:w="1283"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CANTAB</w:t>
            </w:r>
          </w:p>
        </w:tc>
        <w:tc>
          <w:tcPr>
            <w:tcW w:w="1440"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No</w:t>
            </w:r>
          </w:p>
        </w:tc>
        <w:tc>
          <w:tcPr>
            <w:tcW w:w="2250" w:type="dxa"/>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Control behavior</w:t>
            </w:r>
            <w:r w:rsidRPr="0084373E">
              <w:rPr>
                <w:rFonts w:ascii="Arial" w:eastAsia="Times New Roman" w:hAnsi="Arial" w:cs="Arial"/>
                <w:color w:val="000000"/>
                <w:sz w:val="20"/>
                <w:szCs w:val="24"/>
              </w:rPr>
              <w:br/>
              <w:t>-Stop Signal Task</w:t>
            </w:r>
            <w:r w:rsidRPr="0084373E">
              <w:rPr>
                <w:rFonts w:ascii="Arial" w:eastAsia="Times New Roman" w:hAnsi="Arial" w:cs="Arial"/>
                <w:color w:val="000000"/>
                <w:sz w:val="20"/>
                <w:szCs w:val="24"/>
              </w:rPr>
              <w:br/>
              <w:t>- Gamblling Task</w:t>
            </w:r>
          </w:p>
        </w:tc>
        <w:tc>
          <w:tcPr>
            <w:tcW w:w="1794" w:type="dxa"/>
            <w:shd w:val="clear" w:color="auto" w:fill="auto"/>
            <w:hideMark/>
          </w:tcPr>
          <w:p w:rsidR="00EC25F0" w:rsidRPr="0084373E" w:rsidRDefault="000F38C4" w:rsidP="006057BE">
            <w:pPr>
              <w:spacing w:after="0" w:line="240" w:lineRule="auto"/>
              <w:rPr>
                <w:rFonts w:ascii="Arial" w:eastAsia="Times New Roman" w:hAnsi="Arial" w:cs="Arial"/>
                <w:color w:val="0563C1"/>
                <w:sz w:val="20"/>
                <w:szCs w:val="24"/>
                <w:u w:val="single"/>
              </w:rPr>
            </w:pPr>
            <w:hyperlink r:id="rId38" w:history="1">
              <w:r w:rsidR="00EC25F0" w:rsidRPr="0084373E">
                <w:rPr>
                  <w:rFonts w:ascii="Arial" w:eastAsia="Times New Roman" w:hAnsi="Arial" w:cs="Arial"/>
                  <w:color w:val="0563C1"/>
                  <w:sz w:val="20"/>
                  <w:szCs w:val="24"/>
                  <w:u w:val="single"/>
                </w:rPr>
                <w:t>http://www.cambridgecognition.com/cantab/</w:t>
              </w:r>
            </w:hyperlink>
          </w:p>
        </w:tc>
        <w:tc>
          <w:tcPr>
            <w:tcW w:w="1896" w:type="dxa"/>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Not meant to assess exposure to MJ. Included given mobile availability of task category tests identified in RQ3A</w:t>
            </w:r>
          </w:p>
        </w:tc>
      </w:tr>
      <w:tr w:rsidR="00EC25F0" w:rsidRPr="0084373E" w:rsidTr="00C63AA0">
        <w:trPr>
          <w:trHeight w:val="797"/>
          <w:jc w:val="center"/>
        </w:trPr>
        <w:tc>
          <w:tcPr>
            <w:tcW w:w="1237"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Mobile App</w:t>
            </w:r>
          </w:p>
        </w:tc>
        <w:tc>
          <w:tcPr>
            <w:tcW w:w="1283"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Brain Baseline</w:t>
            </w:r>
          </w:p>
        </w:tc>
        <w:tc>
          <w:tcPr>
            <w:tcW w:w="1440" w:type="dxa"/>
            <w:shd w:val="clear" w:color="auto" w:fill="auto"/>
            <w:noWrap/>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No</w:t>
            </w:r>
          </w:p>
        </w:tc>
        <w:tc>
          <w:tcPr>
            <w:tcW w:w="2250" w:type="dxa"/>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Control behavior</w:t>
            </w:r>
            <w:r w:rsidRPr="0084373E">
              <w:rPr>
                <w:rFonts w:ascii="Arial" w:eastAsia="Times New Roman" w:hAnsi="Arial" w:cs="Arial"/>
                <w:color w:val="000000"/>
                <w:sz w:val="20"/>
                <w:szCs w:val="24"/>
              </w:rPr>
              <w:br/>
              <w:t>-Stroop Test</w:t>
            </w:r>
            <w:r w:rsidRPr="0084373E">
              <w:rPr>
                <w:rFonts w:ascii="Arial" w:eastAsia="Times New Roman" w:hAnsi="Arial" w:cs="Arial"/>
                <w:color w:val="000000"/>
                <w:sz w:val="20"/>
                <w:szCs w:val="24"/>
              </w:rPr>
              <w:br/>
              <w:t>- N-Back</w:t>
            </w:r>
          </w:p>
        </w:tc>
        <w:tc>
          <w:tcPr>
            <w:tcW w:w="1794" w:type="dxa"/>
            <w:shd w:val="clear" w:color="auto" w:fill="auto"/>
            <w:hideMark/>
          </w:tcPr>
          <w:p w:rsidR="00EC25F0" w:rsidRPr="0084373E" w:rsidRDefault="000F38C4" w:rsidP="006057BE">
            <w:pPr>
              <w:spacing w:after="0" w:line="240" w:lineRule="auto"/>
              <w:rPr>
                <w:rFonts w:ascii="Arial" w:eastAsia="Times New Roman" w:hAnsi="Arial" w:cs="Arial"/>
                <w:color w:val="0563C1"/>
                <w:sz w:val="20"/>
                <w:szCs w:val="24"/>
                <w:u w:val="single"/>
              </w:rPr>
            </w:pPr>
            <w:hyperlink r:id="rId39" w:history="1">
              <w:r w:rsidR="00EC25F0" w:rsidRPr="0084373E">
                <w:rPr>
                  <w:rFonts w:ascii="Arial" w:eastAsia="Times New Roman" w:hAnsi="Arial" w:cs="Arial"/>
                  <w:color w:val="0563C1"/>
                  <w:sz w:val="20"/>
                  <w:szCs w:val="24"/>
                  <w:u w:val="single"/>
                </w:rPr>
                <w:t>https://itunes.apple.com/us/app/brainbaseline/id408975136?mt=8</w:t>
              </w:r>
            </w:hyperlink>
          </w:p>
        </w:tc>
        <w:tc>
          <w:tcPr>
            <w:tcW w:w="1896" w:type="dxa"/>
            <w:shd w:val="clear" w:color="auto" w:fill="auto"/>
            <w:hideMark/>
          </w:tcPr>
          <w:p w:rsidR="00EC25F0" w:rsidRPr="0084373E" w:rsidRDefault="00EC25F0" w:rsidP="006057BE">
            <w:pPr>
              <w:spacing w:after="0" w:line="240" w:lineRule="auto"/>
              <w:rPr>
                <w:rFonts w:ascii="Arial" w:eastAsia="Times New Roman" w:hAnsi="Arial" w:cs="Arial"/>
                <w:color w:val="000000"/>
                <w:sz w:val="20"/>
                <w:szCs w:val="24"/>
              </w:rPr>
            </w:pPr>
            <w:r w:rsidRPr="0084373E">
              <w:rPr>
                <w:rFonts w:ascii="Arial" w:eastAsia="Times New Roman" w:hAnsi="Arial" w:cs="Arial"/>
                <w:color w:val="000000"/>
                <w:sz w:val="20"/>
                <w:szCs w:val="24"/>
              </w:rPr>
              <w:t>Not meant to assess exposure to MJ. Included given mobile availability of task category tests identified in RQ3A</w:t>
            </w:r>
          </w:p>
        </w:tc>
      </w:tr>
    </w:tbl>
    <w:p w:rsidR="00A3309E" w:rsidRDefault="00A3309E" w:rsidP="00F950A2">
      <w:pPr>
        <w:pStyle w:val="BodyText"/>
      </w:pPr>
      <w:bookmarkStart w:id="320" w:name="_Toc512861208"/>
    </w:p>
    <w:p w:rsidR="00A3309E" w:rsidRDefault="00A3309E" w:rsidP="00F950A2">
      <w:pPr>
        <w:pStyle w:val="BodyText"/>
      </w:pPr>
    </w:p>
    <w:p w:rsidR="00A3309E" w:rsidRDefault="00A3309E" w:rsidP="00F950A2">
      <w:pPr>
        <w:pStyle w:val="BodyText"/>
      </w:pPr>
    </w:p>
    <w:p w:rsidR="00EC25F0" w:rsidRDefault="00EC25F0" w:rsidP="005F7A46">
      <w:pPr>
        <w:pStyle w:val="Heading2"/>
      </w:pPr>
      <w:bookmarkStart w:id="321" w:name="_Toc11765983"/>
      <w:bookmarkStart w:id="322" w:name="_Toc11766638"/>
      <w:bookmarkStart w:id="323" w:name="_Toc11917224"/>
      <w:bookmarkStart w:id="324" w:name="_Toc11921662"/>
      <w:bookmarkStart w:id="325" w:name="_Toc12520941"/>
      <w:bookmarkStart w:id="326" w:name="_Toc12521167"/>
      <w:bookmarkStart w:id="327" w:name="_Toc12529137"/>
      <w:r w:rsidRPr="0084373E">
        <w:t>Discussion</w:t>
      </w:r>
      <w:bookmarkEnd w:id="320"/>
      <w:bookmarkEnd w:id="321"/>
      <w:bookmarkEnd w:id="322"/>
      <w:bookmarkEnd w:id="323"/>
      <w:bookmarkEnd w:id="324"/>
      <w:bookmarkEnd w:id="325"/>
      <w:bookmarkEnd w:id="326"/>
      <w:bookmarkEnd w:id="327"/>
    </w:p>
    <w:p w:rsidR="00A3309E" w:rsidRPr="00A3309E" w:rsidRDefault="00A3309E" w:rsidP="00A3309E">
      <w:pPr>
        <w:pStyle w:val="BodyText"/>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Well-established laboratory methods for quantifying marijuana exist and offer high sensitivity and specificity for measurement of delta-9-THC. Among the most popular techniques currently in use are chromatographic methods such as gas chromatography mass spectrometry (GC-MS) and liquid chromatography with tandem mass spectrometry (LC-MS/MS). In relation to quantifying exposure, the absence of ability to discern potentially key pieces of information from measuring THC alone however has spurred interest in the utility of THC metabolite quantification. The phase-two THC metabolite (THC-Glucuronide) as well as cannabigerol (CBG), cannabinol (CBN), and tetrahydrocannabivarin (THCV) offer promise in discerning recency of use and movement of metabolites to alternative matrices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&lt;EndNote&gt;&lt;Cite&gt;&lt;Author&gt;Huestis&lt;/Author&gt;&lt;Year&gt;2018&lt;/Year&gt;&lt;RecNum&gt;1442&lt;/RecNum&gt;&lt;DisplayText&gt;(Huestis &amp;amp; Smith, 2018)&lt;/DisplayText&gt;&lt;record&gt;&lt;rec-number&gt;1442&lt;/rec-number&gt;&lt;foreign-keys&gt;&lt;key app="EN" db-id="d0tr9f9wrrzr9lef5rsvpsadtz2we0sa25tw" timestamp="1522298051"&gt;1442&lt;/key&gt;&lt;/foreign-keys&gt;&lt;ref-type name="Journal Article"&gt;17&lt;/ref-type&gt;&lt;contributors&gt;&lt;authors&gt;&lt;author&gt;Huestis, M. A.&lt;/author&gt;&lt;author&gt;Smith, M. L.&lt;/author&gt;&lt;/authors&gt;&lt;/contributors&gt;&lt;auth-address&gt;Institute of Emerging Health Professions, Thomas Jefferson University, Philadelphia, PA, USA; Huestis &amp;amp; Smith Toxicology LLC, Severna Park, MD, USA. Electronic address: marilyn.huestis@gmail.com.&amp;#xD;Huestis &amp;amp; Smith Toxicology LLC, Severna Park, MD, USA.&lt;/auth-address&gt;&lt;titles&gt;&lt;title&gt;Cannabinoid Markers in Biological Fluids and Tissues: Revealing Intake&lt;/title&gt;&lt;secondary-title&gt;Trends Mol Med&lt;/secondary-title&gt;&lt;alt-title&gt;Trends in molecular medicine&lt;/alt-title&gt;&lt;/titles&gt;&lt;periodical&gt;&lt;full-title&gt;Trends Mol Med&lt;/full-title&gt;&lt;abbr-1&gt;Trends in molecular medicine&lt;/abbr-1&gt;&lt;/periodical&gt;&lt;alt-periodical&gt;&lt;full-title&gt;Trends Mol Med&lt;/full-title&gt;&lt;abbr-1&gt;Trends in molecular medicine&lt;/abbr-1&gt;&lt;/alt-periodical&gt;&lt;pages&gt;156-172&lt;/pages&gt;&lt;volume&gt;24&lt;/volume&gt;&lt;number&gt;2&lt;/number&gt;&lt;edition&gt;2018/02/06&lt;/edition&gt;&lt;dates&gt;&lt;year&gt;2018&lt;/year&gt;&lt;pub-dates&gt;&lt;date&gt;Feb&lt;/date&gt;&lt;/pub-dates&gt;&lt;/dates&gt;&lt;isbn&gt;1471-4914&lt;/isbn&gt;&lt;accession-num&gt;29398403&lt;/accession-num&gt;&lt;urls&gt;&lt;/urls&gt;&lt;electronic-resource-num&gt;10.1016/j.molmed.2017.12.006&lt;/electronic-resource-num&gt;&lt;remote-database-provider&gt;NLM&lt;/remote-database-provider&gt;&lt;language&gt;eng&lt;/language&gt;&lt;/record&gt;&lt;/Cite&gt;&lt;/EndNote&gt;</w:instrText>
      </w:r>
      <w:r w:rsidRPr="00E82261">
        <w:rPr>
          <w:rFonts w:ascii="Arial" w:hAnsi="Arial" w:cs="Arial"/>
          <w:sz w:val="24"/>
          <w:szCs w:val="24"/>
        </w:rPr>
        <w:fldChar w:fldCharType="separate"/>
      </w:r>
      <w:r w:rsidRPr="00E82261">
        <w:rPr>
          <w:rFonts w:ascii="Arial" w:hAnsi="Arial" w:cs="Arial"/>
          <w:noProof/>
          <w:sz w:val="24"/>
          <w:szCs w:val="24"/>
        </w:rPr>
        <w:t>(Huestis &amp; Smith, 2018)</w:t>
      </w:r>
      <w:r w:rsidRPr="00E82261">
        <w:rPr>
          <w:rFonts w:ascii="Arial" w:hAnsi="Arial" w:cs="Arial"/>
          <w:sz w:val="24"/>
          <w:szCs w:val="24"/>
        </w:rPr>
        <w:fldChar w:fldCharType="end"/>
      </w:r>
      <w:r w:rsidRPr="00E82261">
        <w:rPr>
          <w:rFonts w:ascii="Arial" w:hAnsi="Arial" w:cs="Arial"/>
          <w:sz w:val="24"/>
          <w:szCs w:val="24"/>
        </w:rPr>
        <w:t>. As research related to marijuana metabolism continues to advance, such inferences may prove useful in efforts to establish legal driving limits and standards. Despite this promise however, the inability to quantify THC metabolites in a field setting remains a chief limitation.</w:t>
      </w: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This review identified two point-of-collection devices with substantial evidence that they perform with sensitivity and specificity above 80% at a confirmation cut-point of 5ng/mL. The DT5000 has a slightly lower sensitivity and higher specificity; the DDS2 has a slightly higher sensitivity and lower specificity. Most screening tests require tradeoffs between these two aspects of correct identification. A higher sensitivity reduces false negatives (i.e. a cannabis user with delta-9-THC above the cut-off who screens negative); a higher specificity reduces false positives (e.g. an individual with a delta-9-THC level below the cut-off who screens positive). Choice between the two devices should depend upon the specific use case and consequences of misclassification.  The findings from this study indicate that OF devices may be effective for use in field settings with reasonable accuracy.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For context, recent studies showed that after smoking or vaporizing cannabis in a controlled environment, chronic frequent users maintained blood THC levels of 25 ng/mL for an average of ~ 30-45 minutes. By ~6-10 hours, levels have fallen to 5 ng/mL and at 72 hours post smoking, blood THC levels remained between 5 ng/mL and the LOQ (1 ng/mL)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&lt;EndNote&gt;&lt;Cite&gt;&lt;Author&gt;Newmeyer&lt;/Author&gt;&lt;Year&gt;2016&lt;/Year&gt;&lt;RecNum&gt;59&lt;/RecNum&gt;&lt;DisplayText&gt;(Newmeyer et al., 2016)&lt;/DisplayText&gt;&lt;record&gt;&lt;rec-number&gt;59&lt;/rec-number&gt;&lt;foreign-keys&gt;&lt;key app="EN" db-id="d0tr9f9wrrzr9lef5rsvpsadtz2we0sa25tw" timestamp="1496348305"&gt;59&lt;/key&gt;&lt;/foreign-keys&gt;&lt;ref-type name="Journal Article"&gt;17&lt;/ref-type&gt;&lt;contributors&gt;&lt;authors&gt;&lt;author&gt;Newmeyer, M. N.&lt;/author&gt;&lt;author&gt;Swortwood, M. J.&lt;/author&gt;&lt;author&gt;Barnes, A. J.&lt;/author&gt;&lt;author&gt;Abulseoud, O. A.&lt;/author&gt;&lt;author&gt;Scheidweiler, K. B.&lt;/author&gt;&lt;author&gt;Huestis, M. A.&lt;/author&gt;&lt;/authors&gt;&lt;/contributors&gt;&lt;auth-address&gt;Chemistry and Drug Metabolism Section, IRP, National Institute on Drug Abuse, National Institutes of Health, Baltimore, MD.&amp;#xD;Program in Toxicology, University of Maryland, Baltimore, Baltimore, MD.&amp;#xD;Chemistry and Drug Metabolism Section, IRP, National Institute on Drug Abuse, National Institutes of Health, Baltimore, MD; kscheidweiler@intra.nida.nih.gov.&amp;#xD;University of Maryland School of Medicine, Baltimore, MD.&lt;/auth-address&gt;&lt;titles&gt;&lt;title&gt;Free and Glucuronide Whole Blood Cannabinoids&amp;apos; Pharmacokinetics after Controlled Smoked, Vaporized, and Oral Cannabis Administration in Frequent and Occasional Cannabis Users: Identification of Recent Cannabis Intake&lt;/title&gt;&lt;secondary-title&gt;Clin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1579-1592&lt;/pages&gt;&lt;volume&gt;62&lt;/volume&gt;&lt;number&gt;12&lt;/number&gt;&lt;edition&gt;2016/12/03&lt;/edition&gt;&lt;dates&gt;&lt;year&gt;2016&lt;/year&gt;&lt;pub-dates&gt;&lt;date&gt;Dec&lt;/date&gt;&lt;/pub-dates&gt;&lt;/dates&gt;&lt;isbn&gt;0009-9147&lt;/isbn&gt;&lt;accession-num&gt;27899456&lt;/accession-num&gt;&lt;urls&gt;&lt;/urls&gt;&lt;electronic-resource-num&gt;10.1373/clinchem.2016.263475&lt;/electronic-resource-num&gt;&lt;remote-database-provider&gt;NLM&lt;/remote-database-provider&gt;&lt;language&gt;eng&lt;/language&gt;&lt;/record&gt;&lt;/Cite&gt;&lt;/EndNote&gt;</w:instrText>
      </w:r>
      <w:r w:rsidRPr="00E82261">
        <w:rPr>
          <w:rFonts w:ascii="Arial" w:hAnsi="Arial" w:cs="Arial"/>
          <w:sz w:val="24"/>
          <w:szCs w:val="24"/>
        </w:rPr>
        <w:fldChar w:fldCharType="separate"/>
      </w:r>
      <w:r w:rsidRPr="00E82261">
        <w:rPr>
          <w:rFonts w:ascii="Arial" w:hAnsi="Arial" w:cs="Arial"/>
          <w:noProof/>
          <w:sz w:val="24"/>
          <w:szCs w:val="24"/>
        </w:rPr>
        <w:t>(Newmeyer et al., 2016)</w:t>
      </w:r>
      <w:r w:rsidRPr="00E82261">
        <w:rPr>
          <w:rFonts w:ascii="Arial" w:hAnsi="Arial" w:cs="Arial"/>
          <w:sz w:val="24"/>
          <w:szCs w:val="24"/>
        </w:rPr>
        <w:fldChar w:fldCharType="end"/>
      </w:r>
      <w:r w:rsidRPr="00E82261">
        <w:rPr>
          <w:rFonts w:ascii="Arial" w:hAnsi="Arial" w:cs="Arial"/>
          <w:sz w:val="24"/>
          <w:szCs w:val="24"/>
        </w:rPr>
        <w:t xml:space="preserve">. Frequent users that orally ingested cannabis in a controlled environment showed similar long term pharmacokinetic profiles, with blood THC levels between 5 ng/mL and the LOQ (1 ng/mL) 72 hours post ingestion. However, average peak concentrations were lower (~25ng/mL) and average time to peak concentration (~ 3-4 hours) was greater with average blood levels remaining under 10 ng/mL leading up to the peak </w:t>
      </w:r>
      <w:r w:rsidRPr="00E82261">
        <w:rPr>
          <w:rFonts w:ascii="Arial" w:hAnsi="Arial" w:cs="Arial"/>
          <w:sz w:val="24"/>
          <w:szCs w:val="24"/>
        </w:rPr>
        <w:fldChar w:fldCharType="begin">
          <w:fldData xml:space="preserve">PEVuZE5vdGU+PENpdGU+PEF1dGhvcj5OZXdtZXllcjwvQXV0aG9yPjxZZWFyPjIwMTY8L1llYXI+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PEVuZE5vdGU+PENpdGU+PEF1dGhvcj5OZXdtZXllcjwvQXV0aG9yPjxZZWFyPjIwMTY8L1llYXI+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(Newmeyer et al., 2017a; Newmeyer et al., 2016)</w:t>
      </w:r>
      <w:r w:rsidRPr="00E82261">
        <w:rPr>
          <w:rFonts w:ascii="Arial" w:hAnsi="Arial" w:cs="Arial"/>
          <w:sz w:val="24"/>
          <w:szCs w:val="24"/>
        </w:rPr>
        <w:fldChar w:fldCharType="end"/>
      </w:r>
      <w:r w:rsidRPr="00E82261">
        <w:rPr>
          <w:rFonts w:ascii="Arial" w:hAnsi="Arial" w:cs="Arial"/>
          <w:sz w:val="24"/>
          <w:szCs w:val="24"/>
        </w:rPr>
        <w:t>.</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In occasional users, THC blood levels in controlled environments after smoking and vaporization peaked on average in ~10 minutes and stayed above 25 ng/mL for ~30 minutes. At approximately one hour, THC levels remained close to 5 ng/mL but by ~ 3 hours on average, THC blood levels had fallen below the LOQ and by ~ 12-15 hours, THC was undetectable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&lt;EndNote&gt;&lt;Cite&gt;&lt;Author&gt;Newmeyer&lt;/Author&gt;&lt;Year&gt;2016&lt;/Year&gt;&lt;RecNum&gt;59&lt;/RecNum&gt;&lt;DisplayText&gt;(Newmeyer et al., 2016)&lt;/DisplayText&gt;&lt;record&gt;&lt;rec-number&gt;59&lt;/rec-number&gt;&lt;foreign-keys&gt;&lt;key app="EN" db-id="d0tr9f9wrrzr9lef5rsvpsadtz2we0sa25tw" timestamp="1496348305"&gt;59&lt;/key&gt;&lt;/foreign-keys&gt;&lt;ref-type name="Journal Article"&gt;17&lt;/ref-type&gt;&lt;contributors&gt;&lt;authors&gt;&lt;author&gt;Newmeyer, M. N.&lt;/author&gt;&lt;author&gt;Swortwood, M. J.&lt;/author&gt;&lt;author&gt;Barnes, A. J.&lt;/author&gt;&lt;author&gt;Abulseoud, O. A.&lt;/author&gt;&lt;author&gt;Scheidweiler, K. B.&lt;/author&gt;&lt;author&gt;Huestis, M. A.&lt;/author&gt;&lt;/authors&gt;&lt;/contributors&gt;&lt;auth-address&gt;Chemistry and Drug Metabolism Section, IRP, National Institute on Drug Abuse, National Institutes of Health, Baltimore, MD.&amp;#xD;Program in Toxicology, University of Maryland, Baltimore, Baltimore, MD.&amp;#xD;Chemistry and Drug Metabolism Section, IRP, National Institute on Drug Abuse, National Institutes of Health, Baltimore, MD; kscheidweiler@intra.nida.nih.gov.&amp;#xD;University of Maryland School of Medicine, Baltimore, MD.&lt;/auth-address&gt;&lt;titles&gt;&lt;title&gt;Free and Glucuronide Whole Blood Cannabinoids&amp;apos; Pharmacokinetics after Controlled Smoked, Vaporized, and Oral Cannabis Administration in Frequent and Occasional Cannabis Users: Identification of Recent Cannabis Intake&lt;/title&gt;&lt;secondary-title&gt;Clin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1579-1592&lt;/pages&gt;&lt;volume&gt;62&lt;/volume&gt;&lt;number&gt;12&lt;/number&gt;&lt;edition&gt;2016/12/03&lt;/edition&gt;&lt;dates&gt;&lt;year&gt;2016&lt;/year&gt;&lt;pub-dates&gt;&lt;date&gt;Dec&lt;/date&gt;&lt;/pub-dates&gt;&lt;/dates&gt;&lt;isbn&gt;0009-9147&lt;/isbn&gt;&lt;accession-num&gt;27899456&lt;/accession-num&gt;&lt;urls&gt;&lt;/urls&gt;&lt;electronic-resource-num&gt;10.1373/clinchem.2016.263475&lt;/electronic-resource-num&gt;&lt;remote-database-provider&gt;NLM&lt;/remote-database-provider&gt;&lt;language&gt;eng&lt;/language&gt;&lt;/record&gt;&lt;/Cite&gt;&lt;/EndNote&gt;</w:instrText>
      </w:r>
      <w:r w:rsidRPr="00E82261">
        <w:rPr>
          <w:rFonts w:ascii="Arial" w:hAnsi="Arial" w:cs="Arial"/>
          <w:sz w:val="24"/>
          <w:szCs w:val="24"/>
        </w:rPr>
        <w:fldChar w:fldCharType="separate"/>
      </w:r>
      <w:r w:rsidRPr="00E82261">
        <w:rPr>
          <w:rFonts w:ascii="Arial" w:hAnsi="Arial" w:cs="Arial"/>
          <w:noProof/>
          <w:sz w:val="24"/>
          <w:szCs w:val="24"/>
        </w:rPr>
        <w:t>(Newmeyer et al., 2016)</w:t>
      </w:r>
      <w:r w:rsidRPr="00E82261">
        <w:rPr>
          <w:rFonts w:ascii="Arial" w:hAnsi="Arial" w:cs="Arial"/>
          <w:sz w:val="24"/>
          <w:szCs w:val="24"/>
        </w:rPr>
        <w:fldChar w:fldCharType="end"/>
      </w:r>
      <w:r w:rsidRPr="00E82261">
        <w:rPr>
          <w:rFonts w:ascii="Arial" w:hAnsi="Arial" w:cs="Arial"/>
          <w:sz w:val="24"/>
          <w:szCs w:val="24"/>
        </w:rPr>
        <w:t xml:space="preserve">. Blood THC levels of occasional users ingesting THC in a controlled environment followed a similar peaking pattern to that of frequent users. On average, concentrations did not peak until ~ 3 hours post ingestion. However, by ~ 5 hours blood THC levels had fallen below 5ng/mL and by ~ 11 hours, THC was not detectable in the blood </w:t>
      </w:r>
      <w:r w:rsidRPr="00E82261">
        <w:rPr>
          <w:rFonts w:ascii="Arial" w:hAnsi="Arial" w:cs="Arial"/>
          <w:sz w:val="24"/>
          <w:szCs w:val="24"/>
        </w:rPr>
        <w:fldChar w:fldCharType="begin"/>
      </w:r>
      <w:r w:rsidRPr="00E82261">
        <w:rPr>
          <w:rFonts w:ascii="Arial" w:hAnsi="Arial" w:cs="Arial"/>
          <w:sz w:val="24"/>
          <w:szCs w:val="24"/>
        </w:rPr>
        <w:instrText xml:space="preserve"> ADDIN EN.CITE &lt;EndNote&gt;&lt;Cite&gt;&lt;Author&gt;Newmeyer&lt;/Author&gt;&lt;Year&gt;2016&lt;/Year&gt;&lt;RecNum&gt;59&lt;/RecNum&gt;&lt;DisplayText&gt;(Newmeyer et al., 2016)&lt;/DisplayText&gt;&lt;record&gt;&lt;rec-number&gt;59&lt;/rec-number&gt;&lt;foreign-keys&gt;&lt;key app="EN" db-id="d0tr9f9wrrzr9lef5rsvpsadtz2we0sa25tw" timestamp="1496348305"&gt;59&lt;/key&gt;&lt;/foreign-keys&gt;&lt;ref-type name="Journal Article"&gt;17&lt;/ref-type&gt;&lt;contributors&gt;&lt;authors&gt;&lt;author&gt;Newmeyer, M. N.&lt;/author&gt;&lt;author&gt;Swortwood, M. J.&lt;/author&gt;&lt;author&gt;Barnes, A. J.&lt;/author&gt;&lt;author&gt;Abulseoud, O. A.&lt;/author&gt;&lt;author&gt;Scheidweiler, K. B.&lt;/author&gt;&lt;author&gt;Huestis, M. A.&lt;/author&gt;&lt;/authors&gt;&lt;/contributors&gt;&lt;auth-address&gt;Chemistry and Drug Metabolism Section, IRP, National Institute on Drug Abuse, National Institutes of Health, Baltimore, MD.&amp;#xD;Program in Toxicology, University of Maryland, Baltimore, Baltimore, MD.&amp;#xD;Chemistry and Drug Metabolism Section, IRP, National Institute on Drug Abuse, National Institutes of Health, Baltimore, MD; kscheidweiler@intra.nida.nih.gov.&amp;#xD;University of Maryland School of Medicine, Baltimore, MD.&lt;/auth-address&gt;&lt;titles&gt;&lt;title&gt;Free and Glucuronide Whole Blood Cannabinoids&amp;apos; Pharmacokinetics after Controlled Smoked, Vaporized, and Oral Cannabis Administration in Frequent and Occasional Cannabis Users: Identification of Recent Cannabis Intake&lt;/title&gt;&lt;secondary-title&gt;Clin Chem&lt;/secondary-title&gt;&lt;alt-title&gt;Clinical chemistry&lt;/alt-title&gt;&lt;/titles&gt;&lt;periodical&gt;&lt;full-title&gt;Clin Chem&lt;/full-title&gt;&lt;abbr-1&gt;Clinical chemistry&lt;/abbr-1&gt;&lt;/periodical&gt;&lt;alt-periodical&gt;&lt;full-title&gt;Clin Chem&lt;/full-title&gt;&lt;abbr-1&gt;Clinical chemistry&lt;/abbr-1&gt;&lt;/alt-periodical&gt;&lt;pages&gt;1579-1592&lt;/pages&gt;&lt;volume&gt;62&lt;/volume&gt;&lt;number&gt;12&lt;/number&gt;&lt;edition&gt;2016/12/03&lt;/edition&gt;&lt;dates&gt;&lt;year&gt;2016&lt;/year&gt;&lt;pub-dates&gt;&lt;date&gt;Dec&lt;/date&gt;&lt;/pub-dates&gt;&lt;/dates&gt;&lt;isbn&gt;0009-9147&lt;/isbn&gt;&lt;accession-num&gt;27899456&lt;/accession-num&gt;&lt;urls&gt;&lt;/urls&gt;&lt;electronic-resource-num&gt;10.1373/clinchem.2016.263475&lt;/electronic-resource-num&gt;&lt;remote-database-provider&gt;NLM&lt;/remote-database-provider&gt;&lt;language&gt;eng&lt;/language&gt;&lt;/record&gt;&lt;/Cite&gt;&lt;/EndNote&gt;</w:instrText>
      </w:r>
      <w:r w:rsidRPr="00E82261">
        <w:rPr>
          <w:rFonts w:ascii="Arial" w:hAnsi="Arial" w:cs="Arial"/>
          <w:sz w:val="24"/>
          <w:szCs w:val="24"/>
        </w:rPr>
        <w:fldChar w:fldCharType="separate"/>
      </w:r>
      <w:r w:rsidRPr="00E82261">
        <w:rPr>
          <w:rFonts w:ascii="Arial" w:hAnsi="Arial" w:cs="Arial"/>
          <w:noProof/>
          <w:sz w:val="24"/>
          <w:szCs w:val="24"/>
        </w:rPr>
        <w:t>(Newmeyer et al., 2016)</w:t>
      </w:r>
      <w:r w:rsidRPr="00E82261">
        <w:rPr>
          <w:rFonts w:ascii="Arial" w:hAnsi="Arial" w:cs="Arial"/>
          <w:sz w:val="24"/>
          <w:szCs w:val="24"/>
        </w:rPr>
        <w:fldChar w:fldCharType="end"/>
      </w:r>
      <w:r w:rsidRPr="00E82261">
        <w:rPr>
          <w:rFonts w:ascii="Arial" w:hAnsi="Arial" w:cs="Arial"/>
          <w:sz w:val="24"/>
          <w:szCs w:val="24"/>
        </w:rPr>
        <w:t>.</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spacing w:after="0" w:line="240" w:lineRule="auto"/>
        <w:rPr>
          <w:rFonts w:ascii="Arial" w:hAnsi="Arial" w:cs="Arial"/>
          <w:sz w:val="24"/>
          <w:szCs w:val="24"/>
        </w:rPr>
      </w:pPr>
      <w:r w:rsidRPr="00E82261">
        <w:rPr>
          <w:rFonts w:ascii="Arial" w:hAnsi="Arial" w:cs="Arial"/>
          <w:sz w:val="24"/>
          <w:szCs w:val="24"/>
        </w:rPr>
        <w:t xml:space="preserve">Blood cannabinoid concentration cannot be estimated from OF data </w:t>
      </w:r>
      <w:r w:rsidRPr="00E82261">
        <w:rPr>
          <w:rFonts w:ascii="Arial" w:hAnsi="Arial" w:cs="Arial"/>
          <w:sz w:val="24"/>
          <w:szCs w:val="24"/>
        </w:rPr>
        <w:fldChar w:fldCharType="begin">
          <w:fldData xml:space="preserve">PEVuZE5vdGU+PENpdGU+PEF1dGhvcj5OZXdtZXllcjwvQXV0aG9yPjxZZWFyPjIwMTc8L1llYXI+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PEVuZE5vdGU+PENpdGU+PEF1dGhvcj5OZXdtZXllcjwvQXV0aG9yPjxZZWFyPjIwMTc8L1llYXI+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(Newmeyer et al., 2017b)</w:t>
      </w:r>
      <w:r w:rsidRPr="00E82261">
        <w:rPr>
          <w:rFonts w:ascii="Arial" w:hAnsi="Arial" w:cs="Arial"/>
          <w:sz w:val="24"/>
          <w:szCs w:val="24"/>
        </w:rPr>
        <w:fldChar w:fldCharType="end"/>
      </w:r>
      <w:r w:rsidRPr="00E82261">
        <w:rPr>
          <w:rFonts w:ascii="Arial" w:hAnsi="Arial" w:cs="Arial"/>
          <w:sz w:val="24"/>
          <w:szCs w:val="24"/>
        </w:rPr>
        <w:t xml:space="preserve">.  The studies reviewed indicated that for smoked and vaporized cannabis, OF and blood THC concentrations were significantly correlated for up to 8 hours cannabis administration </w:t>
      </w:r>
      <w:r w:rsidRPr="00E82261">
        <w:rPr>
          <w:rFonts w:ascii="Arial" w:hAnsi="Arial" w:cs="Arial"/>
          <w:sz w:val="24"/>
          <w:szCs w:val="24"/>
        </w:rPr>
        <w:fldChar w:fldCharType="begin">
          <w:fldData xml:space="preserve">PEVuZE5vdGU+PENpdGU+PEF1dGhvcj5IYXJ0bWFuPC9BdXRob3I+PFllYXI+MjAxNjwvWWVhcj48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PEVuZE5vdGU+PENpdGU+PEF1dGhvcj5IYXJ0bWFuPC9BdXRob3I+PFllYXI+MjAxNjwvWWVhcj48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(Hartman et al., 2016)</w:t>
      </w:r>
      <w:r w:rsidRPr="00E82261">
        <w:rPr>
          <w:rFonts w:ascii="Arial" w:hAnsi="Arial" w:cs="Arial"/>
          <w:sz w:val="24"/>
          <w:szCs w:val="24"/>
        </w:rPr>
        <w:fldChar w:fldCharType="end"/>
      </w:r>
      <w:r w:rsidRPr="00E82261">
        <w:rPr>
          <w:rFonts w:ascii="Arial" w:hAnsi="Arial" w:cs="Arial"/>
          <w:sz w:val="24"/>
          <w:szCs w:val="24"/>
        </w:rPr>
        <w:t>, with THC concentrations in both matrices peaking during or shortly after use followed by rapid decreases. Edible cannabis, however, displays a different profile with OF THC C</w:t>
      </w:r>
      <w:r w:rsidRPr="00E82261">
        <w:rPr>
          <w:rFonts w:ascii="Arial" w:hAnsi="Arial" w:cs="Arial"/>
          <w:sz w:val="24"/>
          <w:szCs w:val="24"/>
          <w:vertAlign w:val="subscript"/>
        </w:rPr>
        <w:t xml:space="preserve">max </w:t>
      </w:r>
      <w:r w:rsidRPr="00E82261">
        <w:rPr>
          <w:rFonts w:ascii="Arial" w:hAnsi="Arial" w:cs="Arial"/>
          <w:sz w:val="24"/>
          <w:szCs w:val="24"/>
        </w:rPr>
        <w:t>(maximum concentration) occurring by 0.3 hours, while blood THC C</w:t>
      </w:r>
      <w:r w:rsidRPr="00E82261">
        <w:rPr>
          <w:rFonts w:ascii="Arial" w:hAnsi="Arial" w:cs="Arial"/>
          <w:sz w:val="24"/>
          <w:szCs w:val="24"/>
          <w:vertAlign w:val="subscript"/>
        </w:rPr>
        <w:t xml:space="preserve">max </w:t>
      </w:r>
      <w:r w:rsidRPr="00E82261">
        <w:rPr>
          <w:rFonts w:ascii="Arial" w:hAnsi="Arial" w:cs="Arial"/>
          <w:sz w:val="24"/>
          <w:szCs w:val="24"/>
        </w:rPr>
        <w:t xml:space="preserve">occurs 1-5 hours later. These different pharmacokinetic time courses explain the lack of correlation between OF and blood concentrations during the first 5 h after edible cannabis </w:t>
      </w:r>
      <w:r w:rsidRPr="00E82261">
        <w:rPr>
          <w:rFonts w:ascii="Arial" w:hAnsi="Arial" w:cs="Arial"/>
          <w:sz w:val="24"/>
          <w:szCs w:val="24"/>
        </w:rPr>
        <w:fldChar w:fldCharType="begin">
          <w:fldData xml:space="preserve">PEVuZE5vdGU+PENpdGU+PEF1dGhvcj5OZXdtZXllcjwvQXV0aG9yPjxZZWFyPjIwMTc8L1llYXI+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</w:fldData>
        </w:fldChar>
      </w:r>
      <w:r w:rsidRPr="00E82261">
        <w:rPr>
          <w:rFonts w:ascii="Arial" w:hAnsi="Arial" w:cs="Arial"/>
          <w:sz w:val="24"/>
          <w:szCs w:val="24"/>
        </w:rPr>
        <w:instrText xml:space="preserve"> ADDIN EN.CITE </w:instrText>
      </w:r>
      <w:r w:rsidRPr="00E82261">
        <w:rPr>
          <w:rFonts w:ascii="Arial" w:hAnsi="Arial" w:cs="Arial"/>
          <w:sz w:val="24"/>
          <w:szCs w:val="24"/>
        </w:rPr>
        <w:fldChar w:fldCharType="begin">
          <w:fldData xml:space="preserve">PEVuZE5vdGU+PENpdGU+PEF1dGhvcj5OZXdtZXllcjwvQXV0aG9yPjxZZWFyPjIwMTc8L1llYXI+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</w:fldData>
        </w:fldChar>
      </w:r>
      <w:r w:rsidRPr="00E82261">
        <w:rPr>
          <w:rFonts w:ascii="Arial" w:hAnsi="Arial" w:cs="Arial"/>
          <w:sz w:val="24"/>
          <w:szCs w:val="24"/>
        </w:rPr>
        <w:instrText xml:space="preserve"> ADDIN EN.CITE.DATA </w:instrText>
      </w:r>
      <w:r w:rsidRPr="00E82261">
        <w:rPr>
          <w:rFonts w:ascii="Arial" w:hAnsi="Arial" w:cs="Arial"/>
          <w:sz w:val="24"/>
          <w:szCs w:val="24"/>
        </w:rPr>
      </w:r>
      <w:r w:rsidRPr="00E82261">
        <w:rPr>
          <w:rFonts w:ascii="Arial" w:hAnsi="Arial" w:cs="Arial"/>
          <w:sz w:val="24"/>
          <w:szCs w:val="24"/>
        </w:rPr>
        <w:fldChar w:fldCharType="end"/>
      </w:r>
      <w:r w:rsidRPr="00E82261">
        <w:rPr>
          <w:rFonts w:ascii="Arial" w:hAnsi="Arial" w:cs="Arial"/>
          <w:sz w:val="24"/>
          <w:szCs w:val="24"/>
        </w:rPr>
      </w:r>
      <w:r w:rsidRPr="00E82261">
        <w:rPr>
          <w:rFonts w:ascii="Arial" w:hAnsi="Arial" w:cs="Arial"/>
          <w:sz w:val="24"/>
          <w:szCs w:val="24"/>
        </w:rPr>
        <w:fldChar w:fldCharType="separate"/>
      </w:r>
      <w:r w:rsidRPr="00E82261">
        <w:rPr>
          <w:rFonts w:ascii="Arial" w:hAnsi="Arial" w:cs="Arial"/>
          <w:noProof/>
          <w:sz w:val="24"/>
          <w:szCs w:val="24"/>
        </w:rPr>
        <w:t>(Newmeyer et al., 2017b)</w:t>
      </w:r>
      <w:r w:rsidRPr="00E82261">
        <w:rPr>
          <w:rFonts w:ascii="Arial" w:hAnsi="Arial" w:cs="Arial"/>
          <w:sz w:val="24"/>
          <w:szCs w:val="24"/>
        </w:rPr>
        <w:fldChar w:fldCharType="end"/>
      </w:r>
      <w:r w:rsidRPr="00E82261">
        <w:rPr>
          <w:rFonts w:ascii="Arial" w:hAnsi="Arial" w:cs="Arial"/>
          <w:sz w:val="24"/>
          <w:szCs w:val="24"/>
        </w:rPr>
        <w:t xml:space="preserve">. Thus, the route of cannabis administration has a large impact on how well oral fluid correlates with blood THC. At present, most marijuana users smoke or vaporize marijuana, making oral fluid testing a reasonable option, though other routes of administration may become more frequent as retail sales of adult use marijuana begin in Massachusetts. </w:t>
      </w:r>
    </w:p>
    <w:p w:rsidR="006D0A50" w:rsidRPr="00E82261" w:rsidRDefault="006D0A50" w:rsidP="006057BE">
      <w:pPr>
        <w:spacing w:after="0" w:line="240" w:lineRule="auto"/>
        <w:rPr>
          <w:rFonts w:ascii="Arial" w:hAnsi="Arial" w:cs="Arial"/>
          <w:sz w:val="24"/>
          <w:szCs w:val="24"/>
        </w:rPr>
      </w:pPr>
    </w:p>
    <w:p w:rsidR="00EC25F0" w:rsidRPr="00E82261" w:rsidRDefault="00EC25F0" w:rsidP="006057BE">
      <w:pPr>
        <w:autoSpaceDE w:val="0"/>
        <w:autoSpaceDN w:val="0"/>
        <w:adjustRightInd w:val="0"/>
        <w:spacing w:after="0" w:line="240" w:lineRule="auto"/>
        <w:rPr>
          <w:rFonts w:ascii="Arial" w:hAnsi="Arial" w:cs="Arial"/>
          <w:sz w:val="24"/>
          <w:szCs w:val="24"/>
        </w:rPr>
      </w:pPr>
      <w:r w:rsidRPr="00E82261">
        <w:rPr>
          <w:rFonts w:ascii="Arial" w:hAnsi="Arial" w:cs="Arial"/>
          <w:sz w:val="24"/>
          <w:szCs w:val="24"/>
        </w:rPr>
        <w:t xml:space="preserve">The evidence suggests that marijuana has cognitive and behavioral effects in the areas of automative behavior, especially for occasional users, and there also are likely some executive function impacts for some users. In simulated road environments, marijuana exposure was associated with decreased speed; which may be either positive or negative for driving performance and crash risk, depending on the circumstance. Marijuana exposure also unquestionably hurt driving performance in some ways. The overall picture was one of mixed results that on balance fall between no effect and decreased performance. It is worth noting that when reported, magnitude of impaired performance was generally small. In controlled environments, the marijuana use was not associated with performance decreases on elements of the standardized field sobriety test, though observational studies reached a different conclusion. </w:t>
      </w:r>
    </w:p>
    <w:p w:rsidR="00EC25F0" w:rsidRPr="0084373E" w:rsidRDefault="00EC25F0" w:rsidP="006057BE">
      <w:pPr>
        <w:spacing w:after="0" w:line="240" w:lineRule="auto"/>
        <w:rPr>
          <w:rFonts w:ascii="Arial" w:hAnsi="Arial" w:cs="Arial"/>
          <w:szCs w:val="24"/>
        </w:rPr>
        <w:sectPr w:rsidR="00EC25F0" w:rsidRPr="0084373E" w:rsidSect="00626599">
          <w:pgSz w:w="12240" w:h="15840"/>
          <w:pgMar w:top="1440" w:right="1440" w:bottom="1440" w:left="1440" w:header="720" w:footer="720" w:gutter="0"/>
          <w:cols w:space="720"/>
          <w:docGrid w:linePitch="360"/>
        </w:sectPr>
      </w:pPr>
      <w:r w:rsidRPr="00E82261">
        <w:rPr>
          <w:rFonts w:ascii="Arial" w:hAnsi="Arial" w:cs="Arial"/>
          <w:sz w:val="24"/>
          <w:szCs w:val="24"/>
        </w:rPr>
        <w:t xml:space="preserve">  </w:t>
      </w:r>
    </w:p>
    <w:p w:rsidR="00EC25F0" w:rsidRPr="0084373E" w:rsidRDefault="00EC25F0" w:rsidP="005F7A46">
      <w:pPr>
        <w:pStyle w:val="Heading2"/>
      </w:pPr>
      <w:bookmarkStart w:id="328" w:name="_Toc512861233"/>
      <w:bookmarkStart w:id="329" w:name="_Toc11765984"/>
      <w:bookmarkStart w:id="330" w:name="_Toc11766639"/>
      <w:bookmarkStart w:id="331" w:name="_Toc11917225"/>
      <w:bookmarkStart w:id="332" w:name="_Toc11921663"/>
      <w:bookmarkStart w:id="333" w:name="_Toc12520942"/>
      <w:bookmarkStart w:id="334" w:name="_Toc12521168"/>
      <w:bookmarkStart w:id="335" w:name="_Toc12529138"/>
      <w:r w:rsidRPr="0084373E">
        <w:t>References</w:t>
      </w:r>
      <w:bookmarkEnd w:id="328"/>
      <w:bookmarkEnd w:id="329"/>
      <w:bookmarkEnd w:id="330"/>
      <w:bookmarkEnd w:id="331"/>
      <w:bookmarkEnd w:id="332"/>
      <w:bookmarkEnd w:id="333"/>
      <w:bookmarkEnd w:id="334"/>
      <w:bookmarkEnd w:id="335"/>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fldChar w:fldCharType="begin"/>
      </w:r>
      <w:r w:rsidRPr="0084373E">
        <w:rPr>
          <w:rFonts w:ascii="Arial" w:hAnsi="Arial" w:cs="Arial"/>
        </w:rPr>
        <w:instrText xml:space="preserve"> ADDIN EN.REFLIST </w:instrText>
      </w:r>
      <w:r w:rsidRPr="0084373E">
        <w:rPr>
          <w:rFonts w:ascii="Arial" w:hAnsi="Arial" w:cs="Arial"/>
        </w:rPr>
        <w:fldChar w:fldCharType="separate"/>
      </w:r>
      <w:r w:rsidRPr="0084373E">
        <w:rPr>
          <w:rFonts w:ascii="Arial" w:hAnsi="Arial" w:cs="Arial"/>
        </w:rPr>
        <w:t xml:space="preserve">Alcohol and Drug Abuse Institute. (2013). What is Cannabis?   Retrieved from </w:t>
      </w:r>
      <w:hyperlink r:id="rId40" w:history="1">
        <w:r w:rsidRPr="0084373E">
          <w:rPr>
            <w:rStyle w:val="Hyperlink"/>
            <w:rFonts w:ascii="Arial" w:hAnsi="Arial" w:cs="Arial"/>
          </w:rPr>
          <w:t>http://learnaboutmarijuanawa.org/factsheets/whatiscannabis.htm</w:t>
        </w:r>
      </w:hyperlink>
      <w:r w:rsidRPr="0084373E">
        <w:rPr>
          <w:rStyle w:val="Hyperlink"/>
          <w:rFonts w:ascii="Arial" w:hAnsi="Arial" w:cs="Arial"/>
        </w:rPr>
        <w:t>.</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Alere DDS®2 Mobile Test System: Rapid Screening for Drugs of Abuse in Oral Fluid. (2018).   Retrieved from </w:t>
      </w:r>
      <w:hyperlink r:id="rId41" w:history="1">
        <w:r w:rsidRPr="0084373E">
          <w:rPr>
            <w:rStyle w:val="Hyperlink"/>
            <w:rFonts w:ascii="Arial" w:hAnsi="Arial" w:cs="Arial"/>
          </w:rPr>
          <w:t>https://www.alere.com/en/home/product-details/dds2-mobile-test-system.html#</w:t>
        </w:r>
      </w:hyperlink>
      <w:r w:rsidRPr="0084373E">
        <w:rPr>
          <w:rStyle w:val="Hyperlink"/>
          <w:rFonts w:ascii="Arial" w:hAnsi="Arial" w:cs="Arial"/>
        </w:rPr>
        <w:t>.</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Allen, K. R. (2011). Screening for drugs of abuse: which matrix, oral fluid or urine? </w:t>
      </w:r>
      <w:r w:rsidRPr="0084373E">
        <w:rPr>
          <w:rFonts w:ascii="Arial" w:hAnsi="Arial" w:cs="Arial"/>
          <w:i/>
        </w:rPr>
        <w:t>Annals of Clinical Biochemistry, 48</w:t>
      </w:r>
      <w:r w:rsidRPr="0084373E">
        <w:rPr>
          <w:rFonts w:ascii="Arial" w:hAnsi="Arial" w:cs="Arial"/>
        </w:rPr>
        <w:t xml:space="preserve">(6), 531-541.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Arnett, J. J., &amp; Tanner, J. L. (Eds.). (2004). </w:t>
      </w:r>
      <w:r w:rsidRPr="0084373E">
        <w:rPr>
          <w:rFonts w:ascii="Arial" w:hAnsi="Arial" w:cs="Arial"/>
          <w:i/>
        </w:rPr>
        <w:t>Emerging Adulthood: The Winding Road from the Late Teens through the Twenties</w:t>
      </w:r>
      <w:r w:rsidRPr="0084373E">
        <w:rPr>
          <w:rFonts w:ascii="Arial" w:hAnsi="Arial" w:cs="Arial"/>
        </w:rPr>
        <w:t>. New York, NY: Oxford University Press.</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Arria, A. M., Caldeira, K. M., Vincent, K. B., Garnier-Dykstra, L. M., &amp; O'Grady, K. E. (2011). Substance-related traffic-risk behaviors among college students. </w:t>
      </w:r>
      <w:r w:rsidRPr="0084373E">
        <w:rPr>
          <w:rFonts w:ascii="Arial" w:hAnsi="Arial" w:cs="Arial"/>
          <w:i/>
        </w:rPr>
        <w:t>Drug Alcohol Depend, 118</w:t>
      </w:r>
      <w:r w:rsidRPr="0084373E">
        <w:rPr>
          <w:rFonts w:ascii="Arial" w:hAnsi="Arial" w:cs="Arial"/>
        </w:rPr>
        <w:t>(2-3), 306-312. doi:10.1016/j.drugalcdep.2011.04.012</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Asbridge, M., Hayden, J. A., &amp; Cartwright, J. L. (2012). Acute cannabis consumption and motor vehicle collision risk: systematic review of observational studies and meta-analysis. </w:t>
      </w:r>
      <w:r w:rsidRPr="0084373E">
        <w:rPr>
          <w:rFonts w:ascii="Arial" w:hAnsi="Arial" w:cs="Arial"/>
          <w:i/>
        </w:rPr>
        <w:t>BMJ, 344</w:t>
      </w:r>
      <w:r w:rsidRPr="0084373E">
        <w:rPr>
          <w:rFonts w:ascii="Arial" w:hAnsi="Arial" w:cs="Arial"/>
        </w:rPr>
        <w:t xml:space="preserve">, e536.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Banta-Green, C., Rowhani-Rahbar, A., Ebel, B. E., Andris, L. M., &amp; Qiu, Q. (2016). Cannabis Use among Drivers Suspected of Driving Under the Influence or Involved in Collisions: Analyses of Washington State Patrol Data.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Berning, A., &amp; Smither, D. (2014). </w:t>
      </w:r>
      <w:r w:rsidRPr="0084373E">
        <w:rPr>
          <w:rFonts w:ascii="Arial" w:hAnsi="Arial" w:cs="Arial"/>
          <w:i/>
        </w:rPr>
        <w:t>Understanding the Limitations of Drug Test Information, Reporting, and Testing Practices in Fatal Crashes</w:t>
      </w:r>
      <w:r w:rsidRPr="0084373E">
        <w:rPr>
          <w:rFonts w:ascii="Arial" w:hAnsi="Arial" w:cs="Arial"/>
        </w:rPr>
        <w:t xml:space="preserve">. Washington, D.C.: U. S. D. o. Transportation.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Blencowe, T., Pehrsson, A., &amp; Lillsunde, P. (2010). </w:t>
      </w:r>
      <w:r w:rsidRPr="0084373E">
        <w:rPr>
          <w:rFonts w:ascii="Arial" w:hAnsi="Arial" w:cs="Arial"/>
          <w:i/>
        </w:rPr>
        <w:t>Analytical evaluation of oral fluid screening devices and preceding selection procedures</w:t>
      </w:r>
      <w:r w:rsidRPr="0084373E">
        <w:rPr>
          <w:rFonts w:ascii="Arial" w:hAnsi="Arial" w:cs="Arial"/>
        </w:rPr>
        <w:t xml:space="preserve">. A. a. M. Driving Under the Influence of Drugs. Retrieved from </w:t>
      </w:r>
      <w:hyperlink r:id="rId42" w:history="1">
        <w:r w:rsidRPr="0084373E">
          <w:rPr>
            <w:rStyle w:val="Hyperlink"/>
            <w:rFonts w:ascii="Arial" w:hAnsi="Arial" w:cs="Arial"/>
          </w:rPr>
          <w:t>https://www.bast.de/Druid/EN/deliverales-list/downloads/Deliverable_3_2_2.pdf?__blob=publicationFile&amp;v=1</w:t>
        </w:r>
      </w:hyperlink>
      <w:r w:rsidRPr="0084373E">
        <w:rPr>
          <w:rFonts w:ascii="Arial" w:hAnsi="Arial" w:cs="Arial"/>
        </w:rPr>
        <w:t>.</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Bondallaz, P., Favrat, B., Chtioui, H., Fornari, E., Maeder, P., &amp; Giroud, C. (2016). Cannabis and its effects on driving skills. </w:t>
      </w:r>
      <w:r w:rsidRPr="0084373E">
        <w:rPr>
          <w:rFonts w:ascii="Arial" w:hAnsi="Arial" w:cs="Arial"/>
          <w:i/>
        </w:rPr>
        <w:t>Forensic Sci Int, 268</w:t>
      </w:r>
      <w:r w:rsidRPr="0084373E">
        <w:rPr>
          <w:rFonts w:ascii="Arial" w:hAnsi="Arial" w:cs="Arial"/>
        </w:rPr>
        <w:t>, 92-102. doi:</w:t>
      </w:r>
      <w:hyperlink r:id="rId43" w:history="1">
        <w:r w:rsidRPr="0084373E">
          <w:rPr>
            <w:rStyle w:val="Hyperlink"/>
            <w:rFonts w:ascii="Arial" w:hAnsi="Arial" w:cs="Arial"/>
          </w:rPr>
          <w:t>https://doi.org/10.1016/j.forsciint.2016.09.007</w:t>
        </w:r>
      </w:hyperlink>
      <w:r w:rsidRPr="0084373E">
        <w:rPr>
          <w:rStyle w:val="Hyperlink"/>
          <w:rFonts w:ascii="Arial" w:hAnsi="Arial" w:cs="Arial"/>
        </w:rPr>
        <w:t>.</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Bosker, W. M., &amp; Huestis, M. A. (2009). Oral fluid testing for drugs of abuse. </w:t>
      </w:r>
      <w:r w:rsidRPr="0084373E">
        <w:rPr>
          <w:rFonts w:ascii="Arial" w:hAnsi="Arial" w:cs="Arial"/>
          <w:i/>
        </w:rPr>
        <w:t>Clin Chem, 55</w:t>
      </w:r>
      <w:r w:rsidRPr="0084373E">
        <w:rPr>
          <w:rFonts w:ascii="Arial" w:hAnsi="Arial" w:cs="Arial"/>
        </w:rPr>
        <w:t xml:space="preserve">(11), 1910-1931.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Chihuri, S., Li, G., &amp; Chen, Q. (2017). Interaction of marijuana and alcohol on fatal motor vehicle crash risk: a case-control study. </w:t>
      </w:r>
      <w:r w:rsidRPr="0084373E">
        <w:rPr>
          <w:rFonts w:ascii="Arial" w:hAnsi="Arial" w:cs="Arial"/>
          <w:i/>
        </w:rPr>
        <w:t>Inj Epidemiol, 4</w:t>
      </w:r>
      <w:r w:rsidRPr="0084373E">
        <w:rPr>
          <w:rFonts w:ascii="Arial" w:hAnsi="Arial" w:cs="Arial"/>
        </w:rPr>
        <w:t>(1), 8. doi:10.1186/s40621-017-0105-z.</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Compton, R. (2017). </w:t>
      </w:r>
      <w:r w:rsidRPr="0084373E">
        <w:rPr>
          <w:rFonts w:ascii="Arial" w:hAnsi="Arial" w:cs="Arial"/>
          <w:i/>
        </w:rPr>
        <w:t>Marijuana-Impaired Driving A Report to Congress</w:t>
      </w:r>
      <w:r w:rsidRPr="0084373E">
        <w:rPr>
          <w:rFonts w:ascii="Arial" w:hAnsi="Arial" w:cs="Arial"/>
        </w:rPr>
        <w:t xml:space="preserve">. Washington, DC.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Davis, K. C., Allen, J., Duke, J., Nonnemaker, J., Bradfield, B., Farrelly, M. C., . . . Novak, S. (2016). Correlates of Marijuana Drugged Driving and Openness to Driving While High: Evidence from Colorado and Washington. </w:t>
      </w:r>
      <w:r w:rsidRPr="0084373E">
        <w:rPr>
          <w:rFonts w:ascii="Arial" w:hAnsi="Arial" w:cs="Arial"/>
          <w:i/>
        </w:rPr>
        <w:t>PLoS One, 11</w:t>
      </w:r>
      <w:r w:rsidRPr="0084373E">
        <w:rPr>
          <w:rFonts w:ascii="Arial" w:hAnsi="Arial" w:cs="Arial"/>
        </w:rPr>
        <w:t>(1), e0146853. doi:10.1371/journal.pone.0146853.</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Department of Health and Environment, C. Adult marijuana use trends. </w:t>
      </w:r>
      <w:r w:rsidRPr="0084373E">
        <w:rPr>
          <w:rFonts w:ascii="Arial" w:hAnsi="Arial" w:cs="Arial"/>
          <w:i/>
        </w:rPr>
        <w:t>Monitoring trends in adult marijuana use.</w:t>
      </w:r>
      <w:r w:rsidRPr="0084373E">
        <w:rPr>
          <w:rFonts w:ascii="Arial" w:hAnsi="Arial" w:cs="Arial"/>
        </w:rPr>
        <w:t xml:space="preserve">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Department of Health and Human Services. (2015). </w:t>
      </w:r>
      <w:r w:rsidRPr="0084373E">
        <w:rPr>
          <w:rFonts w:ascii="Arial" w:hAnsi="Arial" w:cs="Arial"/>
          <w:i/>
        </w:rPr>
        <w:t>Mandatory Guidelines for Federal Workplace Drug Testing Programs</w:t>
      </w:r>
      <w:r w:rsidRPr="0084373E">
        <w:rPr>
          <w:rFonts w:ascii="Arial" w:hAnsi="Arial" w:cs="Arial"/>
        </w:rPr>
        <w:t xml:space="preserve">.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Dräger DrugTest® 5000: Analysis system for detecting drugs. (2018).   Retrieved from </w:t>
      </w:r>
      <w:hyperlink r:id="rId44" w:history="1">
        <w:r w:rsidRPr="0084373E">
          <w:rPr>
            <w:rStyle w:val="Hyperlink"/>
            <w:rFonts w:ascii="Arial" w:hAnsi="Arial" w:cs="Arial"/>
          </w:rPr>
          <w:t>https://www.draeger.com/Library/Content/drugtest_5000_pi_9041006_en.pdf</w:t>
        </w:r>
      </w:hyperlink>
      <w:r w:rsidRPr="0084373E">
        <w:rPr>
          <w:rStyle w:val="Hyperlink"/>
          <w:rFonts w:ascii="Arial" w:hAnsi="Arial" w:cs="Arial"/>
        </w:rPr>
        <w:t>.</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Drummer, O. H. (2010). Forensic toxicology. </w:t>
      </w:r>
      <w:r w:rsidRPr="0084373E">
        <w:rPr>
          <w:rFonts w:ascii="Arial" w:hAnsi="Arial" w:cs="Arial"/>
          <w:i/>
        </w:rPr>
        <w:t>Exs, 100</w:t>
      </w:r>
      <w:r w:rsidRPr="0084373E">
        <w:rPr>
          <w:rFonts w:ascii="Arial" w:hAnsi="Arial" w:cs="Arial"/>
        </w:rPr>
        <w:t xml:space="preserve">, 579-603.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Edwards, L. D., Smith, K. L., &amp; Savage, T. (2017). Drugged Driving in Wisconsin: Oral Fluid Versus Blood. </w:t>
      </w:r>
      <w:r w:rsidRPr="0084373E">
        <w:rPr>
          <w:rFonts w:ascii="Arial" w:hAnsi="Arial" w:cs="Arial"/>
          <w:i/>
        </w:rPr>
        <w:t>J Anal Toxicol, 41</w:t>
      </w:r>
      <w:r w:rsidRPr="0084373E">
        <w:rPr>
          <w:rFonts w:ascii="Arial" w:hAnsi="Arial" w:cs="Arial"/>
        </w:rPr>
        <w:t>(6), 523-529. doi:10.1093/jat/bkx051.</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Gentili, S., Solimini, R., Tittarelli, R., Mannocchi, G., &amp; Busardo, F. P. (2016). A Study on the Reliability of an On-Site Oral Fluid Drug Test in a Recreational Context. </w:t>
      </w:r>
      <w:r w:rsidRPr="0084373E">
        <w:rPr>
          <w:rFonts w:ascii="Arial" w:hAnsi="Arial" w:cs="Arial"/>
          <w:i/>
        </w:rPr>
        <w:t>J Anal Methods Chem, 2016</w:t>
      </w:r>
      <w:r w:rsidRPr="0084373E">
        <w:rPr>
          <w:rFonts w:ascii="Arial" w:hAnsi="Arial" w:cs="Arial"/>
        </w:rPr>
        <w:t>, 1234581. doi:10.1155/2016/1234581.</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Gentili, S., Solimini, R., Tittarelli, R., Mannocchi, G., &amp; Busardò, F. P. (2016). A Study on the Reliability of an On-Site Oral Fluid Drug Test in a Recreational Context. </w:t>
      </w:r>
      <w:r w:rsidRPr="0084373E">
        <w:rPr>
          <w:rFonts w:ascii="Arial" w:hAnsi="Arial" w:cs="Arial"/>
          <w:i/>
        </w:rPr>
        <w:t>J Anal Methods Chem, 2016</w:t>
      </w:r>
      <w:r w:rsidRPr="0084373E">
        <w:rPr>
          <w:rFonts w:ascii="Arial" w:hAnsi="Arial" w:cs="Arial"/>
        </w:rPr>
        <w:t>, 1234581. doi:10.1155/2016/1234581.</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Goodwin, R. S., Darwin, W. D., Chiang, C. N., Shih, M., Li, S.-H., &amp; Huestis, M. A. (2008). Urinary elimination of 11-nor-9-carboxy-delta9-tetrahydrocannnabinol in cannabis users during continuously monitored abstinence. Journal of analytical toxicology, 32(8), 562-569.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Grotenhermen, F. (2003). Pharmacokinetics and pharmacodynamics of cannabinoids. </w:t>
      </w:r>
      <w:r w:rsidRPr="0084373E">
        <w:rPr>
          <w:rFonts w:ascii="Arial" w:hAnsi="Arial" w:cs="Arial"/>
          <w:i/>
        </w:rPr>
        <w:t>Clin Pharmacokinet, 42</w:t>
      </w:r>
      <w:r w:rsidRPr="0084373E">
        <w:rPr>
          <w:rFonts w:ascii="Arial" w:hAnsi="Arial" w:cs="Arial"/>
        </w:rPr>
        <w:t>(4), 327-360. doi:10.2165/00003088-200342040-00003.</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Gunasekaran, N., Long, L. E., Dawson, B. L., Hansen, G. H., Richardson, D. P., Li, K. M., . . . McGregor, I. S. (2009). Reintoxication: the release of fat-stored Δ(9)-tetrahydrocannabinol (THC) into blood is enhanced by food deprivation or ACTH exposure. </w:t>
      </w:r>
      <w:r w:rsidRPr="0084373E">
        <w:rPr>
          <w:rFonts w:ascii="Arial" w:hAnsi="Arial" w:cs="Arial"/>
          <w:i/>
        </w:rPr>
        <w:t>British Journal of Pharmacology, 158</w:t>
      </w:r>
      <w:r w:rsidRPr="0084373E">
        <w:rPr>
          <w:rFonts w:ascii="Arial" w:hAnsi="Arial" w:cs="Arial"/>
        </w:rPr>
        <w:t>(5), 1330-1337. doi:10.1111/j.1476-5381.2009.00399.x.</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Hartman, R. L., Anizan, S., Jang, M., Brown, T. L., Yun, K. M., Gorelick, D. A., . . . Huestis, M. A. (2015). Cannabinoid disposition in oral fluid after controlled vaporizer administration with and without alcohol. </w:t>
      </w:r>
      <w:r w:rsidRPr="0084373E">
        <w:rPr>
          <w:rFonts w:ascii="Arial" w:hAnsi="Arial" w:cs="Arial"/>
          <w:i/>
        </w:rPr>
        <w:t>Forensic Toxicology, 33</w:t>
      </w:r>
      <w:r w:rsidRPr="0084373E">
        <w:rPr>
          <w:rFonts w:ascii="Arial" w:hAnsi="Arial" w:cs="Arial"/>
        </w:rPr>
        <w:t>(2), 260-278. doi:10.1007/s11419-015-0269-6.</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Hartman, R. L., Brown, T. L., Milavetz, G., Spurgin, A., Gorelick, D. A., Gaffney, G., &amp; Huestis, M. A. (2016). Controlled vaporized cannabis, with and without alcohol: subjective effects and oral fluid-blood cannabinoid relationships. </w:t>
      </w:r>
      <w:r w:rsidRPr="0084373E">
        <w:rPr>
          <w:rFonts w:ascii="Arial" w:hAnsi="Arial" w:cs="Arial"/>
          <w:i/>
        </w:rPr>
        <w:t>Drug Test Anal, 8</w:t>
      </w:r>
      <w:r w:rsidRPr="0084373E">
        <w:rPr>
          <w:rFonts w:ascii="Arial" w:hAnsi="Arial" w:cs="Arial"/>
        </w:rPr>
        <w:t>(7), 690-701. doi:10.1002/dta.1839.</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Hoffman, J. (2016). Study finds sharp increase in marijuana exposure among Colorado children.</w:t>
      </w:r>
      <w:r w:rsidRPr="0084373E">
        <w:rPr>
          <w:rFonts w:ascii="Arial" w:hAnsi="Arial" w:cs="Arial"/>
          <w:i/>
        </w:rPr>
        <w:t xml:space="preserve"> The New York Times</w:t>
      </w:r>
      <w:r w:rsidRPr="0084373E">
        <w:rPr>
          <w:rFonts w:ascii="Arial" w:hAnsi="Arial" w:cs="Arial"/>
        </w:rPr>
        <w:t xml:space="preserve">. Retrieved from </w:t>
      </w:r>
      <w:hyperlink r:id="rId45" w:history="1">
        <w:r w:rsidRPr="0084373E">
          <w:rPr>
            <w:rStyle w:val="Hyperlink"/>
            <w:rFonts w:ascii="Arial" w:hAnsi="Arial" w:cs="Arial"/>
          </w:rPr>
          <w:t>https://www.nytimes.com/2016/07/26/health/marijuana-edibles-are-getting-into-colorado-childrens-hands-study-says.html</w:t>
        </w:r>
      </w:hyperlink>
      <w:r w:rsidRPr="0084373E">
        <w:rPr>
          <w:rStyle w:val="Hyperlink"/>
          <w:rFonts w:ascii="Arial" w:hAnsi="Arial" w:cs="Arial"/>
        </w:rPr>
        <w:t>.</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Hollister, L. E., Gillespie, H. K., Ohlsson, A., Lindgren, J. E., Wahlen, A., &amp; Agurell, S. (1981). Do plasma concentrations of delta 9-tetrahydrocannabinol reflect the degree of intoxication? </w:t>
      </w:r>
      <w:r w:rsidRPr="0084373E">
        <w:rPr>
          <w:rFonts w:ascii="Arial" w:hAnsi="Arial" w:cs="Arial"/>
          <w:i/>
        </w:rPr>
        <w:t>J Clin Pharmacol, 21</w:t>
      </w:r>
      <w:r w:rsidRPr="0084373E">
        <w:rPr>
          <w:rFonts w:ascii="Arial" w:hAnsi="Arial" w:cs="Arial"/>
        </w:rPr>
        <w:t xml:space="preserve">(8-9 Suppl), 171s-177s.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Huestis, M. A. (2002). Cannabis (Marijuana) - Effects on Human Performance and Behavior. </w:t>
      </w:r>
      <w:r w:rsidRPr="0084373E">
        <w:rPr>
          <w:rFonts w:ascii="Arial" w:hAnsi="Arial" w:cs="Arial"/>
          <w:i/>
        </w:rPr>
        <w:t>Forensic Sci Rev, 14</w:t>
      </w:r>
      <w:r w:rsidRPr="0084373E">
        <w:rPr>
          <w:rFonts w:ascii="Arial" w:hAnsi="Arial" w:cs="Arial"/>
        </w:rPr>
        <w:t xml:space="preserve">(1-2), 15-60.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Huestis, M. A. (2007). Human Cannabinoid Pharmacokinetics. </w:t>
      </w:r>
      <w:r w:rsidRPr="0084373E">
        <w:rPr>
          <w:rFonts w:ascii="Arial" w:hAnsi="Arial" w:cs="Arial"/>
          <w:i/>
        </w:rPr>
        <w:t>Chemistry &amp; biodiversity, 4</w:t>
      </w:r>
      <w:r w:rsidRPr="0084373E">
        <w:rPr>
          <w:rFonts w:ascii="Arial" w:hAnsi="Arial" w:cs="Arial"/>
        </w:rPr>
        <w:t>(8), 1770-1804. doi:10.1002/cbdv.200790152.</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Huestis, M. A., Milman, G., Mendu, D., Lee, D., Barnes, A. J., Schwope, D., . . . Desrosier, N. A. (2013). </w:t>
      </w:r>
      <w:r w:rsidRPr="0084373E">
        <w:rPr>
          <w:rFonts w:ascii="Arial" w:hAnsi="Arial" w:cs="Arial"/>
          <w:i/>
        </w:rPr>
        <w:t>Evaluation the on-site Draeger DrugTest 5000 in occasional and chronic frequent smokers following controlled cannabis smoking</w:t>
      </w:r>
      <w:r w:rsidRPr="0084373E">
        <w:rPr>
          <w:rFonts w:ascii="Arial" w:hAnsi="Arial" w:cs="Arial"/>
        </w:rPr>
        <w:t xml:space="preserve">. Retrieved from </w:t>
      </w:r>
      <w:hyperlink r:id="rId46" w:history="1">
        <w:r w:rsidRPr="0084373E">
          <w:rPr>
            <w:rStyle w:val="Hyperlink"/>
            <w:rFonts w:ascii="Arial" w:hAnsi="Arial" w:cs="Arial"/>
          </w:rPr>
          <w:t>http://www.icadtsinternational.com/files/documents/2013_058.pdf</w:t>
        </w:r>
      </w:hyperlink>
      <w:r w:rsidRPr="0084373E">
        <w:rPr>
          <w:rFonts w:ascii="Arial" w:hAnsi="Arial" w:cs="Arial"/>
        </w:rPr>
        <w:t>.</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Huestis, M. A., Milman, G., Mendu, D., Lee, D., Barnes, A. J., Schwope, D. M., . . . Desrosiers, N. A. (2013). </w:t>
      </w:r>
      <w:r w:rsidRPr="0084373E">
        <w:rPr>
          <w:rFonts w:ascii="Arial" w:hAnsi="Arial" w:cs="Arial"/>
          <w:i/>
        </w:rPr>
        <w:t>Evaluation of the on-site Draeger DrugTest 5000 in occasional and chronic frequent smokers following controlled cannabis smoking.</w:t>
      </w:r>
      <w:r w:rsidRPr="0084373E">
        <w:rPr>
          <w:rFonts w:ascii="Arial" w:hAnsi="Arial" w:cs="Arial"/>
        </w:rPr>
        <w:t xml:space="preserve"> Paper presented at the International Conference on Alcohol, Drugs and Traffic Safety (T2013), 20th, 2013, Brisbane, Queensland, Australia.</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Huestis, M. A., &amp; Smith, M. L. (2018). Cannabinoid Markers in Biological Fluids and Tissues: Revealing Intake. </w:t>
      </w:r>
      <w:r w:rsidRPr="0084373E">
        <w:rPr>
          <w:rFonts w:ascii="Arial" w:hAnsi="Arial" w:cs="Arial"/>
          <w:i/>
        </w:rPr>
        <w:t>Trends Mol Med, 24</w:t>
      </w:r>
      <w:r w:rsidRPr="0084373E">
        <w:rPr>
          <w:rFonts w:ascii="Arial" w:hAnsi="Arial" w:cs="Arial"/>
        </w:rPr>
        <w:t>(2), 156-172. doi:10.1016/j.molmed.2017.12.006.</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Kim, S. Y., Kim, H., Park, Y., Lim, J., Kim, J., Koo, S. H., &amp; Kwon, G. C. (2017). Evaluation of an Automated Reader and Color Interpretation-Based Immunoassays for Multiplexed Drug-of-Abuse Testing in Urine. </w:t>
      </w:r>
      <w:r w:rsidRPr="0084373E">
        <w:rPr>
          <w:rFonts w:ascii="Arial" w:hAnsi="Arial" w:cs="Arial"/>
          <w:i/>
        </w:rPr>
        <w:t>J Anal Toxicol, 41</w:t>
      </w:r>
      <w:r w:rsidRPr="0084373E">
        <w:rPr>
          <w:rFonts w:ascii="Arial" w:hAnsi="Arial" w:cs="Arial"/>
        </w:rPr>
        <w:t>(5), 412-420. doi:10.1093/jat/bkx014.</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Lee, D., Milman, G., Barnes, A. J., Goodwin, R. S., Hirvonen, J., &amp; Huestis, M. A. (2011). Oral fluid cannabinoids in chronic, daily cannabis smokers during sustained, monitored abstinence. </w:t>
      </w:r>
      <w:r w:rsidRPr="0084373E">
        <w:rPr>
          <w:rFonts w:ascii="Arial" w:hAnsi="Arial" w:cs="Arial"/>
          <w:i/>
        </w:rPr>
        <w:t>Clin Chem, 57</w:t>
      </w:r>
      <w:r w:rsidRPr="0084373E">
        <w:rPr>
          <w:rFonts w:ascii="Arial" w:hAnsi="Arial" w:cs="Arial"/>
        </w:rPr>
        <w:t xml:space="preserve">(8), 1127-1136.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Li, G., Chihuri, S., &amp; Brady, J. E. (2017). Role of alcohol and marijuana use in the initiation of fatal two-vehicle crashes. </w:t>
      </w:r>
      <w:r w:rsidRPr="0084373E">
        <w:rPr>
          <w:rFonts w:ascii="Arial" w:hAnsi="Arial" w:cs="Arial"/>
          <w:i/>
        </w:rPr>
        <w:t>Annals of Epidemiology, 27</w:t>
      </w:r>
      <w:r w:rsidRPr="0084373E">
        <w:rPr>
          <w:rFonts w:ascii="Arial" w:hAnsi="Arial" w:cs="Arial"/>
        </w:rPr>
        <w:t>(5), 342-347.e341. doi:</w:t>
      </w:r>
      <w:hyperlink r:id="rId47" w:history="1">
        <w:r w:rsidRPr="0084373E">
          <w:rPr>
            <w:rStyle w:val="Hyperlink"/>
            <w:rFonts w:ascii="Arial" w:hAnsi="Arial" w:cs="Arial"/>
          </w:rPr>
          <w:t>https://doi.org/10.1016/j.annepidem.2017.05.003</w:t>
        </w:r>
      </w:hyperlink>
      <w:r w:rsidRPr="0084373E">
        <w:rPr>
          <w:rStyle w:val="Hyperlink"/>
          <w:rFonts w:ascii="Arial" w:hAnsi="Arial" w:cs="Arial"/>
        </w:rPr>
        <w:t>.</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Li, K., Simons-Morton, B., Gee, B., &amp; Hingson, R. (2016). Marijuana-, alcohol-, and drug-impaired driving among emerging adults: Changes from high school to one-year post-high school. </w:t>
      </w:r>
      <w:r w:rsidRPr="0084373E">
        <w:rPr>
          <w:rFonts w:ascii="Arial" w:hAnsi="Arial" w:cs="Arial"/>
          <w:i/>
        </w:rPr>
        <w:t>J Safety Res, 58</w:t>
      </w:r>
      <w:r w:rsidRPr="0084373E">
        <w:rPr>
          <w:rFonts w:ascii="Arial" w:hAnsi="Arial" w:cs="Arial"/>
        </w:rPr>
        <w:t>, 15-20. doi:10.1016/j.jsr.2016.05.003.</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Macdonald, S., Anglin-Bodrug, K., Mann, R. E., Erickson, P., Hathaway, A., Chipman, M., &amp; Rylett, M. (2003). Injury risk associated with cannabis and cocaine use. </w:t>
      </w:r>
      <w:r w:rsidRPr="0084373E">
        <w:rPr>
          <w:rFonts w:ascii="Arial" w:hAnsi="Arial" w:cs="Arial"/>
          <w:i/>
        </w:rPr>
        <w:t>Drug Alcohol Depend, 72</w:t>
      </w:r>
      <w:r w:rsidRPr="0084373E">
        <w:rPr>
          <w:rFonts w:ascii="Arial" w:hAnsi="Arial" w:cs="Arial"/>
        </w:rPr>
        <w:t xml:space="preserve">(2), 99-115.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Milburn, M. (2017). DRUID.   Retrieved from </w:t>
      </w:r>
      <w:hyperlink r:id="rId48" w:history="1">
        <w:r w:rsidRPr="0084373E">
          <w:rPr>
            <w:rStyle w:val="Hyperlink"/>
            <w:rFonts w:ascii="Arial" w:hAnsi="Arial" w:cs="Arial"/>
          </w:rPr>
          <w:t>https://www.druidapp.com</w:t>
        </w:r>
      </w:hyperlink>
      <w:r w:rsidRPr="0084373E">
        <w:rPr>
          <w:rStyle w:val="Hyperlink"/>
          <w:rFonts w:ascii="Arial" w:hAnsi="Arial" w:cs="Arial"/>
        </w:rPr>
        <w:t>.</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Moore, C., Coulter, C., Uges, D., Tuyay, J., Van der Linde, S., Van Leeuwen, A., . . . Orbita Jr, J. (2011). Cannabinoids in oral fluid following passive exposure to marijuana smoke. </w:t>
      </w:r>
      <w:r w:rsidRPr="0084373E">
        <w:rPr>
          <w:rFonts w:ascii="Arial" w:hAnsi="Arial" w:cs="Arial"/>
          <w:i/>
        </w:rPr>
        <w:t>Forensic Sci Int, 212</w:t>
      </w:r>
      <w:r w:rsidRPr="0084373E">
        <w:rPr>
          <w:rFonts w:ascii="Arial" w:hAnsi="Arial" w:cs="Arial"/>
        </w:rPr>
        <w:t xml:space="preserve">(1-3), 227-230.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National Highway Traffic Safety Administration. (2016a). </w:t>
      </w:r>
      <w:r w:rsidRPr="0084373E">
        <w:rPr>
          <w:rFonts w:ascii="Arial" w:hAnsi="Arial" w:cs="Arial"/>
          <w:i/>
        </w:rPr>
        <w:t>2016 FARS/CRSS Coding and Validation Manual</w:t>
      </w:r>
      <w:r w:rsidRPr="0084373E">
        <w:rPr>
          <w:rFonts w:ascii="Arial" w:hAnsi="Arial" w:cs="Arial"/>
        </w:rPr>
        <w:t xml:space="preserve">. Washington, D.C: National Highway Traffic Safety Administration. Retrieved from </w:t>
      </w:r>
      <w:hyperlink r:id="rId49" w:history="1">
        <w:r w:rsidRPr="0084373E">
          <w:rPr>
            <w:rStyle w:val="Hyperlink"/>
            <w:rFonts w:ascii="Arial" w:hAnsi="Arial" w:cs="Arial"/>
          </w:rPr>
          <w:t>https://crashstats.nhtsa.dot.gov/Api/Public/Publication/812449</w:t>
        </w:r>
      </w:hyperlink>
      <w:r w:rsidRPr="0084373E">
        <w:rPr>
          <w:rFonts w:ascii="Arial" w:hAnsi="Arial" w:cs="Arial"/>
        </w:rPr>
        <w:t>.</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National Highway Traffic Safety Administration. (2016b). </w:t>
      </w:r>
      <w:r w:rsidRPr="0084373E">
        <w:rPr>
          <w:rFonts w:ascii="Arial" w:hAnsi="Arial" w:cs="Arial"/>
          <w:i/>
        </w:rPr>
        <w:t>Fatality Analysis Reporting System (FARS) Analytical User's Manual 1974-2015</w:t>
      </w:r>
      <w:r w:rsidRPr="0084373E">
        <w:rPr>
          <w:rFonts w:ascii="Arial" w:hAnsi="Arial" w:cs="Arial"/>
        </w:rPr>
        <w:t xml:space="preserve">. Washington, D.C.: U. S. D. o. Transportation. Retrieved from </w:t>
      </w:r>
      <w:hyperlink r:id="rId50" w:history="1">
        <w:r w:rsidRPr="0084373E">
          <w:rPr>
            <w:rStyle w:val="Hyperlink"/>
            <w:rFonts w:ascii="Arial" w:hAnsi="Arial" w:cs="Arial"/>
          </w:rPr>
          <w:t>http://www.nber.org/fars/ftp.nhtsa.dot.gov/fars/FARS-DOC/Analytical%20User%20Guide/USERGUIDE-2015.pdf</w:t>
        </w:r>
      </w:hyperlink>
      <w:r w:rsidRPr="0084373E">
        <w:rPr>
          <w:rFonts w:ascii="Arial" w:hAnsi="Arial" w:cs="Arial"/>
        </w:rPr>
        <w:t>.</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Newmeyer, M. N., Swortwood, M. J., Andersson, M., Abulseoud, O. A., Scheidweiler, K. B., &amp; Huestis, M. A. (2017a). Cannabis Edibles: Blood and Oral Fluid Cannabinoid Pharmacokinetics and Evaluation of Oral Fluid Screening Devices for Predicting Delta9-Tetrahydrocannabinol in Blood and Oral Fluid following Cannabis Brownie Administration. </w:t>
      </w:r>
      <w:r w:rsidRPr="0084373E">
        <w:rPr>
          <w:rFonts w:ascii="Arial" w:hAnsi="Arial" w:cs="Arial"/>
          <w:i/>
        </w:rPr>
        <w:t>Clin Chem, 63</w:t>
      </w:r>
      <w:r w:rsidRPr="0084373E">
        <w:rPr>
          <w:rFonts w:ascii="Arial" w:hAnsi="Arial" w:cs="Arial"/>
        </w:rPr>
        <w:t>(3), 647-662. doi:10.1373/clinchem.2016.265371.</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Newmeyer, M. N., Swortwood, M. J., Andersson, M., Abulseoud, O. A., Scheidweiler, K. B., &amp; Huestis, M. A. (2017b). Cannabis Edibles: Blood and Oral Fluid Cannabinoid Pharmacokinetics and Evaluation of Oral Fluid Screening Devices for Predicting Delta(9)-Tetrahydrocannabinol in Blood and Oral Fluid following Cannabis Brownie Administration. </w:t>
      </w:r>
      <w:r w:rsidRPr="0084373E">
        <w:rPr>
          <w:rFonts w:ascii="Arial" w:hAnsi="Arial" w:cs="Arial"/>
          <w:i/>
        </w:rPr>
        <w:t>Clin Chem, 63</w:t>
      </w:r>
      <w:r w:rsidRPr="0084373E">
        <w:rPr>
          <w:rFonts w:ascii="Arial" w:hAnsi="Arial" w:cs="Arial"/>
        </w:rPr>
        <w:t>(3), 647-662. doi:10.1373/clinchem.2016.265371.</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Newmeyer, M. N., Swortwood, M. J., Barnes, A. J., Abulseoud, O. A., Scheidweiler, K. B., &amp; Huestis, M. A. (2016). Free and Glucuronide Whole Blood Cannabinoids' Pharmacokinetics after Controlled Smoked, Vaporized, and Oral Cannabis Administration in Frequent and Occasional Cannabis Users: Identification of Recent Cannabis Intake. </w:t>
      </w:r>
      <w:r w:rsidRPr="0084373E">
        <w:rPr>
          <w:rFonts w:ascii="Arial" w:hAnsi="Arial" w:cs="Arial"/>
          <w:i/>
        </w:rPr>
        <w:t>Clin Chem, 62</w:t>
      </w:r>
      <w:r w:rsidRPr="0084373E">
        <w:rPr>
          <w:rFonts w:ascii="Arial" w:hAnsi="Arial" w:cs="Arial"/>
        </w:rPr>
        <w:t>(12), 1579-1592. doi:10.1373/clinchem.2016.263475.</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Quantisal™ Oral Fluid Collection Device. (2018).   Retrieved from </w:t>
      </w:r>
      <w:hyperlink r:id="rId51" w:history="1">
        <w:r w:rsidRPr="0084373E">
          <w:rPr>
            <w:rStyle w:val="Hyperlink"/>
            <w:rFonts w:ascii="Arial" w:hAnsi="Arial" w:cs="Arial"/>
          </w:rPr>
          <w:t>https://www.alere.com/en/home/product-details/QuantisalOralFluidCollectionDevice-au.html</w:t>
        </w:r>
      </w:hyperlink>
      <w:r w:rsidRPr="0084373E">
        <w:rPr>
          <w:rStyle w:val="Hyperlink"/>
          <w:rFonts w:ascii="Arial" w:hAnsi="Arial" w:cs="Arial"/>
        </w:rPr>
        <w:t>.</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Rocky Mountain High Intensity Drug Trafficking Area. (2015). The Legalization of Marijuana in Colorado: The Impact.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Rogeberg, O., &amp; Elvik, R. (2016). The effects of cannabis intoxication on motor vehicle collision revisited and revised. </w:t>
      </w:r>
      <w:r w:rsidRPr="0084373E">
        <w:rPr>
          <w:rFonts w:ascii="Arial" w:hAnsi="Arial" w:cs="Arial"/>
          <w:i/>
        </w:rPr>
        <w:t>Addiction, 111</w:t>
      </w:r>
      <w:r w:rsidRPr="0084373E">
        <w:rPr>
          <w:rFonts w:ascii="Arial" w:hAnsi="Arial" w:cs="Arial"/>
        </w:rPr>
        <w:t>(8), 1348-1359. doi:10.1111/add.13347.</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Salomonsen-Sautel, S., Min, S. J., Sakai, J. T., Thurstone, C., &amp; Hopfer, C. (2014). Trends in fatal motor vehicle crashes before and after marijuana commercialization in Colorado. </w:t>
      </w:r>
      <w:r w:rsidRPr="0084373E">
        <w:rPr>
          <w:rFonts w:ascii="Arial" w:hAnsi="Arial" w:cs="Arial"/>
          <w:i/>
        </w:rPr>
        <w:t>Drug Alcohol Depend, 140</w:t>
      </w:r>
      <w:r w:rsidRPr="0084373E">
        <w:rPr>
          <w:rFonts w:ascii="Arial" w:hAnsi="Arial" w:cs="Arial"/>
        </w:rPr>
        <w:t>, 137-144. doi:10.1016/j.drugalcdep.2014.04.008.</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Scherer, J. N., Fiorentin, T. R., Borille, B. T., Pasa, G., Sousa, T. R. V., von Diemen, L., . . . Pechansky, F. (2017). Reliability of point-of-collection testing devices for drugs of abuse in oral fluid: A systematic review and meta-analysis. </w:t>
      </w:r>
      <w:r w:rsidRPr="0084373E">
        <w:rPr>
          <w:rFonts w:ascii="Arial" w:hAnsi="Arial" w:cs="Arial"/>
          <w:i/>
        </w:rPr>
        <w:t>Journal of Pharmaceutical and Biomedical Analysis, 143</w:t>
      </w:r>
      <w:r w:rsidRPr="0084373E">
        <w:rPr>
          <w:rFonts w:ascii="Arial" w:hAnsi="Arial" w:cs="Arial"/>
        </w:rPr>
        <w:t>, 77-85. doi:10.1016/j.jpba.2017.05.021.</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Subramanian, R. (2002). </w:t>
      </w:r>
      <w:r w:rsidRPr="0084373E">
        <w:rPr>
          <w:rFonts w:ascii="Arial" w:hAnsi="Arial" w:cs="Arial"/>
          <w:i/>
        </w:rPr>
        <w:t>Transitioning to multiple imputation - A New method to estimate missing blood alcohol concentration (BAC) in FARS</w:t>
      </w:r>
      <w:r w:rsidRPr="0084373E">
        <w:rPr>
          <w:rFonts w:ascii="Arial" w:hAnsi="Arial" w:cs="Arial"/>
        </w:rPr>
        <w:t xml:space="preserve">. Springfield, VA: National Center for Statistics and Analysis. Retrieved from </w:t>
      </w:r>
      <w:hyperlink r:id="rId52" w:history="1">
        <w:r w:rsidRPr="0084373E">
          <w:rPr>
            <w:rStyle w:val="Hyperlink"/>
            <w:rFonts w:ascii="Arial" w:hAnsi="Arial" w:cs="Arial"/>
          </w:rPr>
          <w:t>https://crashstats.nhtsa.dot.gov/Api/Public/ViewPublication/809403</w:t>
        </w:r>
      </w:hyperlink>
      <w:r w:rsidRPr="0084373E">
        <w:rPr>
          <w:rFonts w:ascii="Arial" w:hAnsi="Arial" w:cs="Arial"/>
        </w:rPr>
        <w:t>.</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Swortwood, M. J., Newmeyer, M. N., Abulseoud, O. A., Andersson, M., Barnes, A. J., Scheidweiler, K. B., &amp; Huestis, M. A. (2017). On-site oral fluid Delta(9)-tetrahydrocannabinol (THC) screening after controlled smoked, vaporized, and oral cannabis administration. </w:t>
      </w:r>
      <w:r w:rsidRPr="0084373E">
        <w:rPr>
          <w:rFonts w:ascii="Arial" w:hAnsi="Arial" w:cs="Arial"/>
          <w:i/>
        </w:rPr>
        <w:t>Forensic Toxicology, 35</w:t>
      </w:r>
      <w:r w:rsidRPr="0084373E">
        <w:rPr>
          <w:rFonts w:ascii="Arial" w:hAnsi="Arial" w:cs="Arial"/>
        </w:rPr>
        <w:t>(1), 133-145. doi:10.1007/s11419-016-0348-3.</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Tefft, B. C., Arnold, L. S., &amp; Grabowski, J. G. (2016). Prevalence of Marijuana Involvement in Fatal Crashes: Washington, 2010–2014.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Verstraete, A., Knoche, A., Jantos, R., Skopp, G., Gjerde, H., Vindenes, V., . . . Lillsunde, P. (2011). Per se limits: methods of defining cut-off values for zero tolerance.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Wall, M. E., Sadler, B. M., Brine, D., Taylor, H., &amp; Perez-Reyes, M. (1983). Metabolism, disposition, and kinetics of delta-9-tetrahydrocannabinol in men and women. </w:t>
      </w:r>
      <w:r w:rsidRPr="0084373E">
        <w:rPr>
          <w:rFonts w:ascii="Arial" w:hAnsi="Arial" w:cs="Arial"/>
          <w:i/>
        </w:rPr>
        <w:t>Clin Pharmacol Ther, 34</w:t>
      </w:r>
      <w:r w:rsidRPr="0084373E">
        <w:rPr>
          <w:rFonts w:ascii="Arial" w:hAnsi="Arial" w:cs="Arial"/>
        </w:rPr>
        <w:t xml:space="preserve">(3), 352-363.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Walsh, J. M. (2008). New technology and new initiatives in US workplace testing. </w:t>
      </w:r>
      <w:r w:rsidRPr="0084373E">
        <w:rPr>
          <w:rFonts w:ascii="Arial" w:hAnsi="Arial" w:cs="Arial"/>
          <w:i/>
        </w:rPr>
        <w:t>Forensic Sci Int, 174</w:t>
      </w:r>
      <w:r w:rsidRPr="0084373E">
        <w:rPr>
          <w:rFonts w:ascii="Arial" w:hAnsi="Arial" w:cs="Arial"/>
        </w:rPr>
        <w:t>(2-3), 120-124. doi:10.1016/j.forsciint.2007.03.011</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Walsh, J. M., Verstraete, A. G., Huestis, M. A., &amp; Mørland, J. (2008). Guidelines for research on drugged driving. </w:t>
      </w:r>
      <w:r w:rsidRPr="0084373E">
        <w:rPr>
          <w:rFonts w:ascii="Arial" w:hAnsi="Arial" w:cs="Arial"/>
          <w:i/>
        </w:rPr>
        <w:t>Addiction, 103</w:t>
      </w:r>
      <w:r w:rsidRPr="0084373E">
        <w:rPr>
          <w:rFonts w:ascii="Arial" w:hAnsi="Arial" w:cs="Arial"/>
        </w:rPr>
        <w:t xml:space="preserve">(8), 1258-1268. </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Wang, G. S., Roosevelt, G., Le Lait, M. C., Martinez, E. M., Bucher-Bartelson, B., Bronstein, A. C., &amp; Heard, K. (2014). Association of unintentional pediatric exposures with decriminalization of marijuana in the United States. </w:t>
      </w:r>
      <w:r w:rsidRPr="0084373E">
        <w:rPr>
          <w:rFonts w:ascii="Arial" w:hAnsi="Arial" w:cs="Arial"/>
          <w:i/>
        </w:rPr>
        <w:t>Ann Emerg Med, 63</w:t>
      </w:r>
      <w:r w:rsidRPr="0084373E">
        <w:rPr>
          <w:rFonts w:ascii="Arial" w:hAnsi="Arial" w:cs="Arial"/>
        </w:rPr>
        <w:t>(6), 684-689. doi:10.1016/j.annemergmed.2014.01.017.</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Westin, A. A., Mjønes, G., Burchardt, O., Fuskevåg, O. M., &amp; Slørdal, L. (2014). Can Physical Exercise or Food Deprivation Cause Release of Fat-Stored Cannabinoids? </w:t>
      </w:r>
      <w:r w:rsidRPr="0084373E">
        <w:rPr>
          <w:rFonts w:ascii="Arial" w:hAnsi="Arial" w:cs="Arial"/>
          <w:i/>
        </w:rPr>
        <w:t>Basic &amp; Clinical Pharmacology &amp; Toxicology, 115</w:t>
      </w:r>
      <w:r w:rsidRPr="0084373E">
        <w:rPr>
          <w:rFonts w:ascii="Arial" w:hAnsi="Arial" w:cs="Arial"/>
        </w:rPr>
        <w:t>(5), 467-471. doi:10.1111/bcpt.12235.</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Whitehill, J. M., Rivara, F. P., &amp; Moreno, M. A. (2014). Marijuana-using drivers, alcohol-using drivers, and their passengers: prevalence and risk factors among underage college students. </w:t>
      </w:r>
      <w:r w:rsidRPr="0084373E">
        <w:rPr>
          <w:rFonts w:ascii="Arial" w:hAnsi="Arial" w:cs="Arial"/>
          <w:i/>
        </w:rPr>
        <w:t>JAMA Pediatr, 168</w:t>
      </w:r>
      <w:r w:rsidRPr="0084373E">
        <w:rPr>
          <w:rFonts w:ascii="Arial" w:hAnsi="Arial" w:cs="Arial"/>
        </w:rPr>
        <w:t>(7), 618-624. doi:10.1001/jamapediatrics.2013.5300.</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Wong, A., Keats, K., Rooney, K., Hicks, C., Allsop, D. J., Arnold, J. C., &amp; McGregor, I. S. (2014). Fasting and exercise increase plasma cannabinoid levels in THC pre-treated rats: an examination of behavioural consequences. </w:t>
      </w:r>
      <w:r w:rsidRPr="0084373E">
        <w:rPr>
          <w:rFonts w:ascii="Arial" w:hAnsi="Arial" w:cs="Arial"/>
          <w:i/>
        </w:rPr>
        <w:t>Psychopharmacology (Berl), 231</w:t>
      </w:r>
      <w:r w:rsidRPr="0084373E">
        <w:rPr>
          <w:rFonts w:ascii="Arial" w:hAnsi="Arial" w:cs="Arial"/>
        </w:rPr>
        <w:t>(20), 3987-3996. doi:10.1007/s00213-014-3532-3.</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Wong, A., Montebello, M. E., Norberg, M. M., Rooney, K., Lintzeris, N., Bruno, R., . . . McGregor, I. S. (2013). Exercise increases plasma THC concentrations in regular cannabis users. </w:t>
      </w:r>
      <w:r w:rsidRPr="0084373E">
        <w:rPr>
          <w:rFonts w:ascii="Arial" w:hAnsi="Arial" w:cs="Arial"/>
          <w:i/>
        </w:rPr>
        <w:t>Drug Alcohol Depend, 133</w:t>
      </w:r>
      <w:r w:rsidRPr="0084373E">
        <w:rPr>
          <w:rFonts w:ascii="Arial" w:hAnsi="Arial" w:cs="Arial"/>
        </w:rPr>
        <w:t>(2), 763-767. doi:10.1016/j.drugalcdep.2013.07.031</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Wood, E., Brooks-Russell, A., &amp; Drum, P. (2016). Delays in DUI blood testing: Impact on cannabis DUI assessments. </w:t>
      </w:r>
      <w:r w:rsidRPr="0084373E">
        <w:rPr>
          <w:rFonts w:ascii="Arial" w:hAnsi="Arial" w:cs="Arial"/>
          <w:i/>
        </w:rPr>
        <w:t>Traffic Inj Prev, 17</w:t>
      </w:r>
      <w:r w:rsidRPr="0084373E">
        <w:rPr>
          <w:rFonts w:ascii="Arial" w:hAnsi="Arial" w:cs="Arial"/>
        </w:rPr>
        <w:t>(2), 105-108. doi:10.1080/15389588.2015.1052421.</w:t>
      </w:r>
    </w:p>
    <w:p w:rsidR="00EC25F0" w:rsidRPr="0084373E" w:rsidRDefault="00EC25F0" w:rsidP="006057BE">
      <w:pPr>
        <w:pStyle w:val="EndNoteBibliography"/>
        <w:spacing w:after="0"/>
        <w:ind w:left="720" w:hanging="720"/>
        <w:rPr>
          <w:rFonts w:ascii="Arial" w:hAnsi="Arial" w:cs="Arial"/>
        </w:rPr>
      </w:pPr>
      <w:r w:rsidRPr="0084373E">
        <w:rPr>
          <w:rFonts w:ascii="Arial" w:hAnsi="Arial" w:cs="Arial"/>
        </w:rPr>
        <w:t xml:space="preserve">World Health Organization. (2017). Adolescent Health. Retrieved from </w:t>
      </w:r>
      <w:hyperlink r:id="rId53" w:history="1">
        <w:r w:rsidRPr="0084373E">
          <w:rPr>
            <w:rStyle w:val="Hyperlink"/>
            <w:rFonts w:ascii="Arial" w:hAnsi="Arial" w:cs="Arial"/>
          </w:rPr>
          <w:t>http://www.who.int/topics/adolescent_health/en/</w:t>
        </w:r>
      </w:hyperlink>
      <w:r w:rsidRPr="0084373E">
        <w:rPr>
          <w:rStyle w:val="Hyperlink"/>
          <w:rFonts w:ascii="Arial" w:hAnsi="Arial" w:cs="Arial"/>
        </w:rPr>
        <w:t>.</w:t>
      </w:r>
    </w:p>
    <w:p w:rsidR="00EC25F0" w:rsidRDefault="00EC25F0" w:rsidP="006057BE">
      <w:pPr>
        <w:pStyle w:val="EndNoteBibliography"/>
        <w:spacing w:after="0"/>
        <w:ind w:left="720" w:hanging="720"/>
        <w:rPr>
          <w:rFonts w:ascii="Arial" w:hAnsi="Arial" w:cs="Arial"/>
        </w:rPr>
      </w:pPr>
      <w:r w:rsidRPr="0084373E">
        <w:rPr>
          <w:rFonts w:ascii="Arial" w:hAnsi="Arial" w:cs="Arial"/>
        </w:rPr>
        <w:t xml:space="preserve">Zou, G. (2004). A modified poisson regression approach to prospective studies with binary data. </w:t>
      </w:r>
      <w:r w:rsidRPr="0084373E">
        <w:rPr>
          <w:rFonts w:ascii="Arial" w:hAnsi="Arial" w:cs="Arial"/>
          <w:i/>
        </w:rPr>
        <w:t>Am J Epidemiol, 159</w:t>
      </w:r>
      <w:r w:rsidRPr="0084373E">
        <w:rPr>
          <w:rFonts w:ascii="Arial" w:hAnsi="Arial" w:cs="Arial"/>
        </w:rPr>
        <w:t xml:space="preserve">(7), 702-706. </w:t>
      </w:r>
      <w:r w:rsidRPr="0084373E">
        <w:rPr>
          <w:rFonts w:ascii="Arial" w:hAnsi="Arial" w:cs="Arial"/>
        </w:rPr>
        <w:fldChar w:fldCharType="end"/>
      </w:r>
    </w:p>
    <w:p w:rsidR="006D0A50" w:rsidRDefault="006D0A50" w:rsidP="006057BE">
      <w:pPr>
        <w:pStyle w:val="EndNoteBibliography"/>
        <w:spacing w:after="0"/>
        <w:ind w:left="720" w:hanging="720"/>
        <w:rPr>
          <w:rFonts w:ascii="Arial" w:hAnsi="Arial" w:cs="Arial"/>
        </w:rPr>
      </w:pPr>
    </w:p>
    <w:p w:rsidR="006D0A50" w:rsidRDefault="006D0A50" w:rsidP="006057BE">
      <w:pPr>
        <w:pStyle w:val="EndNoteBibliography"/>
        <w:spacing w:after="0"/>
        <w:ind w:left="720" w:hanging="720"/>
        <w:rPr>
          <w:rFonts w:ascii="Arial" w:hAnsi="Arial" w:cs="Arial"/>
        </w:rPr>
      </w:pPr>
    </w:p>
    <w:p w:rsidR="006D0A50" w:rsidRDefault="006D0A50" w:rsidP="006057BE">
      <w:pPr>
        <w:pStyle w:val="EndNoteBibliography"/>
        <w:spacing w:after="0"/>
        <w:ind w:left="720" w:hanging="720"/>
        <w:rPr>
          <w:rFonts w:ascii="Arial" w:hAnsi="Arial" w:cs="Arial"/>
        </w:rPr>
      </w:pPr>
    </w:p>
    <w:p w:rsidR="006D0A50" w:rsidRDefault="006D0A50" w:rsidP="006057BE">
      <w:pPr>
        <w:pStyle w:val="EndNoteBibliography"/>
        <w:spacing w:after="0"/>
        <w:ind w:left="720" w:hanging="720"/>
        <w:rPr>
          <w:rFonts w:ascii="Arial" w:hAnsi="Arial" w:cs="Arial"/>
        </w:rPr>
      </w:pPr>
    </w:p>
    <w:p w:rsidR="006D0A50" w:rsidRDefault="006D0A50" w:rsidP="006057BE">
      <w:pPr>
        <w:pStyle w:val="EndNoteBibliography"/>
        <w:spacing w:after="0"/>
        <w:ind w:left="720" w:hanging="720"/>
        <w:rPr>
          <w:rFonts w:ascii="Arial" w:hAnsi="Arial" w:cs="Arial"/>
        </w:rPr>
      </w:pPr>
    </w:p>
    <w:p w:rsidR="006D0A50" w:rsidRDefault="006D0A50" w:rsidP="006057BE">
      <w:pPr>
        <w:pStyle w:val="EndNoteBibliography"/>
        <w:spacing w:after="0"/>
        <w:ind w:left="720" w:hanging="720"/>
        <w:rPr>
          <w:rFonts w:ascii="Arial" w:hAnsi="Arial" w:cs="Arial"/>
        </w:rPr>
      </w:pPr>
    </w:p>
    <w:p w:rsidR="006D0A50" w:rsidRDefault="006D0A50" w:rsidP="006057BE">
      <w:pPr>
        <w:pStyle w:val="EndNoteBibliography"/>
        <w:spacing w:after="0"/>
        <w:ind w:left="720" w:hanging="720"/>
        <w:rPr>
          <w:rFonts w:ascii="Arial" w:hAnsi="Arial" w:cs="Arial"/>
        </w:rPr>
      </w:pPr>
    </w:p>
    <w:p w:rsidR="006D0A50" w:rsidRDefault="006D0A50" w:rsidP="006057BE">
      <w:pPr>
        <w:pStyle w:val="EndNoteBibliography"/>
        <w:spacing w:after="0"/>
        <w:ind w:left="720" w:hanging="720"/>
        <w:rPr>
          <w:rFonts w:ascii="Arial" w:hAnsi="Arial" w:cs="Arial"/>
        </w:rPr>
      </w:pPr>
    </w:p>
    <w:p w:rsidR="006D0A50" w:rsidRDefault="006D0A50" w:rsidP="006057BE">
      <w:pPr>
        <w:pStyle w:val="EndNoteBibliography"/>
        <w:spacing w:after="0"/>
        <w:ind w:left="720" w:hanging="720"/>
        <w:rPr>
          <w:rFonts w:ascii="Arial" w:hAnsi="Arial" w:cs="Arial"/>
        </w:rPr>
      </w:pPr>
    </w:p>
    <w:p w:rsidR="006D0A50" w:rsidRPr="00151733" w:rsidRDefault="006D0A50" w:rsidP="006057BE">
      <w:pPr>
        <w:pStyle w:val="EndNoteBibliography"/>
        <w:spacing w:after="0"/>
        <w:ind w:left="720" w:hanging="720"/>
      </w:pPr>
    </w:p>
    <w:p w:rsidR="00EC25F0" w:rsidRPr="00EC25F0" w:rsidRDefault="00EC25F0" w:rsidP="006057BE">
      <w:pPr>
        <w:tabs>
          <w:tab w:val="center" w:pos="4680"/>
          <w:tab w:val="right" w:pos="9990"/>
        </w:tabs>
        <w:spacing w:after="0" w:line="240" w:lineRule="auto"/>
        <w:rPr>
          <w:rFonts w:ascii="Arial" w:eastAsia="Calibri" w:hAnsi="Arial" w:cs="Times New Roman"/>
          <w:b/>
          <w:bCs/>
          <w:sz w:val="28"/>
          <w:szCs w:val="28"/>
        </w:rPr>
      </w:pPr>
    </w:p>
    <w:p w:rsidR="00CF13EB" w:rsidRPr="00494487" w:rsidRDefault="00CF13EB" w:rsidP="006057BE">
      <w:pPr>
        <w:tabs>
          <w:tab w:val="left" w:pos="1935"/>
          <w:tab w:val="center" w:pos="4680"/>
          <w:tab w:val="right" w:pos="9360"/>
        </w:tabs>
        <w:spacing w:after="0" w:line="240" w:lineRule="auto"/>
        <w:rPr>
          <w:rFonts w:ascii="Arial" w:eastAsia="Calibri" w:hAnsi="Arial" w:cs="Times New Roman"/>
          <w:bCs/>
          <w:sz w:val="20"/>
          <w:szCs w:val="20"/>
        </w:rPr>
      </w:pPr>
      <w:r w:rsidRPr="00494487">
        <w:rPr>
          <w:rFonts w:ascii="Arial" w:eastAsia="Calibri" w:hAnsi="Arial" w:cs="Times New Roman"/>
          <w:bCs/>
          <w:sz w:val="20"/>
          <w:szCs w:val="20"/>
        </w:rPr>
        <w:tab/>
      </w: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5D7694" w:rsidRDefault="005D7694" w:rsidP="006057BE">
      <w:pPr>
        <w:tabs>
          <w:tab w:val="center" w:pos="4680"/>
          <w:tab w:val="right" w:pos="9360"/>
        </w:tabs>
        <w:spacing w:after="0" w:line="240" w:lineRule="auto"/>
        <w:jc w:val="center"/>
        <w:rPr>
          <w:rFonts w:ascii="Arial" w:eastAsia="Calibri" w:hAnsi="Arial" w:cs="Times New Roman"/>
          <w:b/>
          <w:bCs/>
          <w:sz w:val="28"/>
          <w:szCs w:val="20"/>
        </w:rPr>
      </w:pPr>
    </w:p>
    <w:p w:rsidR="00EA0518" w:rsidRDefault="00EA0518" w:rsidP="00EA0518">
      <w:pPr>
        <w:tabs>
          <w:tab w:val="center" w:pos="4680"/>
          <w:tab w:val="right" w:pos="9360"/>
        </w:tabs>
        <w:spacing w:after="0" w:line="240" w:lineRule="auto"/>
        <w:rPr>
          <w:rFonts w:ascii="Arial" w:eastAsia="Calibri" w:hAnsi="Arial" w:cs="Times New Roman"/>
          <w:b/>
          <w:bCs/>
          <w:sz w:val="28"/>
          <w:szCs w:val="20"/>
        </w:rPr>
      </w:pPr>
    </w:p>
    <w:p w:rsidR="00CF13EB" w:rsidRDefault="00CF13EB" w:rsidP="00F950A2">
      <w:pPr>
        <w:pStyle w:val="Heading1"/>
        <w:rPr>
          <w:rFonts w:eastAsia="Calibri"/>
        </w:rPr>
      </w:pPr>
      <w:bookmarkStart w:id="336" w:name="_Toc12529139"/>
      <w:r w:rsidRPr="00CF13EB">
        <w:rPr>
          <w:rFonts w:eastAsia="Calibri"/>
        </w:rPr>
        <w:t>Chapter 2: Driving Under the Influence of Marijuana and Marijuana-Involved Motor Vehicle Crashes in Massachusetts</w:t>
      </w:r>
      <w:bookmarkEnd w:id="336"/>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CF13EB" w:rsidRDefault="00CF13EB" w:rsidP="005F7A46">
      <w:pPr>
        <w:pStyle w:val="Heading2"/>
      </w:pPr>
      <w:bookmarkStart w:id="337" w:name="_Toc530566804"/>
      <w:bookmarkStart w:id="338" w:name="_Toc11765986"/>
      <w:bookmarkStart w:id="339" w:name="_Toc11766641"/>
      <w:bookmarkStart w:id="340" w:name="_Toc11917227"/>
      <w:bookmarkStart w:id="341" w:name="_Toc11921665"/>
      <w:bookmarkStart w:id="342" w:name="_Toc12520944"/>
      <w:bookmarkStart w:id="343" w:name="_Toc12521170"/>
      <w:bookmarkStart w:id="344" w:name="_Toc12529140"/>
      <w:r>
        <w:t>Introduction</w:t>
      </w:r>
      <w:bookmarkEnd w:id="337"/>
      <w:bookmarkEnd w:id="338"/>
      <w:bookmarkEnd w:id="339"/>
      <w:bookmarkEnd w:id="340"/>
      <w:bookmarkEnd w:id="341"/>
      <w:bookmarkEnd w:id="342"/>
      <w:bookmarkEnd w:id="343"/>
      <w:bookmarkEnd w:id="344"/>
    </w:p>
    <w:p w:rsidR="00465399" w:rsidRPr="00465399" w:rsidRDefault="00465399" w:rsidP="00465399">
      <w:pPr>
        <w:pStyle w:val="BodyText"/>
      </w:pPr>
    </w:p>
    <w:p w:rsidR="00CF13EB" w:rsidRPr="00E82261" w:rsidRDefault="00CF13EB" w:rsidP="006057BE">
      <w:pPr>
        <w:pStyle w:val="BodyText"/>
        <w:spacing w:line="240" w:lineRule="auto"/>
        <w:rPr>
          <w:sz w:val="24"/>
        </w:rPr>
      </w:pPr>
      <w:r w:rsidRPr="00E82261">
        <w:rPr>
          <w:sz w:val="24"/>
        </w:rPr>
        <w:t xml:space="preserve">Experimental research suggests that marijuana (cannabis) use impairs functions related to safe driving </w:t>
      </w:r>
      <w:r w:rsidRPr="00E82261">
        <w:rPr>
          <w:sz w:val="24"/>
        </w:rPr>
        <w:fldChar w:fldCharType="begin"/>
      </w:r>
      <w:r w:rsidRPr="00E82261">
        <w:rPr>
          <w:sz w:val="24"/>
        </w:rPr>
        <w:instrText xml:space="preserve"> ADDIN EN.CITE &lt;EndNote&gt;&lt;Cite&gt;&lt;Author&gt;Huestis&lt;/Author&gt;&lt;Year&gt;2002&lt;/Year&gt;&lt;RecNum&gt;1289&lt;/RecNum&gt;&lt;DisplayText&gt;(Huestis, 2002)&lt;/DisplayText&gt;&lt;record&gt;&lt;rec-number&gt;1289&lt;/rec-number&gt;&lt;foreign-keys&gt;&lt;key app="EN" db-id="drzedr0r40wx06ee2zn5f5tvxx9wta0svwzs" timestamp="1523992715"&gt;1289&lt;/key&gt;&lt;key app="ENWeb" db-id=""&gt;0&lt;/key&gt;&lt;/foreign-keys&gt;&lt;ref-type name="Journal Article"&gt;17&lt;/ref-type&gt;&lt;contributors&gt;&lt;authors&gt;&lt;author&gt;Huestis, M. A.&lt;/author&gt;&lt;/authors&gt;&lt;/contributors&gt;&lt;auth-address&gt;Intramural Research Program, National Institute on Drug Abuse, National Institute of Health, Baltimore, MD, USA.&lt;/auth-address&gt;&lt;titles&gt;&lt;title&gt;Cannabis (Marijuana) - Effects on Human Performance and Behavior&lt;/title&gt;&lt;secondary-title&gt;Forensic Sci Rev&lt;/secondary-title&gt;&lt;alt-title&gt;Forensic science review&lt;/alt-title&gt;&lt;/titles&gt;&lt;periodical&gt;&lt;full-title&gt;Forensic Sci Rev&lt;/full-title&gt;&lt;abbr-1&gt;Forensic science review&lt;/abbr-1&gt;&lt;/periodical&gt;&lt;alt-periodical&gt;&lt;full-title&gt;Forensic Sci Rev&lt;/full-title&gt;&lt;abbr-1&gt;Forensic science review&lt;/abbr-1&gt;&lt;/alt-periodical&gt;&lt;pages&gt;15-60&lt;/pages&gt;&lt;volume&gt;14&lt;/volume&gt;&lt;number&gt;1-2&lt;/number&gt;&lt;edition&gt;2002/02/01&lt;/edition&gt;&lt;keywords&gt;&lt;keyword&gt;cannabinoids&lt;/keyword&gt;&lt;keyword&gt;cannabis&lt;/keyword&gt;&lt;keyword&gt;driving&lt;/keyword&gt;&lt;keyword&gt;hair&lt;/keyword&gt;&lt;keyword&gt;impairment&lt;/keyword&gt;&lt;keyword&gt;marijuana&lt;/keyword&gt;&lt;keyword&gt;oral fluid&lt;/keyword&gt;&lt;keyword&gt;performance&lt;/keyword&gt;&lt;keyword&gt;plasma&lt;/keyword&gt;&lt;keyword&gt;sweat&lt;/keyword&gt;&lt;keyword&gt;tetrahydrocannabinol&lt;/keyword&gt;&lt;keyword&gt;urine&lt;/keyword&gt;&lt;keyword&gt;whole blood&lt;/keyword&gt;&lt;/keywords&gt;&lt;dates&gt;&lt;year&gt;2002&lt;/year&gt;&lt;pub-dates&gt;&lt;date&gt;Feb&lt;/date&gt;&lt;/pub-dates&gt;&lt;/dates&gt;&lt;isbn&gt;1042-7201 (Print)&amp;#xD;1042-7201&lt;/isbn&gt;&lt;accession-num&gt;26256486&lt;/accession-num&gt;&lt;urls&gt;&lt;/urls&gt;&lt;remote-database-provider&gt;NLM&lt;/remote-database-provider&gt;&lt;language&gt;eng&lt;/language&gt;&lt;/record&gt;&lt;/Cite&gt;&lt;/EndNote&gt;</w:instrText>
      </w:r>
      <w:r w:rsidRPr="00E82261">
        <w:rPr>
          <w:sz w:val="24"/>
        </w:rPr>
        <w:fldChar w:fldCharType="separate"/>
      </w:r>
      <w:r w:rsidRPr="00E82261">
        <w:rPr>
          <w:noProof/>
          <w:sz w:val="24"/>
        </w:rPr>
        <w:t>(Huestis, 2002)</w:t>
      </w:r>
      <w:r w:rsidRPr="00E82261">
        <w:rPr>
          <w:sz w:val="24"/>
        </w:rPr>
        <w:fldChar w:fldCharType="end"/>
      </w:r>
      <w:r w:rsidRPr="00E82261">
        <w:rPr>
          <w:sz w:val="24"/>
        </w:rPr>
        <w:t xml:space="preserve">. Epidemiological evidence for the increase in the magnitude of motor vehicle crash risk from marijuana use ranges from 22% to 100% (a doubling) </w:t>
      </w:r>
      <w:r w:rsidRPr="00E82261">
        <w:rPr>
          <w:sz w:val="24"/>
        </w:rPr>
        <w:fldChar w:fldCharType="begin">
          <w:fldData xml:space="preserve">PEVuZE5vdGU+PENpdGU+PEF1dGhvcj5Sb2dlYmVyZzwvQXV0aG9yPjxZZWFyPjIwMTY8L1llYXI+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</w:fldData>
        </w:fldChar>
      </w:r>
      <w:r w:rsidRPr="00E82261">
        <w:rPr>
          <w:sz w:val="24"/>
        </w:rPr>
        <w:instrText xml:space="preserve"> ADDIN EN.CITE </w:instrText>
      </w:r>
      <w:r w:rsidRPr="00E82261">
        <w:rPr>
          <w:sz w:val="24"/>
        </w:rPr>
        <w:fldChar w:fldCharType="begin">
          <w:fldData xml:space="preserve">PEVuZE5vdGU+PENpdGU+PEF1dGhvcj5Sb2dlYmVyZzwvQXV0aG9yPjxZZWFyPjIwMTY8L1llYXI+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</w:fldData>
        </w:fldChar>
      </w:r>
      <w:r w:rsidRPr="00E82261">
        <w:rPr>
          <w:sz w:val="24"/>
        </w:rPr>
        <w:instrText xml:space="preserve"> ADDIN EN.CITE.DATA </w:instrText>
      </w:r>
      <w:r w:rsidRPr="00E82261">
        <w:rPr>
          <w:sz w:val="24"/>
        </w:rPr>
      </w:r>
      <w:r w:rsidRPr="00E82261">
        <w:rPr>
          <w:sz w:val="24"/>
        </w:rPr>
        <w:fldChar w:fldCharType="end"/>
      </w:r>
      <w:r w:rsidRPr="00E82261">
        <w:rPr>
          <w:sz w:val="24"/>
        </w:rPr>
      </w:r>
      <w:r w:rsidRPr="00E82261">
        <w:rPr>
          <w:sz w:val="24"/>
        </w:rPr>
        <w:fldChar w:fldCharType="separate"/>
      </w:r>
      <w:r w:rsidRPr="00E82261">
        <w:rPr>
          <w:noProof/>
          <w:sz w:val="24"/>
        </w:rPr>
        <w:t>(Asbridge et al., 2012; G. Li et al., 2017; Rogeberg &amp; Elvik, 2016)</w:t>
      </w:r>
      <w:r w:rsidRPr="00E82261">
        <w:rPr>
          <w:sz w:val="24"/>
        </w:rPr>
        <w:fldChar w:fldCharType="end"/>
      </w:r>
      <w:r w:rsidRPr="00E82261">
        <w:rPr>
          <w:sz w:val="24"/>
        </w:rPr>
        <w:t xml:space="preserve">. In studies of Colorado adults </w:t>
      </w:r>
      <w:r w:rsidRPr="00E82261">
        <w:rPr>
          <w:sz w:val="24"/>
        </w:rPr>
        <w:fldChar w:fldCharType="begin"/>
      </w:r>
      <w:r w:rsidRPr="00E82261">
        <w:rPr>
          <w:sz w:val="24"/>
        </w:rPr>
        <w:instrText xml:space="preserve"> ADDIN EN.CITE &lt;EndNote&gt;&lt;Cite&gt;&lt;Author&gt;Davis&lt;/Author&gt;&lt;Year&gt;2016&lt;/Year&gt;&lt;RecNum&gt;740&lt;/RecNum&gt;&lt;DisplayText&gt;(Davis et al., 2016)&lt;/DisplayText&gt;&lt;record&gt;&lt;rec-number&gt;740&lt;/rec-number&gt;&lt;foreign-keys&gt;&lt;key app="EN" db-id="drzedr0r40wx06ee2zn5f5tvxx9wta0svwzs" timestamp="1461785291"&gt;740&lt;/key&gt;&lt;key app="ENWeb" db-id=""&gt;0&lt;/key&gt;&lt;/foreign-keys&gt;&lt;ref-type name="Journal Article"&gt;17&lt;/ref-type&gt;&lt;contributors&gt;&lt;authors&gt;&lt;author&gt;Davis, K. C.&lt;/author&gt;&lt;author&gt;Allen, J.&lt;/author&gt;&lt;author&gt;Duke, J.&lt;/author&gt;&lt;author&gt;Nonnemaker, J.&lt;/author&gt;&lt;author&gt;Bradfield, B.&lt;/author&gt;&lt;author&gt;Farrelly, M. C.&lt;/author&gt;&lt;author&gt;Shafer, P.&lt;/author&gt;&lt;author&gt;Novak, S.&lt;/author&gt;&lt;/authors&gt;&lt;/contributors&gt;&lt;auth-address&gt;RTI International, Research Triangle Park, NC, United States of America.&lt;/auth-address&gt;&lt;titles&gt;&lt;title&gt;Correlates of Marijuana Drugged Driving and Openness to Driving While High: Evidence from Colorado and Washington&lt;/title&gt;&lt;secondary-title&gt;PLoS One&lt;/secondary-title&gt;&lt;/titles&gt;&lt;periodical&gt;&lt;full-title&gt;PLoS One&lt;/full-title&gt;&lt;abbr-1&gt;PloS one&lt;/abbr-1&gt;&lt;/periodical&gt;&lt;pages&gt;e0146853&lt;/pages&gt;&lt;volume&gt;11&lt;/volume&gt;&lt;number&gt;1&lt;/number&gt;&lt;dates&gt;&lt;year&gt;2016&lt;/year&gt;&lt;/dates&gt;&lt;isbn&gt;1932-6203 (Electronic)&amp;#xD;1932-6203 (Linking)&lt;/isbn&gt;&lt;accession-num&gt;26800209&lt;/accession-num&gt;&lt;urls&gt;&lt;related-urls&gt;&lt;url&gt;http://www.ncbi.nlm.nih.gov/pubmed/26800209&lt;/url&gt;&lt;/related-urls&gt;&lt;/urls&gt;&lt;custom2&gt;PMC4723241&lt;/custom2&gt;&lt;electronic-resource-num&gt;10.1371/journal.pone.0146853&lt;/electronic-resource-num&gt;&lt;/record&gt;&lt;/Cite&gt;&lt;/EndNote&gt;</w:instrText>
      </w:r>
      <w:r w:rsidRPr="00E82261">
        <w:rPr>
          <w:sz w:val="24"/>
        </w:rPr>
        <w:fldChar w:fldCharType="separate"/>
      </w:r>
      <w:r w:rsidRPr="00E82261">
        <w:rPr>
          <w:noProof/>
          <w:sz w:val="24"/>
        </w:rPr>
        <w:t>(Davis et al., 2016)</w:t>
      </w:r>
      <w:r w:rsidRPr="00E82261">
        <w:rPr>
          <w:sz w:val="24"/>
        </w:rPr>
        <w:fldChar w:fldCharType="end"/>
      </w:r>
      <w:r w:rsidRPr="00E82261">
        <w:rPr>
          <w:sz w:val="24"/>
        </w:rPr>
        <w:t xml:space="preserve"> as well as college students </w:t>
      </w:r>
      <w:r w:rsidRPr="00E82261">
        <w:rPr>
          <w:sz w:val="24"/>
        </w:rPr>
        <w:fldChar w:fldCharType="begin">
          <w:fldData xml:space="preserve">PEVuZE5vdGU+PENpdGU+PEF1dGhvcj5XaGl0ZWhpbGw8L0F1dGhvcj48WWVhcj4yMDE0PC9ZZWFy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</w:fldData>
        </w:fldChar>
      </w:r>
      <w:r w:rsidRPr="00E82261">
        <w:rPr>
          <w:sz w:val="24"/>
        </w:rPr>
        <w:instrText xml:space="preserve"> ADDIN EN.CITE </w:instrText>
      </w:r>
      <w:r w:rsidRPr="00E82261">
        <w:rPr>
          <w:sz w:val="24"/>
        </w:rPr>
        <w:fldChar w:fldCharType="begin">
          <w:fldData xml:space="preserve">PEVuZE5vdGU+PENpdGU+PEF1dGhvcj5XaGl0ZWhpbGw8L0F1dGhvcj48WWVhcj4yMDE0PC9ZZWFy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</w:fldData>
        </w:fldChar>
      </w:r>
      <w:r w:rsidRPr="00E82261">
        <w:rPr>
          <w:sz w:val="24"/>
        </w:rPr>
        <w:instrText xml:space="preserve"> ADDIN EN.CITE.DATA </w:instrText>
      </w:r>
      <w:r w:rsidRPr="00E82261">
        <w:rPr>
          <w:sz w:val="24"/>
        </w:rPr>
      </w:r>
      <w:r w:rsidRPr="00E82261">
        <w:rPr>
          <w:sz w:val="24"/>
        </w:rPr>
        <w:fldChar w:fldCharType="end"/>
      </w:r>
      <w:r w:rsidRPr="00E82261">
        <w:rPr>
          <w:sz w:val="24"/>
        </w:rPr>
      </w:r>
      <w:r w:rsidRPr="00E82261">
        <w:rPr>
          <w:sz w:val="24"/>
        </w:rPr>
        <w:fldChar w:fldCharType="separate"/>
      </w:r>
      <w:r w:rsidRPr="00E82261">
        <w:rPr>
          <w:noProof/>
          <w:sz w:val="24"/>
        </w:rPr>
        <w:t>(Whitehill, Rivara, &amp; Moreno, 2014)</w:t>
      </w:r>
      <w:r w:rsidRPr="00E82261">
        <w:rPr>
          <w:sz w:val="24"/>
        </w:rPr>
        <w:fldChar w:fldCharType="end"/>
      </w:r>
      <w:r w:rsidRPr="00E82261">
        <w:rPr>
          <w:sz w:val="24"/>
        </w:rPr>
        <w:t xml:space="preserve">, and high school students </w:t>
      </w:r>
      <w:r w:rsidRPr="00E82261">
        <w:rPr>
          <w:sz w:val="24"/>
        </w:rPr>
        <w:fldChar w:fldCharType="begin"/>
      </w:r>
      <w:r w:rsidRPr="00E82261">
        <w:rPr>
          <w:sz w:val="24"/>
        </w:rPr>
        <w:instrText xml:space="preserve"> ADDIN EN.CITE &lt;EndNote&gt;&lt;Cite&gt;&lt;Author&gt;Li&lt;/Author&gt;&lt;Year&gt;2016&lt;/Year&gt;&lt;RecNum&gt;852&lt;/RecNum&gt;&lt;DisplayText&gt;(K. Li, Simons-Morton, Gee, &amp;amp; Hingson, 2016)&lt;/DisplayText&gt;&lt;record&gt;&lt;rec-number&gt;852&lt;/rec-number&gt;&lt;foreign-keys&gt;&lt;key app="EN" db-id="drzedr0r40wx06ee2zn5f5tvxx9wta0svwzs" timestamp="1477080479"&gt;852&lt;/key&gt;&lt;/foreign-keys&gt;&lt;ref-type name="Journal Article"&gt;17&lt;/ref-type&gt;&lt;contributors&gt;&lt;authors&gt;&lt;author&gt;Li, K.&lt;/author&gt;&lt;author&gt;Simons-Morton, B.&lt;/author&gt;&lt;author&gt;Gee, B.&lt;/author&gt;&lt;author&gt;Hingson, R.&lt;/author&gt;&lt;/authors&gt;&lt;/contributors&gt;&lt;auth-address&gt;Department of Health &amp;amp; Exercise Science, Colorado State University, Fort Collins, CO, USA. Electronic address: kaigang.li@colostate.edu.&amp;#xD;Division of Intramural Population Health Research, Eunice Kennedy Shriver National Institute of Child Health &amp;amp; Human Development, Bethesda, MD, USA.&amp;#xD;Division of Epidemiology and Prevention Research, National Institute on Alcohol Abuse and Alcoholism, USA.&lt;/auth-address&gt;&lt;titles&gt;&lt;title&gt;Marijuana-, alcohol-, and drug-impaired driving among emerging adults: Changes from high school to one-year post-high school&lt;/title&gt;&lt;secondary-title&gt;J Safety Res&lt;/secondary-title&gt;&lt;alt-title&gt;Journal of safety research&lt;/alt-title&gt;&lt;/titles&gt;&lt;periodical&gt;&lt;full-title&gt;J Safety Res&lt;/full-title&gt;&lt;/periodical&gt;&lt;alt-periodical&gt;&lt;full-title&gt;Journal of Safety Research&lt;/full-title&gt;&lt;/alt-periodical&gt;&lt;pages&gt;15-20&lt;/pages&gt;&lt;volume&gt;58&lt;/volume&gt;&lt;edition&gt;2016/09/14&lt;/edition&gt;&lt;keywords&gt;&lt;keyword&gt;Adolescents&lt;/keyword&gt;&lt;keyword&gt;Alcohol drinking&lt;/keyword&gt;&lt;keyword&gt;Illicit drug use&lt;/keyword&gt;&lt;keyword&gt;Impaired driving&lt;/keyword&gt;&lt;keyword&gt;Marijuana use&lt;/keyword&gt;&lt;/keywords&gt;&lt;dates&gt;&lt;year&gt;2016&lt;/year&gt;&lt;pub-dates&gt;&lt;date&gt;Sep&lt;/date&gt;&lt;/pub-dates&gt;&lt;/dates&gt;&lt;isbn&gt;0022-4375&lt;/isbn&gt;&lt;accession-num&gt;27620930&lt;/accession-num&gt;&lt;urls&gt;&lt;/urls&gt;&lt;custom2&gt;PMC5022791&lt;/custom2&gt;&lt;custom6&gt;NIHMS786667&lt;/custom6&gt;&lt;electronic-resource-num&gt;10.1016/j.jsr.2016.05.003&lt;/electronic-resource-num&gt;&lt;remote-database-provider&gt;NLM&lt;/remote-database-provider&gt;&lt;language&gt;Eng&lt;/language&gt;&lt;/record&gt;&lt;/Cite&gt;&lt;/EndNote&gt;</w:instrText>
      </w:r>
      <w:r w:rsidRPr="00E82261">
        <w:rPr>
          <w:sz w:val="24"/>
        </w:rPr>
        <w:fldChar w:fldCharType="separate"/>
      </w:r>
      <w:r w:rsidRPr="00E82261">
        <w:rPr>
          <w:noProof/>
          <w:sz w:val="24"/>
        </w:rPr>
        <w:t>(K. Li, Simons-Morton, Gee, &amp; Hingson, 2016)</w:t>
      </w:r>
      <w:r w:rsidRPr="00E82261">
        <w:rPr>
          <w:sz w:val="24"/>
        </w:rPr>
        <w:fldChar w:fldCharType="end"/>
      </w:r>
      <w:r w:rsidRPr="00E82261">
        <w:rPr>
          <w:sz w:val="24"/>
        </w:rPr>
        <w:t>, driving under the influence of marijuana (DUI-marijuana) is common among marijuana users. These individuals, as well as passengers who ride with a driver under the influence of marijuana (RUI-marijuana), would experience any increased risk for involvement in a motor vehicle crash that exists when the driver has used marijuana.</w:t>
      </w:r>
    </w:p>
    <w:p w:rsidR="00CF13EB" w:rsidRPr="00E82261" w:rsidRDefault="00CF13EB" w:rsidP="006057BE">
      <w:pPr>
        <w:pStyle w:val="BodyText"/>
        <w:spacing w:line="240" w:lineRule="auto"/>
        <w:rPr>
          <w:sz w:val="24"/>
        </w:rPr>
      </w:pPr>
    </w:p>
    <w:p w:rsidR="00CF13EB" w:rsidRPr="00E82261" w:rsidRDefault="00CF13EB" w:rsidP="006057BE">
      <w:pPr>
        <w:pStyle w:val="BodyText"/>
        <w:spacing w:line="240" w:lineRule="auto"/>
        <w:rPr>
          <w:sz w:val="24"/>
        </w:rPr>
      </w:pPr>
      <w:r w:rsidRPr="00E82261">
        <w:rPr>
          <w:sz w:val="24"/>
        </w:rPr>
        <w:t xml:space="preserve">As Massachusetts implements legal retail marijuana sales for all adults, it is important to understand the prevalence of driving under the influence of marijuana and riding with a marijuana-using driver prior to the start of retail marijuana sales for non-medical use among adults age 21 and over.  These topics are not well- measured in other Massachusetts datasets that have been previously collected for other purposes.  Such information will be necessary to measure the extent to which there are changes in the prevalence of these events after retail adult-use marijuana sales are implemented. </w:t>
      </w:r>
    </w:p>
    <w:p w:rsidR="00CF13EB" w:rsidRPr="00E82261" w:rsidRDefault="00CF13EB" w:rsidP="006057BE">
      <w:pPr>
        <w:pStyle w:val="BodyText"/>
        <w:spacing w:line="240" w:lineRule="auto"/>
        <w:rPr>
          <w:sz w:val="24"/>
        </w:rPr>
      </w:pPr>
      <w:r w:rsidRPr="00E82261">
        <w:rPr>
          <w:sz w:val="24"/>
        </w:rPr>
        <w:t xml:space="preserve">Another useful “baseline” measure related to marijuana and motor vehicle crashes is how frequently crash-involved drivers test positive for marijuana. Although such testing does not indicate that the driver was intoxicated by or impaired by marijuana at the time of the crash, such data nonetheless provides some information on information relevant to maintaining safe roadways, such as the extent to which drivers are tested for cannabinoids and cannabinoid disposition among drivers. </w:t>
      </w:r>
    </w:p>
    <w:p w:rsidR="00CF13EB" w:rsidRPr="00E82261" w:rsidRDefault="00CF13EB" w:rsidP="006057BE">
      <w:pPr>
        <w:pStyle w:val="BodyText"/>
        <w:spacing w:line="240" w:lineRule="auto"/>
        <w:rPr>
          <w:sz w:val="24"/>
        </w:rPr>
      </w:pPr>
    </w:p>
    <w:p w:rsidR="00CF13EB" w:rsidRPr="00E82261" w:rsidRDefault="00CF13EB" w:rsidP="006057BE">
      <w:pPr>
        <w:pStyle w:val="BodyText"/>
        <w:spacing w:line="240" w:lineRule="auto"/>
        <w:rPr>
          <w:sz w:val="24"/>
        </w:rPr>
      </w:pPr>
      <w:r w:rsidRPr="00E82261">
        <w:rPr>
          <w:sz w:val="24"/>
        </w:rPr>
        <w:t xml:space="preserve">This chapter describes two studies related to driving and marijuana use. First, we present an analysis of data from the statewide population survey conducted as part of the MBHS that addresses DUI-marijuana and RUI-marijuana. Second, we present an analysis of Massachusetts data from the Fatality Analysis Reporting System which includes information on fatal crashes (i.e. crashes in which one occupant died within 30 days of the crash) and the state’s Crash Data System which includes information on all crashes on Massachusetts roadways. </w:t>
      </w:r>
    </w:p>
    <w:p w:rsidR="00CF13EB" w:rsidRPr="00E82261" w:rsidRDefault="00CF13EB" w:rsidP="006057BE">
      <w:pPr>
        <w:pStyle w:val="BodyText"/>
        <w:spacing w:line="240" w:lineRule="auto"/>
        <w:rPr>
          <w:sz w:val="24"/>
        </w:rPr>
      </w:pPr>
    </w:p>
    <w:p w:rsidR="00CF13EB" w:rsidRDefault="00CF13EB" w:rsidP="005F7A46">
      <w:pPr>
        <w:pStyle w:val="Heading2"/>
      </w:pPr>
      <w:bookmarkStart w:id="345" w:name="_Toc530566805"/>
      <w:bookmarkStart w:id="346" w:name="_Toc11765987"/>
      <w:bookmarkStart w:id="347" w:name="_Toc11766642"/>
      <w:bookmarkStart w:id="348" w:name="_Toc11917228"/>
      <w:bookmarkStart w:id="349" w:name="_Toc11921666"/>
      <w:bookmarkStart w:id="350" w:name="_Toc12520945"/>
      <w:bookmarkStart w:id="351" w:name="_Toc12521171"/>
      <w:bookmarkStart w:id="352" w:name="_Toc12529141"/>
      <w:r w:rsidRPr="00B3588A">
        <w:t>Methods</w:t>
      </w:r>
      <w:bookmarkStart w:id="353" w:name="_Toc530566806"/>
      <w:bookmarkEnd w:id="345"/>
      <w:bookmarkEnd w:id="346"/>
      <w:bookmarkEnd w:id="347"/>
      <w:bookmarkEnd w:id="348"/>
      <w:bookmarkEnd w:id="349"/>
      <w:bookmarkEnd w:id="350"/>
      <w:bookmarkEnd w:id="351"/>
      <w:bookmarkEnd w:id="352"/>
    </w:p>
    <w:p w:rsidR="00CF13EB" w:rsidRPr="00CF13EB" w:rsidRDefault="00CF13EB" w:rsidP="006057BE">
      <w:pPr>
        <w:pStyle w:val="BodyText"/>
        <w:spacing w:line="240" w:lineRule="auto"/>
      </w:pPr>
    </w:p>
    <w:p w:rsidR="00CF13EB" w:rsidRDefault="00CF13EB" w:rsidP="005F7A46">
      <w:pPr>
        <w:pStyle w:val="Heading2"/>
      </w:pPr>
      <w:bookmarkStart w:id="354" w:name="_Toc11765988"/>
      <w:bookmarkStart w:id="355" w:name="_Toc11766643"/>
      <w:bookmarkStart w:id="356" w:name="_Toc11917229"/>
      <w:bookmarkStart w:id="357" w:name="_Toc11921667"/>
      <w:bookmarkStart w:id="358" w:name="_Toc12520946"/>
      <w:bookmarkStart w:id="359" w:name="_Toc12521172"/>
      <w:bookmarkStart w:id="360" w:name="_Toc12529142"/>
      <w:r w:rsidRPr="00B3588A">
        <w:t>Population survey of Massachusetts adults</w:t>
      </w:r>
      <w:bookmarkEnd w:id="353"/>
      <w:bookmarkEnd w:id="354"/>
      <w:bookmarkEnd w:id="355"/>
      <w:bookmarkEnd w:id="356"/>
      <w:bookmarkEnd w:id="357"/>
      <w:bookmarkEnd w:id="358"/>
      <w:bookmarkEnd w:id="359"/>
      <w:bookmarkEnd w:id="360"/>
      <w:r w:rsidRPr="00B3588A">
        <w:t xml:space="preserve"> </w:t>
      </w:r>
    </w:p>
    <w:p w:rsidR="00CF13EB" w:rsidRPr="00CF13EB" w:rsidRDefault="00CF13EB" w:rsidP="006057BE">
      <w:pPr>
        <w:pStyle w:val="BodyText"/>
        <w:spacing w:line="240" w:lineRule="auto"/>
      </w:pPr>
    </w:p>
    <w:p w:rsidR="00CF13EB" w:rsidRPr="00E82261" w:rsidRDefault="00CF13EB" w:rsidP="006057BE">
      <w:pPr>
        <w:pStyle w:val="BodyText"/>
        <w:spacing w:line="240" w:lineRule="auto"/>
        <w:rPr>
          <w:sz w:val="24"/>
        </w:rPr>
      </w:pPr>
      <w:r w:rsidRPr="00E82261">
        <w:rPr>
          <w:sz w:val="24"/>
        </w:rPr>
        <w:t>We conducted a population-based, mail and Internet survey of Massachusetts residents age 18 years and older. This study was approved by the Institutional Review Board at the Massachusetts Department of Public Health. A copy of the survey instrument can be found in Appendix</w:t>
      </w:r>
      <w:r w:rsidR="00104C7B">
        <w:rPr>
          <w:sz w:val="24"/>
        </w:rPr>
        <w:t xml:space="preserve"> A</w:t>
      </w:r>
      <w:r w:rsidRPr="00E82261">
        <w:rPr>
          <w:sz w:val="24"/>
        </w:rPr>
        <w:t xml:space="preserve">. Details on the methods of survey design, data collection, measures, and statistical procedures, including survey weighting, can be found in </w:t>
      </w:r>
      <w:r w:rsidR="0010613B">
        <w:rPr>
          <w:sz w:val="24"/>
        </w:rPr>
        <w:t>Task</w:t>
      </w:r>
      <w:r w:rsidRPr="00E82261">
        <w:rPr>
          <w:sz w:val="24"/>
        </w:rPr>
        <w:t xml:space="preserve"> 1, Chapter 2 of this Marijuana Baseline Health Study report. In addition to the measures described therein, several questions were added to the survey for the purpose of addressing DUI-marijuana and RUI-marijuana. </w:t>
      </w:r>
    </w:p>
    <w:p w:rsidR="00F950A2" w:rsidRDefault="00F950A2" w:rsidP="00F950A2">
      <w:pPr>
        <w:pStyle w:val="BodyText"/>
      </w:pPr>
    </w:p>
    <w:p w:rsidR="00CF13EB" w:rsidRPr="00E82261" w:rsidRDefault="00CF13EB" w:rsidP="00F950A2">
      <w:pPr>
        <w:pStyle w:val="Heading3"/>
      </w:pPr>
      <w:bookmarkStart w:id="361" w:name="_Toc11765989"/>
      <w:bookmarkStart w:id="362" w:name="_Toc11766644"/>
      <w:r w:rsidRPr="00E82261">
        <w:t>Measures</w:t>
      </w:r>
      <w:bookmarkEnd w:id="361"/>
      <w:bookmarkEnd w:id="362"/>
      <w:r w:rsidRPr="00E82261">
        <w:t xml:space="preserve"> </w:t>
      </w:r>
    </w:p>
    <w:p w:rsidR="005D7694" w:rsidRPr="00E82261" w:rsidRDefault="005D7694" w:rsidP="005D7694">
      <w:pPr>
        <w:pStyle w:val="BodyText"/>
        <w:rPr>
          <w:rFonts w:cs="Arial"/>
          <w:sz w:val="24"/>
          <w:szCs w:val="24"/>
        </w:rPr>
      </w:pPr>
    </w:p>
    <w:p w:rsidR="00CF13EB" w:rsidRPr="00E82261" w:rsidRDefault="00CF13EB" w:rsidP="006057BE">
      <w:pPr>
        <w:pStyle w:val="BodyText"/>
        <w:spacing w:line="240" w:lineRule="auto"/>
        <w:rPr>
          <w:rFonts w:cs="Arial"/>
          <w:sz w:val="24"/>
          <w:szCs w:val="24"/>
        </w:rPr>
      </w:pPr>
      <w:r w:rsidRPr="00E82261">
        <w:rPr>
          <w:rFonts w:cs="Arial"/>
          <w:sz w:val="24"/>
          <w:szCs w:val="24"/>
        </w:rPr>
        <w:t xml:space="preserve">DUI-marijuana was assessed with the item “During the past 30 days, how many times have you driven a car or other motor vehicle while you were under the influence of marijuana?” Response options included 0 times, 1 time, 2-3 times, 4-5 times, or 6 or more times.  RUI-marijuana was ascertained with the question “During the past 30 days, how many times did you ride as a passenger in a car or other motor vehicle when the driver was under the influence of marijuana” with the same response options as listed above. </w:t>
      </w:r>
    </w:p>
    <w:p w:rsidR="00CF13EB" w:rsidRPr="00E82261" w:rsidRDefault="00CF13EB" w:rsidP="006057BE">
      <w:pPr>
        <w:pStyle w:val="BodyText"/>
        <w:spacing w:line="240" w:lineRule="auto"/>
        <w:rPr>
          <w:rFonts w:cs="Arial"/>
          <w:sz w:val="24"/>
          <w:szCs w:val="24"/>
        </w:rPr>
      </w:pPr>
      <w:r w:rsidRPr="00E82261">
        <w:rPr>
          <w:rFonts w:cs="Arial"/>
          <w:sz w:val="24"/>
          <w:szCs w:val="24"/>
        </w:rPr>
        <w:t xml:space="preserve">Parallel questions were asked for alcohol and other substances. We also asked about driving after the concurrent use of multiple substances with response options that included: marijuana and alcohol, marijuana and other drugs, alcohol and other drugs, or marijuana, alcohol, and other drugs. </w:t>
      </w:r>
    </w:p>
    <w:p w:rsidR="00CF13EB" w:rsidRPr="00E82261" w:rsidRDefault="00CF13EB" w:rsidP="006057BE">
      <w:pPr>
        <w:pStyle w:val="BodyText"/>
        <w:spacing w:line="240" w:lineRule="auto"/>
        <w:rPr>
          <w:rFonts w:cs="Arial"/>
          <w:sz w:val="24"/>
          <w:szCs w:val="24"/>
        </w:rPr>
      </w:pPr>
    </w:p>
    <w:p w:rsidR="00CF13EB" w:rsidRPr="00E82261" w:rsidRDefault="00CF13EB" w:rsidP="005F7A46">
      <w:pPr>
        <w:pStyle w:val="Heading2"/>
      </w:pPr>
      <w:bookmarkStart w:id="363" w:name="_Toc11765990"/>
      <w:bookmarkStart w:id="364" w:name="_Toc11766645"/>
      <w:bookmarkStart w:id="365" w:name="_Toc11917230"/>
      <w:bookmarkStart w:id="366" w:name="_Toc11921668"/>
      <w:bookmarkStart w:id="367" w:name="_Toc12520947"/>
      <w:bookmarkStart w:id="368" w:name="_Toc12521173"/>
      <w:bookmarkStart w:id="369" w:name="_Toc12529143"/>
      <w:r w:rsidRPr="00E82261">
        <w:t>Statistical analysis</w:t>
      </w:r>
      <w:bookmarkEnd w:id="363"/>
      <w:bookmarkEnd w:id="364"/>
      <w:bookmarkEnd w:id="365"/>
      <w:bookmarkEnd w:id="366"/>
      <w:bookmarkEnd w:id="367"/>
      <w:bookmarkEnd w:id="368"/>
      <w:bookmarkEnd w:id="369"/>
    </w:p>
    <w:p w:rsidR="005D7694" w:rsidRPr="00E82261" w:rsidRDefault="005D7694" w:rsidP="005D7694">
      <w:pPr>
        <w:pStyle w:val="BodyText"/>
        <w:rPr>
          <w:rFonts w:cs="Arial"/>
          <w:sz w:val="24"/>
          <w:szCs w:val="24"/>
        </w:rPr>
      </w:pPr>
    </w:p>
    <w:p w:rsidR="00CF13EB" w:rsidRPr="00E82261" w:rsidRDefault="00CF13EB" w:rsidP="006057BE">
      <w:pPr>
        <w:pStyle w:val="BodyText"/>
        <w:spacing w:line="240" w:lineRule="auto"/>
        <w:rPr>
          <w:rFonts w:cs="Arial"/>
          <w:sz w:val="24"/>
          <w:szCs w:val="24"/>
        </w:rPr>
      </w:pPr>
      <w:r w:rsidRPr="00E82261">
        <w:rPr>
          <w:rFonts w:cs="Arial"/>
          <w:sz w:val="24"/>
          <w:szCs w:val="24"/>
        </w:rPr>
        <w:t xml:space="preserve">Please see the methods section in Chapter 2, </w:t>
      </w:r>
      <w:r w:rsidR="00D46CCC">
        <w:rPr>
          <w:rFonts w:cs="Arial"/>
          <w:sz w:val="24"/>
          <w:szCs w:val="24"/>
        </w:rPr>
        <w:t>Task</w:t>
      </w:r>
      <w:r w:rsidRPr="00E82261">
        <w:rPr>
          <w:rFonts w:cs="Arial"/>
          <w:sz w:val="24"/>
          <w:szCs w:val="24"/>
        </w:rPr>
        <w:t xml:space="preserve"> 1 for details on weighting and statistical procedures for this survey. As noted therein, a total of 3,268 non-duplicate survey questionnaires were returned with 212 determined ineligible.  After screening for completion and eligibility, there were a total of 3,023 eligible surveys. The logic-checking process resulted in identification of 1 case in which multiple questions had unreasonable responses. This case was dropped, resulting in a final analytic sample of 3,022.</w:t>
      </w:r>
    </w:p>
    <w:p w:rsidR="00CF13EB" w:rsidRPr="00E82261" w:rsidRDefault="00CF13EB" w:rsidP="006057BE">
      <w:pPr>
        <w:pStyle w:val="BodyText"/>
        <w:spacing w:line="240" w:lineRule="auto"/>
        <w:rPr>
          <w:rFonts w:cs="Arial"/>
          <w:sz w:val="24"/>
          <w:szCs w:val="24"/>
        </w:rPr>
      </w:pPr>
      <w:r w:rsidRPr="00E82261">
        <w:rPr>
          <w:rFonts w:cs="Arial"/>
          <w:sz w:val="24"/>
          <w:szCs w:val="24"/>
        </w:rPr>
        <w:t>Several variables relevant to this chapter were re-coded from the original data. DUI-marijuana was dichotomized as a yes/no variable indicating any driving under the influence of marijuana in the past 30 days. RUI-marijuana was similarly dichotomized. Frequency of marijuana use in the past 30 days was categorized as a 3-level variable (0 days, 1-20 days, 21 or more days). Frequency of alcohol use, originally measured in days per week, was categorized as a 3-level variable (0 days, 1-4 days, 5-7 days).</w:t>
      </w:r>
    </w:p>
    <w:p w:rsidR="00CF13EB" w:rsidRPr="00E82261" w:rsidRDefault="00CF13EB" w:rsidP="006057BE">
      <w:pPr>
        <w:pStyle w:val="BodyText"/>
        <w:spacing w:line="240" w:lineRule="auto"/>
        <w:rPr>
          <w:rFonts w:cs="Arial"/>
          <w:sz w:val="24"/>
          <w:szCs w:val="24"/>
        </w:rPr>
      </w:pPr>
    </w:p>
    <w:p w:rsidR="00EA0518" w:rsidRPr="00E82261" w:rsidRDefault="00CF13EB" w:rsidP="001C30C1">
      <w:pPr>
        <w:pStyle w:val="BodyText"/>
        <w:spacing w:line="240" w:lineRule="auto"/>
        <w:rPr>
          <w:rFonts w:cs="Arial"/>
          <w:sz w:val="24"/>
          <w:szCs w:val="24"/>
        </w:rPr>
      </w:pPr>
      <w:r w:rsidRPr="00E82261">
        <w:rPr>
          <w:rFonts w:cs="Arial"/>
          <w:sz w:val="24"/>
          <w:szCs w:val="24"/>
        </w:rPr>
        <w:t xml:space="preserve">First, we examined bivariate differences in driving under the influence of substances and riding with a substance-using driver between adults who had used marijuana in the past 30 days and those who had not. Next, we examined bivariate differences in socio-demographics and substance use behavior by DUI-marijuana and RUI-marijuana status. Differences were tested with chi-squared tests for categorical variables. Finally, to assess which factors were associated with DUI-marijuana and RUI-marijuana, we estimated relative risk (RR) using Poisson regression with robust standard errors </w:t>
      </w:r>
      <w:r w:rsidRPr="00E82261">
        <w:rPr>
          <w:rFonts w:cs="Arial"/>
          <w:sz w:val="24"/>
          <w:szCs w:val="24"/>
        </w:rPr>
        <w:fldChar w:fldCharType="begin"/>
      </w:r>
      <w:r w:rsidRPr="00E82261">
        <w:rPr>
          <w:rFonts w:cs="Arial"/>
          <w:sz w:val="24"/>
          <w:szCs w:val="24"/>
        </w:rPr>
        <w:instrText xml:space="preserve"> ADDIN EN.CITE &lt;EndNote&gt;&lt;Cite&gt;&lt;Author&gt;Zou&lt;/Author&gt;&lt;Year&gt;2004&lt;/Year&gt;&lt;RecNum&gt;192&lt;/RecNum&gt;&lt;DisplayText&gt;(Zou, 2004)&lt;/DisplayText&gt;&lt;record&gt;&lt;rec-number&gt;192&lt;/rec-number&gt;&lt;foreign-keys&gt;&lt;key app="EN" db-id="drzedr0r40wx06ee2zn5f5tvxx9wta0svwzs" timestamp="1461784307"&gt;192&lt;/key&gt;&lt;/foreign-keys&gt;&lt;ref-type name="Journal Article"&gt;17&lt;/ref-type&gt;&lt;contributors&gt;&lt;authors&gt;&lt;author&gt;Zou, G.&lt;/author&gt;&lt;/authors&gt;&lt;/contributors&gt;&lt;auth-address&gt;Robarts Clinical Trials, Robarts Research Institute, London, Ontario, Canada. gzou@robarts.ca&lt;/auth-address&gt;&lt;titles&gt;&lt;title&gt;A modified poisson regression approach to prospective studies with binary data&lt;/title&gt;&lt;secondary-title&gt;Am J Epidemiol&lt;/secondary-title&gt;&lt;/titles&gt;&lt;periodical&gt;&lt;full-title&gt;Am J Epidemiol&lt;/full-title&gt;&lt;/periodical&gt;&lt;pages&gt;702-6&lt;/pages&gt;&lt;volume&gt;159&lt;/volume&gt;&lt;number&gt;7&lt;/number&gt;&lt;keywords&gt;&lt;keyword&gt;Clinical Trials as Topic/*statistics &amp;amp; numerical data&lt;/keyword&gt;&lt;keyword&gt;Data Interpretation, Statistical&lt;/keyword&gt;&lt;keyword&gt;Humans&lt;/keyword&gt;&lt;keyword&gt;*Poisson Distribution&lt;/keyword&gt;&lt;keyword&gt;Prospective Studies&lt;/keyword&gt;&lt;keyword&gt;*Regression Analysis&lt;/keyword&gt;&lt;keyword&gt;Reproducibility of Results&lt;/keyword&gt;&lt;keyword&gt;*Risk&lt;/keyword&gt;&lt;/keywords&gt;&lt;dates&gt;&lt;year&gt;2004&lt;/year&gt;&lt;pub-dates&gt;&lt;date&gt;Apr 1&lt;/date&gt;&lt;/pub-dates&gt;&lt;/dates&gt;&lt;isbn&gt;0002-9262 (Print)&amp;#xD;0002-9262 (Linking)&lt;/isbn&gt;&lt;accession-num&gt;15033648&lt;/accession-num&gt;&lt;urls&gt;&lt;related-urls&gt;&lt;url&gt;http://www.ncbi.nlm.nih.gov/pubmed/15033648&lt;/url&gt;&lt;/related-urls&gt;&lt;/urls&gt;&lt;/record&gt;&lt;/Cite&gt;&lt;/EndNote&gt;</w:instrText>
      </w:r>
      <w:r w:rsidRPr="00E82261">
        <w:rPr>
          <w:rFonts w:cs="Arial"/>
          <w:sz w:val="24"/>
          <w:szCs w:val="24"/>
        </w:rPr>
        <w:fldChar w:fldCharType="separate"/>
      </w:r>
      <w:r w:rsidRPr="00E82261">
        <w:rPr>
          <w:rFonts w:cs="Arial"/>
          <w:noProof/>
          <w:sz w:val="24"/>
          <w:szCs w:val="24"/>
        </w:rPr>
        <w:t>(Zou, 2004)</w:t>
      </w:r>
      <w:r w:rsidRPr="00E82261">
        <w:rPr>
          <w:rFonts w:cs="Arial"/>
          <w:sz w:val="24"/>
          <w:szCs w:val="24"/>
        </w:rPr>
        <w:fldChar w:fldCharType="end"/>
      </w:r>
      <w:r w:rsidRPr="00E82261">
        <w:rPr>
          <w:rFonts w:cs="Arial"/>
          <w:sz w:val="24"/>
          <w:szCs w:val="24"/>
        </w:rPr>
        <w:t xml:space="preserve">. We examined associations between driving under the influence of marijuana (yes/no) and age, gender, race/ethnicity, education, frequent marijuana use, alcohol use, and riding under the influence of marijuana. When variables were not significant in initial models they were not retained in the final model, with the exception of age, gender, and race, and alcohol use. We used a similar multivariable regression approach with RUI-marijuana as the dependent variable. </w:t>
      </w:r>
      <w:r w:rsidRPr="00E82261">
        <w:rPr>
          <w:rFonts w:cs="Arial"/>
          <w:bCs/>
          <w:sz w:val="24"/>
          <w:szCs w:val="24"/>
        </w:rPr>
        <w:t>W</w:t>
      </w:r>
      <w:r w:rsidRPr="00E82261">
        <w:rPr>
          <w:rFonts w:cs="Arial"/>
          <w:sz w:val="24"/>
          <w:szCs w:val="24"/>
        </w:rPr>
        <w:t xml:space="preserve">e used a two-tailed significance level at p &lt;0.05 for all statistical tests. All analyses were weighted and were conducted using commands that accounted for the complex survey design, yielding results that are adjusted to be representative of the adult population in Massachusetts. </w:t>
      </w:r>
      <w:r w:rsidRPr="00E82261">
        <w:rPr>
          <w:rStyle w:val="BodyTextChar"/>
          <w:rFonts w:cs="Arial"/>
          <w:sz w:val="24"/>
          <w:szCs w:val="24"/>
        </w:rPr>
        <w:t xml:space="preserve">The analysis for this report was generated using SAS/STAT software, Version 9.4 of the SAS System for Windows (Copyright © 2016 SAS Institute Inc. Cary, NC, USA.) with the exception of the regression models which were generated using Stata 15 statistical software (StataCorp, LLC, College Station, TX). </w:t>
      </w:r>
      <w:bookmarkStart w:id="370" w:name="_Toc530566807"/>
    </w:p>
    <w:p w:rsidR="00EA0518" w:rsidRPr="00E82261" w:rsidRDefault="00EA0518" w:rsidP="00EA0518">
      <w:pPr>
        <w:pStyle w:val="BodyText"/>
        <w:spacing w:line="240" w:lineRule="auto"/>
        <w:rPr>
          <w:rFonts w:cs="Arial"/>
          <w:sz w:val="24"/>
          <w:szCs w:val="24"/>
        </w:rPr>
      </w:pPr>
    </w:p>
    <w:p w:rsidR="00EA0518" w:rsidRPr="00E82261" w:rsidRDefault="00EA0518" w:rsidP="00332358">
      <w:pPr>
        <w:pStyle w:val="Heading3"/>
      </w:pPr>
      <w:bookmarkStart w:id="371" w:name="_Toc11765991"/>
      <w:bookmarkStart w:id="372" w:name="_Toc11766646"/>
      <w:r w:rsidRPr="00E82261">
        <w:t>Fatality Analysis Reporting System (FARS)</w:t>
      </w:r>
      <w:bookmarkEnd w:id="371"/>
      <w:bookmarkEnd w:id="372"/>
    </w:p>
    <w:bookmarkEnd w:id="370"/>
    <w:p w:rsidR="005D7694" w:rsidRPr="00E82261" w:rsidRDefault="005D7694" w:rsidP="00EA0518">
      <w:pPr>
        <w:pStyle w:val="BodyText"/>
        <w:spacing w:line="240" w:lineRule="auto"/>
        <w:rPr>
          <w:rFonts w:cs="Arial"/>
          <w:sz w:val="24"/>
          <w:szCs w:val="24"/>
        </w:rPr>
      </w:pPr>
    </w:p>
    <w:p w:rsidR="00CF13EB" w:rsidRPr="00E82261" w:rsidRDefault="00CF13EB" w:rsidP="006057BE">
      <w:pPr>
        <w:pStyle w:val="BodyText"/>
        <w:spacing w:line="240" w:lineRule="auto"/>
        <w:rPr>
          <w:rFonts w:cs="Arial"/>
          <w:sz w:val="24"/>
          <w:szCs w:val="24"/>
        </w:rPr>
      </w:pPr>
      <w:r w:rsidRPr="00E82261">
        <w:rPr>
          <w:rFonts w:cs="Arial"/>
          <w:sz w:val="24"/>
          <w:szCs w:val="24"/>
        </w:rPr>
        <w:t xml:space="preserve">To estimate the prevalence of marijuana, alcohol and other drug use by drivers in fatal crashes, 11 years of data (2006-2016) from the Fatality Analysis Reporting System (FARS) were studied. FARS is a national database maintained by the states and administered by the National Highway Traffic Safety Administration (NHTSA). It contains detailed information on every person and vehicle involved in a fatal crash in 26 linkable datasets. The various datasets are compiled at the state level; a state FARS analyst coordinates with the various agencies to gather the necessary data. For example, the police will provide information on the crash (manner of collision, time, location, etc.) and the medical examiner will provide toxicology information (blood alcohol content, presence of drugs, etc.). </w:t>
      </w:r>
    </w:p>
    <w:p w:rsidR="00CF13EB" w:rsidRPr="00E82261" w:rsidRDefault="00CF13EB" w:rsidP="006057BE">
      <w:pPr>
        <w:pStyle w:val="BodyText"/>
        <w:spacing w:line="240" w:lineRule="auto"/>
        <w:rPr>
          <w:rFonts w:cs="Arial"/>
          <w:sz w:val="24"/>
          <w:szCs w:val="24"/>
        </w:rPr>
      </w:pPr>
    </w:p>
    <w:p w:rsidR="00CF13EB" w:rsidRPr="00E82261" w:rsidRDefault="00CF13EB" w:rsidP="006057BE">
      <w:pPr>
        <w:pStyle w:val="BodyText"/>
        <w:spacing w:line="240" w:lineRule="auto"/>
        <w:rPr>
          <w:rFonts w:cs="Arial"/>
          <w:sz w:val="24"/>
          <w:szCs w:val="24"/>
        </w:rPr>
      </w:pPr>
      <w:r w:rsidRPr="00E82261">
        <w:rPr>
          <w:rFonts w:cs="Arial"/>
          <w:sz w:val="24"/>
          <w:szCs w:val="24"/>
        </w:rPr>
        <w:t xml:space="preserve">For this analysis, two FARS datasets were utilized, the “Person” and “Accident” files. The “Person” file contains an entry for each individual involved in a fatal crash whether they are the driver, a passenger, or a non-motorist. This dataset contains information such as demographics, seating position, drug and alcohol test results. The “Accident” file contains crash level information such as time and location of the crash, manner of collision and overall number of fatalities. A full list of fields and datasets can be found in the FARS Analytical User’s Manual </w:t>
      </w:r>
      <w:r w:rsidRPr="00E82261">
        <w:rPr>
          <w:rFonts w:cs="Arial"/>
          <w:sz w:val="24"/>
          <w:szCs w:val="24"/>
        </w:rPr>
        <w:fldChar w:fldCharType="begin"/>
      </w:r>
      <w:r w:rsidRPr="00E82261">
        <w:rPr>
          <w:rFonts w:cs="Arial"/>
          <w:sz w:val="24"/>
          <w:szCs w:val="24"/>
        </w:rPr>
        <w:instrText xml:space="preserve"> ADDIN EN.CITE &lt;EndNote&gt;&lt;Cite&gt;&lt;Author&gt;National Highway Traffic Safety Administration&lt;/Author&gt;&lt;Year&gt;2016&lt;/Year&gt;&lt;RecNum&gt;1446&lt;/RecNum&gt;&lt;DisplayText&gt;(National Highway Traffic Safety Administration, 2016)&lt;/DisplayText&gt;&lt;record&gt;&lt;rec-number&gt;1446&lt;/rec-number&gt;&lt;foreign-keys&gt;&lt;key app="EN" db-id="drzedr0r40wx06ee2zn5f5tvxx9wta0svwzs" timestamp="1526322228"&gt;1446&lt;/key&gt;&lt;key app="ENWeb" db-id=""&gt;0&lt;/key&gt;&lt;/foreign-keys&gt;&lt;ref-type name="Report"&gt;27&lt;/ref-type&gt;&lt;contributors&gt;&lt;authors&gt;&lt;author&gt;National Highway Traffic Safety Administration,,&lt;/author&gt;&lt;/authors&gt;&lt;tertiary-authors&gt;&lt;author&gt;U.S. Department of Transportation&lt;/author&gt;&lt;/tertiary-authors&gt;&lt;/contributors&gt;&lt;titles&gt;&lt;title&gt;Fatality Analysis Reporting System (FARS) Analytical User&amp;apos;s Manual 1974-2015&lt;/title&gt;&lt;/titles&gt;&lt;dates&gt;&lt;year&gt;2016&lt;/year&gt;&lt;/dates&gt;&lt;pub-location&gt;Washington, D.C.&lt;/pub-location&gt;&lt;urls&gt;&lt;related-urls&gt;&lt;url&gt;http://www.nber.org/fars/ftp.nhtsa.dot.gov/fars/FARS-DOC/Analytical%20User%20Guide/USERGUIDE-2015.pdf&lt;/url&gt;&lt;/related-urls&gt;&lt;/urls&gt;&lt;/record&gt;&lt;/Cite&gt;&lt;/EndNote&gt;</w:instrText>
      </w:r>
      <w:r w:rsidRPr="00E82261">
        <w:rPr>
          <w:rFonts w:cs="Arial"/>
          <w:sz w:val="24"/>
          <w:szCs w:val="24"/>
        </w:rPr>
        <w:fldChar w:fldCharType="separate"/>
      </w:r>
      <w:r w:rsidRPr="00E82261">
        <w:rPr>
          <w:rFonts w:cs="Arial"/>
          <w:noProof/>
          <w:sz w:val="24"/>
          <w:szCs w:val="24"/>
        </w:rPr>
        <w:t>(National Highway Traffic Safety Administration, 2016)</w:t>
      </w:r>
      <w:r w:rsidRPr="00E82261">
        <w:rPr>
          <w:rFonts w:cs="Arial"/>
          <w:sz w:val="24"/>
          <w:szCs w:val="24"/>
        </w:rPr>
        <w:fldChar w:fldCharType="end"/>
      </w:r>
      <w:r w:rsidRPr="00E82261">
        <w:rPr>
          <w:rFonts w:cs="Arial"/>
          <w:sz w:val="24"/>
          <w:szCs w:val="24"/>
        </w:rPr>
        <w:t>.</w:t>
      </w:r>
    </w:p>
    <w:p w:rsidR="00CF13EB" w:rsidRPr="00E82261" w:rsidRDefault="00CF13EB" w:rsidP="006057BE">
      <w:pPr>
        <w:pStyle w:val="BodyText"/>
        <w:spacing w:line="240" w:lineRule="auto"/>
        <w:rPr>
          <w:rFonts w:cs="Arial"/>
          <w:sz w:val="24"/>
          <w:szCs w:val="24"/>
        </w:rPr>
      </w:pPr>
    </w:p>
    <w:p w:rsidR="00CF13EB" w:rsidRPr="00E82261" w:rsidRDefault="00CF13EB" w:rsidP="00F950A2">
      <w:pPr>
        <w:pStyle w:val="Heading3"/>
      </w:pPr>
      <w:bookmarkStart w:id="373" w:name="_Toc11765992"/>
      <w:bookmarkStart w:id="374" w:name="_Toc11766647"/>
      <w:r w:rsidRPr="00E82261">
        <w:t>Measures</w:t>
      </w:r>
      <w:bookmarkEnd w:id="373"/>
      <w:bookmarkEnd w:id="374"/>
    </w:p>
    <w:p w:rsidR="005D7694" w:rsidRPr="00E82261" w:rsidRDefault="005D7694" w:rsidP="005D7694">
      <w:pPr>
        <w:pStyle w:val="BodyText"/>
        <w:rPr>
          <w:rFonts w:cs="Arial"/>
          <w:sz w:val="24"/>
          <w:szCs w:val="24"/>
        </w:rPr>
      </w:pPr>
    </w:p>
    <w:p w:rsidR="00CF13EB" w:rsidRPr="00E82261" w:rsidRDefault="00CF13EB" w:rsidP="006057BE">
      <w:pPr>
        <w:pStyle w:val="BodyText"/>
        <w:spacing w:line="240" w:lineRule="auto"/>
        <w:rPr>
          <w:rFonts w:cs="Arial"/>
          <w:sz w:val="24"/>
          <w:szCs w:val="24"/>
        </w:rPr>
      </w:pPr>
      <w:r w:rsidRPr="00E82261">
        <w:rPr>
          <w:rFonts w:cs="Arial"/>
          <w:sz w:val="24"/>
          <w:szCs w:val="24"/>
        </w:rPr>
        <w:t>From the FARS “Accident” dataset only the field reflecting the number of fatalities resulting from the crash (FATALS) was used.  All other variables came from the FARS “Person” dataset, which included an indicator of “person type” which denotes whether the person was a driver, passenger or non-motorist (PER_TYP). We used an indicator of injury severity to identify individuals who died in a crash.</w:t>
      </w:r>
    </w:p>
    <w:p w:rsidR="005D7694" w:rsidRPr="00E82261" w:rsidRDefault="005D7694" w:rsidP="006057BE">
      <w:pPr>
        <w:pStyle w:val="BodyText"/>
        <w:spacing w:line="240" w:lineRule="auto"/>
        <w:rPr>
          <w:rFonts w:cs="Arial"/>
          <w:b/>
          <w:sz w:val="24"/>
          <w:szCs w:val="24"/>
        </w:rPr>
      </w:pPr>
    </w:p>
    <w:p w:rsidR="00CF13EB" w:rsidRPr="00332358" w:rsidRDefault="00CF13EB" w:rsidP="00F950A2">
      <w:pPr>
        <w:pStyle w:val="Heading4"/>
      </w:pPr>
      <w:r w:rsidRPr="00332358">
        <w:t>Demographic measures</w:t>
      </w:r>
    </w:p>
    <w:p w:rsidR="005D7694" w:rsidRPr="00E82261" w:rsidRDefault="005D7694" w:rsidP="005D7694">
      <w:pPr>
        <w:pStyle w:val="BodyText"/>
        <w:rPr>
          <w:rFonts w:cs="Arial"/>
          <w:sz w:val="24"/>
          <w:szCs w:val="24"/>
        </w:rPr>
      </w:pPr>
    </w:p>
    <w:p w:rsidR="005D7694" w:rsidRDefault="00CF13EB" w:rsidP="006057BE">
      <w:pPr>
        <w:pStyle w:val="BodyText"/>
        <w:spacing w:line="240" w:lineRule="auto"/>
        <w:rPr>
          <w:rFonts w:cs="Arial"/>
          <w:sz w:val="24"/>
          <w:szCs w:val="24"/>
        </w:rPr>
      </w:pPr>
      <w:r w:rsidRPr="00E82261">
        <w:rPr>
          <w:rFonts w:cs="Arial"/>
          <w:sz w:val="24"/>
          <w:szCs w:val="24"/>
        </w:rPr>
        <w:t>The FARS fields for the person’s age, sex, and race/ethnicity were included in this analysis. Within FARS, race is only coded for deceased persons. There are 18 options for race and an additional six options that indicate whether the person was of Hispanic/Latino descent. The available categories were condensed into five categories: White, non-Hispanic; Black, non-Hispanic; Asian, non-Hispanic; Other, non-Hispanic; and any Hispanic/Latino.</w:t>
      </w:r>
    </w:p>
    <w:p w:rsidR="00465399" w:rsidRDefault="00465399" w:rsidP="006057BE">
      <w:pPr>
        <w:pStyle w:val="BodyText"/>
        <w:spacing w:line="240" w:lineRule="auto"/>
        <w:rPr>
          <w:rFonts w:cs="Arial"/>
          <w:sz w:val="24"/>
          <w:szCs w:val="24"/>
        </w:rPr>
      </w:pPr>
    </w:p>
    <w:p w:rsidR="00CF13EB" w:rsidRPr="00332358" w:rsidRDefault="00CF13EB" w:rsidP="00F950A2">
      <w:pPr>
        <w:pStyle w:val="Heading4"/>
      </w:pPr>
      <w:r w:rsidRPr="00332358">
        <w:t>Cannabis and other drug measures</w:t>
      </w:r>
    </w:p>
    <w:p w:rsidR="005D7694" w:rsidRPr="00E82261" w:rsidRDefault="005D7694" w:rsidP="005D7694">
      <w:pPr>
        <w:pStyle w:val="BodyText"/>
        <w:rPr>
          <w:rFonts w:cs="Arial"/>
          <w:sz w:val="24"/>
          <w:szCs w:val="24"/>
        </w:rPr>
      </w:pPr>
    </w:p>
    <w:p w:rsidR="00CF13EB" w:rsidRPr="00E82261" w:rsidRDefault="00CF13EB" w:rsidP="006057BE">
      <w:pPr>
        <w:pStyle w:val="BodyText"/>
        <w:spacing w:line="240" w:lineRule="auto"/>
        <w:rPr>
          <w:rFonts w:cs="Arial"/>
          <w:sz w:val="24"/>
          <w:szCs w:val="24"/>
        </w:rPr>
      </w:pPr>
      <w:r w:rsidRPr="00E82261">
        <w:rPr>
          <w:rFonts w:cs="Arial"/>
          <w:sz w:val="24"/>
          <w:szCs w:val="24"/>
        </w:rPr>
        <w:t xml:space="preserve">FARS includes information on the type of drug testing conducted stored in three variables (DRUGTST1/ DRUGTST2/ DRUGTST3). Persons involved in a fatal crash can have up to three types of drug tests (e.g. blood, urine, etc.) recorded in FARS in these fields. Also included are up to three results from the reported drug tests (DRUGRES1/ DRUGRES2/ DRUGRES3). The DRUGRES fields report a code to indicate the specific drugs detected, although the level of drug concentrations are not available within the dataset. There are over 600 different drug types and an exhaustive list can be found in the 2016 FARS/CRSS Coding and Validation Manual </w:t>
      </w:r>
      <w:r w:rsidRPr="00E82261">
        <w:rPr>
          <w:rFonts w:cs="Arial"/>
          <w:sz w:val="24"/>
          <w:szCs w:val="24"/>
        </w:rPr>
        <w:fldChar w:fldCharType="begin"/>
      </w:r>
      <w:r w:rsidRPr="00E82261">
        <w:rPr>
          <w:rFonts w:cs="Arial"/>
          <w:sz w:val="24"/>
          <w:szCs w:val="24"/>
        </w:rPr>
        <w:instrText xml:space="preserve"> ADDIN EN.CITE &lt;EndNote&gt;&lt;Cite&gt;&lt;Author&gt;National Highway Traffic Safety Administration&lt;/Author&gt;&lt;Year&gt;2016&lt;/Year&gt;&lt;RecNum&gt;1446&lt;/RecNum&gt;&lt;DisplayText&gt;(National Highway Traffic Safety Administration, 2016)&lt;/DisplayText&gt;&lt;record&gt;&lt;rec-number&gt;1446&lt;/rec-number&gt;&lt;foreign-keys&gt;&lt;key app="EN" db-id="drzedr0r40wx06ee2zn5f5tvxx9wta0svwzs" timestamp="1526322228"&gt;1446&lt;/key&gt;&lt;key app="ENWeb" db-id=""&gt;0&lt;/key&gt;&lt;/foreign-keys&gt;&lt;ref-type name="Report"&gt;27&lt;/ref-type&gt;&lt;contributors&gt;&lt;authors&gt;&lt;author&gt;National Highway Traffic Safety Administration,,&lt;/author&gt;&lt;/authors&gt;&lt;tertiary-authors&gt;&lt;author&gt;U.S. Department of Transportation&lt;/author&gt;&lt;/tertiary-authors&gt;&lt;/contributors&gt;&lt;titles&gt;&lt;title&gt;Fatality Analysis Reporting System (FARS) Analytical User&amp;apos;s Manual 1974-2015&lt;/title&gt;&lt;/titles&gt;&lt;dates&gt;&lt;year&gt;2016&lt;/year&gt;&lt;/dates&gt;&lt;pub-location&gt;Washington, D.C.&lt;/pub-location&gt;&lt;urls&gt;&lt;related-urls&gt;&lt;url&gt;http://www.nber.org/fars/ftp.nhtsa.dot.gov/fars/FARS-DOC/Analytical%20User%20Guide/USERGUIDE-2015.pdf&lt;/url&gt;&lt;/related-urls&gt;&lt;/urls&gt;&lt;/record&gt;&lt;/Cite&gt;&lt;/EndNote&gt;</w:instrText>
      </w:r>
      <w:r w:rsidRPr="00E82261">
        <w:rPr>
          <w:rFonts w:cs="Arial"/>
          <w:sz w:val="24"/>
          <w:szCs w:val="24"/>
        </w:rPr>
        <w:fldChar w:fldCharType="separate"/>
      </w:r>
      <w:r w:rsidRPr="00E82261">
        <w:rPr>
          <w:rFonts w:cs="Arial"/>
          <w:noProof/>
          <w:sz w:val="24"/>
          <w:szCs w:val="24"/>
        </w:rPr>
        <w:t>(National Highway Traffic Safety Administration, 2016)</w:t>
      </w:r>
      <w:r w:rsidRPr="00E82261">
        <w:rPr>
          <w:rFonts w:cs="Arial"/>
          <w:sz w:val="24"/>
          <w:szCs w:val="24"/>
        </w:rPr>
        <w:fldChar w:fldCharType="end"/>
      </w:r>
      <w:r w:rsidRPr="00E82261">
        <w:rPr>
          <w:rFonts w:cs="Arial"/>
          <w:sz w:val="24"/>
          <w:szCs w:val="24"/>
        </w:rPr>
        <w:t>.</w:t>
      </w:r>
    </w:p>
    <w:p w:rsidR="00EA0518" w:rsidRPr="00E82261" w:rsidRDefault="00EA0518" w:rsidP="006057BE">
      <w:pPr>
        <w:pStyle w:val="BodyText"/>
        <w:spacing w:line="240" w:lineRule="auto"/>
        <w:rPr>
          <w:rFonts w:cs="Arial"/>
          <w:sz w:val="24"/>
          <w:szCs w:val="24"/>
        </w:rPr>
      </w:pPr>
    </w:p>
    <w:p w:rsidR="00CF13EB" w:rsidRPr="00E82261" w:rsidRDefault="00CF13EB" w:rsidP="006057BE">
      <w:pPr>
        <w:pStyle w:val="BodyText"/>
        <w:spacing w:line="240" w:lineRule="auto"/>
        <w:rPr>
          <w:rFonts w:cs="Arial"/>
          <w:sz w:val="24"/>
          <w:szCs w:val="24"/>
        </w:rPr>
      </w:pPr>
      <w:r w:rsidRPr="00E82261">
        <w:rPr>
          <w:rFonts w:cs="Arial"/>
          <w:sz w:val="24"/>
          <w:szCs w:val="24"/>
        </w:rPr>
        <w:t>This analysis focused upon cannabinoids which are indicated in FARS with the following codes:</w:t>
      </w:r>
    </w:p>
    <w:p w:rsidR="00EA0518" w:rsidRPr="00E82261" w:rsidRDefault="00EA0518" w:rsidP="006057BE">
      <w:pPr>
        <w:pStyle w:val="BodyText"/>
        <w:spacing w:line="240" w:lineRule="auto"/>
        <w:rPr>
          <w:rFonts w:cs="Arial"/>
          <w:sz w:val="24"/>
          <w:szCs w:val="24"/>
        </w:rPr>
      </w:pPr>
    </w:p>
    <w:p w:rsidR="00CF13EB" w:rsidRPr="00E82261" w:rsidRDefault="00CF13EB" w:rsidP="008A25CE">
      <w:pPr>
        <w:pStyle w:val="BodyText"/>
        <w:numPr>
          <w:ilvl w:val="0"/>
          <w:numId w:val="15"/>
        </w:numPr>
        <w:spacing w:line="240" w:lineRule="auto"/>
        <w:contextualSpacing/>
        <w:rPr>
          <w:rFonts w:cs="Arial"/>
          <w:sz w:val="24"/>
          <w:szCs w:val="24"/>
        </w:rPr>
      </w:pPr>
      <w:r w:rsidRPr="00E82261">
        <w:rPr>
          <w:rFonts w:cs="Arial"/>
          <w:sz w:val="24"/>
          <w:szCs w:val="24"/>
        </w:rPr>
        <w:t>600 – Delta 9</w:t>
      </w:r>
    </w:p>
    <w:p w:rsidR="00CF13EB" w:rsidRPr="00E82261" w:rsidRDefault="00CF13EB" w:rsidP="008A25CE">
      <w:pPr>
        <w:pStyle w:val="BodyText"/>
        <w:numPr>
          <w:ilvl w:val="0"/>
          <w:numId w:val="15"/>
        </w:numPr>
        <w:spacing w:line="240" w:lineRule="auto"/>
        <w:contextualSpacing/>
        <w:rPr>
          <w:rFonts w:cs="Arial"/>
          <w:sz w:val="24"/>
          <w:szCs w:val="24"/>
        </w:rPr>
      </w:pPr>
      <w:r w:rsidRPr="00E82261">
        <w:rPr>
          <w:rFonts w:cs="Arial"/>
          <w:sz w:val="24"/>
          <w:szCs w:val="24"/>
        </w:rPr>
        <w:t>601 – Hashish Oils</w:t>
      </w:r>
    </w:p>
    <w:p w:rsidR="00CF13EB" w:rsidRPr="00E82261" w:rsidRDefault="00CF13EB" w:rsidP="008A25CE">
      <w:pPr>
        <w:pStyle w:val="BodyText"/>
        <w:numPr>
          <w:ilvl w:val="0"/>
          <w:numId w:val="15"/>
        </w:numPr>
        <w:spacing w:line="240" w:lineRule="auto"/>
        <w:contextualSpacing/>
        <w:rPr>
          <w:rFonts w:cs="Arial"/>
          <w:sz w:val="24"/>
          <w:szCs w:val="24"/>
        </w:rPr>
      </w:pPr>
      <w:r w:rsidRPr="00E82261">
        <w:rPr>
          <w:rFonts w:cs="Arial"/>
          <w:sz w:val="24"/>
          <w:szCs w:val="24"/>
        </w:rPr>
        <w:t>602 – Hashish</w:t>
      </w:r>
    </w:p>
    <w:p w:rsidR="00CF13EB" w:rsidRPr="00E82261" w:rsidRDefault="00CF13EB" w:rsidP="008A25CE">
      <w:pPr>
        <w:pStyle w:val="BodyText"/>
        <w:numPr>
          <w:ilvl w:val="0"/>
          <w:numId w:val="15"/>
        </w:numPr>
        <w:spacing w:line="240" w:lineRule="auto"/>
        <w:contextualSpacing/>
        <w:rPr>
          <w:rFonts w:cs="Arial"/>
          <w:sz w:val="24"/>
          <w:szCs w:val="24"/>
        </w:rPr>
      </w:pPr>
      <w:r w:rsidRPr="00E82261">
        <w:rPr>
          <w:rFonts w:cs="Arial"/>
          <w:sz w:val="24"/>
          <w:szCs w:val="24"/>
        </w:rPr>
        <w:t>603 – Marijuana/Marihuana</w:t>
      </w:r>
    </w:p>
    <w:p w:rsidR="00CF13EB" w:rsidRPr="00E82261" w:rsidRDefault="00CF13EB" w:rsidP="008A25CE">
      <w:pPr>
        <w:pStyle w:val="BodyText"/>
        <w:numPr>
          <w:ilvl w:val="0"/>
          <w:numId w:val="15"/>
        </w:numPr>
        <w:spacing w:line="240" w:lineRule="auto"/>
        <w:contextualSpacing/>
        <w:rPr>
          <w:rFonts w:cs="Arial"/>
          <w:sz w:val="24"/>
          <w:szCs w:val="24"/>
        </w:rPr>
      </w:pPr>
      <w:r w:rsidRPr="00E82261">
        <w:rPr>
          <w:rFonts w:cs="Arial"/>
          <w:sz w:val="24"/>
          <w:szCs w:val="24"/>
        </w:rPr>
        <w:t>604 – Marinol</w:t>
      </w:r>
    </w:p>
    <w:p w:rsidR="00CF13EB" w:rsidRPr="00E82261" w:rsidRDefault="00CF13EB" w:rsidP="008A25CE">
      <w:pPr>
        <w:pStyle w:val="BodyText"/>
        <w:numPr>
          <w:ilvl w:val="0"/>
          <w:numId w:val="15"/>
        </w:numPr>
        <w:spacing w:line="240" w:lineRule="auto"/>
        <w:contextualSpacing/>
        <w:rPr>
          <w:rFonts w:cs="Arial"/>
          <w:sz w:val="24"/>
          <w:szCs w:val="24"/>
        </w:rPr>
      </w:pPr>
      <w:r w:rsidRPr="00E82261">
        <w:rPr>
          <w:rFonts w:cs="Arial"/>
          <w:sz w:val="24"/>
          <w:szCs w:val="24"/>
        </w:rPr>
        <w:t>605 – Tetrahydrocannabinols (THC)</w:t>
      </w:r>
    </w:p>
    <w:p w:rsidR="00CF13EB" w:rsidRPr="00E82261" w:rsidRDefault="00CF13EB" w:rsidP="008A25CE">
      <w:pPr>
        <w:pStyle w:val="BodyText"/>
        <w:numPr>
          <w:ilvl w:val="0"/>
          <w:numId w:val="15"/>
        </w:numPr>
        <w:spacing w:line="240" w:lineRule="auto"/>
        <w:contextualSpacing/>
        <w:rPr>
          <w:rFonts w:cs="Arial"/>
          <w:sz w:val="24"/>
          <w:szCs w:val="24"/>
        </w:rPr>
      </w:pPr>
      <w:r w:rsidRPr="00E82261">
        <w:rPr>
          <w:rFonts w:cs="Arial"/>
          <w:sz w:val="24"/>
          <w:szCs w:val="24"/>
        </w:rPr>
        <w:t>695 – Cannabinoid, Type Unknown</w:t>
      </w:r>
    </w:p>
    <w:p w:rsidR="005D7694" w:rsidRPr="00E82261" w:rsidRDefault="005D7694" w:rsidP="005D7694">
      <w:pPr>
        <w:pStyle w:val="BodyText"/>
        <w:spacing w:line="240" w:lineRule="auto"/>
        <w:ind w:left="720"/>
        <w:contextualSpacing/>
        <w:rPr>
          <w:rFonts w:cs="Arial"/>
          <w:sz w:val="24"/>
          <w:szCs w:val="24"/>
        </w:rPr>
      </w:pPr>
    </w:p>
    <w:p w:rsidR="00CF13EB" w:rsidRPr="00E82261" w:rsidRDefault="00CF13EB" w:rsidP="006057BE">
      <w:pPr>
        <w:pStyle w:val="BodyText"/>
        <w:spacing w:line="240" w:lineRule="auto"/>
        <w:rPr>
          <w:rFonts w:cs="Arial"/>
          <w:sz w:val="24"/>
          <w:szCs w:val="24"/>
        </w:rPr>
      </w:pPr>
      <w:r w:rsidRPr="00E82261">
        <w:rPr>
          <w:rFonts w:cs="Arial"/>
          <w:sz w:val="24"/>
          <w:szCs w:val="24"/>
        </w:rPr>
        <w:t xml:space="preserve">A summary variable was created to indicate whether a drug test result was positive for any of the seven cannabinoid codes listed above. Delta-9-THC is a primary psychoactive compound from the cannabis plant that contributes to the ‘high’ that users experience.  As described in Chapter 1, it is metabolized in the body into other cannabinols that can be detected in laboratory testing but are not necessarily psychoactive. Generally, delta-9-THC is measurable in blood for a shorter duration after marijuana use than other metabolites, but this is complicated by individual characteristics such as frequency of cannabis use.  Prior studies of marijuana involvement in crashes using FARS data in other states tend to focus on delta-9-THC because it is associated with the effects of cannabis </w:t>
      </w:r>
      <w:r w:rsidRPr="00E82261">
        <w:rPr>
          <w:rFonts w:cs="Arial"/>
          <w:sz w:val="24"/>
          <w:szCs w:val="24"/>
        </w:rPr>
        <w:fldChar w:fldCharType="begin"/>
      </w:r>
      <w:r w:rsidRPr="00E82261">
        <w:rPr>
          <w:rFonts w:cs="Arial"/>
          <w:sz w:val="24"/>
          <w:szCs w:val="24"/>
        </w:rPr>
        <w:instrText xml:space="preserve"> ADDIN EN.CITE &lt;EndNote&gt;&lt;Cite&gt;&lt;Author&gt;Tefft&lt;/Author&gt;&lt;Year&gt;2016&lt;/Year&gt;&lt;RecNum&gt;1332&lt;/RecNum&gt;&lt;DisplayText&gt;(Tefft et al., 2016)&lt;/DisplayText&gt;&lt;record&gt;&lt;rec-number&gt;1332&lt;/rec-number&gt;&lt;foreign-keys&gt;&lt;key app="EN" db-id="drzedr0r40wx06ee2zn5f5tvxx9wta0svwzs" timestamp="1523992800"&gt;1332&lt;/key&gt;&lt;key app="ENWeb" db-id=""&gt;0&lt;/key&gt;&lt;/foreign-keys&gt;&lt;ref-type name="Journal Article"&gt;17&lt;/ref-type&gt;&lt;contributors&gt;&lt;authors&gt;&lt;author&gt;Tefft, Brian C&lt;/author&gt;&lt;author&gt;Arnold, Lindsay S&lt;/author&gt;&lt;author&gt;Grabowski, Jurek G&lt;/author&gt;&lt;/authors&gt;&lt;/contributors&gt;&lt;titles&gt;&lt;title&gt;Prevalence of Marijuana Involvement in Fatal Crashes: Washington, 2010–2014&lt;/title&gt;&lt;/titles&gt;&lt;dates&gt;&lt;year&gt;2016&lt;/year&gt;&lt;/dates&gt;&lt;urls&gt;&lt;/urls&gt;&lt;/record&gt;&lt;/Cite&gt;&lt;/EndNote&gt;</w:instrText>
      </w:r>
      <w:r w:rsidRPr="00E82261">
        <w:rPr>
          <w:rFonts w:cs="Arial"/>
          <w:sz w:val="24"/>
          <w:szCs w:val="24"/>
        </w:rPr>
        <w:fldChar w:fldCharType="separate"/>
      </w:r>
      <w:r w:rsidRPr="00E82261">
        <w:rPr>
          <w:rFonts w:cs="Arial"/>
          <w:noProof/>
          <w:sz w:val="24"/>
          <w:szCs w:val="24"/>
        </w:rPr>
        <w:t>(Tefft et al., 2016)</w:t>
      </w:r>
      <w:r w:rsidRPr="00E82261">
        <w:rPr>
          <w:rFonts w:cs="Arial"/>
          <w:sz w:val="24"/>
          <w:szCs w:val="24"/>
        </w:rPr>
        <w:fldChar w:fldCharType="end"/>
      </w:r>
      <w:r w:rsidRPr="00E82261">
        <w:rPr>
          <w:rFonts w:cs="Arial"/>
          <w:sz w:val="24"/>
          <w:szCs w:val="24"/>
        </w:rPr>
        <w:t xml:space="preserve">. However, it is important to note that driver </w:t>
      </w:r>
      <w:r w:rsidRPr="00E82261">
        <w:rPr>
          <w:rFonts w:cs="Arial"/>
          <w:i/>
          <w:sz w:val="24"/>
          <w:szCs w:val="24"/>
        </w:rPr>
        <w:t>impairment</w:t>
      </w:r>
      <w:r w:rsidRPr="00E82261">
        <w:rPr>
          <w:rFonts w:cs="Arial"/>
          <w:sz w:val="24"/>
          <w:szCs w:val="24"/>
        </w:rPr>
        <w:t xml:space="preserve"> in the crash cannot be discerned from values of delta-9-THC or other compounds. Delta-9-THC, when present, is generally indicative of recent marijuana use.  </w:t>
      </w:r>
    </w:p>
    <w:p w:rsidR="00CF13EB" w:rsidRPr="00E82261" w:rsidRDefault="00CF13EB" w:rsidP="006057BE">
      <w:pPr>
        <w:pStyle w:val="BodyText"/>
        <w:spacing w:line="240" w:lineRule="auto"/>
        <w:rPr>
          <w:rFonts w:cs="Arial"/>
          <w:sz w:val="24"/>
          <w:szCs w:val="24"/>
        </w:rPr>
      </w:pPr>
      <w:r w:rsidRPr="00E82261">
        <w:rPr>
          <w:rFonts w:cs="Arial"/>
          <w:sz w:val="24"/>
          <w:szCs w:val="24"/>
        </w:rPr>
        <w:t xml:space="preserve">Two years of FARS data (2011 and 2012) appeared anomalous in that there were near-zero levels of code 600 indicating a positive test for Delta-9-THC among drivers given a blood test for drugs. This was inconsistent with other years of Massachusetts FARS data in this analysis and inconsistent with published reports of FARS data from other states </w:t>
      </w:r>
      <w:r w:rsidRPr="00E82261">
        <w:rPr>
          <w:rFonts w:cs="Arial"/>
          <w:sz w:val="24"/>
          <w:szCs w:val="24"/>
        </w:rPr>
        <w:fldChar w:fldCharType="begin"/>
      </w:r>
      <w:r w:rsidRPr="00E82261">
        <w:rPr>
          <w:rFonts w:cs="Arial"/>
          <w:sz w:val="24"/>
          <w:szCs w:val="24"/>
        </w:rPr>
        <w:instrText xml:space="preserve"> ADDIN EN.CITE &lt;EndNote&gt;&lt;Cite&gt;&lt;Author&gt;Grondel&lt;/Author&gt;&lt;Year&gt;2018&lt;/Year&gt;&lt;RecNum&gt;1502&lt;/RecNum&gt;&lt;DisplayText&gt;(Grondel, Hoff, &amp;amp; Doane, 2018)&lt;/DisplayText&gt;&lt;record&gt;&lt;rec-number&gt;1502&lt;/rec-number&gt;&lt;foreign-keys&gt;&lt;key app="EN" db-id="drzedr0r40wx06ee2zn5f5tvxx9wta0svwzs" timestamp="1541623393"&gt;1502&lt;/key&gt;&lt;/foreign-keys&gt;&lt;ref-type name="Report"&gt;27&lt;/ref-type&gt;&lt;contributors&gt;&lt;authors&gt;&lt;author&gt;Grondel, D.&lt;/author&gt;&lt;author&gt;Hoff, S.&lt;/author&gt;&lt;author&gt;Doane, D.&lt;/author&gt;&lt;/authors&gt;&lt;tertiary-authors&gt;&lt;author&gt;Washington Traffic Safety Commission&lt;/author&gt;&lt;/tertiary-authors&gt;&lt;/contributors&gt;&lt;titles&gt;&lt;title&gt;Marijuana use, Alcohol Use, and riving in Washington State: Emerging Issues with Poly-Drug Use on Washington Roadways&lt;/title&gt;&lt;/titles&gt;&lt;dates&gt;&lt;year&gt;2018&lt;/year&gt;&lt;pub-dates&gt;&lt;date&gt;April 2018&lt;/date&gt;&lt;/pub-dates&gt;&lt;/dates&gt;&lt;urls&gt;&lt;related-urls&gt;&lt;url&gt;http://wtsc.wa.gov/wp-content/uploads/dlm_uploads/2018/05/Marijuana-and-Alcohol-Involvement-in-Fatal-Crashes-in-WA_FINAL.pdf&lt;/url&gt;&lt;/related-urls&gt;&lt;/urls&gt;&lt;/record&gt;&lt;/Cite&gt;&lt;/EndNote&gt;</w:instrText>
      </w:r>
      <w:r w:rsidRPr="00E82261">
        <w:rPr>
          <w:rFonts w:cs="Arial"/>
          <w:sz w:val="24"/>
          <w:szCs w:val="24"/>
        </w:rPr>
        <w:fldChar w:fldCharType="separate"/>
      </w:r>
      <w:r w:rsidRPr="00E82261">
        <w:rPr>
          <w:rFonts w:cs="Arial"/>
          <w:noProof/>
          <w:sz w:val="24"/>
          <w:szCs w:val="24"/>
        </w:rPr>
        <w:t>(Grondel, Hoff, &amp; Doane, 2018)</w:t>
      </w:r>
      <w:r w:rsidRPr="00E82261">
        <w:rPr>
          <w:rFonts w:cs="Arial"/>
          <w:sz w:val="24"/>
          <w:szCs w:val="24"/>
        </w:rPr>
        <w:fldChar w:fldCharType="end"/>
      </w:r>
      <w:r w:rsidRPr="00E82261">
        <w:rPr>
          <w:rFonts w:cs="Arial"/>
          <w:sz w:val="24"/>
          <w:szCs w:val="24"/>
        </w:rPr>
        <w:t xml:space="preserve">. This absence of code 600 for delta-9-THC in two years of FARS data is likely to be a result of data collection or data entry practices and not indicative of true rates. Additionally, in the 11 years of Massachusetts data, there were only two recorded cases of a person testing positive for codes 601, 602, 603, or 604. In light of these potential irregularities in the cannabis codes observed in FARS, we report on the presence of “any cannabinoid” which, though less specific than the code for delta-9-THC, appeared more reliable.  </w:t>
      </w:r>
    </w:p>
    <w:p w:rsidR="00CF13EB" w:rsidRPr="00E82261" w:rsidRDefault="00CF13EB" w:rsidP="006057BE">
      <w:pPr>
        <w:pStyle w:val="BodyText"/>
        <w:spacing w:line="240" w:lineRule="auto"/>
        <w:rPr>
          <w:rFonts w:cs="Arial"/>
          <w:sz w:val="24"/>
          <w:szCs w:val="24"/>
        </w:rPr>
      </w:pPr>
    </w:p>
    <w:p w:rsidR="00CF13EB" w:rsidRPr="007413B0" w:rsidRDefault="00CF13EB" w:rsidP="00F950A2">
      <w:pPr>
        <w:pStyle w:val="Heading4"/>
      </w:pPr>
      <w:r w:rsidRPr="007413B0">
        <w:t>Alcohol measures</w:t>
      </w:r>
    </w:p>
    <w:p w:rsidR="005D7694" w:rsidRPr="00E82261" w:rsidRDefault="005D7694" w:rsidP="005D7694">
      <w:pPr>
        <w:pStyle w:val="BodyText"/>
        <w:rPr>
          <w:rFonts w:cs="Arial"/>
          <w:sz w:val="24"/>
          <w:szCs w:val="24"/>
        </w:rPr>
      </w:pPr>
    </w:p>
    <w:p w:rsidR="005D7694" w:rsidRPr="001C30C1" w:rsidRDefault="00CF13EB" w:rsidP="001C30C1">
      <w:pPr>
        <w:pStyle w:val="BodyText"/>
        <w:spacing w:line="240" w:lineRule="auto"/>
        <w:rPr>
          <w:rFonts w:cs="Arial"/>
          <w:sz w:val="24"/>
          <w:szCs w:val="24"/>
        </w:rPr>
      </w:pPr>
      <w:r w:rsidRPr="00E82261">
        <w:rPr>
          <w:rFonts w:cs="Arial"/>
          <w:sz w:val="24"/>
          <w:szCs w:val="24"/>
        </w:rPr>
        <w:t xml:space="preserve">The presence of alcohol in a person is recorded in two fields within the FARS database. ATST_TYP reports the type of alcohol test given (blood, breath, etc.) and ALC_RES indicates the results of alcohol testing such as the blood alcohol content obtained from the given alcohol test. Due to problems that arise from missing data, blood alcohol content (BAC), estimates of alcohol-impaired driving are typically reported after NHTSA uses a multiple imputation process for cases in which testing was not conducted or reported </w:t>
      </w:r>
      <w:r w:rsidRPr="00E82261">
        <w:rPr>
          <w:rFonts w:cs="Arial"/>
          <w:sz w:val="24"/>
          <w:szCs w:val="24"/>
        </w:rPr>
        <w:fldChar w:fldCharType="begin"/>
      </w:r>
      <w:r w:rsidRPr="00E82261">
        <w:rPr>
          <w:rFonts w:cs="Arial"/>
          <w:sz w:val="24"/>
          <w:szCs w:val="24"/>
        </w:rPr>
        <w:instrText xml:space="preserve"> ADDIN EN.CITE &lt;EndNote&gt;&lt;Cite&gt;&lt;Author&gt;Subramanian&lt;/Author&gt;&lt;Year&gt;2002&lt;/Year&gt;&lt;RecNum&gt;1445&lt;/RecNum&gt;&lt;DisplayText&gt;(Subramanian, 2002)&lt;/DisplayText&gt;&lt;record&gt;&lt;rec-number&gt;1445&lt;/rec-number&gt;&lt;foreign-keys&gt;&lt;key app="EN" db-id="drzedr0r40wx06ee2zn5f5tvxx9wta0svwzs" timestamp="1526322227"&gt;1445&lt;/key&gt;&lt;key app="ENWeb" db-id=""&gt;0&lt;/key&gt;&lt;/foreign-keys&gt;&lt;ref-type name="Report"&gt;27&lt;/ref-type&gt;&lt;contributors&gt;&lt;authors&gt;&lt;author&gt;Rajesh Subramanian&lt;/author&gt;&lt;/authors&gt;&lt;tertiary-authors&gt;&lt;author&gt;National Center for Statistics and Analysis,&lt;/author&gt;&lt;/tertiary-authors&gt;&lt;/contributors&gt;&lt;titles&gt;&lt;title&gt;Transitioning to multiple imputation - A New method to estimate missing blood alcohol concentration (BAC) in FARS&lt;/title&gt;&lt;/titles&gt;&lt;dates&gt;&lt;year&gt;2002&lt;/year&gt;&lt;/dates&gt;&lt;pub-location&gt;Springfield, VA&lt;/pub-location&gt;&lt;urls&gt;&lt;related-urls&gt;&lt;url&gt;https://crashstats.nhtsa.dot.gov/Api/Public/ViewPublication/809403&lt;/url&gt;&lt;/related-urls&gt;&lt;/urls&gt;&lt;/record&gt;&lt;/Cite&gt;&lt;/EndNote&gt;</w:instrText>
      </w:r>
      <w:r w:rsidRPr="00E82261">
        <w:rPr>
          <w:rFonts w:cs="Arial"/>
          <w:sz w:val="24"/>
          <w:szCs w:val="24"/>
        </w:rPr>
        <w:fldChar w:fldCharType="separate"/>
      </w:r>
      <w:r w:rsidRPr="00E82261">
        <w:rPr>
          <w:rFonts w:cs="Arial"/>
          <w:noProof/>
          <w:sz w:val="24"/>
          <w:szCs w:val="24"/>
        </w:rPr>
        <w:t>(Subramanian, 2002)</w:t>
      </w:r>
      <w:r w:rsidRPr="00E82261">
        <w:rPr>
          <w:rFonts w:cs="Arial"/>
          <w:sz w:val="24"/>
          <w:szCs w:val="24"/>
        </w:rPr>
        <w:fldChar w:fldCharType="end"/>
      </w:r>
      <w:r w:rsidRPr="00E82261">
        <w:rPr>
          <w:rFonts w:cs="Arial"/>
          <w:sz w:val="24"/>
          <w:szCs w:val="24"/>
        </w:rPr>
        <w:t xml:space="preserve">. Imputation was not used in the present study for alcohol because the focus was on marijuana-involved crashes. NHTSA does not presently have a standardized imputation procedure for cannabis-related test results, although such procedures are being developed and tested with promising results (Chen, Williams, Liu, Chihuri, &amp; Li, 2018). To facilitate comparison across substances within this report, only known BAC values were used in this analysis. The estimates in this report for fatalities with alcohol involvement, therefore, may not match the publicly available estimates which incorporate imputed BAC values. </w:t>
      </w:r>
    </w:p>
    <w:p w:rsidR="005D7694" w:rsidRPr="00E82261" w:rsidRDefault="005D7694" w:rsidP="00F950A2">
      <w:pPr>
        <w:pStyle w:val="BodyText"/>
      </w:pPr>
    </w:p>
    <w:p w:rsidR="00CF13EB" w:rsidRPr="00E82261" w:rsidRDefault="00CF13EB" w:rsidP="005F7A46">
      <w:pPr>
        <w:pStyle w:val="Heading2"/>
      </w:pPr>
      <w:bookmarkStart w:id="375" w:name="_Toc11765993"/>
      <w:bookmarkStart w:id="376" w:name="_Toc11766648"/>
      <w:bookmarkStart w:id="377" w:name="_Toc11917231"/>
      <w:bookmarkStart w:id="378" w:name="_Toc11921669"/>
      <w:bookmarkStart w:id="379" w:name="_Toc12520948"/>
      <w:bookmarkStart w:id="380" w:name="_Toc12521174"/>
      <w:bookmarkStart w:id="381" w:name="_Toc12529144"/>
      <w:r w:rsidRPr="00E82261">
        <w:t>Analysis</w:t>
      </w:r>
      <w:bookmarkEnd w:id="375"/>
      <w:bookmarkEnd w:id="376"/>
      <w:bookmarkEnd w:id="377"/>
      <w:bookmarkEnd w:id="378"/>
      <w:bookmarkEnd w:id="379"/>
      <w:bookmarkEnd w:id="380"/>
      <w:bookmarkEnd w:id="381"/>
    </w:p>
    <w:p w:rsidR="005D7694" w:rsidRPr="00E82261" w:rsidRDefault="005D7694" w:rsidP="005D7694">
      <w:pPr>
        <w:pStyle w:val="BodyText"/>
        <w:rPr>
          <w:rFonts w:cs="Arial"/>
          <w:sz w:val="24"/>
          <w:szCs w:val="24"/>
        </w:rPr>
      </w:pPr>
    </w:p>
    <w:p w:rsidR="00CF13EB" w:rsidRPr="00E82261" w:rsidRDefault="00CF13EB" w:rsidP="006057BE">
      <w:pPr>
        <w:pStyle w:val="BodyText"/>
        <w:spacing w:line="240" w:lineRule="auto"/>
        <w:rPr>
          <w:rFonts w:cs="Arial"/>
          <w:sz w:val="24"/>
          <w:szCs w:val="24"/>
        </w:rPr>
      </w:pPr>
      <w:r w:rsidRPr="00E82261">
        <w:rPr>
          <w:rFonts w:cs="Arial"/>
          <w:sz w:val="24"/>
          <w:szCs w:val="24"/>
        </w:rPr>
        <w:t xml:space="preserve">The total number of fatal crashes, number of fatally-injured persons, number of fatal crash-involved drivers, and number of deceased drivers were tabulated. Numbers and percentages of drivers who received a blood test for alcohol or drugs were calculated and graphed, as appropriate. Numbers and proportions of drivers testing positive for any cannabinoid, by driver sex, race/ethnicity, and age, and the extent to which cannabinoids were found in conjunction with alcohol, and with other drugs were calculated. </w:t>
      </w:r>
    </w:p>
    <w:p w:rsidR="00CF13EB" w:rsidRPr="00E82261" w:rsidRDefault="00CF13EB" w:rsidP="006057BE">
      <w:pPr>
        <w:pStyle w:val="BodyText"/>
        <w:spacing w:line="240" w:lineRule="auto"/>
        <w:rPr>
          <w:rFonts w:cs="Arial"/>
          <w:sz w:val="24"/>
          <w:szCs w:val="24"/>
        </w:rPr>
      </w:pPr>
    </w:p>
    <w:p w:rsidR="00CF13EB" w:rsidRDefault="00CF13EB" w:rsidP="00332358">
      <w:pPr>
        <w:pStyle w:val="Heading3"/>
      </w:pPr>
      <w:bookmarkStart w:id="382" w:name="_Toc530566808"/>
      <w:bookmarkStart w:id="383" w:name="_Toc11765994"/>
      <w:bookmarkStart w:id="384" w:name="_Toc11766649"/>
      <w:r w:rsidRPr="00E82261">
        <w:t>Crash Data System (CDS)</w:t>
      </w:r>
      <w:bookmarkEnd w:id="382"/>
      <w:bookmarkEnd w:id="383"/>
      <w:bookmarkEnd w:id="384"/>
    </w:p>
    <w:p w:rsidR="00465399" w:rsidRPr="00465399" w:rsidRDefault="00465399" w:rsidP="00465399">
      <w:pPr>
        <w:pStyle w:val="BodyText"/>
      </w:pPr>
    </w:p>
    <w:p w:rsidR="00CF13EB" w:rsidRPr="00E82261" w:rsidRDefault="00CF13EB" w:rsidP="006057BE">
      <w:pPr>
        <w:pStyle w:val="BodyText"/>
        <w:spacing w:line="240" w:lineRule="auto"/>
        <w:rPr>
          <w:rFonts w:cs="Arial"/>
          <w:sz w:val="24"/>
          <w:szCs w:val="24"/>
        </w:rPr>
      </w:pPr>
      <w:r w:rsidRPr="00E82261">
        <w:rPr>
          <w:rFonts w:cs="Arial"/>
          <w:sz w:val="24"/>
          <w:szCs w:val="24"/>
        </w:rPr>
        <w:t xml:space="preserve">In addition to FARS, the Massachusetts Crash Data System (CDS) was utilized to examine trends in frequency of marijuana-related crashes. Unlike FARS, CDS contains every reported motor vehicle crash, and not just crashes with a fatality. However, CDS is based on the Massachusetts crash report form which is completed by the police officer who responded to the crash. This crash report form does not contain the same level of detail as FARS; it does not contain any fields related to known or suspected drug use. </w:t>
      </w:r>
    </w:p>
    <w:p w:rsidR="00CF13EB" w:rsidRPr="00E82261" w:rsidRDefault="00CF13EB" w:rsidP="006057BE">
      <w:pPr>
        <w:pStyle w:val="BodyText"/>
        <w:spacing w:line="240" w:lineRule="auto"/>
        <w:rPr>
          <w:rFonts w:cs="Arial"/>
          <w:sz w:val="24"/>
          <w:szCs w:val="24"/>
        </w:rPr>
      </w:pPr>
    </w:p>
    <w:p w:rsidR="00CF13EB" w:rsidRPr="00E82261" w:rsidRDefault="00CF13EB" w:rsidP="006057BE">
      <w:pPr>
        <w:pStyle w:val="BodyText"/>
        <w:spacing w:line="240" w:lineRule="auto"/>
        <w:rPr>
          <w:rFonts w:cs="Arial"/>
          <w:sz w:val="24"/>
          <w:szCs w:val="24"/>
        </w:rPr>
      </w:pPr>
      <w:r w:rsidRPr="00E82261">
        <w:rPr>
          <w:rFonts w:cs="Arial"/>
          <w:sz w:val="24"/>
          <w:szCs w:val="24"/>
        </w:rPr>
        <w:t xml:space="preserve">As an alternative to a specific drug use field, the crash narrative was utilized. The crash narrative is a free form field where the responding officer can include any information they felt to be important that couldn’t be captured within the existing crash report fields. A query was written which identified crash reports which had a crash narrative containing the keywords “marijuana”, “weed”, and “cannabis”. The keywords “high” and “pot” were originally queried as well but these resulted in a high rate of false positives so they were excluded from the final query. </w:t>
      </w:r>
    </w:p>
    <w:p w:rsidR="00CF13EB" w:rsidRPr="00E82261" w:rsidRDefault="00CF13EB" w:rsidP="006057BE">
      <w:pPr>
        <w:pStyle w:val="BodyText"/>
        <w:spacing w:line="240" w:lineRule="auto"/>
        <w:rPr>
          <w:rFonts w:cs="Arial"/>
          <w:sz w:val="24"/>
          <w:szCs w:val="24"/>
        </w:rPr>
      </w:pPr>
    </w:p>
    <w:p w:rsidR="00CF13EB" w:rsidRPr="00E82261" w:rsidRDefault="00CF13EB" w:rsidP="006057BE">
      <w:pPr>
        <w:pStyle w:val="BodyText"/>
        <w:spacing w:line="240" w:lineRule="auto"/>
        <w:rPr>
          <w:rFonts w:cs="Arial"/>
          <w:sz w:val="24"/>
          <w:szCs w:val="24"/>
        </w:rPr>
      </w:pPr>
      <w:r w:rsidRPr="00E82261">
        <w:rPr>
          <w:rFonts w:cs="Arial"/>
          <w:sz w:val="24"/>
          <w:szCs w:val="24"/>
        </w:rPr>
        <w:t>While it is not possible to determine how many non-fatal crashes occurred which involved marijuana, the aforementioned method provides insight into the number of crashes in which the responding officer suspected marijuana involvement.</w:t>
      </w:r>
      <w:bookmarkStart w:id="385" w:name="_Toc530566809"/>
    </w:p>
    <w:p w:rsidR="00CF13EB" w:rsidRPr="00E82261" w:rsidRDefault="00CF13EB" w:rsidP="006057BE">
      <w:pPr>
        <w:pStyle w:val="BodyText"/>
        <w:spacing w:line="240" w:lineRule="auto"/>
        <w:rPr>
          <w:rFonts w:cs="Arial"/>
          <w:sz w:val="24"/>
          <w:szCs w:val="24"/>
        </w:rPr>
      </w:pPr>
    </w:p>
    <w:p w:rsidR="00CF13EB" w:rsidRPr="00E82261" w:rsidRDefault="00CF13EB" w:rsidP="005F7A46">
      <w:pPr>
        <w:pStyle w:val="Heading2"/>
      </w:pPr>
      <w:bookmarkStart w:id="386" w:name="_Toc11765995"/>
      <w:bookmarkStart w:id="387" w:name="_Toc11766650"/>
      <w:bookmarkStart w:id="388" w:name="_Toc11917232"/>
      <w:bookmarkStart w:id="389" w:name="_Toc11921670"/>
      <w:bookmarkStart w:id="390" w:name="_Toc12520949"/>
      <w:bookmarkStart w:id="391" w:name="_Toc12521175"/>
      <w:bookmarkStart w:id="392" w:name="_Toc12529145"/>
      <w:r w:rsidRPr="00E82261">
        <w:t>Results</w:t>
      </w:r>
      <w:bookmarkEnd w:id="385"/>
      <w:bookmarkEnd w:id="386"/>
      <w:bookmarkEnd w:id="387"/>
      <w:bookmarkEnd w:id="388"/>
      <w:bookmarkEnd w:id="389"/>
      <w:bookmarkEnd w:id="390"/>
      <w:bookmarkEnd w:id="391"/>
      <w:bookmarkEnd w:id="392"/>
    </w:p>
    <w:p w:rsidR="00EA0518" w:rsidRPr="00E82261" w:rsidRDefault="00EA0518" w:rsidP="006057BE">
      <w:pPr>
        <w:pStyle w:val="BodyText"/>
        <w:spacing w:line="240" w:lineRule="auto"/>
        <w:rPr>
          <w:rFonts w:cs="Arial"/>
          <w:b/>
          <w:sz w:val="24"/>
          <w:szCs w:val="24"/>
        </w:rPr>
      </w:pPr>
    </w:p>
    <w:p w:rsidR="00CF13EB" w:rsidRPr="00E82261" w:rsidRDefault="00CF13EB" w:rsidP="00332358">
      <w:pPr>
        <w:pStyle w:val="Heading3"/>
      </w:pPr>
      <w:bookmarkStart w:id="393" w:name="_Toc530566810"/>
      <w:bookmarkStart w:id="394" w:name="_Toc11765996"/>
      <w:bookmarkStart w:id="395" w:name="_Toc11766651"/>
      <w:r w:rsidRPr="00E82261">
        <w:t>Population survey of Massachusetts adults</w:t>
      </w:r>
      <w:bookmarkEnd w:id="393"/>
      <w:bookmarkEnd w:id="394"/>
      <w:bookmarkEnd w:id="395"/>
      <w:r w:rsidRPr="00E82261">
        <w:t xml:space="preserve"> </w:t>
      </w:r>
    </w:p>
    <w:p w:rsidR="00EA0518" w:rsidRPr="00E82261" w:rsidRDefault="00EA0518" w:rsidP="00EA0518">
      <w:pPr>
        <w:pStyle w:val="BodyText"/>
        <w:rPr>
          <w:rFonts w:cs="Arial"/>
          <w:sz w:val="24"/>
          <w:szCs w:val="24"/>
        </w:rPr>
      </w:pPr>
    </w:p>
    <w:p w:rsidR="00CF13EB" w:rsidRPr="00E82261" w:rsidRDefault="00CF13EB" w:rsidP="00F950A2">
      <w:pPr>
        <w:pStyle w:val="Heading4"/>
      </w:pPr>
      <w:r w:rsidRPr="00E82261">
        <w:t>Sample Characteristics</w:t>
      </w:r>
    </w:p>
    <w:p w:rsidR="00EA0518" w:rsidRPr="00E82261" w:rsidRDefault="00EA0518" w:rsidP="006057BE">
      <w:pPr>
        <w:spacing w:after="0" w:line="240" w:lineRule="auto"/>
        <w:rPr>
          <w:rFonts w:ascii="Arial" w:hAnsi="Arial" w:cs="Arial"/>
          <w:i/>
          <w:sz w:val="24"/>
          <w:szCs w:val="24"/>
        </w:rPr>
      </w:pPr>
    </w:p>
    <w:p w:rsidR="00CF13EB" w:rsidRPr="00E82261" w:rsidRDefault="00CF13EB" w:rsidP="006057BE">
      <w:pPr>
        <w:pStyle w:val="BodyText"/>
        <w:spacing w:line="240" w:lineRule="auto"/>
        <w:rPr>
          <w:rFonts w:cs="Arial"/>
          <w:sz w:val="24"/>
          <w:szCs w:val="24"/>
        </w:rPr>
      </w:pPr>
      <w:r w:rsidRPr="00E82261">
        <w:rPr>
          <w:rFonts w:cs="Arial"/>
          <w:sz w:val="24"/>
          <w:szCs w:val="24"/>
        </w:rPr>
        <w:t xml:space="preserve">The demographic patterns of survey respondents by reported marijuana use in the past 30 days are provided in Table 1. In reporting survey results, all estimates are weighted and all percentages represent population estimates. </w:t>
      </w:r>
      <w:bookmarkStart w:id="396" w:name="_Toc510280124"/>
    </w:p>
    <w:p w:rsidR="00CF13EB" w:rsidRDefault="00CF13EB" w:rsidP="00886119">
      <w:pPr>
        <w:pStyle w:val="BodyText"/>
        <w:spacing w:line="240" w:lineRule="auto"/>
      </w:pPr>
    </w:p>
    <w:p w:rsidR="00062261" w:rsidRDefault="00062261">
      <w:pPr>
        <w:rPr>
          <w:rFonts w:ascii="Arial" w:eastAsiaTheme="majorEastAsia" w:hAnsi="Arial" w:cs="Arial"/>
          <w:b/>
          <w:sz w:val="24"/>
          <w:szCs w:val="24"/>
        </w:rPr>
      </w:pPr>
      <w:r>
        <w:br w:type="page"/>
      </w:r>
    </w:p>
    <w:p w:rsidR="00CF13EB" w:rsidRPr="0090612A" w:rsidRDefault="00CF13EB" w:rsidP="0090612A">
      <w:pPr>
        <w:spacing w:after="0"/>
        <w:rPr>
          <w:rFonts w:ascii="Arial" w:hAnsi="Arial" w:cs="Arial"/>
          <w:b/>
          <w:sz w:val="24"/>
        </w:rPr>
      </w:pPr>
      <w:bookmarkStart w:id="397" w:name="_Toc11765997"/>
      <w:bookmarkStart w:id="398" w:name="_Toc11766652"/>
      <w:bookmarkStart w:id="399" w:name="_Toc11917233"/>
      <w:bookmarkStart w:id="400" w:name="_Toc11921671"/>
      <w:r w:rsidRPr="0090612A">
        <w:rPr>
          <w:rFonts w:ascii="Arial" w:hAnsi="Arial" w:cs="Arial"/>
          <w:b/>
          <w:sz w:val="24"/>
        </w:rPr>
        <w:t>Table 1. Select sample demographics. Reproduced</w:t>
      </w:r>
      <w:r w:rsidR="00A3309E" w:rsidRPr="0090612A">
        <w:rPr>
          <w:rFonts w:ascii="Arial" w:hAnsi="Arial" w:cs="Arial"/>
          <w:b/>
          <w:sz w:val="24"/>
        </w:rPr>
        <w:t xml:space="preserve"> from Task 1, Chapter 2, Table 1</w:t>
      </w:r>
      <w:bookmarkEnd w:id="397"/>
      <w:bookmarkEnd w:id="398"/>
      <w:bookmarkEnd w:id="399"/>
      <w:bookmarkEnd w:id="400"/>
    </w:p>
    <w:tbl>
      <w:tblPr>
        <w:tblpPr w:leftFromText="180" w:rightFromText="180" w:vertAnchor="text" w:horzAnchor="margin" w:tblpY="350"/>
        <w:tblW w:w="9404" w:type="dxa"/>
        <w:tblLook w:val="04A0" w:firstRow="1" w:lastRow="0" w:firstColumn="1" w:lastColumn="0" w:noHBand="0" w:noVBand="1"/>
        <w:tblCaption w:val="Select sample demographics. Reproduced from Task 1, Chapter 2, Table 1"/>
      </w:tblPr>
      <w:tblGrid>
        <w:gridCol w:w="272"/>
        <w:gridCol w:w="1976"/>
        <w:gridCol w:w="1116"/>
        <w:gridCol w:w="606"/>
        <w:gridCol w:w="606"/>
        <w:gridCol w:w="22"/>
        <w:gridCol w:w="1094"/>
        <w:gridCol w:w="696"/>
        <w:gridCol w:w="664"/>
        <w:gridCol w:w="1116"/>
        <w:gridCol w:w="630"/>
        <w:gridCol w:w="606"/>
      </w:tblGrid>
      <w:tr w:rsidR="00CF13EB" w:rsidRPr="00B3588A" w:rsidTr="00505004">
        <w:trPr>
          <w:trHeight w:val="510"/>
        </w:trPr>
        <w:tc>
          <w:tcPr>
            <w:tcW w:w="2248"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13EB" w:rsidRPr="00B3588A" w:rsidRDefault="00CF13EB" w:rsidP="00A3309E">
            <w:pPr>
              <w:spacing w:after="0" w:line="240" w:lineRule="auto"/>
              <w:jc w:val="center"/>
              <w:rPr>
                <w:rFonts w:ascii="Arial" w:eastAsia="Times New Roman" w:hAnsi="Arial" w:cs="Arial"/>
                <w:b/>
                <w:bCs/>
                <w:sz w:val="20"/>
                <w:szCs w:val="20"/>
              </w:rPr>
            </w:pPr>
            <w:r w:rsidRPr="00B3588A">
              <w:rPr>
                <w:rFonts w:ascii="Arial" w:eastAsia="Times New Roman" w:hAnsi="Arial" w:cs="Arial"/>
                <w:b/>
                <w:bCs/>
                <w:sz w:val="20"/>
                <w:szCs w:val="20"/>
              </w:rPr>
              <w:t> </w:t>
            </w:r>
          </w:p>
          <w:p w:rsidR="00CF13EB" w:rsidRPr="00B3588A" w:rsidRDefault="00CF13EB" w:rsidP="00A3309E">
            <w:pPr>
              <w:spacing w:after="0" w:line="240" w:lineRule="auto"/>
              <w:jc w:val="center"/>
              <w:rPr>
                <w:rFonts w:ascii="Arial" w:eastAsia="Times New Roman" w:hAnsi="Arial" w:cs="Arial"/>
                <w:b/>
                <w:bCs/>
                <w:sz w:val="20"/>
                <w:szCs w:val="20"/>
              </w:rPr>
            </w:pPr>
          </w:p>
          <w:p w:rsidR="00CF13EB" w:rsidRPr="00B3588A" w:rsidRDefault="00CF13EB" w:rsidP="00A3309E">
            <w:pPr>
              <w:spacing w:after="0" w:line="240" w:lineRule="auto"/>
              <w:jc w:val="center"/>
              <w:rPr>
                <w:rFonts w:ascii="Arial" w:eastAsia="Times New Roman" w:hAnsi="Arial" w:cs="Arial"/>
                <w:b/>
                <w:bCs/>
                <w:sz w:val="20"/>
                <w:szCs w:val="20"/>
              </w:rPr>
            </w:pPr>
          </w:p>
          <w:p w:rsidR="00CF13EB" w:rsidRPr="00B3588A" w:rsidRDefault="00CF13EB" w:rsidP="00A3309E">
            <w:pPr>
              <w:spacing w:after="0" w:line="240" w:lineRule="auto"/>
              <w:jc w:val="center"/>
              <w:rPr>
                <w:rFonts w:ascii="Arial" w:eastAsia="Times New Roman" w:hAnsi="Arial" w:cs="Arial"/>
                <w:b/>
                <w:bCs/>
                <w:sz w:val="20"/>
                <w:szCs w:val="20"/>
              </w:rPr>
            </w:pPr>
          </w:p>
          <w:p w:rsidR="00CF13EB" w:rsidRPr="00B3588A" w:rsidRDefault="00CF13EB" w:rsidP="00A3309E">
            <w:pPr>
              <w:spacing w:after="0" w:line="240" w:lineRule="auto"/>
              <w:rPr>
                <w:rFonts w:ascii="Arial" w:eastAsia="Times New Roman" w:hAnsi="Arial" w:cs="Arial"/>
                <w:b/>
                <w:bCs/>
                <w:sz w:val="20"/>
                <w:szCs w:val="20"/>
              </w:rPr>
            </w:pPr>
          </w:p>
        </w:tc>
        <w:tc>
          <w:tcPr>
            <w:tcW w:w="2350" w:type="dxa"/>
            <w:gridSpan w:val="4"/>
            <w:tcBorders>
              <w:top w:val="single" w:sz="4" w:space="0" w:color="auto"/>
              <w:left w:val="single" w:sz="4" w:space="0" w:color="auto"/>
              <w:bottom w:val="single" w:sz="4" w:space="0" w:color="B0B7BB"/>
              <w:right w:val="single" w:sz="4" w:space="0" w:color="auto"/>
            </w:tcBorders>
            <w:shd w:val="clear" w:color="auto" w:fill="auto"/>
            <w:hideMark/>
          </w:tcPr>
          <w:p w:rsidR="00CF13EB" w:rsidRPr="00B3588A" w:rsidRDefault="00CF13EB" w:rsidP="00A3309E">
            <w:pPr>
              <w:spacing w:after="0" w:line="240" w:lineRule="auto"/>
              <w:jc w:val="center"/>
              <w:rPr>
                <w:rFonts w:ascii="Arial" w:eastAsia="Times New Roman" w:hAnsi="Arial" w:cs="Arial"/>
                <w:b/>
                <w:bCs/>
                <w:sz w:val="20"/>
                <w:szCs w:val="20"/>
              </w:rPr>
            </w:pPr>
            <w:r w:rsidRPr="00B3588A">
              <w:rPr>
                <w:rFonts w:ascii="Arial" w:eastAsia="Times New Roman" w:hAnsi="Arial" w:cs="Arial"/>
                <w:b/>
                <w:bCs/>
                <w:sz w:val="20"/>
                <w:szCs w:val="20"/>
              </w:rPr>
              <w:t>Used marijuana in past 30 days</w:t>
            </w:r>
          </w:p>
        </w:tc>
        <w:tc>
          <w:tcPr>
            <w:tcW w:w="2454" w:type="dxa"/>
            <w:gridSpan w:val="3"/>
            <w:tcBorders>
              <w:top w:val="single" w:sz="4" w:space="0" w:color="auto"/>
              <w:left w:val="single" w:sz="4" w:space="0" w:color="auto"/>
              <w:bottom w:val="single" w:sz="4" w:space="0" w:color="B0B7BB"/>
              <w:right w:val="single" w:sz="4" w:space="0" w:color="auto"/>
            </w:tcBorders>
            <w:shd w:val="clear" w:color="auto" w:fill="auto"/>
            <w:hideMark/>
          </w:tcPr>
          <w:p w:rsidR="00CF13EB" w:rsidRPr="00B3588A" w:rsidRDefault="00CF13EB" w:rsidP="00A3309E">
            <w:pPr>
              <w:spacing w:after="0" w:line="240" w:lineRule="auto"/>
              <w:jc w:val="center"/>
              <w:rPr>
                <w:rFonts w:ascii="Arial" w:eastAsia="Times New Roman" w:hAnsi="Arial" w:cs="Arial"/>
                <w:b/>
                <w:bCs/>
                <w:sz w:val="20"/>
                <w:szCs w:val="20"/>
              </w:rPr>
            </w:pPr>
            <w:r w:rsidRPr="00B3588A">
              <w:rPr>
                <w:rFonts w:ascii="Arial" w:eastAsia="Times New Roman" w:hAnsi="Arial" w:cs="Arial"/>
                <w:b/>
                <w:bCs/>
                <w:sz w:val="20"/>
                <w:szCs w:val="20"/>
              </w:rPr>
              <w:t>Did not use marijuana in past 30 days</w:t>
            </w:r>
          </w:p>
        </w:tc>
        <w:tc>
          <w:tcPr>
            <w:tcW w:w="2352" w:type="dxa"/>
            <w:gridSpan w:val="3"/>
            <w:vMerge w:val="restart"/>
            <w:tcBorders>
              <w:top w:val="single" w:sz="4" w:space="0" w:color="auto"/>
              <w:left w:val="single" w:sz="4" w:space="0" w:color="auto"/>
              <w:bottom w:val="single" w:sz="4" w:space="0" w:color="auto"/>
              <w:right w:val="single" w:sz="4" w:space="0" w:color="000000"/>
            </w:tcBorders>
            <w:shd w:val="clear" w:color="auto" w:fill="auto"/>
            <w:noWrap/>
            <w:hideMark/>
          </w:tcPr>
          <w:p w:rsidR="00CF13EB" w:rsidRPr="00B3588A" w:rsidRDefault="00CF13EB" w:rsidP="00A3309E">
            <w:pPr>
              <w:spacing w:after="0" w:line="240" w:lineRule="auto"/>
              <w:jc w:val="center"/>
              <w:rPr>
                <w:rFonts w:ascii="Arial" w:eastAsia="Times New Roman" w:hAnsi="Arial" w:cs="Arial"/>
                <w:b/>
                <w:bCs/>
                <w:sz w:val="20"/>
                <w:szCs w:val="20"/>
              </w:rPr>
            </w:pPr>
            <w:r w:rsidRPr="00B3588A">
              <w:rPr>
                <w:rFonts w:ascii="Arial" w:eastAsia="Times New Roman" w:hAnsi="Arial" w:cs="Arial"/>
                <w:b/>
                <w:bCs/>
                <w:sz w:val="20"/>
                <w:szCs w:val="20"/>
              </w:rPr>
              <w:t>Total</w:t>
            </w:r>
          </w:p>
        </w:tc>
      </w:tr>
      <w:tr w:rsidR="00CF13EB" w:rsidRPr="00B3588A" w:rsidTr="00505004">
        <w:trPr>
          <w:trHeight w:val="227"/>
        </w:trPr>
        <w:tc>
          <w:tcPr>
            <w:tcW w:w="2248" w:type="dxa"/>
            <w:gridSpan w:val="2"/>
            <w:vMerge/>
            <w:tcBorders>
              <w:top w:val="single" w:sz="4" w:space="0" w:color="auto"/>
              <w:left w:val="single" w:sz="4" w:space="0" w:color="auto"/>
              <w:bottom w:val="single" w:sz="4" w:space="0" w:color="000000"/>
              <w:right w:val="single" w:sz="4" w:space="0" w:color="auto"/>
            </w:tcBorders>
            <w:vAlign w:val="center"/>
            <w:hideMark/>
          </w:tcPr>
          <w:p w:rsidR="00CF13EB" w:rsidRPr="00B3588A" w:rsidRDefault="00CF13EB" w:rsidP="00A3309E">
            <w:pPr>
              <w:spacing w:after="0" w:line="240" w:lineRule="auto"/>
              <w:rPr>
                <w:rFonts w:ascii="Arial" w:eastAsia="Times New Roman" w:hAnsi="Arial" w:cs="Arial"/>
                <w:b/>
                <w:bCs/>
                <w:sz w:val="20"/>
                <w:szCs w:val="20"/>
              </w:rPr>
            </w:pPr>
          </w:p>
        </w:tc>
        <w:tc>
          <w:tcPr>
            <w:tcW w:w="2350" w:type="dxa"/>
            <w:gridSpan w:val="4"/>
            <w:tcBorders>
              <w:top w:val="single" w:sz="4" w:space="0" w:color="B0B7BB"/>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A3309E">
            <w:pPr>
              <w:spacing w:after="0" w:line="240" w:lineRule="auto"/>
              <w:jc w:val="center"/>
              <w:rPr>
                <w:rFonts w:ascii="Arial" w:eastAsia="Times New Roman" w:hAnsi="Arial" w:cs="Arial"/>
                <w:b/>
                <w:bCs/>
                <w:sz w:val="20"/>
                <w:szCs w:val="20"/>
              </w:rPr>
            </w:pPr>
            <w:r w:rsidRPr="00B3588A">
              <w:rPr>
                <w:rFonts w:ascii="Arial" w:eastAsia="Times New Roman" w:hAnsi="Arial" w:cs="Arial"/>
                <w:b/>
                <w:bCs/>
                <w:sz w:val="20"/>
                <w:szCs w:val="20"/>
              </w:rPr>
              <w:t>n=439 (21.1%)</w:t>
            </w:r>
          </w:p>
        </w:tc>
        <w:tc>
          <w:tcPr>
            <w:tcW w:w="2454" w:type="dxa"/>
            <w:gridSpan w:val="3"/>
            <w:tcBorders>
              <w:top w:val="single" w:sz="4" w:space="0" w:color="B0B7BB"/>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A3309E">
            <w:pPr>
              <w:spacing w:after="0" w:line="240" w:lineRule="auto"/>
              <w:jc w:val="center"/>
              <w:rPr>
                <w:rFonts w:ascii="Arial" w:eastAsia="Times New Roman" w:hAnsi="Arial" w:cs="Arial"/>
                <w:b/>
                <w:bCs/>
                <w:sz w:val="20"/>
                <w:szCs w:val="20"/>
              </w:rPr>
            </w:pPr>
            <w:r w:rsidRPr="00B3588A">
              <w:rPr>
                <w:rFonts w:ascii="Arial" w:eastAsia="Times New Roman" w:hAnsi="Arial" w:cs="Arial"/>
                <w:b/>
                <w:bCs/>
                <w:sz w:val="20"/>
                <w:szCs w:val="20"/>
              </w:rPr>
              <w:t>n=2583 (76.4%)</w:t>
            </w:r>
          </w:p>
        </w:tc>
        <w:tc>
          <w:tcPr>
            <w:tcW w:w="2352" w:type="dxa"/>
            <w:gridSpan w:val="3"/>
            <w:vMerge/>
            <w:tcBorders>
              <w:top w:val="single" w:sz="4" w:space="0" w:color="auto"/>
              <w:left w:val="single" w:sz="4" w:space="0" w:color="auto"/>
              <w:bottom w:val="single" w:sz="4" w:space="0" w:color="auto"/>
              <w:right w:val="single" w:sz="4" w:space="0" w:color="000000"/>
            </w:tcBorders>
            <w:vAlign w:val="center"/>
            <w:hideMark/>
          </w:tcPr>
          <w:p w:rsidR="00CF13EB" w:rsidRPr="00B3588A" w:rsidRDefault="00CF13EB" w:rsidP="00A3309E">
            <w:pPr>
              <w:spacing w:after="0" w:line="240" w:lineRule="auto"/>
              <w:rPr>
                <w:rFonts w:ascii="Arial" w:eastAsia="Times New Roman" w:hAnsi="Arial" w:cs="Arial"/>
                <w:b/>
                <w:bCs/>
                <w:sz w:val="20"/>
                <w:szCs w:val="20"/>
              </w:rPr>
            </w:pPr>
          </w:p>
        </w:tc>
      </w:tr>
      <w:tr w:rsidR="00CF13EB" w:rsidRPr="00B3588A" w:rsidTr="00505004">
        <w:trPr>
          <w:trHeight w:val="454"/>
        </w:trPr>
        <w:tc>
          <w:tcPr>
            <w:tcW w:w="2248" w:type="dxa"/>
            <w:gridSpan w:val="2"/>
            <w:vMerge/>
            <w:tcBorders>
              <w:top w:val="single" w:sz="4" w:space="0" w:color="auto"/>
              <w:left w:val="single" w:sz="4" w:space="0" w:color="auto"/>
              <w:bottom w:val="single" w:sz="4" w:space="0" w:color="auto"/>
              <w:right w:val="single" w:sz="4" w:space="0" w:color="auto"/>
            </w:tcBorders>
            <w:vAlign w:val="center"/>
            <w:hideMark/>
          </w:tcPr>
          <w:p w:rsidR="00CF13EB" w:rsidRPr="00B3588A" w:rsidRDefault="00CF13EB" w:rsidP="00A3309E">
            <w:pPr>
              <w:spacing w:after="0" w:line="240" w:lineRule="auto"/>
              <w:rPr>
                <w:rFonts w:ascii="Arial" w:eastAsia="Times New Roman" w:hAnsi="Arial" w:cs="Arial"/>
                <w:b/>
                <w:bCs/>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CF13EB" w:rsidRPr="00B3588A" w:rsidRDefault="00CF13EB" w:rsidP="00A3309E">
            <w:pPr>
              <w:spacing w:after="0" w:line="240" w:lineRule="auto"/>
              <w:jc w:val="center"/>
              <w:rPr>
                <w:rFonts w:ascii="Arial" w:eastAsia="Times New Roman" w:hAnsi="Arial" w:cs="Arial"/>
                <w:b/>
                <w:bCs/>
                <w:sz w:val="20"/>
                <w:szCs w:val="20"/>
              </w:rPr>
            </w:pPr>
            <w:r w:rsidRPr="00B3588A">
              <w:rPr>
                <w:rFonts w:ascii="Arial" w:eastAsia="Times New Roman" w:hAnsi="Arial" w:cs="Arial"/>
                <w:b/>
                <w:bCs/>
                <w:sz w:val="20"/>
                <w:szCs w:val="20"/>
              </w:rPr>
              <w:t>Weighted %</w:t>
            </w:r>
          </w:p>
        </w:tc>
        <w:tc>
          <w:tcPr>
            <w:tcW w:w="1212" w:type="dxa"/>
            <w:gridSpan w:val="2"/>
            <w:tcBorders>
              <w:top w:val="single" w:sz="4" w:space="0" w:color="auto"/>
              <w:left w:val="single" w:sz="4" w:space="0" w:color="auto"/>
              <w:bottom w:val="single" w:sz="4" w:space="0" w:color="auto"/>
              <w:right w:val="single" w:sz="4" w:space="0" w:color="auto"/>
            </w:tcBorders>
            <w:shd w:val="clear" w:color="auto" w:fill="auto"/>
            <w:hideMark/>
          </w:tcPr>
          <w:p w:rsidR="00CF13EB" w:rsidRPr="00B3588A" w:rsidRDefault="00CF13EB" w:rsidP="00A3309E">
            <w:pPr>
              <w:spacing w:after="0" w:line="240" w:lineRule="auto"/>
              <w:jc w:val="center"/>
              <w:rPr>
                <w:rFonts w:ascii="Arial" w:eastAsia="Times New Roman" w:hAnsi="Arial" w:cs="Arial"/>
                <w:b/>
                <w:bCs/>
                <w:sz w:val="20"/>
                <w:szCs w:val="20"/>
              </w:rPr>
            </w:pPr>
            <w:r w:rsidRPr="00B3588A">
              <w:rPr>
                <w:rFonts w:ascii="Arial" w:eastAsia="Times New Roman" w:hAnsi="Arial" w:cs="Arial"/>
                <w:b/>
                <w:bCs/>
                <w:sz w:val="20"/>
                <w:szCs w:val="20"/>
              </w:rPr>
              <w:t>95% CI</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hideMark/>
          </w:tcPr>
          <w:p w:rsidR="00CF13EB" w:rsidRPr="00B3588A" w:rsidRDefault="00CF13EB" w:rsidP="00A3309E">
            <w:pPr>
              <w:spacing w:after="0" w:line="240" w:lineRule="auto"/>
              <w:jc w:val="center"/>
              <w:rPr>
                <w:rFonts w:ascii="Arial" w:eastAsia="Times New Roman" w:hAnsi="Arial" w:cs="Arial"/>
                <w:b/>
                <w:bCs/>
                <w:sz w:val="20"/>
                <w:szCs w:val="20"/>
              </w:rPr>
            </w:pPr>
            <w:r w:rsidRPr="00B3588A">
              <w:rPr>
                <w:rFonts w:ascii="Arial" w:eastAsia="Times New Roman" w:hAnsi="Arial" w:cs="Arial"/>
                <w:b/>
                <w:bCs/>
                <w:sz w:val="20"/>
                <w:szCs w:val="20"/>
              </w:rPr>
              <w:t>Weighted %</w:t>
            </w:r>
          </w:p>
        </w:tc>
        <w:tc>
          <w:tcPr>
            <w:tcW w:w="1360" w:type="dxa"/>
            <w:gridSpan w:val="2"/>
            <w:tcBorders>
              <w:top w:val="single" w:sz="4" w:space="0" w:color="auto"/>
              <w:left w:val="single" w:sz="4" w:space="0" w:color="auto"/>
              <w:bottom w:val="single" w:sz="4" w:space="0" w:color="auto"/>
              <w:right w:val="single" w:sz="4" w:space="0" w:color="auto"/>
            </w:tcBorders>
            <w:shd w:val="clear" w:color="auto" w:fill="auto"/>
            <w:hideMark/>
          </w:tcPr>
          <w:p w:rsidR="00CF13EB" w:rsidRPr="00B3588A" w:rsidRDefault="00CF13EB" w:rsidP="00A3309E">
            <w:pPr>
              <w:spacing w:after="0" w:line="240" w:lineRule="auto"/>
              <w:jc w:val="center"/>
              <w:rPr>
                <w:rFonts w:ascii="Arial" w:eastAsia="Times New Roman" w:hAnsi="Arial" w:cs="Arial"/>
                <w:b/>
                <w:bCs/>
                <w:sz w:val="20"/>
                <w:szCs w:val="20"/>
              </w:rPr>
            </w:pPr>
            <w:r w:rsidRPr="00B3588A">
              <w:rPr>
                <w:rFonts w:ascii="Arial" w:eastAsia="Times New Roman" w:hAnsi="Arial" w:cs="Arial"/>
                <w:b/>
                <w:bCs/>
                <w:sz w:val="20"/>
                <w:szCs w:val="20"/>
              </w:rPr>
              <w:t>95% CI</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CF13EB" w:rsidRPr="00B3588A" w:rsidRDefault="00CF13EB" w:rsidP="00A3309E">
            <w:pPr>
              <w:spacing w:after="0" w:line="240" w:lineRule="auto"/>
              <w:jc w:val="center"/>
              <w:rPr>
                <w:rFonts w:ascii="Arial" w:eastAsia="Times New Roman" w:hAnsi="Arial" w:cs="Arial"/>
                <w:b/>
                <w:bCs/>
                <w:sz w:val="20"/>
                <w:szCs w:val="20"/>
              </w:rPr>
            </w:pPr>
            <w:r w:rsidRPr="00B3588A">
              <w:rPr>
                <w:rFonts w:ascii="Arial" w:eastAsia="Times New Roman" w:hAnsi="Arial" w:cs="Arial"/>
                <w:b/>
                <w:bCs/>
                <w:sz w:val="20"/>
                <w:szCs w:val="20"/>
              </w:rPr>
              <w:t>Weighted %</w:t>
            </w:r>
          </w:p>
        </w:tc>
        <w:tc>
          <w:tcPr>
            <w:tcW w:w="1236"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F13EB" w:rsidRPr="00B3588A" w:rsidRDefault="00CF13EB" w:rsidP="00A3309E">
            <w:pPr>
              <w:spacing w:after="0" w:line="240" w:lineRule="auto"/>
              <w:jc w:val="center"/>
              <w:rPr>
                <w:rFonts w:ascii="Arial" w:eastAsia="Times New Roman" w:hAnsi="Arial" w:cs="Arial"/>
                <w:b/>
                <w:bCs/>
                <w:sz w:val="20"/>
                <w:szCs w:val="20"/>
              </w:rPr>
            </w:pPr>
            <w:r w:rsidRPr="00B3588A">
              <w:rPr>
                <w:rFonts w:ascii="Arial" w:eastAsia="Times New Roman" w:hAnsi="Arial" w:cs="Arial"/>
                <w:b/>
                <w:bCs/>
                <w:sz w:val="20"/>
                <w:szCs w:val="20"/>
              </w:rPr>
              <w:t>95% CI</w:t>
            </w:r>
          </w:p>
        </w:tc>
      </w:tr>
      <w:tr w:rsidR="00505004" w:rsidRPr="00B3588A" w:rsidTr="00505004">
        <w:trPr>
          <w:trHeight w:val="227"/>
        </w:trPr>
        <w:tc>
          <w:tcPr>
            <w:tcW w:w="9404" w:type="dxa"/>
            <w:gridSpan w:val="12"/>
            <w:tcBorders>
              <w:top w:val="single" w:sz="4" w:space="0" w:color="auto"/>
              <w:left w:val="single" w:sz="4" w:space="0" w:color="auto"/>
              <w:bottom w:val="single" w:sz="4" w:space="0" w:color="auto"/>
              <w:right w:val="single" w:sz="4" w:space="0" w:color="auto"/>
            </w:tcBorders>
            <w:shd w:val="clear" w:color="auto" w:fill="auto"/>
            <w:noWrap/>
          </w:tcPr>
          <w:p w:rsidR="00505004" w:rsidRPr="00B3588A" w:rsidRDefault="00505004" w:rsidP="00505004">
            <w:pPr>
              <w:spacing w:after="0" w:line="240" w:lineRule="auto"/>
              <w:rPr>
                <w:rFonts w:ascii="Arial" w:eastAsia="Times New Roman" w:hAnsi="Arial" w:cs="Arial"/>
                <w:sz w:val="20"/>
                <w:szCs w:val="20"/>
              </w:rPr>
            </w:pPr>
            <w:r>
              <w:rPr>
                <w:rFonts w:ascii="Arial" w:eastAsia="Times New Roman" w:hAnsi="Arial" w:cs="Arial"/>
                <w:b/>
                <w:bCs/>
                <w:sz w:val="20"/>
                <w:szCs w:val="20"/>
              </w:rPr>
              <w:t>Gender</w:t>
            </w:r>
          </w:p>
        </w:tc>
      </w:tr>
      <w:tr w:rsidR="00CF13EB" w:rsidRPr="00B3588A" w:rsidTr="00505004">
        <w:trPr>
          <w:trHeight w:val="227"/>
        </w:trPr>
        <w:tc>
          <w:tcPr>
            <w:tcW w:w="224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F13EB" w:rsidRPr="00B3588A" w:rsidRDefault="001C30C1" w:rsidP="00A3309E">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    </w:t>
            </w:r>
            <w:r w:rsidR="00CF13EB" w:rsidRPr="00B3588A">
              <w:rPr>
                <w:rFonts w:ascii="Arial" w:eastAsia="Times New Roman" w:hAnsi="Arial" w:cs="Arial"/>
                <w:b/>
                <w:bCs/>
                <w:sz w:val="20"/>
                <w:szCs w:val="20"/>
              </w:rPr>
              <w:t>Female</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42.3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35.6</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48.9</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55.5</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52.7</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58.4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52.7</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50.0</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55.4</w:t>
            </w:r>
          </w:p>
        </w:tc>
      </w:tr>
      <w:tr w:rsidR="00CF13EB" w:rsidRPr="00B3588A" w:rsidTr="00505004">
        <w:trPr>
          <w:trHeight w:val="227"/>
        </w:trPr>
        <w:tc>
          <w:tcPr>
            <w:tcW w:w="224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F13EB" w:rsidRPr="00B3588A" w:rsidRDefault="001C30C1" w:rsidP="00A3309E">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    </w:t>
            </w:r>
            <w:r w:rsidR="00CF13EB" w:rsidRPr="00B3588A">
              <w:rPr>
                <w:rFonts w:ascii="Arial" w:eastAsia="Times New Roman" w:hAnsi="Arial" w:cs="Arial"/>
                <w:b/>
                <w:bCs/>
                <w:sz w:val="20"/>
                <w:szCs w:val="20"/>
              </w:rPr>
              <w:t>Male</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57.7</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51.1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64.4</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44.5</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41.6</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47.3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47.3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44.6</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50.0</w:t>
            </w:r>
          </w:p>
        </w:tc>
      </w:tr>
      <w:tr w:rsidR="00CF13EB" w:rsidRPr="00B3588A" w:rsidTr="00505004">
        <w:trPr>
          <w:trHeight w:val="227"/>
        </w:trPr>
        <w:tc>
          <w:tcPr>
            <w:tcW w:w="224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Age</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 </w:t>
            </w: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18-20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9.6*</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15.0</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0.8</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3.6</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3.8*</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5.4</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vAlign w:val="center"/>
            <w:hideMark/>
          </w:tcPr>
          <w:p w:rsidR="00CF13EB" w:rsidRPr="00B3588A" w:rsidRDefault="00CF13EB" w:rsidP="00A3309E">
            <w:pPr>
              <w:spacing w:after="0" w:line="240" w:lineRule="auto"/>
              <w:rPr>
                <w:rFonts w:ascii="Arial" w:eastAsia="Times New Roman" w:hAnsi="Arial" w:cs="Arial"/>
                <w:b/>
                <w:bCs/>
                <w:sz w:val="20"/>
                <w:szCs w:val="20"/>
              </w:rPr>
            </w:pP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21-25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14.7</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9.5</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20.0</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2.5</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5.8</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6.4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4.7</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8.1</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vAlign w:val="center"/>
            <w:hideMark/>
          </w:tcPr>
          <w:p w:rsidR="00CF13EB" w:rsidRPr="00B3588A" w:rsidRDefault="00CF13EB" w:rsidP="00A3309E">
            <w:pPr>
              <w:spacing w:after="0" w:line="240" w:lineRule="auto"/>
              <w:rPr>
                <w:rFonts w:ascii="Arial" w:eastAsia="Times New Roman" w:hAnsi="Arial" w:cs="Arial"/>
                <w:b/>
                <w:bCs/>
                <w:sz w:val="20"/>
                <w:szCs w:val="20"/>
              </w:rPr>
            </w:pP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26-29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14.3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9.1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19.6</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5.5</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9.2</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8.9</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7.0</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10.7</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vAlign w:val="center"/>
            <w:hideMark/>
          </w:tcPr>
          <w:p w:rsidR="00CF13EB" w:rsidRPr="00B3588A" w:rsidRDefault="00CF13EB" w:rsidP="00A3309E">
            <w:pPr>
              <w:spacing w:after="0" w:line="240" w:lineRule="auto"/>
              <w:rPr>
                <w:rFonts w:ascii="Arial" w:eastAsia="Times New Roman" w:hAnsi="Arial" w:cs="Arial"/>
                <w:b/>
                <w:bCs/>
                <w:sz w:val="20"/>
                <w:szCs w:val="20"/>
              </w:rPr>
            </w:pP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30-39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13.1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23.2</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16.8</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14.4</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19.1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17.0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14.9</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19.2</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vAlign w:val="center"/>
            <w:hideMark/>
          </w:tcPr>
          <w:p w:rsidR="00CF13EB" w:rsidRPr="00B3588A" w:rsidRDefault="00CF13EB" w:rsidP="00A3309E">
            <w:pPr>
              <w:spacing w:after="0" w:line="240" w:lineRule="auto"/>
              <w:rPr>
                <w:rFonts w:ascii="Arial" w:eastAsia="Times New Roman" w:hAnsi="Arial" w:cs="Arial"/>
                <w:b/>
                <w:bCs/>
                <w:sz w:val="20"/>
                <w:szCs w:val="20"/>
              </w:rPr>
            </w:pP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40-49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15.5</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10.0</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20.9</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17.6</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15.2</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19.9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17.1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15.0</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19.3</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vAlign w:val="center"/>
            <w:hideMark/>
          </w:tcPr>
          <w:p w:rsidR="00CF13EB" w:rsidRPr="00B3588A" w:rsidRDefault="00CF13EB" w:rsidP="00A3309E">
            <w:pPr>
              <w:spacing w:after="0" w:line="240" w:lineRule="auto"/>
              <w:rPr>
                <w:rFonts w:ascii="Arial" w:eastAsia="Times New Roman" w:hAnsi="Arial" w:cs="Arial"/>
                <w:b/>
                <w:bCs/>
                <w:sz w:val="20"/>
                <w:szCs w:val="20"/>
              </w:rPr>
            </w:pP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50=59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15.3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11.8</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18.9</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18.0</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16.1</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19.9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17.5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15.8</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19.1</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vAlign w:val="center"/>
            <w:hideMark/>
          </w:tcPr>
          <w:p w:rsidR="00CF13EB" w:rsidRPr="00B3588A" w:rsidRDefault="00CF13EB" w:rsidP="00A3309E">
            <w:pPr>
              <w:spacing w:after="0" w:line="240" w:lineRule="auto"/>
              <w:rPr>
                <w:rFonts w:ascii="Arial" w:eastAsia="Times New Roman" w:hAnsi="Arial" w:cs="Arial"/>
                <w:b/>
                <w:bCs/>
                <w:sz w:val="20"/>
                <w:szCs w:val="20"/>
              </w:rPr>
            </w:pP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60-69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10.1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13.1</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16.7</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15.0</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15.3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13.8</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16.8</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vAlign w:val="center"/>
            <w:hideMark/>
          </w:tcPr>
          <w:p w:rsidR="00CF13EB" w:rsidRPr="00B3588A" w:rsidRDefault="00CF13EB" w:rsidP="00A3309E">
            <w:pPr>
              <w:spacing w:after="0" w:line="240" w:lineRule="auto"/>
              <w:rPr>
                <w:rFonts w:ascii="Arial" w:eastAsia="Times New Roman" w:hAnsi="Arial" w:cs="Arial"/>
                <w:b/>
                <w:bCs/>
                <w:sz w:val="20"/>
                <w:szCs w:val="20"/>
              </w:rPr>
            </w:pP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&gt;=70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0.6*</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3.9</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17.2</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15.5</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14.0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12.6</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15.4</w:t>
            </w:r>
          </w:p>
        </w:tc>
      </w:tr>
      <w:tr w:rsidR="00505004" w:rsidRPr="00B3588A" w:rsidTr="00626599">
        <w:trPr>
          <w:trHeight w:val="227"/>
        </w:trPr>
        <w:tc>
          <w:tcPr>
            <w:tcW w:w="9404" w:type="dxa"/>
            <w:gridSpan w:val="12"/>
            <w:tcBorders>
              <w:top w:val="single" w:sz="4" w:space="0" w:color="auto"/>
              <w:left w:val="single" w:sz="4" w:space="0" w:color="auto"/>
              <w:bottom w:val="single" w:sz="4" w:space="0" w:color="auto"/>
              <w:right w:val="single" w:sz="4" w:space="0" w:color="auto"/>
            </w:tcBorders>
            <w:shd w:val="clear" w:color="auto" w:fill="auto"/>
            <w:noWrap/>
            <w:hideMark/>
          </w:tcPr>
          <w:p w:rsidR="00505004" w:rsidRPr="00B3588A" w:rsidRDefault="00505004" w:rsidP="00505004">
            <w:pPr>
              <w:spacing w:after="0" w:line="240" w:lineRule="auto"/>
              <w:rPr>
                <w:rFonts w:ascii="Arial" w:eastAsia="Times New Roman" w:hAnsi="Arial" w:cs="Arial"/>
                <w:sz w:val="20"/>
                <w:szCs w:val="20"/>
              </w:rPr>
            </w:pPr>
            <w:r w:rsidRPr="00B3588A">
              <w:rPr>
                <w:rFonts w:ascii="Arial" w:eastAsia="Times New Roman" w:hAnsi="Arial" w:cs="Arial"/>
                <w:b/>
                <w:bCs/>
                <w:sz w:val="20"/>
                <w:szCs w:val="20"/>
              </w:rPr>
              <w:t>Education</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 </w:t>
            </w: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High school or less</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38.4</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31.1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45.7</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31.9</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28.8</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34.9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33.2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30.4</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36.1</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vAlign w:val="center"/>
            <w:hideMark/>
          </w:tcPr>
          <w:p w:rsidR="00CF13EB" w:rsidRPr="00B3588A" w:rsidRDefault="00CF13EB" w:rsidP="00A3309E">
            <w:pPr>
              <w:spacing w:after="0" w:line="240" w:lineRule="auto"/>
              <w:rPr>
                <w:rFonts w:ascii="Arial" w:eastAsia="Times New Roman" w:hAnsi="Arial" w:cs="Arial"/>
                <w:b/>
                <w:bCs/>
                <w:sz w:val="20"/>
                <w:szCs w:val="20"/>
              </w:rPr>
            </w:pP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College</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53.1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46.1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60.1</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48.8</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45.9</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51.6</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49.7</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47.0</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52.4</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vAlign w:val="center"/>
            <w:hideMark/>
          </w:tcPr>
          <w:p w:rsidR="00CF13EB" w:rsidRPr="00B3588A" w:rsidRDefault="00CF13EB" w:rsidP="00A3309E">
            <w:pPr>
              <w:spacing w:after="0" w:line="240" w:lineRule="auto"/>
              <w:rPr>
                <w:rFonts w:ascii="Arial" w:eastAsia="Times New Roman" w:hAnsi="Arial" w:cs="Arial"/>
                <w:b/>
                <w:bCs/>
                <w:sz w:val="20"/>
                <w:szCs w:val="20"/>
              </w:rPr>
            </w:pP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Graduate school</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8.5</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6.1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10.9</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19.4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17.6</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21.1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17.1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15.5</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18.6</w:t>
            </w:r>
          </w:p>
        </w:tc>
      </w:tr>
      <w:tr w:rsidR="00505004" w:rsidRPr="00B3588A" w:rsidTr="00626599">
        <w:trPr>
          <w:trHeight w:val="197"/>
        </w:trPr>
        <w:tc>
          <w:tcPr>
            <w:tcW w:w="9404" w:type="dxa"/>
            <w:gridSpan w:val="12"/>
            <w:tcBorders>
              <w:top w:val="single" w:sz="4" w:space="0" w:color="auto"/>
              <w:left w:val="single" w:sz="4" w:space="0" w:color="auto"/>
              <w:bottom w:val="single" w:sz="4" w:space="0" w:color="auto"/>
              <w:right w:val="single" w:sz="4" w:space="0" w:color="auto"/>
            </w:tcBorders>
            <w:shd w:val="clear" w:color="auto" w:fill="auto"/>
            <w:noWrap/>
            <w:hideMark/>
          </w:tcPr>
          <w:p w:rsidR="00505004" w:rsidRPr="00B3588A" w:rsidRDefault="00505004" w:rsidP="00505004">
            <w:pPr>
              <w:spacing w:after="0" w:line="240" w:lineRule="auto"/>
              <w:rPr>
                <w:rFonts w:ascii="Arial" w:eastAsia="Times New Roman" w:hAnsi="Arial" w:cs="Arial"/>
                <w:sz w:val="20"/>
                <w:szCs w:val="20"/>
              </w:rPr>
            </w:pPr>
            <w:r w:rsidRPr="00B3588A">
              <w:rPr>
                <w:rFonts w:ascii="Arial" w:eastAsia="Times New Roman" w:hAnsi="Arial" w:cs="Arial"/>
                <w:b/>
                <w:bCs/>
                <w:sz w:val="20"/>
                <w:szCs w:val="20"/>
              </w:rPr>
              <w:t>Ethnicity</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 </w:t>
            </w: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Hispanic</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12.0</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7.0</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16.9</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8.7</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6.4</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10.9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9.4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11.4</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 </w:t>
            </w: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White, non-Hispanic</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70.8</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64.0</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77.7</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75.4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72.6</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78.3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74.5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71.8</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77.1</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 </w:t>
            </w: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Black, non-Hispanic</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2.7</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11.6</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5.5</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4.0</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5.8</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7.4</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 </w:t>
            </w: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Asian, non-Hispanic</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0.7</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5.7</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7.3</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5.6</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9.0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6.4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5.0</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7.8</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A3309E">
            <w:pPr>
              <w:spacing w:after="0" w:line="240" w:lineRule="auto"/>
              <w:rPr>
                <w:rFonts w:ascii="Arial" w:eastAsia="Times New Roman" w:hAnsi="Arial" w:cs="Arial"/>
                <w:sz w:val="20"/>
                <w:szCs w:val="20"/>
              </w:rPr>
            </w:pPr>
            <w:r w:rsidRPr="00B3588A">
              <w:rPr>
                <w:rFonts w:ascii="Arial" w:eastAsia="Times New Roman" w:hAnsi="Arial" w:cs="Arial"/>
                <w:sz w:val="20"/>
                <w:szCs w:val="20"/>
              </w:rPr>
              <w:t> </w:t>
            </w: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Other, non-Hispanic</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6.9</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10.7</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2.1</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4.1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3.9</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2.8</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5.0</w:t>
            </w:r>
          </w:p>
        </w:tc>
      </w:tr>
      <w:tr w:rsidR="00505004" w:rsidRPr="00B3588A" w:rsidTr="00626599">
        <w:trPr>
          <w:trHeight w:val="188"/>
        </w:trPr>
        <w:tc>
          <w:tcPr>
            <w:tcW w:w="9404" w:type="dxa"/>
            <w:gridSpan w:val="12"/>
            <w:tcBorders>
              <w:top w:val="single" w:sz="4" w:space="0" w:color="auto"/>
              <w:left w:val="single" w:sz="4" w:space="0" w:color="auto"/>
              <w:bottom w:val="single" w:sz="4" w:space="0" w:color="auto"/>
              <w:right w:val="single" w:sz="4" w:space="0" w:color="auto"/>
            </w:tcBorders>
            <w:shd w:val="clear" w:color="auto" w:fill="auto"/>
            <w:noWrap/>
            <w:hideMark/>
          </w:tcPr>
          <w:p w:rsidR="00505004" w:rsidRPr="00B3588A" w:rsidRDefault="00505004" w:rsidP="00505004">
            <w:pPr>
              <w:spacing w:after="0" w:line="240" w:lineRule="auto"/>
              <w:rPr>
                <w:rFonts w:ascii="Arial" w:eastAsia="Times New Roman" w:hAnsi="Arial" w:cs="Arial"/>
                <w:sz w:val="20"/>
                <w:szCs w:val="20"/>
              </w:rPr>
            </w:pPr>
            <w:r w:rsidRPr="00B3588A">
              <w:rPr>
                <w:rFonts w:ascii="Arial" w:eastAsia="Times New Roman" w:hAnsi="Arial" w:cs="Arial"/>
                <w:b/>
                <w:bCs/>
                <w:sz w:val="20"/>
                <w:szCs w:val="20"/>
              </w:rPr>
              <w:t>Region</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 </w:t>
            </w: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Boston</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13.8</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9.0</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18.6</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14.3</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12.1</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16.4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14.2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12.2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16.2</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 </w:t>
            </w: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Central</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13.3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9.1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17.5</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14.6</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12.7</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16.4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14.3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12.6</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16.0</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 </w:t>
            </w: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Metrowest</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12.6</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24.0</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22.1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19.8</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24.5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21.3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19.1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23.6</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 </w:t>
            </w: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Northeast</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17.4</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12.3</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22.4</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18.4</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16.2</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20.7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16.1</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20.3</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 </w:t>
            </w: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Southeast</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18.8</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12.9</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24.6</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18.9</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16.7</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21.1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18.9</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16.8</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21.0</w:t>
            </w:r>
          </w:p>
        </w:tc>
      </w:tr>
      <w:tr w:rsidR="00CF13EB" w:rsidRPr="00B3588A" w:rsidTr="00505004">
        <w:trPr>
          <w:trHeight w:val="227"/>
        </w:trPr>
        <w:tc>
          <w:tcPr>
            <w:tcW w:w="272"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A3309E">
            <w:pPr>
              <w:spacing w:after="0" w:line="240" w:lineRule="auto"/>
              <w:rPr>
                <w:rFonts w:ascii="Arial" w:eastAsia="Times New Roman" w:hAnsi="Arial" w:cs="Arial"/>
                <w:sz w:val="20"/>
                <w:szCs w:val="20"/>
              </w:rPr>
            </w:pPr>
            <w:r w:rsidRPr="00B3588A">
              <w:rPr>
                <w:rFonts w:ascii="Arial" w:eastAsia="Times New Roman" w:hAnsi="Arial" w:cs="Arial"/>
                <w:sz w:val="20"/>
                <w:szCs w:val="20"/>
              </w:rPr>
              <w:t> </w:t>
            </w:r>
          </w:p>
        </w:tc>
        <w:tc>
          <w:tcPr>
            <w:tcW w:w="1976"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A3309E">
            <w:pPr>
              <w:spacing w:after="0" w:line="240" w:lineRule="auto"/>
              <w:rPr>
                <w:rFonts w:ascii="Arial" w:eastAsia="Times New Roman" w:hAnsi="Arial" w:cs="Arial"/>
                <w:b/>
                <w:bCs/>
                <w:sz w:val="20"/>
                <w:szCs w:val="20"/>
              </w:rPr>
            </w:pPr>
            <w:r w:rsidRPr="00B3588A">
              <w:rPr>
                <w:rFonts w:ascii="Arial" w:eastAsia="Times New Roman" w:hAnsi="Arial" w:cs="Arial"/>
                <w:b/>
                <w:bCs/>
                <w:sz w:val="20"/>
                <w:szCs w:val="20"/>
              </w:rPr>
              <w:t>Western</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18.5</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13.7</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23.3</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11.6</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10.0</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13.3</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13.1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11.4</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1C30C1">
            <w:pPr>
              <w:spacing w:after="0" w:line="240" w:lineRule="auto"/>
              <w:jc w:val="center"/>
              <w:rPr>
                <w:rFonts w:ascii="Arial" w:eastAsia="Times New Roman" w:hAnsi="Arial" w:cs="Arial"/>
                <w:sz w:val="20"/>
                <w:szCs w:val="20"/>
              </w:rPr>
            </w:pPr>
            <w:r w:rsidRPr="00B3588A">
              <w:rPr>
                <w:rFonts w:ascii="Arial" w:eastAsia="Times New Roman" w:hAnsi="Arial" w:cs="Arial"/>
                <w:sz w:val="20"/>
                <w:szCs w:val="20"/>
              </w:rPr>
              <w:t>14.7</w:t>
            </w:r>
          </w:p>
        </w:tc>
      </w:tr>
      <w:tr w:rsidR="00CF13EB" w:rsidRPr="00B3588A" w:rsidTr="00505004">
        <w:trPr>
          <w:trHeight w:val="227"/>
        </w:trPr>
        <w:tc>
          <w:tcPr>
            <w:tcW w:w="9404"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13EB" w:rsidRPr="00B3588A" w:rsidRDefault="00CF13EB" w:rsidP="00D46CCC">
            <w:pPr>
              <w:spacing w:after="0" w:line="240" w:lineRule="auto"/>
              <w:rPr>
                <w:rFonts w:ascii="Arial" w:eastAsia="Times New Roman" w:hAnsi="Arial" w:cs="Arial"/>
                <w:sz w:val="20"/>
                <w:szCs w:val="20"/>
              </w:rPr>
            </w:pPr>
            <w:r w:rsidRPr="00B3588A">
              <w:rPr>
                <w:rFonts w:ascii="Arial" w:eastAsia="Times New Roman" w:hAnsi="Arial" w:cs="Arial"/>
                <w:sz w:val="20"/>
                <w:szCs w:val="20"/>
              </w:rPr>
              <w:t xml:space="preserve">Note: * denotes fewer than 25 respondents; table reproduced from </w:t>
            </w:r>
            <w:r w:rsidR="00D46CCC">
              <w:rPr>
                <w:rFonts w:ascii="Arial" w:eastAsia="Times New Roman" w:hAnsi="Arial" w:cs="Arial"/>
                <w:sz w:val="20"/>
                <w:szCs w:val="20"/>
              </w:rPr>
              <w:t>Task</w:t>
            </w:r>
            <w:r w:rsidRPr="00B3588A">
              <w:rPr>
                <w:rFonts w:ascii="Arial" w:eastAsia="Times New Roman" w:hAnsi="Arial" w:cs="Arial"/>
                <w:sz w:val="20"/>
                <w:szCs w:val="20"/>
              </w:rPr>
              <w:t xml:space="preserve"> 1, Chapter 2. </w:t>
            </w:r>
          </w:p>
        </w:tc>
      </w:tr>
    </w:tbl>
    <w:p w:rsidR="0090612A" w:rsidRDefault="0090612A" w:rsidP="006057BE">
      <w:pPr>
        <w:pStyle w:val="BodyText"/>
        <w:spacing w:line="240" w:lineRule="auto"/>
        <w:rPr>
          <w:i/>
          <w:sz w:val="24"/>
        </w:rPr>
      </w:pPr>
    </w:p>
    <w:p w:rsidR="0090612A" w:rsidRDefault="0090612A" w:rsidP="006057BE">
      <w:pPr>
        <w:pStyle w:val="BodyText"/>
        <w:spacing w:line="240" w:lineRule="auto"/>
        <w:rPr>
          <w:i/>
          <w:sz w:val="24"/>
        </w:rPr>
      </w:pPr>
    </w:p>
    <w:p w:rsidR="00CF13EB" w:rsidRPr="00465399" w:rsidRDefault="00CF13EB" w:rsidP="006057BE">
      <w:pPr>
        <w:pStyle w:val="BodyText"/>
        <w:spacing w:line="240" w:lineRule="auto"/>
        <w:rPr>
          <w:i/>
          <w:sz w:val="24"/>
        </w:rPr>
      </w:pPr>
      <w:r w:rsidRPr="00465399">
        <w:rPr>
          <w:i/>
          <w:sz w:val="24"/>
        </w:rPr>
        <w:t>Prevalence of driving under the influence and riding with a substance-using driver</w:t>
      </w:r>
    </w:p>
    <w:p w:rsidR="00CF13EB" w:rsidRPr="001C30C1" w:rsidRDefault="00CF13EB" w:rsidP="006057BE">
      <w:pPr>
        <w:pStyle w:val="BodyText"/>
        <w:spacing w:line="240" w:lineRule="auto"/>
        <w:rPr>
          <w:sz w:val="24"/>
        </w:rPr>
      </w:pPr>
    </w:p>
    <w:p w:rsidR="00CF13EB" w:rsidRPr="001C30C1" w:rsidRDefault="00CF13EB" w:rsidP="006057BE">
      <w:pPr>
        <w:pStyle w:val="BodyText"/>
        <w:spacing w:line="240" w:lineRule="auto"/>
        <w:rPr>
          <w:sz w:val="24"/>
        </w:rPr>
      </w:pPr>
      <w:r w:rsidRPr="001C30C1">
        <w:rPr>
          <w:sz w:val="24"/>
        </w:rPr>
        <w:t>Among the estimated 21.1% of the adult population that used marijuana, the prevalence of driving under the influence of marijuana in the past 30 days was 34.3% (Table 2). Overall, 7.2% of the adult population drove under the influence of marijuana in the past 30 days. For assessment of RUI-marijuana, both non-users and users of marijuana were considered to have engaged in the behavior if they reported riding as a passenger with a driver that is under the influence of marijuana. Results show that 11.3% of Massachusetts adults rode with a marijuana-using driver in the past 30 days. The proportion who RUI-marijuana was statistically significantly higher among marijuana users (36.7%) compared to non-users (4.2%) [p&lt;0.001].</w:t>
      </w:r>
    </w:p>
    <w:p w:rsidR="00CF13EB" w:rsidRPr="001C30C1" w:rsidRDefault="00CF13EB" w:rsidP="006057BE">
      <w:pPr>
        <w:pStyle w:val="BodyText"/>
        <w:spacing w:line="240" w:lineRule="auto"/>
        <w:rPr>
          <w:sz w:val="24"/>
        </w:rPr>
      </w:pPr>
    </w:p>
    <w:p w:rsidR="00CF13EB" w:rsidRPr="001C30C1" w:rsidRDefault="00CF13EB" w:rsidP="006057BE">
      <w:pPr>
        <w:pStyle w:val="BodyText"/>
        <w:spacing w:line="240" w:lineRule="auto"/>
        <w:rPr>
          <w:sz w:val="24"/>
        </w:rPr>
      </w:pPr>
      <w:r w:rsidRPr="001C30C1">
        <w:rPr>
          <w:sz w:val="24"/>
        </w:rPr>
        <w:t xml:space="preserve">We found that 6.9% of the population drove under the influence of alcohol (DUI-alcohol) and 7.9% of all adults rode as a passenger with a driver under the influence of alcohol (Table 2). Marijuana users were more likely to report DUI-alcohol (15.2%) compared to non-users (4.7%) (p &lt;0.001) and to report RUI-alcohol (14.6%) compared to non-users (6.1%) (p&lt;0.001).  </w:t>
      </w:r>
    </w:p>
    <w:p w:rsidR="00CF13EB" w:rsidRPr="001C30C1" w:rsidRDefault="00CF13EB" w:rsidP="006057BE">
      <w:pPr>
        <w:pStyle w:val="BodyText"/>
        <w:spacing w:line="240" w:lineRule="auto"/>
        <w:rPr>
          <w:sz w:val="24"/>
        </w:rPr>
      </w:pPr>
      <w:r w:rsidRPr="001C30C1">
        <w:rPr>
          <w:sz w:val="24"/>
        </w:rPr>
        <w:t xml:space="preserve">Subpopulation prevalence </w:t>
      </w:r>
    </w:p>
    <w:p w:rsidR="00CF13EB" w:rsidRPr="001C30C1" w:rsidRDefault="00CF13EB" w:rsidP="006057BE">
      <w:pPr>
        <w:pStyle w:val="BodyText"/>
        <w:spacing w:line="240" w:lineRule="auto"/>
        <w:rPr>
          <w:sz w:val="24"/>
        </w:rPr>
      </w:pPr>
    </w:p>
    <w:p w:rsidR="00CF13EB" w:rsidRPr="001C30C1" w:rsidRDefault="00CF13EB" w:rsidP="006057BE">
      <w:pPr>
        <w:pStyle w:val="BodyText"/>
        <w:spacing w:line="240" w:lineRule="auto"/>
        <w:rPr>
          <w:sz w:val="24"/>
        </w:rPr>
      </w:pPr>
      <w:r w:rsidRPr="001C30C1">
        <w:rPr>
          <w:sz w:val="24"/>
        </w:rPr>
        <w:t xml:space="preserve">By age, we found that 25.6% of young adults age 18-20 years reported driving under the influence of marijuana, and 24.1% of those age 21-25 years. The proportion of adults in each age group who drove after marijuana use subsequently drops off among older age groups. (Table 3). Among females, 5.5% reported DUI-marijuana, which was statistically significantly less than the percentage of males reporting DUI-marijuana (9.1%) (p=0.04). </w:t>
      </w:r>
    </w:p>
    <w:p w:rsidR="00CF13EB" w:rsidRPr="001C30C1" w:rsidRDefault="00CF13EB" w:rsidP="006057BE">
      <w:pPr>
        <w:pStyle w:val="BodyText"/>
        <w:spacing w:line="240" w:lineRule="auto"/>
        <w:rPr>
          <w:sz w:val="24"/>
        </w:rPr>
      </w:pPr>
    </w:p>
    <w:p w:rsidR="00CF13EB" w:rsidRPr="001C30C1" w:rsidRDefault="00CF13EB" w:rsidP="006057BE">
      <w:pPr>
        <w:pStyle w:val="BodyText"/>
        <w:spacing w:line="240" w:lineRule="auto"/>
        <w:rPr>
          <w:sz w:val="24"/>
        </w:rPr>
      </w:pPr>
      <w:r w:rsidRPr="001C30C1">
        <w:rPr>
          <w:sz w:val="24"/>
        </w:rPr>
        <w:t xml:space="preserve">We observed that as the number of days per month of marijuana use increases, the proportion of individuals who drive under the influence of marijuana also increases. Among individuals who use marijuana 21 days per month or more, just over 50% reported DUI-marijuana. </w:t>
      </w:r>
    </w:p>
    <w:p w:rsidR="00CF13EB" w:rsidRPr="001C30C1" w:rsidRDefault="00CF13EB" w:rsidP="006057BE">
      <w:pPr>
        <w:pStyle w:val="BodyText"/>
        <w:spacing w:line="240" w:lineRule="auto"/>
        <w:rPr>
          <w:sz w:val="24"/>
        </w:rPr>
      </w:pPr>
    </w:p>
    <w:p w:rsidR="00CF13EB" w:rsidRPr="001C30C1" w:rsidRDefault="00CF13EB" w:rsidP="006057BE">
      <w:pPr>
        <w:pStyle w:val="BodyText"/>
        <w:spacing w:line="240" w:lineRule="auto"/>
        <w:rPr>
          <w:sz w:val="24"/>
        </w:rPr>
      </w:pPr>
      <w:r w:rsidRPr="001C30C1">
        <w:rPr>
          <w:sz w:val="24"/>
        </w:rPr>
        <w:t xml:space="preserve">By age, we also found that nearly 36% of 18-20 year old adults reported riding with a marijuana-using driver in the past 30 days. Prevalence was 38% among those age 21-25 years, then lower for older age groups (Table 3).  We did not observe a difference by gender or race/ethnicity. Prevalence of RUI-marijuana was lowest among those with a post-graduate degree (5.7%). </w:t>
      </w:r>
    </w:p>
    <w:p w:rsidR="00CF13EB" w:rsidRPr="001C30C1" w:rsidRDefault="00CF13EB" w:rsidP="006057BE">
      <w:pPr>
        <w:pStyle w:val="BodyText"/>
        <w:spacing w:line="240" w:lineRule="auto"/>
        <w:rPr>
          <w:sz w:val="24"/>
        </w:rPr>
        <w:sectPr w:rsidR="00CF13EB" w:rsidRPr="001C30C1" w:rsidSect="008F7C69">
          <w:headerReference w:type="default" r:id="rId54"/>
          <w:footerReference w:type="default" r:id="rId55"/>
          <w:pgSz w:w="12240" w:h="15840"/>
          <w:pgMar w:top="1440" w:right="1440" w:bottom="1440" w:left="1440" w:header="720" w:footer="720" w:gutter="0"/>
          <w:cols w:space="720"/>
          <w:docGrid w:linePitch="360"/>
        </w:sectPr>
      </w:pPr>
      <w:r w:rsidRPr="001C30C1">
        <w:rPr>
          <w:sz w:val="24"/>
        </w:rPr>
        <w:t>A higher proportion of those who drove under the influence of marijuana reported riding as a passenger with marijuana-using driver (67.5%) compared to marijuana users who did not drive under its influence (21.2%) (p&lt;0.001) (Table 4). We found that 42.8% of individuals who drove under the influence of marijuana reported driving under the influence of alcohol and marijuana, used simultaneously</w:t>
      </w:r>
    </w:p>
    <w:p w:rsidR="00CF13EB" w:rsidRPr="0090612A" w:rsidRDefault="00CF13EB" w:rsidP="0090612A">
      <w:pPr>
        <w:spacing w:after="0"/>
        <w:rPr>
          <w:rFonts w:ascii="Arial" w:hAnsi="Arial" w:cs="Arial"/>
          <w:b/>
          <w:sz w:val="24"/>
        </w:rPr>
      </w:pPr>
      <w:bookmarkStart w:id="401" w:name="_Toc11765998"/>
      <w:bookmarkStart w:id="402" w:name="_Toc11766653"/>
      <w:bookmarkStart w:id="403" w:name="_Toc11917234"/>
      <w:bookmarkStart w:id="404" w:name="_Toc11921672"/>
      <w:bookmarkStart w:id="405" w:name="_Toc510280125"/>
      <w:bookmarkEnd w:id="396"/>
      <w:r w:rsidRPr="0090612A">
        <w:rPr>
          <w:rFonts w:ascii="Arial" w:hAnsi="Arial" w:cs="Arial"/>
          <w:b/>
          <w:sz w:val="24"/>
        </w:rPr>
        <w:t>Table 2. Prevalence of driving under the influence of alcohol, marijuana, or other substances and riding with a substance-using driver, Massachusetts adults, 2017</w:t>
      </w:r>
      <w:bookmarkEnd w:id="401"/>
      <w:bookmarkEnd w:id="402"/>
      <w:bookmarkEnd w:id="403"/>
      <w:bookmarkEnd w:id="404"/>
    </w:p>
    <w:p w:rsidR="00465399" w:rsidRPr="00465399" w:rsidRDefault="00465399" w:rsidP="00465399">
      <w:pPr>
        <w:pStyle w:val="BodyText"/>
      </w:pPr>
    </w:p>
    <w:tbl>
      <w:tblPr>
        <w:tblW w:w="11971" w:type="dxa"/>
        <w:tblLook w:val="04A0" w:firstRow="1" w:lastRow="0" w:firstColumn="1" w:lastColumn="0" w:noHBand="0" w:noVBand="1"/>
        <w:tblCaption w:val="Prevalence of driving under the influence of alcohol, marijuana, or other substances and riding with a substance-using driver, Massachusetts adults, 2017"/>
      </w:tblPr>
      <w:tblGrid>
        <w:gridCol w:w="278"/>
        <w:gridCol w:w="4920"/>
        <w:gridCol w:w="645"/>
        <w:gridCol w:w="657"/>
        <w:gridCol w:w="657"/>
        <w:gridCol w:w="645"/>
        <w:gridCol w:w="657"/>
        <w:gridCol w:w="657"/>
        <w:gridCol w:w="645"/>
        <w:gridCol w:w="657"/>
        <w:gridCol w:w="657"/>
        <w:gridCol w:w="896"/>
      </w:tblGrid>
      <w:tr w:rsidR="00CF13EB" w:rsidRPr="00B3588A" w:rsidTr="00505004">
        <w:trPr>
          <w:trHeight w:val="282"/>
        </w:trPr>
        <w:tc>
          <w:tcPr>
            <w:tcW w:w="278" w:type="dxa"/>
            <w:tcBorders>
              <w:top w:val="single" w:sz="4" w:space="0" w:color="auto"/>
              <w:left w:val="single" w:sz="4" w:space="0" w:color="auto"/>
              <w:bottom w:val="nil"/>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c>
          <w:tcPr>
            <w:tcW w:w="4920" w:type="dxa"/>
            <w:tcBorders>
              <w:top w:val="single" w:sz="4" w:space="0" w:color="auto"/>
              <w:left w:val="nil"/>
              <w:bottom w:val="nil"/>
              <w:right w:val="nil"/>
            </w:tcBorders>
            <w:shd w:val="clear" w:color="auto" w:fill="auto"/>
            <w:noWrap/>
            <w:vAlign w:val="center"/>
            <w:hideMark/>
          </w:tcPr>
          <w:p w:rsidR="00CF13EB" w:rsidRPr="00B3588A" w:rsidRDefault="00CF13EB" w:rsidP="006057BE">
            <w:pPr>
              <w:spacing w:after="0" w:line="240" w:lineRule="auto"/>
              <w:rPr>
                <w:rFonts w:ascii="Arial" w:eastAsia="Times New Roman" w:hAnsi="Arial" w:cs="Arial"/>
                <w:b/>
                <w:bCs/>
                <w:color w:val="112277"/>
                <w:szCs w:val="24"/>
              </w:rPr>
            </w:pPr>
            <w:r w:rsidRPr="00B3588A">
              <w:rPr>
                <w:rFonts w:ascii="Arial" w:eastAsia="Times New Roman" w:hAnsi="Arial" w:cs="Arial"/>
                <w:b/>
                <w:bCs/>
                <w:color w:val="112277"/>
                <w:szCs w:val="24"/>
              </w:rPr>
              <w:t> </w:t>
            </w:r>
          </w:p>
        </w:tc>
        <w:tc>
          <w:tcPr>
            <w:tcW w:w="1959" w:type="dxa"/>
            <w:gridSpan w:val="3"/>
            <w:tcBorders>
              <w:top w:val="single" w:sz="4" w:space="0" w:color="auto"/>
              <w:left w:val="single" w:sz="4" w:space="0" w:color="auto"/>
              <w:bottom w:val="nil"/>
              <w:right w:val="single" w:sz="4" w:space="0" w:color="000000"/>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color w:val="000000"/>
                <w:szCs w:val="24"/>
              </w:rPr>
            </w:pPr>
            <w:r w:rsidRPr="00B3588A">
              <w:rPr>
                <w:rFonts w:ascii="Arial" w:eastAsia="Times New Roman" w:hAnsi="Arial" w:cs="Arial"/>
                <w:b/>
                <w:bCs/>
                <w:color w:val="000000"/>
                <w:szCs w:val="24"/>
              </w:rPr>
              <w:t>Marijuana users</w:t>
            </w:r>
          </w:p>
        </w:tc>
        <w:tc>
          <w:tcPr>
            <w:tcW w:w="1959" w:type="dxa"/>
            <w:gridSpan w:val="3"/>
            <w:tcBorders>
              <w:top w:val="single" w:sz="4" w:space="0" w:color="auto"/>
              <w:left w:val="nil"/>
              <w:bottom w:val="nil"/>
              <w:right w:val="nil"/>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Marijuana non-users</w:t>
            </w:r>
          </w:p>
        </w:tc>
        <w:tc>
          <w:tcPr>
            <w:tcW w:w="1959" w:type="dxa"/>
            <w:gridSpan w:val="3"/>
            <w:tcBorders>
              <w:top w:val="single" w:sz="4" w:space="0" w:color="auto"/>
              <w:left w:val="single" w:sz="4" w:space="0" w:color="auto"/>
              <w:bottom w:val="nil"/>
              <w:right w:val="nil"/>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color w:val="000000"/>
                <w:szCs w:val="24"/>
              </w:rPr>
            </w:pPr>
            <w:r w:rsidRPr="00B3588A">
              <w:rPr>
                <w:rFonts w:ascii="Arial" w:eastAsia="Times New Roman" w:hAnsi="Arial" w:cs="Arial"/>
                <w:b/>
                <w:bCs/>
                <w:color w:val="000000"/>
                <w:szCs w:val="24"/>
              </w:rPr>
              <w:t>Total</w:t>
            </w:r>
          </w:p>
        </w:tc>
        <w:tc>
          <w:tcPr>
            <w:tcW w:w="896" w:type="dxa"/>
            <w:tcBorders>
              <w:top w:val="single" w:sz="4" w:space="0" w:color="auto"/>
              <w:left w:val="single" w:sz="4" w:space="0" w:color="auto"/>
              <w:bottom w:val="nil"/>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r>
      <w:tr w:rsidR="00CF13EB" w:rsidRPr="00B3588A" w:rsidTr="00505004">
        <w:trPr>
          <w:trHeight w:val="282"/>
        </w:trPr>
        <w:tc>
          <w:tcPr>
            <w:tcW w:w="278" w:type="dxa"/>
            <w:tcBorders>
              <w:top w:val="nil"/>
              <w:left w:val="single" w:sz="4" w:space="0" w:color="auto"/>
              <w:bottom w:val="nil"/>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c>
          <w:tcPr>
            <w:tcW w:w="4920" w:type="dxa"/>
            <w:tcBorders>
              <w:top w:val="nil"/>
              <w:left w:val="nil"/>
              <w:bottom w:val="nil"/>
              <w:right w:val="nil"/>
            </w:tcBorders>
            <w:shd w:val="clear" w:color="auto" w:fill="auto"/>
            <w:noWrap/>
            <w:vAlign w:val="center"/>
            <w:hideMark/>
          </w:tcPr>
          <w:p w:rsidR="00CF13EB" w:rsidRPr="00B3588A" w:rsidRDefault="00CF13EB" w:rsidP="006057BE">
            <w:pPr>
              <w:spacing w:after="0" w:line="240" w:lineRule="auto"/>
              <w:rPr>
                <w:rFonts w:ascii="Arial" w:eastAsia="Times New Roman" w:hAnsi="Arial" w:cs="Arial"/>
                <w:color w:val="000000"/>
                <w:szCs w:val="24"/>
              </w:rPr>
            </w:pPr>
          </w:p>
        </w:tc>
        <w:tc>
          <w:tcPr>
            <w:tcW w:w="1959" w:type="dxa"/>
            <w:gridSpan w:val="3"/>
            <w:tcBorders>
              <w:top w:val="nil"/>
              <w:left w:val="single" w:sz="4" w:space="0" w:color="auto"/>
              <w:bottom w:val="nil"/>
              <w:right w:val="single" w:sz="4" w:space="0" w:color="000000"/>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color w:val="000000"/>
                <w:szCs w:val="24"/>
              </w:rPr>
            </w:pPr>
            <w:r w:rsidRPr="00B3588A">
              <w:rPr>
                <w:rFonts w:ascii="Arial" w:eastAsia="Times New Roman" w:hAnsi="Arial" w:cs="Arial"/>
                <w:b/>
                <w:bCs/>
                <w:color w:val="000000"/>
                <w:szCs w:val="24"/>
              </w:rPr>
              <w:t>n=439</w:t>
            </w:r>
          </w:p>
        </w:tc>
        <w:tc>
          <w:tcPr>
            <w:tcW w:w="1959" w:type="dxa"/>
            <w:gridSpan w:val="3"/>
            <w:tcBorders>
              <w:top w:val="nil"/>
              <w:left w:val="nil"/>
              <w:bottom w:val="nil"/>
              <w:right w:val="nil"/>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n=2583</w:t>
            </w:r>
          </w:p>
        </w:tc>
        <w:tc>
          <w:tcPr>
            <w:tcW w:w="1959" w:type="dxa"/>
            <w:gridSpan w:val="3"/>
            <w:tcBorders>
              <w:top w:val="nil"/>
              <w:left w:val="single" w:sz="4" w:space="0" w:color="auto"/>
              <w:bottom w:val="nil"/>
              <w:right w:val="nil"/>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color w:val="000000"/>
                <w:szCs w:val="24"/>
              </w:rPr>
            </w:pPr>
            <w:r w:rsidRPr="00B3588A">
              <w:rPr>
                <w:rFonts w:ascii="Arial" w:eastAsia="Times New Roman" w:hAnsi="Arial" w:cs="Arial"/>
                <w:b/>
                <w:bCs/>
                <w:color w:val="000000"/>
                <w:szCs w:val="24"/>
              </w:rPr>
              <w:t>n=3022</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r>
      <w:tr w:rsidR="00CF13EB" w:rsidRPr="00B3588A" w:rsidTr="00505004">
        <w:trPr>
          <w:trHeight w:val="582"/>
        </w:trPr>
        <w:tc>
          <w:tcPr>
            <w:tcW w:w="278" w:type="dxa"/>
            <w:tcBorders>
              <w:top w:val="nil"/>
              <w:left w:val="single" w:sz="4" w:space="0" w:color="auto"/>
              <w:bottom w:val="single" w:sz="4" w:space="0" w:color="auto"/>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c>
          <w:tcPr>
            <w:tcW w:w="4920" w:type="dxa"/>
            <w:tcBorders>
              <w:top w:val="nil"/>
              <w:left w:val="nil"/>
              <w:bottom w:val="single" w:sz="4" w:space="0" w:color="auto"/>
              <w:right w:val="nil"/>
            </w:tcBorders>
            <w:shd w:val="clear" w:color="auto" w:fill="auto"/>
            <w:noWrap/>
            <w:vAlign w:val="center"/>
            <w:hideMark/>
          </w:tcPr>
          <w:p w:rsidR="00CF13EB" w:rsidRPr="00B3588A" w:rsidRDefault="00CF13EB" w:rsidP="006057BE">
            <w:pPr>
              <w:spacing w:after="0" w:line="240" w:lineRule="auto"/>
              <w:rPr>
                <w:rFonts w:ascii="Arial" w:eastAsia="Times New Roman" w:hAnsi="Arial" w:cs="Arial"/>
                <w:b/>
                <w:bCs/>
                <w:color w:val="112277"/>
                <w:szCs w:val="24"/>
              </w:rPr>
            </w:pPr>
            <w:r w:rsidRPr="00B3588A">
              <w:rPr>
                <w:rFonts w:ascii="Arial" w:eastAsia="Times New Roman" w:hAnsi="Arial" w:cs="Arial"/>
                <w:b/>
                <w:bCs/>
                <w:color w:val="112277"/>
                <w:szCs w:val="24"/>
              </w:rPr>
              <w:t> </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w:t>
            </w:r>
          </w:p>
        </w:tc>
        <w:tc>
          <w:tcPr>
            <w:tcW w:w="657" w:type="dxa"/>
            <w:tcBorders>
              <w:top w:val="single" w:sz="4" w:space="0" w:color="auto"/>
              <w:left w:val="nil"/>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LCI</w:t>
            </w:r>
          </w:p>
        </w:tc>
        <w:tc>
          <w:tcPr>
            <w:tcW w:w="657" w:type="dxa"/>
            <w:tcBorders>
              <w:top w:val="single" w:sz="4" w:space="0" w:color="auto"/>
              <w:left w:val="nil"/>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UCI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w:t>
            </w:r>
          </w:p>
        </w:tc>
        <w:tc>
          <w:tcPr>
            <w:tcW w:w="657" w:type="dxa"/>
            <w:tcBorders>
              <w:top w:val="single" w:sz="4" w:space="0" w:color="auto"/>
              <w:left w:val="nil"/>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LCI</w:t>
            </w:r>
          </w:p>
        </w:tc>
        <w:tc>
          <w:tcPr>
            <w:tcW w:w="657" w:type="dxa"/>
            <w:tcBorders>
              <w:top w:val="single" w:sz="4" w:space="0" w:color="auto"/>
              <w:left w:val="nil"/>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UCI</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w:t>
            </w:r>
          </w:p>
        </w:tc>
        <w:tc>
          <w:tcPr>
            <w:tcW w:w="657" w:type="dxa"/>
            <w:tcBorders>
              <w:top w:val="single" w:sz="4" w:space="0" w:color="auto"/>
              <w:left w:val="nil"/>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LCI</w:t>
            </w:r>
          </w:p>
        </w:tc>
        <w:tc>
          <w:tcPr>
            <w:tcW w:w="657" w:type="dxa"/>
            <w:tcBorders>
              <w:top w:val="single" w:sz="4" w:space="0" w:color="auto"/>
              <w:left w:val="nil"/>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UCI</w:t>
            </w:r>
          </w:p>
        </w:tc>
        <w:tc>
          <w:tcPr>
            <w:tcW w:w="896" w:type="dxa"/>
            <w:tcBorders>
              <w:top w:val="nil"/>
              <w:left w:val="nil"/>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P-value</w:t>
            </w:r>
          </w:p>
        </w:tc>
      </w:tr>
      <w:tr w:rsidR="00505004" w:rsidRPr="00B3588A" w:rsidTr="00505004">
        <w:trPr>
          <w:trHeight w:val="233"/>
        </w:trPr>
        <w:tc>
          <w:tcPr>
            <w:tcW w:w="1197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004" w:rsidRPr="00505004" w:rsidRDefault="00505004" w:rsidP="00505004">
            <w:pPr>
              <w:spacing w:after="0" w:line="240" w:lineRule="auto"/>
              <w:rPr>
                <w:rFonts w:ascii="Arial" w:eastAsia="Times New Roman" w:hAnsi="Arial" w:cs="Arial"/>
                <w:b/>
                <w:bCs/>
                <w:szCs w:val="24"/>
              </w:rPr>
            </w:pPr>
            <w:r w:rsidRPr="00B3588A">
              <w:rPr>
                <w:rFonts w:ascii="Arial" w:eastAsia="Times New Roman" w:hAnsi="Arial" w:cs="Arial"/>
                <w:b/>
                <w:bCs/>
                <w:szCs w:val="24"/>
              </w:rPr>
              <w:t>Past 30-day behaviors</w:t>
            </w:r>
          </w:p>
        </w:tc>
      </w:tr>
      <w:tr w:rsidR="00CF13EB" w:rsidRPr="00B3588A" w:rsidTr="00505004">
        <w:trPr>
          <w:trHeight w:val="282"/>
        </w:trPr>
        <w:tc>
          <w:tcPr>
            <w:tcW w:w="278"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4920"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Drove under the influence of marijuana</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34.3</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27.6</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41.0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5.5</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8.8</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p>
        </w:tc>
      </w:tr>
      <w:tr w:rsidR="00CF13EB" w:rsidRPr="00B3588A" w:rsidTr="00505004">
        <w:trPr>
          <w:trHeight w:val="282"/>
        </w:trPr>
        <w:tc>
          <w:tcPr>
            <w:tcW w:w="278"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4920"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Rode with driver under influence of marijuana</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36.7</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29.9</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43.6</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2.8</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5.7</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11.3</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13.4</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&lt;0.001</w:t>
            </w:r>
          </w:p>
        </w:tc>
      </w:tr>
      <w:tr w:rsidR="00CF13EB" w:rsidRPr="00B3588A" w:rsidTr="00505004">
        <w:trPr>
          <w:trHeight w:val="282"/>
        </w:trPr>
        <w:tc>
          <w:tcPr>
            <w:tcW w:w="278"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4920"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Drove under the influence of alcohol</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10.3</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20.2</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4.7</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5.9</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6.9</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5.5</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8.4</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&lt;0.001</w:t>
            </w:r>
          </w:p>
        </w:tc>
      </w:tr>
      <w:tr w:rsidR="00CF13EB" w:rsidRPr="00B3588A" w:rsidTr="00505004">
        <w:trPr>
          <w:trHeight w:val="282"/>
        </w:trPr>
        <w:tc>
          <w:tcPr>
            <w:tcW w:w="278"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4920"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Rode with a driver under influence of alcohol</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14.6</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10.1</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19.1</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6.1</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4.9</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7.3</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7.9</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6.5</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9.3</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&lt;0.001</w:t>
            </w:r>
          </w:p>
        </w:tc>
      </w:tr>
      <w:tr w:rsidR="00CF13EB" w:rsidRPr="00B3588A" w:rsidTr="00505004">
        <w:trPr>
          <w:trHeight w:val="282"/>
        </w:trPr>
        <w:tc>
          <w:tcPr>
            <w:tcW w:w="278"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4920" w:type="dxa"/>
            <w:tcBorders>
              <w:top w:val="single" w:sz="4" w:space="0" w:color="auto"/>
              <w:bottom w:val="single" w:sz="4" w:space="0" w:color="auto"/>
              <w:right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Drove under the influence of other substances</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0.9</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0.1</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0.5</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0.1</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0.6</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0.440</w:t>
            </w:r>
          </w:p>
        </w:tc>
      </w:tr>
      <w:tr w:rsidR="00CF13EB" w:rsidRPr="00B3588A" w:rsidTr="00505004">
        <w:trPr>
          <w:trHeight w:val="282"/>
        </w:trPr>
        <w:tc>
          <w:tcPr>
            <w:tcW w:w="278"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4920" w:type="dxa"/>
            <w:tcBorders>
              <w:top w:val="single" w:sz="4" w:space="0" w:color="auto"/>
              <w:bottom w:val="single" w:sz="4" w:space="0" w:color="auto"/>
              <w:right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Rode with a driver under the influence of other substances</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2.3</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0.7</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3.9</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1.9</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0.7</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2.0</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0.205</w:t>
            </w:r>
          </w:p>
        </w:tc>
      </w:tr>
      <w:tr w:rsidR="00CF13EB" w:rsidRPr="00B3588A" w:rsidTr="00505004">
        <w:trPr>
          <w:trHeight w:val="282"/>
        </w:trPr>
        <w:tc>
          <w:tcPr>
            <w:tcW w:w="278"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4920" w:type="dxa"/>
            <w:tcBorders>
              <w:top w:val="single" w:sz="4" w:space="0" w:color="auto"/>
              <w:bottom w:val="single" w:sz="4" w:space="0" w:color="auto"/>
              <w:right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Drove under influence of any substance</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37.2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30.4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44.0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5.0</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3.7</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6.3</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11.8</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9.9</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13.8</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&lt;0.001</w:t>
            </w:r>
          </w:p>
        </w:tc>
      </w:tr>
      <w:tr w:rsidR="00CF13EB" w:rsidRPr="00B3588A" w:rsidTr="00505004">
        <w:trPr>
          <w:trHeight w:val="282"/>
        </w:trPr>
        <w:tc>
          <w:tcPr>
            <w:tcW w:w="278"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4920" w:type="dxa"/>
            <w:tcBorders>
              <w:top w:val="single" w:sz="4" w:space="0" w:color="auto"/>
              <w:bottom w:val="single" w:sz="4" w:space="0" w:color="auto"/>
              <w:right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Rode with driver under the influence of any substance</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42.2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35.2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49.2</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17.0</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14.8</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19.3</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&lt;0.001</w:t>
            </w:r>
          </w:p>
        </w:tc>
      </w:tr>
    </w:tbl>
    <w:p w:rsidR="00CF13EB" w:rsidRPr="00B3588A" w:rsidRDefault="00CF13EB" w:rsidP="006057BE">
      <w:pPr>
        <w:spacing w:after="0" w:line="240" w:lineRule="auto"/>
        <w:rPr>
          <w:b/>
        </w:rPr>
        <w:sectPr w:rsidR="00CF13EB" w:rsidRPr="00B3588A" w:rsidSect="00465399">
          <w:pgSz w:w="15840" w:h="12240" w:orient="landscape"/>
          <w:pgMar w:top="1440" w:right="1440" w:bottom="1440" w:left="1440" w:header="720" w:footer="720" w:gutter="0"/>
          <w:cols w:space="720"/>
          <w:docGrid w:linePitch="360"/>
        </w:sectPr>
      </w:pPr>
    </w:p>
    <w:p w:rsidR="00CF13EB" w:rsidRPr="0090612A" w:rsidRDefault="00CF13EB" w:rsidP="0090612A">
      <w:pPr>
        <w:spacing w:after="0"/>
        <w:rPr>
          <w:rFonts w:ascii="Arial" w:hAnsi="Arial" w:cs="Arial"/>
          <w:b/>
          <w:sz w:val="24"/>
        </w:rPr>
      </w:pPr>
      <w:bookmarkStart w:id="406" w:name="_Toc11765999"/>
      <w:bookmarkStart w:id="407" w:name="_Toc11766654"/>
      <w:bookmarkStart w:id="408" w:name="_Toc11917235"/>
      <w:bookmarkStart w:id="409" w:name="_Toc11921673"/>
      <w:r w:rsidRPr="0090612A">
        <w:rPr>
          <w:rFonts w:ascii="Arial" w:hAnsi="Arial" w:cs="Arial"/>
          <w:b/>
          <w:sz w:val="24"/>
        </w:rPr>
        <w:t>Table 3. Past 30-day prevalence of DUI-marijuana and RUI-marijuana, by demographic group</w:t>
      </w:r>
      <w:bookmarkEnd w:id="406"/>
      <w:bookmarkEnd w:id="407"/>
      <w:bookmarkEnd w:id="408"/>
      <w:bookmarkEnd w:id="409"/>
    </w:p>
    <w:tbl>
      <w:tblPr>
        <w:tblW w:w="8350" w:type="dxa"/>
        <w:jc w:val="center"/>
        <w:tblLook w:val="04A0" w:firstRow="1" w:lastRow="0" w:firstColumn="1" w:lastColumn="0" w:noHBand="0" w:noVBand="1"/>
        <w:tblCaption w:val="Past 30-day prevalence of DUI-marijuana and RUI-marijuana, by demographic group"/>
      </w:tblPr>
      <w:tblGrid>
        <w:gridCol w:w="278"/>
        <w:gridCol w:w="2155"/>
        <w:gridCol w:w="730"/>
        <w:gridCol w:w="657"/>
        <w:gridCol w:w="669"/>
        <w:gridCol w:w="891"/>
        <w:gridCol w:w="688"/>
        <w:gridCol w:w="662"/>
        <w:gridCol w:w="720"/>
        <w:gridCol w:w="900"/>
      </w:tblGrid>
      <w:tr w:rsidR="00CF13EB" w:rsidRPr="00B3588A" w:rsidTr="00505004">
        <w:trPr>
          <w:trHeight w:val="458"/>
          <w:jc w:val="center"/>
        </w:trPr>
        <w:tc>
          <w:tcPr>
            <w:tcW w:w="243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 </w:t>
            </w:r>
          </w:p>
        </w:tc>
        <w:tc>
          <w:tcPr>
            <w:tcW w:w="2947" w:type="dxa"/>
            <w:gridSpan w:val="4"/>
            <w:vMerge w:val="restart"/>
            <w:tcBorders>
              <w:top w:val="single" w:sz="4" w:space="0" w:color="auto"/>
              <w:left w:val="single" w:sz="4" w:space="0" w:color="auto"/>
              <w:bottom w:val="nil"/>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Drove under the influence of marijuana</w:t>
            </w:r>
          </w:p>
          <w:p w:rsidR="00CF13EB" w:rsidRPr="00B3588A" w:rsidRDefault="00CF13EB" w:rsidP="006057BE">
            <w:pPr>
              <w:spacing w:after="0" w:line="240" w:lineRule="auto"/>
              <w:jc w:val="center"/>
              <w:rPr>
                <w:rFonts w:ascii="Arial" w:eastAsia="Times New Roman" w:hAnsi="Arial" w:cs="Arial"/>
                <w:b/>
                <w:bCs/>
                <w:szCs w:val="24"/>
              </w:rPr>
            </w:pPr>
          </w:p>
        </w:tc>
        <w:tc>
          <w:tcPr>
            <w:tcW w:w="2970" w:type="dxa"/>
            <w:gridSpan w:val="4"/>
            <w:vMerge w:val="restart"/>
            <w:tcBorders>
              <w:top w:val="single" w:sz="4" w:space="0" w:color="auto"/>
              <w:left w:val="single" w:sz="4" w:space="0" w:color="auto"/>
              <w:bottom w:val="single" w:sz="4" w:space="0" w:color="B0B7BB"/>
              <w:right w:val="single" w:sz="4" w:space="0" w:color="000000"/>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Rode with a driver who was under the influence of marijuana</w:t>
            </w:r>
          </w:p>
        </w:tc>
      </w:tr>
      <w:tr w:rsidR="00CF13EB" w:rsidRPr="00B3588A" w:rsidTr="00505004">
        <w:trPr>
          <w:trHeight w:val="458"/>
          <w:jc w:val="center"/>
        </w:trPr>
        <w:tc>
          <w:tcPr>
            <w:tcW w:w="2433" w:type="dxa"/>
            <w:gridSpan w:val="2"/>
            <w:vMerge/>
            <w:tcBorders>
              <w:top w:val="single" w:sz="4" w:space="0" w:color="auto"/>
              <w:left w:val="single" w:sz="4" w:space="0" w:color="auto"/>
              <w:bottom w:val="single" w:sz="4" w:space="0" w:color="000000"/>
              <w:right w:val="single" w:sz="4" w:space="0" w:color="auto"/>
            </w:tcBorders>
            <w:vAlign w:val="center"/>
            <w:hideMark/>
          </w:tcPr>
          <w:p w:rsidR="00CF13EB" w:rsidRPr="00B3588A" w:rsidRDefault="00CF13EB" w:rsidP="006057BE">
            <w:pPr>
              <w:spacing w:after="0" w:line="240" w:lineRule="auto"/>
              <w:rPr>
                <w:rFonts w:ascii="Arial" w:eastAsia="Times New Roman" w:hAnsi="Arial" w:cs="Arial"/>
                <w:b/>
                <w:bCs/>
                <w:szCs w:val="24"/>
              </w:rPr>
            </w:pPr>
          </w:p>
        </w:tc>
        <w:tc>
          <w:tcPr>
            <w:tcW w:w="2947" w:type="dxa"/>
            <w:gridSpan w:val="4"/>
            <w:vMerge/>
            <w:tcBorders>
              <w:top w:val="single" w:sz="4" w:space="0" w:color="auto"/>
              <w:left w:val="single" w:sz="4" w:space="0" w:color="auto"/>
              <w:bottom w:val="nil"/>
              <w:right w:val="single" w:sz="4" w:space="0" w:color="auto"/>
            </w:tcBorders>
            <w:vAlign w:val="center"/>
            <w:hideMark/>
          </w:tcPr>
          <w:p w:rsidR="00CF13EB" w:rsidRPr="00B3588A" w:rsidRDefault="00CF13EB" w:rsidP="006057BE">
            <w:pPr>
              <w:spacing w:after="0" w:line="240" w:lineRule="auto"/>
              <w:rPr>
                <w:rFonts w:ascii="Arial" w:eastAsia="Times New Roman" w:hAnsi="Arial" w:cs="Arial"/>
                <w:b/>
                <w:bCs/>
                <w:szCs w:val="24"/>
              </w:rPr>
            </w:pPr>
          </w:p>
        </w:tc>
        <w:tc>
          <w:tcPr>
            <w:tcW w:w="2970" w:type="dxa"/>
            <w:gridSpan w:val="4"/>
            <w:vMerge/>
            <w:tcBorders>
              <w:top w:val="single" w:sz="4" w:space="0" w:color="auto"/>
              <w:left w:val="single" w:sz="4" w:space="0" w:color="auto"/>
              <w:bottom w:val="single" w:sz="4" w:space="0" w:color="B0B7BB"/>
              <w:right w:val="single" w:sz="4" w:space="0" w:color="000000"/>
            </w:tcBorders>
            <w:vAlign w:val="center"/>
            <w:hideMark/>
          </w:tcPr>
          <w:p w:rsidR="00CF13EB" w:rsidRPr="00B3588A" w:rsidRDefault="00CF13EB" w:rsidP="006057BE">
            <w:pPr>
              <w:spacing w:after="0" w:line="240" w:lineRule="auto"/>
              <w:rPr>
                <w:rFonts w:ascii="Arial" w:eastAsia="Times New Roman" w:hAnsi="Arial" w:cs="Arial"/>
                <w:b/>
                <w:bCs/>
                <w:szCs w:val="24"/>
              </w:rPr>
            </w:pPr>
          </w:p>
        </w:tc>
      </w:tr>
      <w:tr w:rsidR="00CF13EB" w:rsidRPr="00B3588A" w:rsidTr="00505004">
        <w:trPr>
          <w:trHeight w:val="542"/>
          <w:jc w:val="center"/>
        </w:trPr>
        <w:tc>
          <w:tcPr>
            <w:tcW w:w="2433" w:type="dxa"/>
            <w:gridSpan w:val="2"/>
            <w:vMerge/>
            <w:tcBorders>
              <w:top w:val="single" w:sz="4" w:space="0" w:color="auto"/>
              <w:left w:val="single" w:sz="4" w:space="0" w:color="auto"/>
              <w:bottom w:val="single" w:sz="4" w:space="0" w:color="auto"/>
              <w:right w:val="single" w:sz="4" w:space="0" w:color="auto"/>
            </w:tcBorders>
            <w:vAlign w:val="center"/>
            <w:hideMark/>
          </w:tcPr>
          <w:p w:rsidR="00CF13EB" w:rsidRPr="00B3588A" w:rsidRDefault="00CF13EB" w:rsidP="006057BE">
            <w:pPr>
              <w:spacing w:after="0" w:line="240" w:lineRule="auto"/>
              <w:rPr>
                <w:rFonts w:ascii="Arial" w:eastAsia="Times New Roman" w:hAnsi="Arial" w:cs="Arial"/>
                <w:b/>
                <w:bCs/>
                <w:szCs w:val="24"/>
              </w:rPr>
            </w:pPr>
          </w:p>
        </w:tc>
        <w:tc>
          <w:tcPr>
            <w:tcW w:w="730" w:type="dxa"/>
            <w:tcBorders>
              <w:top w:val="single" w:sz="4" w:space="0" w:color="B0B7BB"/>
              <w:left w:val="single" w:sz="4" w:space="0" w:color="auto"/>
              <w:bottom w:val="single" w:sz="4" w:space="0" w:color="auto"/>
              <w:right w:val="single" w:sz="4" w:space="0" w:color="B0B7BB"/>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w:t>
            </w:r>
          </w:p>
        </w:tc>
        <w:tc>
          <w:tcPr>
            <w:tcW w:w="657" w:type="dxa"/>
            <w:tcBorders>
              <w:top w:val="single" w:sz="4" w:space="0" w:color="B0B7BB"/>
              <w:left w:val="nil"/>
              <w:bottom w:val="single" w:sz="4" w:space="0" w:color="auto"/>
              <w:right w:val="single" w:sz="4" w:space="0" w:color="B0B7BB"/>
            </w:tcBorders>
            <w:shd w:val="clear" w:color="auto" w:fill="auto"/>
            <w:vAlign w:val="bottom"/>
            <w:hideMark/>
          </w:tcPr>
          <w:p w:rsidR="00CF13EB" w:rsidRPr="00B3588A" w:rsidRDefault="00505004" w:rsidP="006057BE">
            <w:pPr>
              <w:spacing w:after="0" w:line="240" w:lineRule="auto"/>
              <w:jc w:val="center"/>
              <w:rPr>
                <w:rFonts w:ascii="Arial" w:eastAsia="Times New Roman" w:hAnsi="Arial" w:cs="Arial"/>
                <w:b/>
                <w:bCs/>
                <w:szCs w:val="24"/>
              </w:rPr>
            </w:pPr>
            <w:r>
              <w:rPr>
                <w:rFonts w:ascii="Arial" w:eastAsia="Times New Roman" w:hAnsi="Arial" w:cs="Arial"/>
                <w:b/>
                <w:bCs/>
                <w:szCs w:val="24"/>
              </w:rPr>
              <w:t>95%</w:t>
            </w:r>
            <w:r>
              <w:rPr>
                <w:rFonts w:ascii="Arial" w:eastAsia="Times New Roman" w:hAnsi="Arial" w:cs="Arial"/>
                <w:b/>
                <w:bCs/>
                <w:szCs w:val="24"/>
              </w:rPr>
              <w:br/>
              <w:t>LCL</w:t>
            </w:r>
          </w:p>
        </w:tc>
        <w:tc>
          <w:tcPr>
            <w:tcW w:w="669" w:type="dxa"/>
            <w:tcBorders>
              <w:top w:val="single" w:sz="4" w:space="0" w:color="B0B7BB"/>
              <w:left w:val="nil"/>
              <w:bottom w:val="single" w:sz="4" w:space="0" w:color="auto"/>
              <w:right w:val="single" w:sz="4" w:space="0" w:color="B0B7BB"/>
            </w:tcBorders>
            <w:shd w:val="clear" w:color="auto" w:fill="auto"/>
            <w:vAlign w:val="bottom"/>
            <w:hideMark/>
          </w:tcPr>
          <w:p w:rsidR="00CF13EB" w:rsidRPr="00B3588A" w:rsidRDefault="00505004" w:rsidP="006057BE">
            <w:pPr>
              <w:spacing w:after="0" w:line="240" w:lineRule="auto"/>
              <w:jc w:val="center"/>
              <w:rPr>
                <w:rFonts w:ascii="Arial" w:eastAsia="Times New Roman" w:hAnsi="Arial" w:cs="Arial"/>
                <w:b/>
                <w:bCs/>
                <w:szCs w:val="24"/>
              </w:rPr>
            </w:pPr>
            <w:r>
              <w:rPr>
                <w:rFonts w:ascii="Arial" w:eastAsia="Times New Roman" w:hAnsi="Arial" w:cs="Arial"/>
                <w:b/>
                <w:bCs/>
                <w:szCs w:val="24"/>
              </w:rPr>
              <w:t>95%</w:t>
            </w:r>
            <w:r>
              <w:rPr>
                <w:rFonts w:ascii="Arial" w:eastAsia="Times New Roman" w:hAnsi="Arial" w:cs="Arial"/>
                <w:b/>
                <w:bCs/>
                <w:szCs w:val="24"/>
              </w:rPr>
              <w:br/>
              <w:t>UCL</w:t>
            </w:r>
          </w:p>
        </w:tc>
        <w:tc>
          <w:tcPr>
            <w:tcW w:w="891" w:type="dxa"/>
            <w:tcBorders>
              <w:top w:val="single" w:sz="4" w:space="0" w:color="D9D9D9" w:themeColor="background1" w:themeShade="D9"/>
              <w:left w:val="nil"/>
              <w:bottom w:val="single" w:sz="4" w:space="0" w:color="auto"/>
              <w:right w:val="single" w:sz="4" w:space="0" w:color="auto"/>
            </w:tcBorders>
            <w:shd w:val="clear" w:color="auto" w:fill="auto"/>
            <w:noWrap/>
            <w:vAlign w:val="bottom"/>
            <w:hideMark/>
          </w:tcPr>
          <w:p w:rsidR="00CF13EB" w:rsidRPr="00505004" w:rsidRDefault="00CF13EB" w:rsidP="00505004">
            <w:pPr>
              <w:spacing w:after="0" w:line="240" w:lineRule="auto"/>
              <w:jc w:val="center"/>
              <w:rPr>
                <w:rFonts w:ascii="Arial" w:eastAsia="Times New Roman" w:hAnsi="Arial" w:cs="Arial"/>
                <w:b/>
                <w:bCs/>
                <w:szCs w:val="24"/>
              </w:rPr>
            </w:pPr>
            <w:r w:rsidRPr="00505004">
              <w:rPr>
                <w:rFonts w:ascii="Arial" w:eastAsia="Times New Roman" w:hAnsi="Arial" w:cs="Arial"/>
                <w:b/>
                <w:bCs/>
                <w:szCs w:val="24"/>
              </w:rPr>
              <w:t>p-value</w:t>
            </w:r>
          </w:p>
        </w:tc>
        <w:tc>
          <w:tcPr>
            <w:tcW w:w="688" w:type="dxa"/>
            <w:tcBorders>
              <w:top w:val="nil"/>
              <w:left w:val="single" w:sz="4" w:space="0" w:color="auto"/>
              <w:bottom w:val="single" w:sz="4" w:space="0" w:color="auto"/>
              <w:right w:val="single" w:sz="4" w:space="0" w:color="B0B7BB"/>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w:t>
            </w:r>
          </w:p>
        </w:tc>
        <w:tc>
          <w:tcPr>
            <w:tcW w:w="662" w:type="dxa"/>
            <w:tcBorders>
              <w:top w:val="nil"/>
              <w:left w:val="nil"/>
              <w:bottom w:val="single" w:sz="4" w:space="0" w:color="auto"/>
              <w:right w:val="single" w:sz="4" w:space="0" w:color="B0B7BB"/>
            </w:tcBorders>
            <w:shd w:val="clear" w:color="auto" w:fill="auto"/>
            <w:vAlign w:val="bottom"/>
            <w:hideMark/>
          </w:tcPr>
          <w:p w:rsidR="00CF13EB" w:rsidRPr="00B3588A" w:rsidRDefault="00505004" w:rsidP="006057BE">
            <w:pPr>
              <w:spacing w:after="0" w:line="240" w:lineRule="auto"/>
              <w:jc w:val="center"/>
              <w:rPr>
                <w:rFonts w:ascii="Arial" w:eastAsia="Times New Roman" w:hAnsi="Arial" w:cs="Arial"/>
                <w:b/>
                <w:bCs/>
                <w:szCs w:val="24"/>
              </w:rPr>
            </w:pPr>
            <w:r>
              <w:rPr>
                <w:rFonts w:ascii="Arial" w:eastAsia="Times New Roman" w:hAnsi="Arial" w:cs="Arial"/>
                <w:b/>
                <w:bCs/>
                <w:szCs w:val="24"/>
              </w:rPr>
              <w:t>95%</w:t>
            </w:r>
            <w:r>
              <w:rPr>
                <w:rFonts w:ascii="Arial" w:eastAsia="Times New Roman" w:hAnsi="Arial" w:cs="Arial"/>
                <w:b/>
                <w:bCs/>
                <w:szCs w:val="24"/>
              </w:rPr>
              <w:br/>
              <w:t>LCL</w:t>
            </w:r>
          </w:p>
        </w:tc>
        <w:tc>
          <w:tcPr>
            <w:tcW w:w="720" w:type="dxa"/>
            <w:tcBorders>
              <w:top w:val="nil"/>
              <w:left w:val="nil"/>
              <w:bottom w:val="single" w:sz="4" w:space="0" w:color="auto"/>
              <w:right w:val="single" w:sz="4" w:space="0" w:color="B0B7BB"/>
            </w:tcBorders>
            <w:shd w:val="clear" w:color="auto" w:fill="auto"/>
            <w:vAlign w:val="bottom"/>
            <w:hideMark/>
          </w:tcPr>
          <w:p w:rsidR="00CF13EB" w:rsidRPr="00B3588A" w:rsidRDefault="00505004" w:rsidP="006057BE">
            <w:pPr>
              <w:spacing w:after="0" w:line="240" w:lineRule="auto"/>
              <w:jc w:val="center"/>
              <w:rPr>
                <w:rFonts w:ascii="Arial" w:eastAsia="Times New Roman" w:hAnsi="Arial" w:cs="Arial"/>
                <w:b/>
                <w:bCs/>
                <w:szCs w:val="24"/>
              </w:rPr>
            </w:pPr>
            <w:r>
              <w:rPr>
                <w:rFonts w:ascii="Arial" w:eastAsia="Times New Roman" w:hAnsi="Arial" w:cs="Arial"/>
                <w:b/>
                <w:bCs/>
                <w:szCs w:val="24"/>
              </w:rPr>
              <w:t>95%</w:t>
            </w:r>
            <w:r>
              <w:rPr>
                <w:rFonts w:ascii="Arial" w:eastAsia="Times New Roman" w:hAnsi="Arial" w:cs="Arial"/>
                <w:b/>
                <w:bCs/>
                <w:szCs w:val="24"/>
              </w:rPr>
              <w:br/>
              <w:t>UCL</w:t>
            </w:r>
          </w:p>
        </w:tc>
        <w:tc>
          <w:tcPr>
            <w:tcW w:w="900" w:type="dxa"/>
            <w:tcBorders>
              <w:top w:val="nil"/>
              <w:left w:val="nil"/>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p-value</w:t>
            </w:r>
          </w:p>
        </w:tc>
      </w:tr>
      <w:tr w:rsidR="00CF13EB" w:rsidRPr="00B3588A" w:rsidTr="00505004">
        <w:trPr>
          <w:trHeight w:val="261"/>
          <w:jc w:val="center"/>
        </w:trPr>
        <w:tc>
          <w:tcPr>
            <w:tcW w:w="243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Overall</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7.2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5.5</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8.8</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11.3</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13.4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505004" w:rsidRPr="00B3588A" w:rsidTr="00626599">
        <w:trPr>
          <w:trHeight w:val="261"/>
          <w:jc w:val="center"/>
        </w:trPr>
        <w:tc>
          <w:tcPr>
            <w:tcW w:w="8350" w:type="dxa"/>
            <w:gridSpan w:val="10"/>
            <w:tcBorders>
              <w:top w:val="single" w:sz="4" w:space="0" w:color="auto"/>
              <w:left w:val="single" w:sz="4" w:space="0" w:color="auto"/>
              <w:bottom w:val="single" w:sz="4" w:space="0" w:color="auto"/>
              <w:right w:val="single" w:sz="4" w:space="0" w:color="auto"/>
            </w:tcBorders>
            <w:shd w:val="clear" w:color="auto" w:fill="auto"/>
            <w:hideMark/>
          </w:tcPr>
          <w:p w:rsidR="00505004" w:rsidRPr="00505004" w:rsidRDefault="00505004" w:rsidP="00505004">
            <w:pPr>
              <w:spacing w:after="0" w:line="240" w:lineRule="auto"/>
              <w:rPr>
                <w:rFonts w:ascii="Arial" w:eastAsia="Times New Roman" w:hAnsi="Arial" w:cs="Arial"/>
                <w:b/>
                <w:bCs/>
                <w:szCs w:val="24"/>
              </w:rPr>
            </w:pPr>
            <w:r w:rsidRPr="00B3588A">
              <w:rPr>
                <w:rFonts w:ascii="Arial" w:eastAsia="Times New Roman" w:hAnsi="Arial" w:cs="Arial"/>
                <w:b/>
                <w:bCs/>
                <w:szCs w:val="24"/>
              </w:rPr>
              <w:t>Age</w:t>
            </w:r>
          </w:p>
        </w:tc>
      </w:tr>
      <w:tr w:rsidR="00CF13EB" w:rsidRPr="00B3588A" w:rsidTr="00505004">
        <w:trPr>
          <w:trHeight w:val="238"/>
          <w:jc w:val="center"/>
        </w:trPr>
        <w:tc>
          <w:tcPr>
            <w:tcW w:w="278"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18-20</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25.6*</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5.5</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45.6</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0.002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35.8</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57.5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&lt;0.001</w:t>
            </w: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21-25</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24.1</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12.3</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35.8</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38.0</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24.5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51.6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26-34</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11.7</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6.8</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16.5</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18.1</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24.3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35-64</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4.5</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3.0</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6.0</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7.7</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65+</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1.1</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0.3</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1.9</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1.4</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505004" w:rsidRPr="00B3588A" w:rsidTr="00626599">
        <w:trPr>
          <w:trHeight w:val="261"/>
          <w:jc w:val="center"/>
        </w:trPr>
        <w:tc>
          <w:tcPr>
            <w:tcW w:w="7450"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505004" w:rsidRPr="00B3588A" w:rsidRDefault="00505004" w:rsidP="00505004">
            <w:pPr>
              <w:spacing w:after="0" w:line="240" w:lineRule="auto"/>
              <w:rPr>
                <w:rFonts w:ascii="Arial" w:eastAsia="Times New Roman" w:hAnsi="Arial" w:cs="Arial"/>
                <w:szCs w:val="24"/>
              </w:rPr>
            </w:pPr>
            <w:r w:rsidRPr="00B3588A">
              <w:rPr>
                <w:rFonts w:ascii="Arial" w:eastAsia="Times New Roman" w:hAnsi="Arial" w:cs="Arial"/>
                <w:b/>
                <w:bCs/>
                <w:szCs w:val="24"/>
              </w:rPr>
              <w:t>Gender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004" w:rsidRPr="00B3588A" w:rsidRDefault="00505004"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0.600</w:t>
            </w: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Female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5.5</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3.6</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7.5</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0.042</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11.9</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14.7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Male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9.1</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6.3</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11.8</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10.8</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7.7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13.9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505004" w:rsidRPr="00B3588A" w:rsidTr="00626599">
        <w:trPr>
          <w:trHeight w:val="261"/>
          <w:jc w:val="center"/>
        </w:trPr>
        <w:tc>
          <w:tcPr>
            <w:tcW w:w="7450" w:type="dxa"/>
            <w:gridSpan w:val="9"/>
            <w:tcBorders>
              <w:top w:val="single" w:sz="4" w:space="0" w:color="auto"/>
              <w:left w:val="single" w:sz="4" w:space="0" w:color="auto"/>
              <w:bottom w:val="single" w:sz="4" w:space="0" w:color="auto"/>
              <w:right w:val="single" w:sz="4" w:space="0" w:color="auto"/>
            </w:tcBorders>
            <w:shd w:val="clear" w:color="auto" w:fill="auto"/>
            <w:noWrap/>
            <w:hideMark/>
          </w:tcPr>
          <w:p w:rsidR="00505004" w:rsidRPr="00B3588A" w:rsidRDefault="00505004" w:rsidP="00505004">
            <w:pPr>
              <w:spacing w:after="0" w:line="240" w:lineRule="auto"/>
              <w:rPr>
                <w:rFonts w:ascii="Arial" w:eastAsia="Times New Roman" w:hAnsi="Arial" w:cs="Arial"/>
                <w:szCs w:val="24"/>
              </w:rPr>
            </w:pPr>
            <w:r w:rsidRPr="00B3588A">
              <w:rPr>
                <w:rFonts w:ascii="Arial" w:eastAsia="Times New Roman" w:hAnsi="Arial" w:cs="Arial"/>
                <w:b/>
                <w:bCs/>
                <w:szCs w:val="24"/>
              </w:rPr>
              <w:t>Ethnicity</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004" w:rsidRPr="00B3588A" w:rsidRDefault="00505004"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Any Hispanic</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11.5</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3.5</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19.6</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0.139</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18.4</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8.8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28.0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0.390</w:t>
            </w: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White, non-Hispanic</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6.9</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5.1</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8.7</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10.3</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8.1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12.4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Black, non-Hispanic</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1.9*</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0.0</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4.3</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15.0</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27.4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Asian, non-Hispanic</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3.5*</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0.0</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7.5</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8.3</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14.6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Other, non-Hispanic</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16.2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2.9</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29.4</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13.5</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26.6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505004" w:rsidRPr="00B3588A" w:rsidTr="00626599">
        <w:trPr>
          <w:trHeight w:val="261"/>
          <w:jc w:val="center"/>
        </w:trPr>
        <w:tc>
          <w:tcPr>
            <w:tcW w:w="745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004" w:rsidRPr="00B3588A" w:rsidRDefault="00505004" w:rsidP="00505004">
            <w:pPr>
              <w:spacing w:after="0" w:line="240" w:lineRule="auto"/>
              <w:rPr>
                <w:rFonts w:ascii="Arial" w:eastAsia="Times New Roman" w:hAnsi="Arial" w:cs="Arial"/>
                <w:szCs w:val="24"/>
              </w:rPr>
            </w:pPr>
            <w:r w:rsidRPr="00B3588A">
              <w:rPr>
                <w:rFonts w:ascii="Arial" w:eastAsia="Times New Roman" w:hAnsi="Arial" w:cs="Arial"/>
                <w:b/>
                <w:bCs/>
                <w:szCs w:val="24"/>
              </w:rPr>
              <w:t>Education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004" w:rsidRPr="00B3588A" w:rsidRDefault="00505004"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0.027</w:t>
            </w:r>
          </w:p>
        </w:tc>
      </w:tr>
      <w:tr w:rsidR="00CF13EB" w:rsidRPr="00B3588A" w:rsidTr="00505004">
        <w:trPr>
          <w:trHeight w:val="261"/>
          <w:jc w:val="center"/>
        </w:trPr>
        <w:tc>
          <w:tcPr>
            <w:tcW w:w="278" w:type="dxa"/>
            <w:vMerge w:val="restart"/>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High school or less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7.0</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3.4</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10.5</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0.009</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11.4</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6.9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15.9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vMerge/>
            <w:tcBorders>
              <w:top w:val="single" w:sz="4" w:space="0" w:color="auto"/>
              <w:left w:val="single" w:sz="4" w:space="0" w:color="auto"/>
              <w:bottom w:val="single" w:sz="4" w:space="0" w:color="auto"/>
            </w:tcBorders>
            <w:vAlign w:val="center"/>
            <w:hideMark/>
          </w:tcPr>
          <w:p w:rsidR="00CF13EB" w:rsidRPr="00B3588A" w:rsidRDefault="00CF13EB" w:rsidP="006057BE">
            <w:pPr>
              <w:spacing w:after="0" w:line="240" w:lineRule="auto"/>
              <w:rPr>
                <w:rFonts w:ascii="Arial" w:eastAsia="Times New Roman" w:hAnsi="Arial" w:cs="Arial"/>
                <w:b/>
                <w:bCs/>
                <w:szCs w:val="24"/>
              </w:rPr>
            </w:pP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College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9.4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7.0</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11.7</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13.5</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10.7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16.4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vMerge/>
            <w:tcBorders>
              <w:top w:val="single" w:sz="4" w:space="0" w:color="auto"/>
              <w:left w:val="single" w:sz="4" w:space="0" w:color="auto"/>
              <w:bottom w:val="single" w:sz="4" w:space="0" w:color="auto"/>
            </w:tcBorders>
            <w:vAlign w:val="center"/>
            <w:hideMark/>
          </w:tcPr>
          <w:p w:rsidR="00CF13EB" w:rsidRPr="00B3588A" w:rsidRDefault="00CF13EB" w:rsidP="006057BE">
            <w:pPr>
              <w:spacing w:after="0" w:line="240" w:lineRule="auto"/>
              <w:rPr>
                <w:rFonts w:ascii="Arial" w:eastAsia="Times New Roman" w:hAnsi="Arial" w:cs="Arial"/>
                <w:b/>
                <w:bCs/>
                <w:szCs w:val="24"/>
              </w:rPr>
            </w:pP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Graduate school</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2.2</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0.8</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3.5</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5.7</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8.1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505004" w:rsidRPr="00B3588A" w:rsidTr="00505004">
        <w:trPr>
          <w:trHeight w:val="261"/>
          <w:jc w:val="center"/>
        </w:trPr>
        <w:tc>
          <w:tcPr>
            <w:tcW w:w="745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004" w:rsidRPr="00B3588A" w:rsidRDefault="00505004" w:rsidP="00505004">
            <w:pPr>
              <w:spacing w:after="0" w:line="240" w:lineRule="auto"/>
              <w:rPr>
                <w:rFonts w:ascii="Arial" w:eastAsia="Times New Roman" w:hAnsi="Arial" w:cs="Arial"/>
                <w:szCs w:val="24"/>
              </w:rPr>
            </w:pPr>
            <w:r w:rsidRPr="00B3588A">
              <w:rPr>
                <w:rFonts w:ascii="Arial" w:eastAsia="Times New Roman" w:hAnsi="Arial" w:cs="Arial"/>
                <w:b/>
                <w:bCs/>
                <w:szCs w:val="24"/>
              </w:rPr>
              <w:t># days using marijuana, past 30 days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004" w:rsidRPr="00B3588A" w:rsidRDefault="00505004"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0.032</w:t>
            </w: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1-5 days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17.9</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9.6</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26.1</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21.2</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11.9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6-10 days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17.8</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2.8</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32.7</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36.9</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58.5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11-15 days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45.4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21.2</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69.6</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52.9</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77.5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16-20 days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47.1</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21.6</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72.5</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45.3</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19.5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71.2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61"/>
          <w:jc w:val="center"/>
        </w:trPr>
        <w:tc>
          <w:tcPr>
            <w:tcW w:w="278"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21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21 or more days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53.6</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41.7</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65.4</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49.4</w:t>
            </w:r>
          </w:p>
        </w:tc>
        <w:tc>
          <w:tcPr>
            <w:tcW w:w="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37.4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r w:rsidRPr="00B3588A">
              <w:rPr>
                <w:rFonts w:ascii="Arial" w:eastAsia="Times New Roman" w:hAnsi="Arial" w:cs="Arial"/>
                <w:szCs w:val="24"/>
              </w:rPr>
              <w:t>61.4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szCs w:val="24"/>
              </w:rPr>
            </w:pPr>
          </w:p>
        </w:tc>
      </w:tr>
      <w:tr w:rsidR="00CF13EB" w:rsidRPr="00B3588A" w:rsidTr="00505004">
        <w:trPr>
          <w:trHeight w:val="224"/>
          <w:jc w:val="center"/>
        </w:trPr>
        <w:tc>
          <w:tcPr>
            <w:tcW w:w="8350" w:type="dxa"/>
            <w:gridSpan w:val="10"/>
            <w:tcBorders>
              <w:top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Based on small cell size of 5 or fewer. Percentages are row percents.</w:t>
            </w:r>
          </w:p>
        </w:tc>
      </w:tr>
    </w:tbl>
    <w:p w:rsidR="00A3309E" w:rsidRDefault="00A3309E" w:rsidP="006057BE">
      <w:pPr>
        <w:spacing w:after="0" w:line="240" w:lineRule="auto"/>
        <w:rPr>
          <w:rFonts w:ascii="Arial" w:hAnsi="Arial" w:cs="Arial"/>
          <w:i/>
        </w:rPr>
      </w:pPr>
    </w:p>
    <w:p w:rsidR="00CF13EB" w:rsidRPr="00465399" w:rsidRDefault="00CF13EB" w:rsidP="006057BE">
      <w:pPr>
        <w:spacing w:after="0" w:line="240" w:lineRule="auto"/>
        <w:rPr>
          <w:rFonts w:ascii="Arial" w:hAnsi="Arial" w:cs="Arial"/>
          <w:i/>
          <w:sz w:val="24"/>
        </w:rPr>
      </w:pPr>
      <w:r w:rsidRPr="00465399">
        <w:rPr>
          <w:rFonts w:ascii="Arial" w:hAnsi="Arial" w:cs="Arial"/>
          <w:i/>
          <w:sz w:val="24"/>
        </w:rPr>
        <w:t>Characteristics of individuals who drive under the influence of marijuana (DUI-marijuana)</w:t>
      </w:r>
      <w:bookmarkEnd w:id="405"/>
      <w:r w:rsidRPr="00465399">
        <w:rPr>
          <w:rFonts w:ascii="Arial" w:hAnsi="Arial" w:cs="Arial"/>
          <w:i/>
          <w:sz w:val="24"/>
        </w:rPr>
        <w:t xml:space="preserve"> </w:t>
      </w:r>
    </w:p>
    <w:p w:rsidR="00465399" w:rsidRPr="00B3588A" w:rsidRDefault="00465399" w:rsidP="006057BE">
      <w:pPr>
        <w:spacing w:after="0" w:line="240" w:lineRule="auto"/>
        <w:rPr>
          <w:rFonts w:ascii="Arial" w:hAnsi="Arial" w:cs="Arial"/>
          <w:i/>
        </w:rPr>
      </w:pPr>
    </w:p>
    <w:p w:rsidR="00CF13EB" w:rsidRDefault="00CF13EB" w:rsidP="006057BE">
      <w:pPr>
        <w:pStyle w:val="BodyText"/>
        <w:spacing w:line="240" w:lineRule="auto"/>
        <w:rPr>
          <w:sz w:val="24"/>
        </w:rPr>
      </w:pPr>
      <w:r w:rsidRPr="00465399">
        <w:rPr>
          <w:sz w:val="24"/>
        </w:rPr>
        <w:t xml:space="preserve">Table 4 also shows characteristics and substance use behaviors of marijuana users who drove under the influence of marijuana compared to those who did not. We found no differences in the distribution of gender or ethnicity by DUI-marijuana status. Of those who drove under the influence of marijuana, 47.1% did so six or more times in the past 30 days, 32.7% did so 2-5 times, and 17% did so just once. Of these individuals, 67.5% also rode with a driver who was under the influence of marijuana once or more in the past 30 days; 8% did so </w:t>
      </w:r>
      <w:r w:rsidR="007413B0">
        <w:rPr>
          <w:sz w:val="24"/>
        </w:rPr>
        <w:t>only one time.</w:t>
      </w:r>
    </w:p>
    <w:p w:rsidR="007413B0" w:rsidRPr="007413B0" w:rsidRDefault="007413B0" w:rsidP="006057BE">
      <w:pPr>
        <w:pStyle w:val="BodyText"/>
        <w:spacing w:line="240" w:lineRule="auto"/>
        <w:rPr>
          <w:sz w:val="24"/>
        </w:rPr>
      </w:pPr>
    </w:p>
    <w:p w:rsidR="0090612A" w:rsidRDefault="0090612A" w:rsidP="005F7A46">
      <w:pPr>
        <w:pStyle w:val="Heading2"/>
      </w:pPr>
      <w:bookmarkStart w:id="410" w:name="_Toc11766000"/>
      <w:bookmarkStart w:id="411" w:name="_Toc11766655"/>
      <w:bookmarkStart w:id="412" w:name="_Toc11917236"/>
      <w:bookmarkStart w:id="413" w:name="_Toc11921674"/>
    </w:p>
    <w:p w:rsidR="00CF13EB" w:rsidRPr="0090612A" w:rsidRDefault="00CF13EB" w:rsidP="0090612A">
      <w:pPr>
        <w:spacing w:after="0"/>
        <w:rPr>
          <w:rFonts w:ascii="Arial" w:hAnsi="Arial" w:cs="Arial"/>
          <w:b/>
          <w:sz w:val="24"/>
        </w:rPr>
      </w:pPr>
      <w:r w:rsidRPr="0090612A">
        <w:rPr>
          <w:rFonts w:ascii="Arial" w:hAnsi="Arial" w:cs="Arial"/>
          <w:b/>
          <w:sz w:val="24"/>
        </w:rPr>
        <w:t>Table 4. Demographic characteristics by driving under the influence among adult marijuana users</w:t>
      </w:r>
      <w:bookmarkEnd w:id="410"/>
      <w:bookmarkEnd w:id="411"/>
      <w:bookmarkEnd w:id="412"/>
      <w:bookmarkEnd w:id="413"/>
    </w:p>
    <w:p w:rsidR="007413B0" w:rsidRPr="007413B0" w:rsidRDefault="007413B0" w:rsidP="007413B0">
      <w:pPr>
        <w:pStyle w:val="BodyText"/>
      </w:pPr>
    </w:p>
    <w:tbl>
      <w:tblPr>
        <w:tblW w:w="10008" w:type="dxa"/>
        <w:tblLayout w:type="fixed"/>
        <w:tblCellMar>
          <w:left w:w="115" w:type="dxa"/>
          <w:right w:w="115" w:type="dxa"/>
        </w:tblCellMar>
        <w:tblLook w:val="04A0" w:firstRow="1" w:lastRow="0" w:firstColumn="1" w:lastColumn="0" w:noHBand="0" w:noVBand="1"/>
        <w:tblCaption w:val="Demographic characteristics by driving under the influence among adult marijuana users"/>
      </w:tblPr>
      <w:tblGrid>
        <w:gridCol w:w="270"/>
        <w:gridCol w:w="1814"/>
        <w:gridCol w:w="720"/>
        <w:gridCol w:w="809"/>
        <w:gridCol w:w="720"/>
        <w:gridCol w:w="899"/>
        <w:gridCol w:w="823"/>
        <w:gridCol w:w="803"/>
        <w:gridCol w:w="720"/>
        <w:gridCol w:w="720"/>
        <w:gridCol w:w="720"/>
        <w:gridCol w:w="990"/>
      </w:tblGrid>
      <w:tr w:rsidR="00CF13EB" w:rsidRPr="00B3588A" w:rsidTr="00465399">
        <w:trPr>
          <w:trHeight w:val="436"/>
        </w:trPr>
        <w:tc>
          <w:tcPr>
            <w:tcW w:w="2084" w:type="dxa"/>
            <w:gridSpan w:val="2"/>
            <w:vMerge w:val="restart"/>
            <w:tcBorders>
              <w:top w:val="single" w:sz="4" w:space="0" w:color="auto"/>
              <w:left w:val="single" w:sz="4" w:space="0" w:color="auto"/>
              <w:bottom w:val="nil"/>
              <w:right w:val="nil"/>
            </w:tcBorders>
            <w:shd w:val="clear" w:color="auto" w:fill="auto"/>
            <w:noWrap/>
            <w:vAlign w:val="center"/>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 </w:t>
            </w:r>
          </w:p>
        </w:tc>
        <w:tc>
          <w:tcPr>
            <w:tcW w:w="2249" w:type="dxa"/>
            <w:gridSpan w:val="3"/>
            <w:tcBorders>
              <w:top w:val="single" w:sz="4" w:space="0" w:color="auto"/>
              <w:left w:val="single" w:sz="4" w:space="0" w:color="auto"/>
              <w:bottom w:val="nil"/>
              <w:right w:val="single" w:sz="4" w:space="0" w:color="000000"/>
            </w:tcBorders>
            <w:shd w:val="clear" w:color="auto" w:fill="auto"/>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 xml:space="preserve">Drove under the influence of marijuana </w:t>
            </w:r>
          </w:p>
        </w:tc>
        <w:tc>
          <w:tcPr>
            <w:tcW w:w="2525" w:type="dxa"/>
            <w:gridSpan w:val="3"/>
            <w:tcBorders>
              <w:top w:val="single" w:sz="4" w:space="0" w:color="auto"/>
              <w:left w:val="nil"/>
              <w:bottom w:val="nil"/>
              <w:right w:val="single" w:sz="4" w:space="0" w:color="000000"/>
            </w:tcBorders>
            <w:shd w:val="clear" w:color="auto" w:fill="auto"/>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Did not drive under the influence of marijuana</w:t>
            </w:r>
          </w:p>
        </w:tc>
        <w:tc>
          <w:tcPr>
            <w:tcW w:w="2160" w:type="dxa"/>
            <w:gridSpan w:val="3"/>
            <w:tcBorders>
              <w:top w:val="single" w:sz="4" w:space="0" w:color="auto"/>
              <w:left w:val="nil"/>
              <w:bottom w:val="nil"/>
              <w:right w:val="single" w:sz="4" w:space="0" w:color="000000"/>
            </w:tcBorders>
            <w:shd w:val="clear" w:color="auto" w:fill="auto"/>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Total marijuana users</w:t>
            </w:r>
          </w:p>
        </w:tc>
        <w:tc>
          <w:tcPr>
            <w:tcW w:w="990" w:type="dxa"/>
            <w:tcBorders>
              <w:top w:val="single" w:sz="4" w:space="0" w:color="auto"/>
              <w:left w:val="nil"/>
              <w:bottom w:val="nil"/>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r>
      <w:tr w:rsidR="00CF13EB" w:rsidRPr="00B3588A" w:rsidTr="00465399">
        <w:trPr>
          <w:trHeight w:val="148"/>
        </w:trPr>
        <w:tc>
          <w:tcPr>
            <w:tcW w:w="2084" w:type="dxa"/>
            <w:gridSpan w:val="2"/>
            <w:vMerge/>
            <w:tcBorders>
              <w:top w:val="single" w:sz="4" w:space="0" w:color="auto"/>
              <w:left w:val="single" w:sz="4" w:space="0" w:color="auto"/>
              <w:bottom w:val="nil"/>
              <w:right w:val="nil"/>
            </w:tcBorders>
            <w:vAlign w:val="center"/>
            <w:hideMark/>
          </w:tcPr>
          <w:p w:rsidR="00CF13EB" w:rsidRPr="00B3588A" w:rsidRDefault="00CF13EB" w:rsidP="006057BE">
            <w:pPr>
              <w:spacing w:after="0" w:line="240" w:lineRule="auto"/>
              <w:rPr>
                <w:rFonts w:ascii="Arial" w:eastAsia="Times New Roman" w:hAnsi="Arial" w:cs="Arial"/>
                <w:b/>
                <w:bCs/>
                <w:szCs w:val="24"/>
              </w:rPr>
            </w:pPr>
          </w:p>
        </w:tc>
        <w:tc>
          <w:tcPr>
            <w:tcW w:w="2249" w:type="dxa"/>
            <w:gridSpan w:val="3"/>
            <w:tcBorders>
              <w:top w:val="nil"/>
              <w:left w:val="single" w:sz="4" w:space="0" w:color="auto"/>
              <w:bottom w:val="nil"/>
              <w:right w:val="single" w:sz="4" w:space="0" w:color="000000"/>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n=129</w:t>
            </w:r>
          </w:p>
        </w:tc>
        <w:tc>
          <w:tcPr>
            <w:tcW w:w="2525" w:type="dxa"/>
            <w:gridSpan w:val="3"/>
            <w:tcBorders>
              <w:top w:val="nil"/>
              <w:left w:val="nil"/>
              <w:bottom w:val="nil"/>
              <w:right w:val="single" w:sz="4" w:space="0" w:color="000000"/>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n=302</w:t>
            </w:r>
          </w:p>
        </w:tc>
        <w:tc>
          <w:tcPr>
            <w:tcW w:w="2160" w:type="dxa"/>
            <w:gridSpan w:val="3"/>
            <w:tcBorders>
              <w:top w:val="nil"/>
              <w:left w:val="nil"/>
              <w:bottom w:val="nil"/>
              <w:right w:val="single" w:sz="4" w:space="0" w:color="000000"/>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n=439</w:t>
            </w:r>
          </w:p>
        </w:tc>
        <w:tc>
          <w:tcPr>
            <w:tcW w:w="990" w:type="dxa"/>
            <w:tcBorders>
              <w:top w:val="nil"/>
              <w:left w:val="nil"/>
              <w:bottom w:val="nil"/>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r>
      <w:tr w:rsidR="00CF13EB" w:rsidRPr="00B3588A" w:rsidTr="00B74EFE">
        <w:trPr>
          <w:trHeight w:val="324"/>
        </w:trPr>
        <w:tc>
          <w:tcPr>
            <w:tcW w:w="2084" w:type="dxa"/>
            <w:gridSpan w:val="2"/>
            <w:vMerge/>
            <w:tcBorders>
              <w:top w:val="single" w:sz="4" w:space="0" w:color="auto"/>
              <w:left w:val="single" w:sz="4" w:space="0" w:color="auto"/>
              <w:bottom w:val="single" w:sz="4" w:space="0" w:color="auto"/>
              <w:right w:val="nil"/>
            </w:tcBorders>
            <w:vAlign w:val="center"/>
            <w:hideMark/>
          </w:tcPr>
          <w:p w:rsidR="00CF13EB" w:rsidRPr="00B3588A" w:rsidRDefault="00CF13EB" w:rsidP="006057BE">
            <w:pPr>
              <w:spacing w:after="0" w:line="240" w:lineRule="auto"/>
              <w:rPr>
                <w:rFonts w:ascii="Arial" w:eastAsia="Times New Roman" w:hAnsi="Arial" w:cs="Arial"/>
                <w:b/>
                <w:bCs/>
                <w:szCs w:val="24"/>
              </w:rPr>
            </w:pPr>
          </w:p>
        </w:tc>
        <w:tc>
          <w:tcPr>
            <w:tcW w:w="720" w:type="dxa"/>
            <w:tcBorders>
              <w:top w:val="nil"/>
              <w:left w:val="single" w:sz="4" w:space="0" w:color="auto"/>
              <w:bottom w:val="single" w:sz="4" w:space="0" w:color="auto"/>
              <w:right w:val="nil"/>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w:t>
            </w:r>
          </w:p>
        </w:tc>
        <w:tc>
          <w:tcPr>
            <w:tcW w:w="809" w:type="dxa"/>
            <w:tcBorders>
              <w:top w:val="nil"/>
              <w:left w:val="nil"/>
              <w:bottom w:val="single" w:sz="4" w:space="0" w:color="auto"/>
              <w:right w:val="nil"/>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LCI</w:t>
            </w:r>
          </w:p>
        </w:tc>
        <w:tc>
          <w:tcPr>
            <w:tcW w:w="720" w:type="dxa"/>
            <w:tcBorders>
              <w:top w:val="nil"/>
              <w:left w:val="nil"/>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UCI</w:t>
            </w:r>
          </w:p>
        </w:tc>
        <w:tc>
          <w:tcPr>
            <w:tcW w:w="899" w:type="dxa"/>
            <w:tcBorders>
              <w:top w:val="nil"/>
              <w:left w:val="nil"/>
              <w:bottom w:val="single" w:sz="4" w:space="0" w:color="auto"/>
              <w:right w:val="nil"/>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w:t>
            </w:r>
          </w:p>
        </w:tc>
        <w:tc>
          <w:tcPr>
            <w:tcW w:w="823" w:type="dxa"/>
            <w:tcBorders>
              <w:top w:val="nil"/>
              <w:left w:val="nil"/>
              <w:bottom w:val="single" w:sz="4" w:space="0" w:color="auto"/>
              <w:right w:val="nil"/>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LCI</w:t>
            </w:r>
          </w:p>
        </w:tc>
        <w:tc>
          <w:tcPr>
            <w:tcW w:w="803" w:type="dxa"/>
            <w:tcBorders>
              <w:top w:val="nil"/>
              <w:left w:val="nil"/>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UCI</w:t>
            </w:r>
          </w:p>
        </w:tc>
        <w:tc>
          <w:tcPr>
            <w:tcW w:w="720" w:type="dxa"/>
            <w:tcBorders>
              <w:top w:val="nil"/>
              <w:left w:val="nil"/>
              <w:bottom w:val="single" w:sz="4" w:space="0" w:color="auto"/>
              <w:right w:val="nil"/>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w:t>
            </w:r>
          </w:p>
        </w:tc>
        <w:tc>
          <w:tcPr>
            <w:tcW w:w="720" w:type="dxa"/>
            <w:tcBorders>
              <w:top w:val="nil"/>
              <w:left w:val="nil"/>
              <w:bottom w:val="single" w:sz="4" w:space="0" w:color="auto"/>
              <w:right w:val="nil"/>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LCI</w:t>
            </w:r>
          </w:p>
        </w:tc>
        <w:tc>
          <w:tcPr>
            <w:tcW w:w="720" w:type="dxa"/>
            <w:tcBorders>
              <w:top w:val="nil"/>
              <w:left w:val="nil"/>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UCI</w:t>
            </w:r>
          </w:p>
        </w:tc>
        <w:tc>
          <w:tcPr>
            <w:tcW w:w="990" w:type="dxa"/>
            <w:tcBorders>
              <w:top w:val="nil"/>
              <w:left w:val="nil"/>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P-value</w:t>
            </w:r>
          </w:p>
        </w:tc>
      </w:tr>
      <w:tr w:rsidR="00D173C3" w:rsidRPr="00B3588A" w:rsidTr="00D173C3">
        <w:trPr>
          <w:trHeight w:val="368"/>
        </w:trPr>
        <w:tc>
          <w:tcPr>
            <w:tcW w:w="1000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3C3" w:rsidRPr="00D173C3" w:rsidRDefault="00D173C3" w:rsidP="00D173C3">
            <w:pPr>
              <w:spacing w:after="0" w:line="240" w:lineRule="auto"/>
              <w:rPr>
                <w:rFonts w:ascii="Arial" w:eastAsia="Times New Roman" w:hAnsi="Arial" w:cs="Arial"/>
                <w:b/>
                <w:bCs/>
                <w:szCs w:val="24"/>
              </w:rPr>
            </w:pPr>
            <w:r w:rsidRPr="00B3588A">
              <w:rPr>
                <w:rFonts w:ascii="Arial" w:eastAsia="Times New Roman" w:hAnsi="Arial" w:cs="Arial"/>
                <w:b/>
                <w:bCs/>
                <w:szCs w:val="24"/>
              </w:rPr>
              <w:t xml:space="preserve">Age  </w:t>
            </w:r>
          </w:p>
        </w:tc>
      </w:tr>
      <w:tr w:rsidR="00CF13EB" w:rsidRPr="00B3588A" w:rsidTr="00B74EFE">
        <w:trPr>
          <w:trHeight w:val="166"/>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18-20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13.3*</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24.4</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7.8</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1.9</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13.8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0.185</w:t>
            </w: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21-25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21.3</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31.7</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11.6</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20.3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26-29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11.9</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18.7</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15.9</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19.9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30-39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23.0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33.5</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40-49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12.2</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20.4</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17.2</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21.0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50=59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11.7</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16.7</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17.4</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22.2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19.1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60-69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5.7</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8.9</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12.4</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13.1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&gt;=70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0.9*</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D173C3" w:rsidRPr="00B3588A" w:rsidTr="00D173C3">
        <w:trPr>
          <w:trHeight w:val="155"/>
        </w:trPr>
        <w:tc>
          <w:tcPr>
            <w:tcW w:w="10008" w:type="dxa"/>
            <w:gridSpan w:val="12"/>
            <w:tcBorders>
              <w:top w:val="single" w:sz="4" w:space="0" w:color="auto"/>
              <w:left w:val="single" w:sz="4" w:space="0" w:color="auto"/>
              <w:bottom w:val="single" w:sz="4" w:space="0" w:color="auto"/>
              <w:right w:val="single" w:sz="4" w:space="0" w:color="auto"/>
            </w:tcBorders>
            <w:shd w:val="clear" w:color="auto" w:fill="auto"/>
            <w:noWrap/>
            <w:hideMark/>
          </w:tcPr>
          <w:p w:rsidR="00D173C3" w:rsidRPr="00B3588A" w:rsidRDefault="00D173C3" w:rsidP="00D173C3">
            <w:pPr>
              <w:spacing w:after="0" w:line="240" w:lineRule="auto"/>
              <w:rPr>
                <w:rFonts w:ascii="Arial" w:eastAsia="Times New Roman" w:hAnsi="Arial" w:cs="Arial"/>
                <w:color w:val="000000"/>
                <w:szCs w:val="24"/>
              </w:rPr>
            </w:pPr>
            <w:r w:rsidRPr="00B3588A">
              <w:rPr>
                <w:rFonts w:ascii="Arial" w:eastAsia="Times New Roman" w:hAnsi="Arial" w:cs="Arial"/>
                <w:b/>
                <w:bCs/>
                <w:szCs w:val="24"/>
              </w:rPr>
              <w:t>Gender</w:t>
            </w: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Female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40.5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28.7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52.3</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42.6</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34.4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50.8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41.9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35.2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48.6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0.771</w:t>
            </w: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Male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59.5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47.7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71.3</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57.4</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49.2</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58.1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D173C3" w:rsidRPr="00B3588A" w:rsidTr="00D173C3">
        <w:trPr>
          <w:trHeight w:val="155"/>
        </w:trPr>
        <w:tc>
          <w:tcPr>
            <w:tcW w:w="10008" w:type="dxa"/>
            <w:gridSpan w:val="12"/>
            <w:tcBorders>
              <w:top w:val="single" w:sz="4" w:space="0" w:color="auto"/>
              <w:left w:val="single" w:sz="4" w:space="0" w:color="auto"/>
              <w:bottom w:val="single" w:sz="4" w:space="0" w:color="auto"/>
              <w:right w:val="single" w:sz="4" w:space="0" w:color="auto"/>
            </w:tcBorders>
            <w:shd w:val="clear" w:color="auto" w:fill="auto"/>
            <w:noWrap/>
            <w:hideMark/>
          </w:tcPr>
          <w:p w:rsidR="00D173C3" w:rsidRPr="00B3588A" w:rsidRDefault="00D173C3" w:rsidP="00D173C3">
            <w:pPr>
              <w:spacing w:after="0" w:line="240" w:lineRule="auto"/>
              <w:rPr>
                <w:rFonts w:ascii="Arial" w:eastAsia="Times New Roman" w:hAnsi="Arial" w:cs="Arial"/>
                <w:color w:val="000000"/>
                <w:szCs w:val="24"/>
              </w:rPr>
            </w:pPr>
            <w:r w:rsidRPr="00B3588A">
              <w:rPr>
                <w:rFonts w:ascii="Arial" w:eastAsia="Times New Roman" w:hAnsi="Arial" w:cs="Arial"/>
                <w:b/>
                <w:bCs/>
                <w:szCs w:val="24"/>
              </w:rPr>
              <w:t>Ethnicity</w:t>
            </w: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Any Hispanic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15.1</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25.3</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10.6</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0.277</w:t>
            </w: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White, non-Hispanic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71.5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59.6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83.3</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71.1</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62.7</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79.6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71.2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78.1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Black, non-Hispanic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3.5</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10.1</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Asian, non-Hispanic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6.6</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2.1*</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55"/>
        </w:trPr>
        <w:tc>
          <w:tcPr>
            <w:tcW w:w="270"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Other, non-Hispanic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8.8</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16.6</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6.1</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7413B0" w:rsidRPr="00B3588A" w:rsidTr="00D173C3">
        <w:trPr>
          <w:trHeight w:val="155"/>
        </w:trPr>
        <w:tc>
          <w:tcPr>
            <w:tcW w:w="4333" w:type="dxa"/>
            <w:gridSpan w:val="5"/>
            <w:tcBorders>
              <w:top w:val="single" w:sz="4" w:space="0" w:color="auto"/>
              <w:left w:val="single" w:sz="4" w:space="0" w:color="auto"/>
              <w:bottom w:val="single" w:sz="4" w:space="0" w:color="auto"/>
            </w:tcBorders>
            <w:shd w:val="clear" w:color="auto" w:fill="auto"/>
            <w:vAlign w:val="center"/>
            <w:hideMark/>
          </w:tcPr>
          <w:p w:rsidR="007413B0" w:rsidRPr="00B3588A" w:rsidRDefault="007413B0" w:rsidP="007413B0">
            <w:pPr>
              <w:spacing w:after="0" w:line="240" w:lineRule="auto"/>
              <w:rPr>
                <w:rFonts w:ascii="Arial" w:eastAsia="Times New Roman" w:hAnsi="Arial" w:cs="Arial"/>
                <w:szCs w:val="24"/>
              </w:rPr>
            </w:pPr>
            <w:r>
              <w:rPr>
                <w:rFonts w:ascii="Arial" w:eastAsia="Times New Roman" w:hAnsi="Arial" w:cs="Arial"/>
                <w:b/>
                <w:bCs/>
                <w:szCs w:val="24"/>
              </w:rPr>
              <w:t xml:space="preserve">Frequency of DUI </w:t>
            </w:r>
            <w:r w:rsidRPr="00B3588A">
              <w:rPr>
                <w:rFonts w:ascii="Arial" w:eastAsia="Times New Roman" w:hAnsi="Arial" w:cs="Arial"/>
                <w:b/>
                <w:bCs/>
                <w:szCs w:val="24"/>
              </w:rPr>
              <w:t>Marijuana</w:t>
            </w:r>
          </w:p>
        </w:tc>
        <w:tc>
          <w:tcPr>
            <w:tcW w:w="899" w:type="dxa"/>
            <w:tcBorders>
              <w:top w:val="single" w:sz="4" w:space="0" w:color="auto"/>
              <w:bottom w:val="single" w:sz="4" w:space="0" w:color="auto"/>
            </w:tcBorders>
            <w:shd w:val="clear" w:color="auto" w:fill="auto"/>
            <w:noWrap/>
            <w:vAlign w:val="bottom"/>
            <w:hideMark/>
          </w:tcPr>
          <w:p w:rsidR="007413B0" w:rsidRPr="00B3588A" w:rsidRDefault="007413B0" w:rsidP="00465399">
            <w:pPr>
              <w:spacing w:after="0" w:line="240" w:lineRule="auto"/>
              <w:jc w:val="center"/>
              <w:rPr>
                <w:rFonts w:ascii="Arial" w:eastAsia="Times New Roman" w:hAnsi="Arial" w:cs="Arial"/>
                <w:szCs w:val="24"/>
              </w:rPr>
            </w:pPr>
          </w:p>
        </w:tc>
        <w:tc>
          <w:tcPr>
            <w:tcW w:w="823" w:type="dxa"/>
            <w:tcBorders>
              <w:top w:val="single" w:sz="4" w:space="0" w:color="auto"/>
              <w:bottom w:val="single" w:sz="4" w:space="0" w:color="auto"/>
            </w:tcBorders>
            <w:shd w:val="clear" w:color="auto" w:fill="auto"/>
            <w:noWrap/>
            <w:vAlign w:val="bottom"/>
            <w:hideMark/>
          </w:tcPr>
          <w:p w:rsidR="007413B0" w:rsidRPr="00B3588A" w:rsidRDefault="007413B0" w:rsidP="00465399">
            <w:pPr>
              <w:spacing w:after="0" w:line="240" w:lineRule="auto"/>
              <w:jc w:val="center"/>
              <w:rPr>
                <w:rFonts w:ascii="Arial" w:eastAsia="Times New Roman" w:hAnsi="Arial" w:cs="Arial"/>
                <w:szCs w:val="24"/>
              </w:rPr>
            </w:pPr>
          </w:p>
        </w:tc>
        <w:tc>
          <w:tcPr>
            <w:tcW w:w="803" w:type="dxa"/>
            <w:tcBorders>
              <w:top w:val="single" w:sz="4" w:space="0" w:color="auto"/>
              <w:bottom w:val="single" w:sz="4" w:space="0" w:color="auto"/>
            </w:tcBorders>
            <w:shd w:val="clear" w:color="auto" w:fill="auto"/>
            <w:noWrap/>
            <w:vAlign w:val="bottom"/>
            <w:hideMark/>
          </w:tcPr>
          <w:p w:rsidR="007413B0" w:rsidRPr="00B3588A" w:rsidRDefault="007413B0" w:rsidP="00465399">
            <w:pPr>
              <w:spacing w:after="0" w:line="240" w:lineRule="auto"/>
              <w:jc w:val="center"/>
              <w:rPr>
                <w:rFonts w:ascii="Arial" w:eastAsia="Times New Roman" w:hAnsi="Arial" w:cs="Arial"/>
                <w:szCs w:val="24"/>
              </w:rPr>
            </w:pPr>
          </w:p>
        </w:tc>
        <w:tc>
          <w:tcPr>
            <w:tcW w:w="720" w:type="dxa"/>
            <w:tcBorders>
              <w:top w:val="single" w:sz="4" w:space="0" w:color="auto"/>
              <w:bottom w:val="single" w:sz="4" w:space="0" w:color="auto"/>
            </w:tcBorders>
            <w:shd w:val="clear" w:color="auto" w:fill="auto"/>
            <w:noWrap/>
            <w:vAlign w:val="bottom"/>
            <w:hideMark/>
          </w:tcPr>
          <w:p w:rsidR="007413B0" w:rsidRPr="00B3588A" w:rsidRDefault="007413B0" w:rsidP="00465399">
            <w:pPr>
              <w:spacing w:after="0" w:line="240" w:lineRule="auto"/>
              <w:jc w:val="center"/>
              <w:rPr>
                <w:rFonts w:ascii="Arial" w:eastAsia="Times New Roman" w:hAnsi="Arial" w:cs="Arial"/>
                <w:szCs w:val="24"/>
              </w:rPr>
            </w:pPr>
          </w:p>
        </w:tc>
        <w:tc>
          <w:tcPr>
            <w:tcW w:w="720" w:type="dxa"/>
            <w:tcBorders>
              <w:top w:val="single" w:sz="4" w:space="0" w:color="auto"/>
              <w:bottom w:val="single" w:sz="4" w:space="0" w:color="auto"/>
            </w:tcBorders>
            <w:shd w:val="clear" w:color="auto" w:fill="auto"/>
            <w:noWrap/>
            <w:vAlign w:val="bottom"/>
            <w:hideMark/>
          </w:tcPr>
          <w:p w:rsidR="007413B0" w:rsidRPr="00B3588A" w:rsidRDefault="007413B0" w:rsidP="00465399">
            <w:pPr>
              <w:spacing w:after="0" w:line="240" w:lineRule="auto"/>
              <w:jc w:val="center"/>
              <w:rPr>
                <w:rFonts w:ascii="Arial" w:eastAsia="Times New Roman" w:hAnsi="Arial" w:cs="Arial"/>
                <w:szCs w:val="24"/>
              </w:rPr>
            </w:pPr>
          </w:p>
        </w:tc>
        <w:tc>
          <w:tcPr>
            <w:tcW w:w="720" w:type="dxa"/>
            <w:tcBorders>
              <w:top w:val="single" w:sz="4" w:space="0" w:color="auto"/>
              <w:bottom w:val="single" w:sz="4" w:space="0" w:color="auto"/>
            </w:tcBorders>
            <w:shd w:val="clear" w:color="auto" w:fill="auto"/>
            <w:noWrap/>
            <w:vAlign w:val="bottom"/>
            <w:hideMark/>
          </w:tcPr>
          <w:p w:rsidR="007413B0" w:rsidRPr="00B3588A" w:rsidRDefault="007413B0" w:rsidP="00465399">
            <w:pPr>
              <w:spacing w:after="0" w:line="240" w:lineRule="auto"/>
              <w:jc w:val="center"/>
              <w:rPr>
                <w:rFonts w:ascii="Arial" w:eastAsia="Times New Roman" w:hAnsi="Arial" w:cs="Arial"/>
                <w:szCs w:val="24"/>
              </w:rPr>
            </w:pPr>
          </w:p>
        </w:tc>
        <w:tc>
          <w:tcPr>
            <w:tcW w:w="990" w:type="dxa"/>
            <w:tcBorders>
              <w:top w:val="single" w:sz="4" w:space="0" w:color="auto"/>
              <w:bottom w:val="single" w:sz="4" w:space="0" w:color="auto"/>
              <w:right w:val="single" w:sz="4" w:space="0" w:color="auto"/>
            </w:tcBorders>
            <w:shd w:val="clear" w:color="auto" w:fill="auto"/>
            <w:noWrap/>
            <w:vAlign w:val="bottom"/>
            <w:hideMark/>
          </w:tcPr>
          <w:p w:rsidR="007413B0" w:rsidRPr="00B3588A" w:rsidRDefault="007413B0" w:rsidP="00465399">
            <w:pPr>
              <w:spacing w:after="0" w:line="240" w:lineRule="auto"/>
              <w:jc w:val="center"/>
              <w:rPr>
                <w:rFonts w:ascii="Arial" w:eastAsia="Times New Roman" w:hAnsi="Arial" w:cs="Arial"/>
                <w:color w:val="000000"/>
                <w:szCs w:val="24"/>
              </w:rPr>
            </w:pPr>
          </w:p>
        </w:tc>
      </w:tr>
      <w:tr w:rsidR="00CF13EB" w:rsidRPr="00B3588A" w:rsidTr="00B74EFE">
        <w:trPr>
          <w:trHeight w:val="132"/>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0 times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100.0</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100.0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65.7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59.0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72.4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32"/>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once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25.2</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32"/>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2-3 times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30.0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41.8</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32"/>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4-5 times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2.7</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4.7</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32"/>
        </w:trPr>
        <w:tc>
          <w:tcPr>
            <w:tcW w:w="270"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6 or more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47.1</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59.3</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21.5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32"/>
        </w:trPr>
        <w:tc>
          <w:tcPr>
            <w:tcW w:w="270"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1814" w:type="dxa"/>
            <w:tcBorders>
              <w:top w:val="single" w:sz="4" w:space="0" w:color="auto"/>
              <w:bottom w:val="single" w:sz="4" w:space="0" w:color="auto"/>
              <w:right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yes, frequency unknown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3.1*</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6.1</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p>
        </w:tc>
      </w:tr>
      <w:tr w:rsidR="00CF13EB" w:rsidRPr="00B3588A" w:rsidTr="00B74EFE">
        <w:trPr>
          <w:trHeight w:val="132"/>
        </w:trPr>
        <w:tc>
          <w:tcPr>
            <w:tcW w:w="2084" w:type="dxa"/>
            <w:gridSpan w:val="2"/>
            <w:tcBorders>
              <w:top w:val="single" w:sz="4" w:space="0" w:color="auto"/>
              <w:left w:val="single" w:sz="4" w:space="0" w:color="auto"/>
              <w:bottom w:val="single" w:sz="4" w:space="0" w:color="auto"/>
              <w:right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Rode with driver under influence of marijuana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67.5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56.4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78.6</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21.2</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13.6</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28.7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30.2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44.1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465399">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&lt;0.001</w:t>
            </w:r>
          </w:p>
        </w:tc>
      </w:tr>
      <w:tr w:rsidR="00D173C3" w:rsidRPr="00B3588A" w:rsidTr="00D173C3">
        <w:trPr>
          <w:trHeight w:val="132"/>
        </w:trPr>
        <w:tc>
          <w:tcPr>
            <w:tcW w:w="1000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173C3" w:rsidRPr="00B3588A" w:rsidRDefault="00D173C3" w:rsidP="00D173C3">
            <w:pPr>
              <w:spacing w:after="0" w:line="240" w:lineRule="auto"/>
              <w:rPr>
                <w:rFonts w:ascii="Arial" w:eastAsia="Times New Roman" w:hAnsi="Arial" w:cs="Arial"/>
                <w:color w:val="000000"/>
                <w:szCs w:val="24"/>
              </w:rPr>
            </w:pPr>
            <w:r w:rsidRPr="00B3588A">
              <w:rPr>
                <w:rFonts w:ascii="Arial" w:eastAsia="Times New Roman" w:hAnsi="Arial" w:cs="Arial"/>
                <w:b/>
                <w:bCs/>
                <w:szCs w:val="24"/>
              </w:rPr>
              <w:t>Frequency of RUI-Marijuana</w:t>
            </w:r>
          </w:p>
        </w:tc>
      </w:tr>
      <w:tr w:rsidR="00CF13EB" w:rsidRPr="00B3588A" w:rsidTr="00B74EFE">
        <w:trPr>
          <w:trHeight w:val="132"/>
        </w:trPr>
        <w:tc>
          <w:tcPr>
            <w:tcW w:w="270" w:type="dxa"/>
            <w:tcBorders>
              <w:top w:val="single" w:sz="4" w:space="0" w:color="auto"/>
              <w:left w:val="single" w:sz="4" w:space="0" w:color="auto"/>
              <w:bottom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0 times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32.5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43.6</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78.8</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71.3</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86.4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69.8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&lt;0.001</w:t>
            </w:r>
          </w:p>
        </w:tc>
      </w:tr>
      <w:tr w:rsidR="00CF13EB" w:rsidRPr="00B3588A" w:rsidTr="00B74EFE">
        <w:trPr>
          <w:trHeight w:val="132"/>
        </w:trPr>
        <w:tc>
          <w:tcPr>
            <w:tcW w:w="270" w:type="dxa"/>
            <w:tcBorders>
              <w:top w:val="single" w:sz="4" w:space="0" w:color="auto"/>
              <w:left w:val="single" w:sz="4" w:space="0" w:color="auto"/>
              <w:bottom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once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12.9</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7.6</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p>
        </w:tc>
      </w:tr>
      <w:tr w:rsidR="00CF13EB" w:rsidRPr="00B3588A" w:rsidTr="00B74EFE">
        <w:trPr>
          <w:trHeight w:val="132"/>
        </w:trPr>
        <w:tc>
          <w:tcPr>
            <w:tcW w:w="270" w:type="dxa"/>
            <w:tcBorders>
              <w:top w:val="single" w:sz="4" w:space="0" w:color="auto"/>
              <w:left w:val="single" w:sz="4" w:space="0" w:color="auto"/>
              <w:bottom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2-3 times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30.2</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42.3</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8.5</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2.1</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p>
        </w:tc>
      </w:tr>
      <w:tr w:rsidR="00CF13EB" w:rsidRPr="00B3588A" w:rsidTr="00B74EFE">
        <w:trPr>
          <w:trHeight w:val="132"/>
        </w:trPr>
        <w:tc>
          <w:tcPr>
            <w:tcW w:w="270" w:type="dxa"/>
            <w:tcBorders>
              <w:top w:val="single" w:sz="4" w:space="0" w:color="auto"/>
              <w:left w:val="single" w:sz="4" w:space="0" w:color="auto"/>
              <w:bottom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4-5 times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6.2</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12.1</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3.2</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p>
        </w:tc>
      </w:tr>
      <w:tr w:rsidR="00CF13EB" w:rsidRPr="00B3588A" w:rsidTr="00B74EFE">
        <w:trPr>
          <w:trHeight w:val="132"/>
        </w:trPr>
        <w:tc>
          <w:tcPr>
            <w:tcW w:w="270" w:type="dxa"/>
            <w:tcBorders>
              <w:top w:val="single" w:sz="4" w:space="0" w:color="auto"/>
              <w:left w:val="single" w:sz="4" w:space="0" w:color="auto"/>
              <w:bottom w:val="single" w:sz="4" w:space="0" w:color="auto"/>
            </w:tcBorders>
            <w:shd w:val="clear" w:color="000000" w:fill="FAFBFE"/>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1814"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6 or more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23.0</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33.2</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0.5</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13.0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p>
        </w:tc>
      </w:tr>
      <w:tr w:rsidR="00CF13EB" w:rsidRPr="00B3588A" w:rsidTr="00B74EFE">
        <w:trPr>
          <w:trHeight w:val="132"/>
        </w:trPr>
        <w:tc>
          <w:tcPr>
            <w:tcW w:w="2084" w:type="dxa"/>
            <w:gridSpan w:val="2"/>
            <w:tcBorders>
              <w:top w:val="single" w:sz="4" w:space="0" w:color="auto"/>
              <w:left w:val="single" w:sz="4" w:space="0" w:color="auto"/>
              <w:bottom w:val="single" w:sz="4" w:space="0" w:color="auto"/>
              <w:right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DUI- alcohol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46.8</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33.8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59.8</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3.7</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&lt;0.001</w:t>
            </w:r>
          </w:p>
        </w:tc>
      </w:tr>
      <w:tr w:rsidR="00CF13EB" w:rsidRPr="00B3588A" w:rsidTr="00B74EFE">
        <w:trPr>
          <w:trHeight w:val="132"/>
        </w:trPr>
        <w:tc>
          <w:tcPr>
            <w:tcW w:w="2084" w:type="dxa"/>
            <w:gridSpan w:val="2"/>
            <w:tcBorders>
              <w:top w:val="single" w:sz="4" w:space="0" w:color="auto"/>
              <w:left w:val="single" w:sz="4" w:space="0" w:color="auto"/>
              <w:bottom w:val="single" w:sz="4" w:space="0" w:color="auto"/>
              <w:right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RUI -alcohol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19.3</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27.5</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12.5</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19.4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0.175</w:t>
            </w:r>
          </w:p>
        </w:tc>
      </w:tr>
      <w:tr w:rsidR="00CF13EB" w:rsidRPr="00B3588A" w:rsidTr="00B74EFE">
        <w:trPr>
          <w:trHeight w:val="132"/>
        </w:trPr>
        <w:tc>
          <w:tcPr>
            <w:tcW w:w="208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xml:space="preserve">DUI- combined alcohol and marijuana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42.8</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27.7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57.9</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23.1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505004">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w:t>
            </w:r>
          </w:p>
        </w:tc>
      </w:tr>
      <w:tr w:rsidR="00CF13EB" w:rsidRPr="00B74EFE" w:rsidTr="00465399">
        <w:trPr>
          <w:trHeight w:val="449"/>
        </w:trPr>
        <w:tc>
          <w:tcPr>
            <w:tcW w:w="10008" w:type="dxa"/>
            <w:gridSpan w:val="12"/>
            <w:tcBorders>
              <w:top w:val="single" w:sz="4" w:space="0" w:color="auto"/>
              <w:left w:val="nil"/>
              <w:bottom w:val="nil"/>
              <w:right w:val="nil"/>
            </w:tcBorders>
            <w:shd w:val="clear" w:color="auto" w:fill="auto"/>
            <w:vAlign w:val="bottom"/>
            <w:hideMark/>
          </w:tcPr>
          <w:p w:rsidR="00CF13EB" w:rsidRPr="00B74EFE" w:rsidRDefault="00CF13EB" w:rsidP="006057BE">
            <w:pPr>
              <w:spacing w:after="0" w:line="240" w:lineRule="auto"/>
              <w:rPr>
                <w:rFonts w:ascii="Arial" w:eastAsia="Times New Roman" w:hAnsi="Arial" w:cs="Arial"/>
                <w:color w:val="000000"/>
                <w:sz w:val="24"/>
                <w:szCs w:val="24"/>
              </w:rPr>
            </w:pPr>
            <w:r w:rsidRPr="0090612A">
              <w:rPr>
                <w:rFonts w:ascii="Arial" w:eastAsia="Times New Roman" w:hAnsi="Arial" w:cs="Arial"/>
                <w:color w:val="000000"/>
                <w:szCs w:val="24"/>
              </w:rPr>
              <w:t>Note: Table displays column percentages. DUI-=Drove under the influence; RUI-marijuana=Rode as a passenger with a driver under the influence.*based on ≤25 responses</w:t>
            </w:r>
          </w:p>
        </w:tc>
      </w:tr>
    </w:tbl>
    <w:p w:rsidR="005D7694" w:rsidRPr="00B74EFE" w:rsidRDefault="005D7694" w:rsidP="006057BE">
      <w:pPr>
        <w:pStyle w:val="BodyText"/>
        <w:spacing w:line="240" w:lineRule="auto"/>
        <w:rPr>
          <w:sz w:val="24"/>
        </w:rPr>
      </w:pPr>
      <w:bookmarkStart w:id="414" w:name="_Toc510280126"/>
    </w:p>
    <w:p w:rsidR="00CF13EB" w:rsidRDefault="00CF13EB" w:rsidP="006057BE">
      <w:pPr>
        <w:pStyle w:val="BodyText"/>
        <w:spacing w:line="240" w:lineRule="auto"/>
        <w:rPr>
          <w:sz w:val="24"/>
        </w:rPr>
      </w:pPr>
      <w:r w:rsidRPr="00B74EFE">
        <w:rPr>
          <w:sz w:val="24"/>
        </w:rPr>
        <w:t xml:space="preserve">Among those who used both marijuana and alcohol in the past 30 days, 46.8% of those who drove under the influence of marijuana also drove under the influence of alcohol. In comparison, users of both marijuana and alcohol who did not drive under the influence of marijuana had a much lower prevalence of driving under the influence of alcohol, at only 3.7%. </w:t>
      </w:r>
    </w:p>
    <w:p w:rsidR="00D173C3" w:rsidRPr="00B74EFE" w:rsidRDefault="00D173C3" w:rsidP="006057BE">
      <w:pPr>
        <w:pStyle w:val="BodyText"/>
        <w:spacing w:line="240" w:lineRule="auto"/>
        <w:rPr>
          <w:sz w:val="24"/>
        </w:rPr>
      </w:pPr>
    </w:p>
    <w:p w:rsidR="00CF13EB" w:rsidRPr="00B74EFE" w:rsidRDefault="00CF13EB" w:rsidP="006057BE">
      <w:pPr>
        <w:spacing w:after="0" w:line="240" w:lineRule="auto"/>
        <w:rPr>
          <w:rFonts w:ascii="Arial" w:hAnsi="Arial" w:cs="Arial"/>
          <w:i/>
          <w:sz w:val="24"/>
        </w:rPr>
      </w:pPr>
      <w:r w:rsidRPr="00B74EFE">
        <w:rPr>
          <w:rFonts w:ascii="Arial" w:hAnsi="Arial" w:cs="Arial"/>
          <w:i/>
          <w:sz w:val="24"/>
        </w:rPr>
        <w:t>Characteristics of individuals who ride with driver under the influence of marijuana (RUI-marijuana)</w:t>
      </w:r>
      <w:bookmarkEnd w:id="414"/>
    </w:p>
    <w:p w:rsidR="005D7694" w:rsidRPr="00B74EFE" w:rsidRDefault="005D7694" w:rsidP="006057BE">
      <w:pPr>
        <w:spacing w:after="0" w:line="240" w:lineRule="auto"/>
        <w:rPr>
          <w:rFonts w:ascii="Arial" w:hAnsi="Arial" w:cs="Arial"/>
          <w:i/>
          <w:sz w:val="24"/>
        </w:rPr>
      </w:pPr>
    </w:p>
    <w:p w:rsidR="00CF13EB" w:rsidRPr="00B74EFE" w:rsidRDefault="00CF13EB" w:rsidP="006057BE">
      <w:pPr>
        <w:pStyle w:val="BodyText"/>
        <w:spacing w:line="240" w:lineRule="auto"/>
        <w:rPr>
          <w:sz w:val="24"/>
        </w:rPr>
      </w:pPr>
      <w:r w:rsidRPr="00B74EFE">
        <w:rPr>
          <w:sz w:val="24"/>
        </w:rPr>
        <w:t xml:space="preserve">Table 5 shows a comparison of demographic and substance use characteristics between individuals who rode with a driver under the influence of marijuana and those who did not.  The distribution of RUI-marijuana by age showed that higher proportions of younger individuals tended to engage in this behavior versus older individuals. . Most individuals (70.6%) who RUI-marijuana had used marijuana in the past 30 days; this is in contrast to 15.5% of individuals who did not RUI-marijuana who reported past-30 day marijuana use.  </w:t>
      </w:r>
    </w:p>
    <w:p w:rsidR="00CF13EB" w:rsidRPr="00B3588A" w:rsidRDefault="00CF13EB" w:rsidP="006057BE">
      <w:pPr>
        <w:pStyle w:val="BodyText"/>
        <w:spacing w:line="240" w:lineRule="auto"/>
      </w:pPr>
    </w:p>
    <w:p w:rsidR="00CF13EB" w:rsidRPr="00B74EFE" w:rsidRDefault="00CF13EB" w:rsidP="006057BE">
      <w:pPr>
        <w:spacing w:after="0" w:line="240" w:lineRule="auto"/>
        <w:rPr>
          <w:rFonts w:ascii="Arial" w:hAnsi="Arial" w:cs="Arial"/>
          <w:b/>
          <w:sz w:val="24"/>
        </w:rPr>
      </w:pPr>
      <w:bookmarkStart w:id="415" w:name="_Toc510280127"/>
      <w:r w:rsidRPr="00B74EFE">
        <w:rPr>
          <w:rFonts w:ascii="Arial" w:hAnsi="Arial" w:cs="Arial"/>
          <w:b/>
          <w:sz w:val="24"/>
        </w:rPr>
        <w:t>Factors associated with driving under the influence of marijuana (DUI-marijuana) and riding with a driver under the influence of marijuana (RUI-marijuana)</w:t>
      </w:r>
      <w:bookmarkEnd w:id="415"/>
    </w:p>
    <w:p w:rsidR="00CF13EB" w:rsidRPr="00B74EFE" w:rsidRDefault="00CF13EB" w:rsidP="006057BE">
      <w:pPr>
        <w:spacing w:after="0" w:line="240" w:lineRule="auto"/>
        <w:rPr>
          <w:rFonts w:ascii="Arial" w:hAnsi="Arial" w:cs="Arial"/>
          <w:b/>
          <w:sz w:val="24"/>
        </w:rPr>
      </w:pPr>
    </w:p>
    <w:p w:rsidR="00CF13EB" w:rsidRPr="00B3588A" w:rsidRDefault="00CF13EB" w:rsidP="006057BE">
      <w:pPr>
        <w:pStyle w:val="BodyText"/>
        <w:spacing w:line="240" w:lineRule="auto"/>
      </w:pPr>
      <w:r w:rsidRPr="00B74EFE">
        <w:rPr>
          <w:sz w:val="24"/>
        </w:rPr>
        <w:t xml:space="preserve">Our multivariable Poisson regression model (Table 6) with DUI-marijuana as the outcome included age, gender, race/ethnicity, frequent marijuana use and alcohol use (Table 6). In preliminary models, we found no association between education level and DUIM and dropped it from subsequent models. We found that Black, non-Hispanic individuals had an 81% lower risk of DUI-marijuana compared to White, non-Hispanics </w:t>
      </w:r>
      <w:r w:rsidRPr="00B74EFE">
        <w:rPr>
          <w:color w:val="000000"/>
          <w:sz w:val="24"/>
        </w:rPr>
        <w:t>(RR=0.19; 95% CI:0.05-0.75)</w:t>
      </w:r>
      <w:r w:rsidRPr="00B74EFE">
        <w:rPr>
          <w:sz w:val="24"/>
        </w:rPr>
        <w:t xml:space="preserve">. Frequent marijuana use (defined as using on 21 or more days in the past month) was associated with </w:t>
      </w:r>
      <w:r w:rsidRPr="00B74EFE">
        <w:rPr>
          <w:color w:val="000000"/>
          <w:sz w:val="24"/>
        </w:rPr>
        <w:t>a 63% increased risk of</w:t>
      </w:r>
      <w:r w:rsidRPr="00B74EFE">
        <w:rPr>
          <w:sz w:val="24"/>
        </w:rPr>
        <w:t xml:space="preserve"> DUI-marijuana compared to using on 20 days or fewer (RR=1.63; 95% CI:1.15-2.32).  Of the model covariates, riding with a marijuana-using driver demonstrated the strongest association with DUI-marijuana. Individuals who rode with a driver under the influence of marijuana had more than triple the risk of DUI-marijuana compared to marijuana users who did not ride with a marijuana-using driver (RR=3.42; 95% CI: 2.28-5.15). </w:t>
      </w:r>
      <w:r w:rsidRPr="00B3588A">
        <w:rPr>
          <w:b/>
        </w:rPr>
        <w:br w:type="page"/>
      </w:r>
    </w:p>
    <w:p w:rsidR="00CF13EB" w:rsidRPr="0090612A" w:rsidRDefault="00CF13EB" w:rsidP="0090612A">
      <w:pPr>
        <w:spacing w:after="0"/>
        <w:rPr>
          <w:rFonts w:ascii="Arial" w:hAnsi="Arial" w:cs="Arial"/>
          <w:b/>
          <w:sz w:val="24"/>
        </w:rPr>
      </w:pPr>
      <w:bookmarkStart w:id="416" w:name="_Toc11766001"/>
      <w:bookmarkStart w:id="417" w:name="_Toc11766656"/>
      <w:bookmarkStart w:id="418" w:name="_Toc11917237"/>
      <w:bookmarkStart w:id="419" w:name="_Toc11921675"/>
      <w:r w:rsidRPr="0090612A">
        <w:rPr>
          <w:rFonts w:ascii="Arial" w:hAnsi="Arial" w:cs="Arial"/>
          <w:b/>
          <w:sz w:val="24"/>
        </w:rPr>
        <w:t>Table 5. Demographic and substance use characteristics by riding under the influence among MA adults</w:t>
      </w:r>
      <w:bookmarkEnd w:id="416"/>
      <w:bookmarkEnd w:id="417"/>
      <w:bookmarkEnd w:id="418"/>
      <w:bookmarkEnd w:id="419"/>
      <w:r w:rsidRPr="0090612A">
        <w:rPr>
          <w:rFonts w:ascii="Arial" w:hAnsi="Arial" w:cs="Arial"/>
          <w:b/>
          <w:sz w:val="24"/>
        </w:rPr>
        <w:t xml:space="preserve"> </w:t>
      </w:r>
    </w:p>
    <w:tbl>
      <w:tblPr>
        <w:tblW w:w="0" w:type="auto"/>
        <w:tblLayout w:type="fixed"/>
        <w:tblLook w:val="04A0" w:firstRow="1" w:lastRow="0" w:firstColumn="1" w:lastColumn="0" w:noHBand="0" w:noVBand="1"/>
        <w:tblCaption w:val="Demographic and substance use characteristics by riding under the influence among MA adults "/>
      </w:tblPr>
      <w:tblGrid>
        <w:gridCol w:w="333"/>
        <w:gridCol w:w="1755"/>
        <w:gridCol w:w="720"/>
        <w:gridCol w:w="720"/>
        <w:gridCol w:w="720"/>
        <w:gridCol w:w="720"/>
        <w:gridCol w:w="720"/>
        <w:gridCol w:w="720"/>
        <w:gridCol w:w="720"/>
        <w:gridCol w:w="720"/>
        <w:gridCol w:w="720"/>
        <w:gridCol w:w="1008"/>
      </w:tblGrid>
      <w:tr w:rsidR="00CF13EB" w:rsidRPr="00B3588A" w:rsidTr="00CF13EB">
        <w:trPr>
          <w:trHeight w:val="780"/>
        </w:trPr>
        <w:tc>
          <w:tcPr>
            <w:tcW w:w="208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EB" w:rsidRPr="00B3588A" w:rsidRDefault="00CF13EB" w:rsidP="006057BE">
            <w:pPr>
              <w:spacing w:after="0" w:line="240" w:lineRule="auto"/>
              <w:jc w:val="center"/>
              <w:rPr>
                <w:rFonts w:ascii="Arial" w:eastAsia="Times New Roman" w:hAnsi="Arial" w:cs="Arial"/>
                <w:b/>
                <w:bCs/>
                <w:color w:val="112277"/>
                <w:szCs w:val="24"/>
              </w:rPr>
            </w:pPr>
            <w:r w:rsidRPr="00B3588A">
              <w:rPr>
                <w:rFonts w:ascii="Arial" w:eastAsia="Times New Roman" w:hAnsi="Arial" w:cs="Arial"/>
                <w:b/>
                <w:bCs/>
                <w:color w:val="112277"/>
                <w:szCs w:val="24"/>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 xml:space="preserve">Rode under the influence of marijuana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Did not ride under the influence of marijuana</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Total respondents</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r>
      <w:tr w:rsidR="00CF13EB" w:rsidRPr="00B3588A" w:rsidTr="00CF13EB">
        <w:trPr>
          <w:trHeight w:val="270"/>
        </w:trPr>
        <w:tc>
          <w:tcPr>
            <w:tcW w:w="2088" w:type="dxa"/>
            <w:gridSpan w:val="2"/>
            <w:vMerge/>
            <w:tcBorders>
              <w:top w:val="single" w:sz="4" w:space="0" w:color="auto"/>
              <w:left w:val="single" w:sz="4" w:space="0" w:color="auto"/>
              <w:bottom w:val="single" w:sz="4" w:space="0" w:color="auto"/>
              <w:right w:val="single" w:sz="4" w:space="0" w:color="auto"/>
            </w:tcBorders>
            <w:vAlign w:val="center"/>
            <w:hideMark/>
          </w:tcPr>
          <w:p w:rsidR="00CF13EB" w:rsidRPr="00B3588A" w:rsidRDefault="00CF13EB" w:rsidP="006057BE">
            <w:pPr>
              <w:spacing w:after="0" w:line="240" w:lineRule="auto"/>
              <w:rPr>
                <w:rFonts w:ascii="Arial" w:eastAsia="Times New Roman" w:hAnsi="Arial" w:cs="Arial"/>
                <w:b/>
                <w:bCs/>
                <w:color w:val="112277"/>
                <w:szCs w:val="24"/>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n=187</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n=2720</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n=3022</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r>
      <w:tr w:rsidR="00CF13EB" w:rsidRPr="00B3588A" w:rsidTr="00CF13EB">
        <w:trPr>
          <w:trHeight w:val="582"/>
        </w:trPr>
        <w:tc>
          <w:tcPr>
            <w:tcW w:w="2088" w:type="dxa"/>
            <w:gridSpan w:val="2"/>
            <w:vMerge/>
            <w:tcBorders>
              <w:top w:val="single" w:sz="4" w:space="0" w:color="auto"/>
              <w:left w:val="single" w:sz="4" w:space="0" w:color="auto"/>
              <w:bottom w:val="single" w:sz="4" w:space="0" w:color="auto"/>
              <w:right w:val="single" w:sz="4" w:space="0" w:color="auto"/>
            </w:tcBorders>
            <w:vAlign w:val="center"/>
            <w:hideMark/>
          </w:tcPr>
          <w:p w:rsidR="00CF13EB" w:rsidRPr="00B3588A" w:rsidRDefault="00CF13EB" w:rsidP="006057BE">
            <w:pPr>
              <w:spacing w:after="0" w:line="240" w:lineRule="auto"/>
              <w:rPr>
                <w:rFonts w:ascii="Arial" w:eastAsia="Times New Roman" w:hAnsi="Arial" w:cs="Arial"/>
                <w:b/>
                <w:bCs/>
                <w:color w:val="112277"/>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LCI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UCI</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LCI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UCI</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LCI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w:t>
            </w:r>
            <w:r w:rsidRPr="00B3588A">
              <w:rPr>
                <w:rFonts w:ascii="Arial" w:eastAsia="Times New Roman" w:hAnsi="Arial" w:cs="Arial"/>
                <w:b/>
                <w:bCs/>
                <w:szCs w:val="24"/>
              </w:rPr>
              <w:br/>
              <w:t>UCI</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P-value</w:t>
            </w:r>
          </w:p>
        </w:tc>
      </w:tr>
      <w:tr w:rsidR="00505004" w:rsidRPr="00B3588A" w:rsidTr="00626599">
        <w:trPr>
          <w:trHeight w:val="270"/>
        </w:trPr>
        <w:tc>
          <w:tcPr>
            <w:tcW w:w="9576"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004" w:rsidRPr="00B3588A" w:rsidRDefault="00505004" w:rsidP="00505004">
            <w:pPr>
              <w:spacing w:after="0" w:line="240" w:lineRule="auto"/>
              <w:rPr>
                <w:rFonts w:ascii="Arial" w:eastAsia="Times New Roman" w:hAnsi="Arial" w:cs="Arial"/>
                <w:color w:val="000000"/>
                <w:szCs w:val="24"/>
              </w:rPr>
            </w:pPr>
            <w:r w:rsidRPr="00B3588A">
              <w:rPr>
                <w:rFonts w:ascii="Arial" w:eastAsia="Times New Roman" w:hAnsi="Arial" w:cs="Arial"/>
                <w:b/>
                <w:bCs/>
                <w:szCs w:val="24"/>
              </w:rPr>
              <w:t xml:space="preserve">Age  </w:t>
            </w:r>
          </w:p>
        </w:tc>
      </w:tr>
      <w:tr w:rsidR="00CF13EB" w:rsidRPr="00B3588A" w:rsidTr="00CF13EB">
        <w:trPr>
          <w:trHeight w:val="300"/>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18-20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20.8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5.6</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&lt;0.001</w:t>
            </w: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21-25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20.8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29.0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7.9</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26-29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10.9</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30-39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19.3</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40-49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19.6</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50=59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18.9</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60-69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13.8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16.8</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&gt;=70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15.4</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505004" w:rsidRPr="00B3588A" w:rsidTr="00626599">
        <w:trPr>
          <w:trHeight w:val="282"/>
        </w:trPr>
        <w:tc>
          <w:tcPr>
            <w:tcW w:w="9576" w:type="dxa"/>
            <w:gridSpan w:val="12"/>
            <w:tcBorders>
              <w:top w:val="single" w:sz="4" w:space="0" w:color="auto"/>
              <w:left w:val="single" w:sz="4" w:space="0" w:color="auto"/>
              <w:bottom w:val="single" w:sz="4" w:space="0" w:color="auto"/>
              <w:right w:val="single" w:sz="4" w:space="0" w:color="auto"/>
            </w:tcBorders>
            <w:shd w:val="clear" w:color="auto" w:fill="auto"/>
            <w:noWrap/>
            <w:hideMark/>
          </w:tcPr>
          <w:p w:rsidR="00505004" w:rsidRPr="00505004" w:rsidRDefault="00505004" w:rsidP="00505004">
            <w:pPr>
              <w:spacing w:after="0" w:line="240" w:lineRule="auto"/>
              <w:rPr>
                <w:rFonts w:ascii="Arial" w:eastAsia="Times New Roman" w:hAnsi="Arial" w:cs="Arial"/>
                <w:b/>
                <w:bCs/>
                <w:szCs w:val="24"/>
              </w:rPr>
            </w:pPr>
            <w:r w:rsidRPr="00B3588A">
              <w:rPr>
                <w:rFonts w:ascii="Arial" w:eastAsia="Times New Roman" w:hAnsi="Arial" w:cs="Arial"/>
                <w:b/>
                <w:bCs/>
                <w:szCs w:val="24"/>
              </w:rPr>
              <w:t>Gender</w:t>
            </w: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Female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52.4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49.5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55.2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55.4</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0.599</w:t>
            </w: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Male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44.8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47.3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50.1</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505004" w:rsidRPr="00B3588A" w:rsidTr="00626599">
        <w:trPr>
          <w:trHeight w:val="282"/>
        </w:trPr>
        <w:tc>
          <w:tcPr>
            <w:tcW w:w="9576" w:type="dxa"/>
            <w:gridSpan w:val="12"/>
            <w:tcBorders>
              <w:top w:val="single" w:sz="4" w:space="0" w:color="auto"/>
              <w:left w:val="single" w:sz="4" w:space="0" w:color="auto"/>
              <w:bottom w:val="single" w:sz="4" w:space="0" w:color="auto"/>
              <w:right w:val="single" w:sz="4" w:space="0" w:color="auto"/>
            </w:tcBorders>
            <w:shd w:val="clear" w:color="auto" w:fill="auto"/>
            <w:noWrap/>
            <w:hideMark/>
          </w:tcPr>
          <w:p w:rsidR="00505004" w:rsidRPr="00B3588A" w:rsidRDefault="00505004" w:rsidP="00505004">
            <w:pPr>
              <w:spacing w:after="0" w:line="240" w:lineRule="auto"/>
              <w:rPr>
                <w:rFonts w:ascii="Arial" w:eastAsia="Times New Roman" w:hAnsi="Arial" w:cs="Arial"/>
                <w:color w:val="000000"/>
                <w:szCs w:val="24"/>
              </w:rPr>
            </w:pPr>
            <w:r w:rsidRPr="00B3588A">
              <w:rPr>
                <w:rFonts w:ascii="Arial" w:eastAsia="Times New Roman" w:hAnsi="Arial" w:cs="Arial"/>
                <w:b/>
                <w:bCs/>
                <w:szCs w:val="24"/>
              </w:rPr>
              <w:t>Ethnicity</w:t>
            </w: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Any Hispanic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23.1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11.4</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0.389</w:t>
            </w: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White, non-Hispanic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67.5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57.4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72.3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78.0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71.5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77.0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Black, non-Hispanic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14.7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7.5</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Asian, non-Hispanic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8.1</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82"/>
        </w:trPr>
        <w:tc>
          <w:tcPr>
            <w:tcW w:w="333"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Other, non-Hispanic</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505004" w:rsidRPr="00B3588A" w:rsidTr="00626599">
        <w:trPr>
          <w:trHeight w:val="225"/>
        </w:trPr>
        <w:tc>
          <w:tcPr>
            <w:tcW w:w="957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004" w:rsidRPr="00B3588A" w:rsidRDefault="00505004" w:rsidP="00505004">
            <w:pPr>
              <w:spacing w:after="0" w:line="240" w:lineRule="auto"/>
              <w:rPr>
                <w:rFonts w:ascii="Arial" w:eastAsia="Times New Roman" w:hAnsi="Arial" w:cs="Arial"/>
                <w:color w:val="000000"/>
                <w:szCs w:val="24"/>
              </w:rPr>
            </w:pPr>
            <w:r w:rsidRPr="00B3588A">
              <w:rPr>
                <w:rFonts w:ascii="Arial" w:eastAsia="Times New Roman" w:hAnsi="Arial" w:cs="Arial"/>
                <w:b/>
                <w:bCs/>
                <w:szCs w:val="24"/>
              </w:rPr>
              <w:t>Education</w:t>
            </w:r>
          </w:p>
        </w:tc>
      </w:tr>
      <w:tr w:rsidR="00CF13EB" w:rsidRPr="00B3588A" w:rsidTr="00CF13EB">
        <w:trPr>
          <w:trHeight w:val="285"/>
        </w:trPr>
        <w:tc>
          <w:tcPr>
            <w:tcW w:w="333" w:type="dxa"/>
            <w:tcBorders>
              <w:top w:val="single" w:sz="4" w:space="0" w:color="auto"/>
              <w:left w:val="single" w:sz="4" w:space="0" w:color="auto"/>
              <w:bottom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High school or less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33.5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44.1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33.7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30.7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36.8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33.7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30.8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36.7</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0.027</w:t>
            </w:r>
          </w:p>
        </w:tc>
      </w:tr>
      <w:tr w:rsidR="00CF13EB" w:rsidRPr="00B3588A" w:rsidTr="00CF13EB">
        <w:trPr>
          <w:trHeight w:val="315"/>
        </w:trPr>
        <w:tc>
          <w:tcPr>
            <w:tcW w:w="333" w:type="dxa"/>
            <w:tcBorders>
              <w:top w:val="single" w:sz="4" w:space="0" w:color="auto"/>
              <w:left w:val="single" w:sz="4" w:space="0" w:color="auto"/>
              <w:bottom w:val="single" w:sz="4" w:space="0" w:color="auto"/>
            </w:tcBorders>
            <w:shd w:val="clear" w:color="auto" w:fill="auto"/>
            <w:vAlign w:val="center"/>
            <w:hideMark/>
          </w:tcPr>
          <w:p w:rsidR="00CF13EB" w:rsidRPr="00B3588A" w:rsidRDefault="00CF13EB" w:rsidP="006057BE">
            <w:pPr>
              <w:spacing w:after="0" w:line="240" w:lineRule="auto"/>
              <w:rPr>
                <w:rFonts w:ascii="Arial" w:eastAsia="Times New Roman" w:hAnsi="Arial" w:cs="Arial"/>
                <w:b/>
                <w:bCs/>
                <w:szCs w:val="24"/>
              </w:rPr>
            </w:pP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College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58.1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47.8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68.4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48.2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49.3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52.1</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70"/>
        </w:trPr>
        <w:tc>
          <w:tcPr>
            <w:tcW w:w="333" w:type="dxa"/>
            <w:tcBorders>
              <w:top w:val="single" w:sz="4" w:space="0" w:color="auto"/>
              <w:left w:val="single" w:sz="4" w:space="0" w:color="auto"/>
              <w:bottom w:val="single" w:sz="4" w:space="0" w:color="auto"/>
            </w:tcBorders>
            <w:shd w:val="clear" w:color="auto" w:fill="auto"/>
            <w:vAlign w:val="center"/>
            <w:hideMark/>
          </w:tcPr>
          <w:p w:rsidR="00CF13EB" w:rsidRPr="00B3588A" w:rsidRDefault="00CF13EB" w:rsidP="006057BE">
            <w:pPr>
              <w:spacing w:after="0" w:line="240" w:lineRule="auto"/>
              <w:rPr>
                <w:rFonts w:ascii="Arial" w:eastAsia="Times New Roman" w:hAnsi="Arial" w:cs="Arial"/>
                <w:b/>
                <w:bCs/>
                <w:szCs w:val="24"/>
              </w:rPr>
            </w:pP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Graduate school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19.7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18.5</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40"/>
        </w:trPr>
        <w:tc>
          <w:tcPr>
            <w:tcW w:w="2088" w:type="dxa"/>
            <w:gridSpan w:val="2"/>
            <w:tcBorders>
              <w:top w:val="single" w:sz="4" w:space="0" w:color="auto"/>
              <w:left w:val="single" w:sz="4" w:space="0" w:color="auto"/>
              <w:bottom w:val="single" w:sz="4" w:space="0" w:color="auto"/>
              <w:right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xml:space="preserve">Used marijuana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70.6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61.9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79.3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15.5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21.7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24.3</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&lt;0.001</w:t>
            </w:r>
          </w:p>
        </w:tc>
      </w:tr>
      <w:tr w:rsidR="00CF13EB" w:rsidRPr="00B3588A" w:rsidTr="00CF13EB">
        <w:trPr>
          <w:trHeight w:val="240"/>
        </w:trPr>
        <w:tc>
          <w:tcPr>
            <w:tcW w:w="2088" w:type="dxa"/>
            <w:gridSpan w:val="2"/>
            <w:tcBorders>
              <w:top w:val="single" w:sz="4" w:space="0" w:color="auto"/>
              <w:left w:val="single" w:sz="4" w:space="0" w:color="auto"/>
              <w:bottom w:val="single" w:sz="4" w:space="0" w:color="auto"/>
              <w:right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Drove under influence of marijuana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54.1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9.1</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&lt;0.001</w:t>
            </w:r>
          </w:p>
        </w:tc>
      </w:tr>
      <w:tr w:rsidR="00D173C3" w:rsidRPr="00B3588A" w:rsidTr="0090612A">
        <w:trPr>
          <w:cantSplit/>
          <w:trHeight w:val="404"/>
        </w:trPr>
        <w:tc>
          <w:tcPr>
            <w:tcW w:w="9576" w:type="dxa"/>
            <w:gridSpan w:val="12"/>
            <w:tcBorders>
              <w:top w:val="single" w:sz="4" w:space="0" w:color="auto"/>
              <w:left w:val="single" w:sz="4" w:space="0" w:color="auto"/>
              <w:bottom w:val="single" w:sz="4" w:space="0" w:color="auto"/>
              <w:right w:val="single" w:sz="4" w:space="0" w:color="auto"/>
            </w:tcBorders>
            <w:shd w:val="clear" w:color="auto" w:fill="auto"/>
            <w:hideMark/>
          </w:tcPr>
          <w:p w:rsidR="00D173C3" w:rsidRPr="00B3588A" w:rsidRDefault="00D173C3" w:rsidP="00D173C3">
            <w:pPr>
              <w:spacing w:after="0" w:line="240" w:lineRule="auto"/>
              <w:rPr>
                <w:rFonts w:ascii="Arial" w:eastAsia="Times New Roman" w:hAnsi="Arial" w:cs="Arial"/>
                <w:color w:val="000000"/>
                <w:szCs w:val="24"/>
              </w:rPr>
            </w:pPr>
            <w:r w:rsidRPr="00B3588A">
              <w:rPr>
                <w:rFonts w:ascii="Arial" w:eastAsia="Times New Roman" w:hAnsi="Arial" w:cs="Arial"/>
                <w:b/>
                <w:bCs/>
                <w:szCs w:val="24"/>
              </w:rPr>
              <w:t>Frequency of RUIM</w:t>
            </w:r>
          </w:p>
        </w:tc>
      </w:tr>
      <w:tr w:rsidR="00CF13EB" w:rsidRPr="00B3588A" w:rsidTr="00CF13EB">
        <w:trPr>
          <w:trHeight w:val="240"/>
        </w:trPr>
        <w:tc>
          <w:tcPr>
            <w:tcW w:w="333" w:type="dxa"/>
            <w:tcBorders>
              <w:top w:val="single" w:sz="4" w:space="0" w:color="auto"/>
              <w:left w:val="single" w:sz="4" w:space="0" w:color="auto"/>
              <w:bottom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0 times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88.7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86.6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90.8</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40"/>
        </w:trPr>
        <w:tc>
          <w:tcPr>
            <w:tcW w:w="333" w:type="dxa"/>
            <w:tcBorders>
              <w:top w:val="single" w:sz="4" w:space="0" w:color="auto"/>
              <w:left w:val="single" w:sz="4" w:space="0" w:color="auto"/>
              <w:bottom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once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color w:val="000000"/>
                <w:szCs w:val="24"/>
              </w:rPr>
              <w:t>26.5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18.2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34.8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4.0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40"/>
        </w:trPr>
        <w:tc>
          <w:tcPr>
            <w:tcW w:w="333" w:type="dxa"/>
            <w:tcBorders>
              <w:top w:val="single" w:sz="4" w:space="0" w:color="auto"/>
              <w:left w:val="single" w:sz="4" w:space="0" w:color="auto"/>
              <w:bottom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2-3 times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color w:val="000000"/>
                <w:szCs w:val="24"/>
              </w:rPr>
              <w:t>43.9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33.7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54.0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6.5</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40"/>
        </w:trPr>
        <w:tc>
          <w:tcPr>
            <w:tcW w:w="333" w:type="dxa"/>
            <w:tcBorders>
              <w:top w:val="single" w:sz="4" w:space="0" w:color="auto"/>
              <w:left w:val="single" w:sz="4" w:space="0" w:color="auto"/>
              <w:bottom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4-5 times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color w:val="000000"/>
                <w:szCs w:val="24"/>
              </w:rPr>
              <w:t>10.5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16.1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1.8</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40"/>
        </w:trPr>
        <w:tc>
          <w:tcPr>
            <w:tcW w:w="333" w:type="dxa"/>
            <w:tcBorders>
              <w:top w:val="single" w:sz="4" w:space="0" w:color="auto"/>
              <w:left w:val="single" w:sz="4" w:space="0" w:color="auto"/>
              <w:bottom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1755" w:type="dxa"/>
            <w:tcBorders>
              <w:top w:val="single" w:sz="4" w:space="0" w:color="auto"/>
              <w:bottom w:val="single" w:sz="4" w:space="0" w:color="auto"/>
              <w:right w:val="single" w:sz="4" w:space="0" w:color="auto"/>
            </w:tcBorders>
            <w:shd w:val="clear" w:color="auto" w:fill="auto"/>
            <w:noWrap/>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6 or more</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color w:val="000000"/>
                <w:szCs w:val="24"/>
              </w:rPr>
              <w:t>19.2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11.9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26.5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eastAsia="Times New Roman" w:hAnsi="Arial" w:cs="Arial"/>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2.2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3.0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p>
        </w:tc>
      </w:tr>
      <w:tr w:rsidR="00CF13EB" w:rsidRPr="00B3588A" w:rsidTr="00CF13EB">
        <w:trPr>
          <w:trHeight w:val="240"/>
        </w:trPr>
        <w:tc>
          <w:tcPr>
            <w:tcW w:w="2088" w:type="dxa"/>
            <w:gridSpan w:val="2"/>
            <w:tcBorders>
              <w:top w:val="single" w:sz="4" w:space="0" w:color="auto"/>
              <w:left w:val="single" w:sz="4" w:space="0" w:color="auto"/>
              <w:bottom w:val="single" w:sz="4" w:space="0" w:color="auto"/>
              <w:right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Drove under the influence of alcohol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10.7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25.5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8.4</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0.001</w:t>
            </w:r>
          </w:p>
        </w:tc>
      </w:tr>
      <w:tr w:rsidR="00CF13EB" w:rsidRPr="00B3588A" w:rsidTr="00CF13EB">
        <w:trPr>
          <w:trHeight w:val="540"/>
        </w:trPr>
        <w:tc>
          <w:tcPr>
            <w:tcW w:w="2088" w:type="dxa"/>
            <w:gridSpan w:val="2"/>
            <w:tcBorders>
              <w:top w:val="single" w:sz="4" w:space="0" w:color="auto"/>
              <w:left w:val="single" w:sz="4" w:space="0" w:color="auto"/>
              <w:bottom w:val="single" w:sz="4" w:space="0" w:color="auto"/>
              <w:right w:val="single" w:sz="4" w:space="0" w:color="auto"/>
            </w:tcBorders>
            <w:shd w:val="clear" w:color="auto" w:fill="auto"/>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Rode with driver under influence of alcohol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25.2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&lt;0.001</w:t>
            </w:r>
          </w:p>
        </w:tc>
      </w:tr>
      <w:tr w:rsidR="00CF13EB" w:rsidRPr="00B3588A" w:rsidTr="00CF13EB">
        <w:trPr>
          <w:trHeight w:val="593"/>
        </w:trPr>
        <w:tc>
          <w:tcPr>
            <w:tcW w:w="2808" w:type="dxa"/>
            <w:gridSpan w:val="3"/>
            <w:tcBorders>
              <w:top w:val="nil"/>
              <w:left w:val="nil"/>
              <w:bottom w:val="nil"/>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Note: Table displays column percentages.</w:t>
            </w:r>
          </w:p>
        </w:tc>
        <w:tc>
          <w:tcPr>
            <w:tcW w:w="720" w:type="dxa"/>
            <w:tcBorders>
              <w:top w:val="nil"/>
              <w:left w:val="nil"/>
              <w:bottom w:val="nil"/>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c>
          <w:tcPr>
            <w:tcW w:w="720" w:type="dxa"/>
            <w:tcBorders>
              <w:top w:val="nil"/>
              <w:left w:val="nil"/>
              <w:bottom w:val="nil"/>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c>
          <w:tcPr>
            <w:tcW w:w="720" w:type="dxa"/>
            <w:tcBorders>
              <w:top w:val="nil"/>
              <w:left w:val="nil"/>
              <w:bottom w:val="nil"/>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c>
          <w:tcPr>
            <w:tcW w:w="720" w:type="dxa"/>
            <w:tcBorders>
              <w:top w:val="nil"/>
              <w:left w:val="nil"/>
              <w:bottom w:val="nil"/>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c>
          <w:tcPr>
            <w:tcW w:w="720" w:type="dxa"/>
            <w:tcBorders>
              <w:top w:val="nil"/>
              <w:left w:val="nil"/>
              <w:bottom w:val="nil"/>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c>
          <w:tcPr>
            <w:tcW w:w="720" w:type="dxa"/>
            <w:tcBorders>
              <w:top w:val="nil"/>
              <w:left w:val="nil"/>
              <w:bottom w:val="nil"/>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c>
          <w:tcPr>
            <w:tcW w:w="720" w:type="dxa"/>
            <w:tcBorders>
              <w:top w:val="nil"/>
              <w:left w:val="nil"/>
              <w:bottom w:val="nil"/>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c>
          <w:tcPr>
            <w:tcW w:w="720" w:type="dxa"/>
            <w:tcBorders>
              <w:top w:val="nil"/>
              <w:left w:val="nil"/>
              <w:bottom w:val="nil"/>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c>
          <w:tcPr>
            <w:tcW w:w="1008" w:type="dxa"/>
            <w:tcBorders>
              <w:top w:val="nil"/>
              <w:left w:val="nil"/>
              <w:bottom w:val="nil"/>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 </w:t>
            </w:r>
          </w:p>
        </w:tc>
      </w:tr>
    </w:tbl>
    <w:p w:rsidR="00CF13EB" w:rsidRDefault="00CF13EB" w:rsidP="00F950A2">
      <w:pPr>
        <w:pStyle w:val="BodyText"/>
      </w:pPr>
    </w:p>
    <w:p w:rsidR="00CF13EB" w:rsidRPr="0090612A" w:rsidRDefault="00CF13EB" w:rsidP="0090612A">
      <w:pPr>
        <w:spacing w:after="0"/>
        <w:rPr>
          <w:rFonts w:ascii="Arial" w:hAnsi="Arial" w:cs="Arial"/>
          <w:b/>
          <w:sz w:val="24"/>
        </w:rPr>
      </w:pPr>
      <w:bookmarkStart w:id="420" w:name="_Toc11766002"/>
      <w:bookmarkStart w:id="421" w:name="_Toc11766657"/>
      <w:bookmarkStart w:id="422" w:name="_Toc11917238"/>
      <w:bookmarkStart w:id="423" w:name="_Toc11921676"/>
      <w:r w:rsidRPr="0090612A">
        <w:rPr>
          <w:rFonts w:ascii="Arial" w:hAnsi="Arial" w:cs="Arial"/>
          <w:b/>
          <w:sz w:val="24"/>
        </w:rPr>
        <w:t>Table 6. Adjusted relative risk for driving under the influence of marijuana</w:t>
      </w:r>
      <w:bookmarkEnd w:id="420"/>
      <w:bookmarkEnd w:id="421"/>
      <w:bookmarkEnd w:id="422"/>
      <w:bookmarkEnd w:id="423"/>
    </w:p>
    <w:tbl>
      <w:tblPr>
        <w:tblW w:w="8606" w:type="dxa"/>
        <w:tblLook w:val="04A0" w:firstRow="1" w:lastRow="0" w:firstColumn="1" w:lastColumn="0" w:noHBand="0" w:noVBand="1"/>
        <w:tblCaption w:val="Adjusted relative risk for driving under the influence of marijuana"/>
      </w:tblPr>
      <w:tblGrid>
        <w:gridCol w:w="4225"/>
        <w:gridCol w:w="1440"/>
        <w:gridCol w:w="990"/>
        <w:gridCol w:w="810"/>
        <w:gridCol w:w="1133"/>
        <w:gridCol w:w="8"/>
      </w:tblGrid>
      <w:tr w:rsidR="00CF13EB" w:rsidRPr="00B3588A" w:rsidTr="00CF13EB">
        <w:trPr>
          <w:gridAfter w:val="1"/>
          <w:wAfter w:w="8" w:type="dxa"/>
          <w:trHeight w:val="260"/>
        </w:trPr>
        <w:tc>
          <w:tcPr>
            <w:tcW w:w="4225" w:type="dxa"/>
            <w:tcBorders>
              <w:top w:val="single" w:sz="4" w:space="0" w:color="auto"/>
              <w:left w:val="single" w:sz="4" w:space="0" w:color="auto"/>
              <w:bottom w:val="single" w:sz="4" w:space="0" w:color="auto"/>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b/>
                <w:bCs/>
                <w:szCs w:val="24"/>
              </w:rPr>
            </w:pPr>
            <w:r w:rsidRPr="00B3588A">
              <w:rPr>
                <w:rFonts w:ascii="Arial" w:eastAsia="Times New Roman" w:hAnsi="Arial" w:cs="Arial"/>
                <w:b/>
                <w:bCs/>
                <w:szCs w:val="24"/>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Adjusted Relative Risk</w:t>
            </w:r>
          </w:p>
        </w:tc>
        <w:tc>
          <w:tcPr>
            <w:tcW w:w="1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 Confidence Limits</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right"/>
              <w:rPr>
                <w:rFonts w:ascii="Arial" w:eastAsia="Times New Roman" w:hAnsi="Arial" w:cs="Arial"/>
                <w:b/>
                <w:bCs/>
                <w:szCs w:val="24"/>
              </w:rPr>
            </w:pPr>
            <w:r w:rsidRPr="00B3588A">
              <w:rPr>
                <w:rFonts w:ascii="Arial" w:eastAsia="Times New Roman" w:hAnsi="Arial" w:cs="Arial"/>
                <w:b/>
                <w:bCs/>
                <w:szCs w:val="24"/>
              </w:rPr>
              <w:t>P-value</w:t>
            </w:r>
          </w:p>
        </w:tc>
      </w:tr>
      <w:tr w:rsidR="00CF13EB" w:rsidRPr="00B3588A" w:rsidTr="00CF13EB">
        <w:trPr>
          <w:gridAfter w:val="1"/>
          <w:wAfter w:w="8" w:type="dxa"/>
          <w:trHeight w:val="260"/>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Age 25 and older (ref: 18-24 years)</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1.02</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0.72</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1.43</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0.911</w:t>
            </w:r>
          </w:p>
        </w:tc>
      </w:tr>
      <w:tr w:rsidR="00CF13EB" w:rsidRPr="00B3588A" w:rsidTr="00CF13EB">
        <w:trPr>
          <w:gridAfter w:val="1"/>
          <w:wAfter w:w="8" w:type="dxa"/>
          <w:trHeight w:val="27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Male (ref: Female)</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1.32</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0.96</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1.82</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0.089</w:t>
            </w:r>
          </w:p>
        </w:tc>
      </w:tr>
      <w:tr w:rsidR="00CF13EB" w:rsidRPr="00B3588A" w:rsidTr="00CF13EB">
        <w:trPr>
          <w:gridAfter w:val="1"/>
          <w:wAfter w:w="8" w:type="dxa"/>
          <w:trHeight w:val="260"/>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xml:space="preserve">Hispanic (ref: White, non-Hispanic) </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1.22</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0.76</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1.97</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0.404</w:t>
            </w:r>
          </w:p>
        </w:tc>
      </w:tr>
      <w:tr w:rsidR="00CF13EB" w:rsidRPr="00B3588A" w:rsidTr="00CF13EB">
        <w:trPr>
          <w:gridAfter w:val="1"/>
          <w:wAfter w:w="8" w:type="dxa"/>
          <w:trHeight w:val="260"/>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xml:space="preserve">Black  (ref: White, non-Hispanic) </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b/>
                <w:bCs/>
                <w:szCs w:val="24"/>
              </w:rPr>
              <w:t>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b/>
                <w:bCs/>
                <w:szCs w:val="24"/>
              </w:rPr>
              <w:t>0.05</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b/>
                <w:bCs/>
                <w:szCs w:val="24"/>
              </w:rPr>
              <w:t>0.75</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b/>
                <w:bCs/>
                <w:szCs w:val="24"/>
              </w:rPr>
              <w:t>0.018</w:t>
            </w:r>
          </w:p>
        </w:tc>
      </w:tr>
      <w:tr w:rsidR="00CF13EB" w:rsidRPr="00B3588A" w:rsidTr="00CF13EB">
        <w:trPr>
          <w:gridAfter w:val="1"/>
          <w:wAfter w:w="8" w:type="dxa"/>
          <w:trHeight w:val="260"/>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xml:space="preserve">Asian (ref: White, non-Hispanic) </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1.10</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0.53</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2.26</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0.797</w:t>
            </w:r>
          </w:p>
        </w:tc>
      </w:tr>
      <w:tr w:rsidR="00CF13EB" w:rsidRPr="00B3588A" w:rsidTr="00CF13EB">
        <w:trPr>
          <w:gridAfter w:val="1"/>
          <w:wAfter w:w="8" w:type="dxa"/>
          <w:trHeight w:val="260"/>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xml:space="preserve">Other (ref: White, non-Hispanic) </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1.30</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0.60</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2.83</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0.507</w:t>
            </w:r>
          </w:p>
        </w:tc>
      </w:tr>
      <w:tr w:rsidR="00CF13EB" w:rsidRPr="00B3588A" w:rsidTr="00CF13EB">
        <w:trPr>
          <w:gridAfter w:val="1"/>
          <w:wAfter w:w="8" w:type="dxa"/>
          <w:trHeight w:val="280"/>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≥21  days of marijuana use (Ref: ≤20 days)</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b/>
                <w:bCs/>
                <w:szCs w:val="24"/>
              </w:rPr>
              <w:t>1.63</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b/>
                <w:bCs/>
                <w:szCs w:val="24"/>
              </w:rPr>
              <w:t>1.15</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b/>
                <w:bCs/>
                <w:szCs w:val="24"/>
              </w:rPr>
              <w:t>2.32</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b/>
                <w:bCs/>
                <w:szCs w:val="24"/>
              </w:rPr>
              <w:t>0.007</w:t>
            </w:r>
          </w:p>
        </w:tc>
      </w:tr>
      <w:tr w:rsidR="00CF13EB" w:rsidRPr="00B3588A" w:rsidTr="00CF13EB">
        <w:trPr>
          <w:gridAfter w:val="1"/>
          <w:wAfter w:w="8" w:type="dxa"/>
          <w:trHeight w:val="260"/>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Used alcohol</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1.35</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0.80</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2.28</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szCs w:val="24"/>
              </w:rPr>
              <w:t>0.256</w:t>
            </w:r>
          </w:p>
        </w:tc>
      </w:tr>
      <w:tr w:rsidR="00CF13EB" w:rsidRPr="00B3588A" w:rsidTr="00CF13EB">
        <w:trPr>
          <w:gridAfter w:val="1"/>
          <w:wAfter w:w="8" w:type="dxa"/>
          <w:trHeight w:val="260"/>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Rode with driver under influence of marijuana</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b/>
                <w:bCs/>
                <w:szCs w:val="24"/>
              </w:rPr>
              <w:t>3.42</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b/>
                <w:bCs/>
                <w:szCs w:val="24"/>
              </w:rPr>
              <w:t>2.28</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b/>
                <w:bCs/>
                <w:szCs w:val="24"/>
              </w:rPr>
              <w:t>5.15</w:t>
            </w:r>
          </w:p>
        </w:tc>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F13EB" w:rsidRPr="00B3588A" w:rsidRDefault="00CF13EB" w:rsidP="00B74EFE">
            <w:pPr>
              <w:spacing w:after="0" w:line="240" w:lineRule="auto"/>
              <w:jc w:val="center"/>
              <w:rPr>
                <w:rFonts w:ascii="Arial" w:eastAsia="Times New Roman" w:hAnsi="Arial" w:cs="Arial"/>
                <w:b/>
                <w:bCs/>
                <w:szCs w:val="24"/>
              </w:rPr>
            </w:pPr>
            <w:r w:rsidRPr="00B3588A">
              <w:rPr>
                <w:rFonts w:ascii="Arial" w:hAnsi="Arial" w:cs="Arial"/>
                <w:b/>
                <w:bCs/>
                <w:szCs w:val="24"/>
              </w:rPr>
              <w:t>&lt;.0001</w:t>
            </w:r>
          </w:p>
        </w:tc>
      </w:tr>
      <w:tr w:rsidR="00CF13EB" w:rsidRPr="00B3588A" w:rsidTr="00CF13EB">
        <w:trPr>
          <w:trHeight w:val="525"/>
        </w:trPr>
        <w:tc>
          <w:tcPr>
            <w:tcW w:w="8606" w:type="dxa"/>
            <w:gridSpan w:val="6"/>
            <w:tcBorders>
              <w:top w:val="single" w:sz="4" w:space="0" w:color="auto"/>
            </w:tcBorders>
            <w:shd w:val="clear" w:color="auto" w:fill="auto"/>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Note: Results from multivariable, modified Poisson regression. Only marijuana users included. All substance use and DUI or RUI variables refer to behavior in the past 30 days</w:t>
            </w:r>
          </w:p>
        </w:tc>
      </w:tr>
    </w:tbl>
    <w:p w:rsidR="00CF13EB" w:rsidRDefault="00CF13EB" w:rsidP="006057BE">
      <w:pPr>
        <w:pStyle w:val="BodyText"/>
        <w:spacing w:line="240" w:lineRule="auto"/>
      </w:pPr>
    </w:p>
    <w:p w:rsidR="00CF13EB" w:rsidRPr="00B74EFE" w:rsidRDefault="00CF13EB" w:rsidP="006057BE">
      <w:pPr>
        <w:pStyle w:val="BodyText"/>
        <w:spacing w:line="240" w:lineRule="auto"/>
        <w:rPr>
          <w:sz w:val="24"/>
        </w:rPr>
      </w:pPr>
      <w:r w:rsidRPr="00B74EFE">
        <w:rPr>
          <w:sz w:val="24"/>
        </w:rPr>
        <w:t xml:space="preserve">Our multivariable Poisson regression model with RUI-marijuana as the outcome included age, gender, education, race/ethnicity, frequent marijuana use, alcohol use, and riding as a passenger with driver under the influence of alcohol (RUI-alcohol) (Table 7). We found that being age 25 years or older was associated with a nearly 50% reduction in the risk of RUI-marijuana, controlling for other factors. Using marijuana between 1-20 days per month was associated with having more than 5 times the risk of RUI-marijuana (RR=5.79; 95% CI: 3.70-9.07) compared to not using at all; using 21 or more days per month increased the risk more than 8 times (RR=8.57; 95% CI: 5.42-13.55). Riding with a driver who used alcohol was associated with more than twice the risk of riding with a marijuana using driver. </w:t>
      </w:r>
    </w:p>
    <w:p w:rsidR="00CF13EB" w:rsidRDefault="00CF13EB" w:rsidP="00F950A2">
      <w:pPr>
        <w:pStyle w:val="BodyText"/>
      </w:pPr>
    </w:p>
    <w:p w:rsidR="00CF13EB" w:rsidRDefault="00CF13EB" w:rsidP="00F950A2">
      <w:pPr>
        <w:pStyle w:val="BodyText"/>
      </w:pPr>
    </w:p>
    <w:p w:rsidR="00CF13EB" w:rsidRDefault="00CF13EB" w:rsidP="00F950A2">
      <w:pPr>
        <w:pStyle w:val="BodyText"/>
      </w:pPr>
    </w:p>
    <w:p w:rsidR="00CF13EB" w:rsidRDefault="00CF13EB" w:rsidP="00F950A2">
      <w:pPr>
        <w:pStyle w:val="BodyText"/>
      </w:pPr>
    </w:p>
    <w:p w:rsidR="00CF13EB" w:rsidRDefault="00CF13EB" w:rsidP="00F950A2">
      <w:pPr>
        <w:pStyle w:val="BodyText"/>
      </w:pPr>
    </w:p>
    <w:p w:rsidR="00CF13EB" w:rsidRDefault="00CF13EB" w:rsidP="00F950A2">
      <w:pPr>
        <w:pStyle w:val="BodyText"/>
      </w:pPr>
    </w:p>
    <w:p w:rsidR="00A3309E" w:rsidRDefault="00A3309E" w:rsidP="00A3309E">
      <w:pPr>
        <w:pStyle w:val="BodyText"/>
      </w:pPr>
    </w:p>
    <w:p w:rsidR="00A3309E" w:rsidRDefault="00A3309E" w:rsidP="00A3309E">
      <w:pPr>
        <w:pStyle w:val="BodyText"/>
      </w:pPr>
    </w:p>
    <w:p w:rsidR="00CF13EB" w:rsidRPr="005D614A" w:rsidRDefault="00CF13EB" w:rsidP="005D614A">
      <w:pPr>
        <w:spacing w:after="0"/>
        <w:rPr>
          <w:rFonts w:ascii="Arial" w:hAnsi="Arial" w:cs="Arial"/>
          <w:b/>
          <w:sz w:val="24"/>
        </w:rPr>
      </w:pPr>
      <w:bookmarkStart w:id="424" w:name="_Toc11766003"/>
      <w:bookmarkStart w:id="425" w:name="_Toc11766658"/>
      <w:bookmarkStart w:id="426" w:name="_Toc11917239"/>
      <w:bookmarkStart w:id="427" w:name="_Toc11921677"/>
      <w:r w:rsidRPr="005D614A">
        <w:rPr>
          <w:rFonts w:ascii="Arial" w:hAnsi="Arial" w:cs="Arial"/>
          <w:b/>
          <w:sz w:val="24"/>
        </w:rPr>
        <w:t>Table 7. Adjusted relative risk for riding as a passenger with a driver under the influence of marijuana</w:t>
      </w:r>
      <w:bookmarkEnd w:id="424"/>
      <w:bookmarkEnd w:id="425"/>
      <w:bookmarkEnd w:id="426"/>
      <w:bookmarkEnd w:id="427"/>
    </w:p>
    <w:p w:rsidR="00CF13EB" w:rsidRPr="00CF13EB" w:rsidRDefault="00CF13EB" w:rsidP="006057BE">
      <w:pPr>
        <w:pStyle w:val="BodyText"/>
        <w:spacing w:line="240" w:lineRule="auto"/>
      </w:pPr>
    </w:p>
    <w:tbl>
      <w:tblPr>
        <w:tblW w:w="8985" w:type="dxa"/>
        <w:tblLook w:val="04A0" w:firstRow="1" w:lastRow="0" w:firstColumn="1" w:lastColumn="0" w:noHBand="0" w:noVBand="1"/>
        <w:tblCaption w:val="Adjusted relative risk for riding as a passenger with a driver under the influence of marijuana"/>
      </w:tblPr>
      <w:tblGrid>
        <w:gridCol w:w="4230"/>
        <w:gridCol w:w="1525"/>
        <w:gridCol w:w="955"/>
        <w:gridCol w:w="1155"/>
        <w:gridCol w:w="1114"/>
        <w:gridCol w:w="6"/>
      </w:tblGrid>
      <w:tr w:rsidR="00CF13EB" w:rsidRPr="00B3588A" w:rsidTr="00CF13EB">
        <w:trPr>
          <w:gridAfter w:val="1"/>
          <w:wAfter w:w="6" w:type="dxa"/>
          <w:trHeight w:val="240"/>
        </w:trPr>
        <w:tc>
          <w:tcPr>
            <w:tcW w:w="4230" w:type="dxa"/>
            <w:tcBorders>
              <w:top w:val="single" w:sz="4" w:space="0" w:color="auto"/>
              <w:left w:val="single" w:sz="4" w:space="0" w:color="auto"/>
              <w:bottom w:val="single" w:sz="4" w:space="0" w:color="auto"/>
              <w:right w:val="nil"/>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Adjusted</w:t>
            </w:r>
          </w:p>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Relative Risk</w:t>
            </w:r>
          </w:p>
        </w:tc>
        <w:tc>
          <w:tcPr>
            <w:tcW w:w="2110" w:type="dxa"/>
            <w:gridSpan w:val="2"/>
            <w:tcBorders>
              <w:top w:val="single" w:sz="4" w:space="0" w:color="auto"/>
              <w:left w:val="nil"/>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center"/>
              <w:rPr>
                <w:rFonts w:ascii="Arial" w:eastAsia="Times New Roman" w:hAnsi="Arial" w:cs="Arial"/>
                <w:b/>
                <w:bCs/>
                <w:szCs w:val="24"/>
              </w:rPr>
            </w:pPr>
            <w:r w:rsidRPr="00B3588A">
              <w:rPr>
                <w:rFonts w:ascii="Arial" w:eastAsia="Times New Roman" w:hAnsi="Arial" w:cs="Arial"/>
                <w:b/>
                <w:bCs/>
                <w:szCs w:val="24"/>
              </w:rPr>
              <w:t>95% Confidence Limits</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jc w:val="right"/>
              <w:rPr>
                <w:rFonts w:ascii="Arial" w:eastAsia="Times New Roman" w:hAnsi="Arial" w:cs="Arial"/>
                <w:b/>
                <w:bCs/>
                <w:szCs w:val="24"/>
              </w:rPr>
            </w:pPr>
            <w:r w:rsidRPr="00B3588A">
              <w:rPr>
                <w:rFonts w:ascii="Arial" w:eastAsia="Times New Roman" w:hAnsi="Arial" w:cs="Arial"/>
                <w:b/>
                <w:bCs/>
                <w:szCs w:val="24"/>
              </w:rPr>
              <w:t>P-value</w:t>
            </w:r>
          </w:p>
        </w:tc>
      </w:tr>
      <w:tr w:rsidR="00CF13EB" w:rsidRPr="00B3588A" w:rsidTr="00CF13EB">
        <w:trPr>
          <w:gridAfter w:val="1"/>
          <w:wAfter w:w="6" w:type="dxa"/>
          <w:trHeight w:val="24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Age 25 and older (ref: 18-24 years)</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color w:val="000000"/>
                <w:szCs w:val="24"/>
              </w:rPr>
              <w:t>0.52</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color w:val="000000"/>
                <w:szCs w:val="24"/>
              </w:rPr>
              <w:t>0.37</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color w:val="000000"/>
                <w:szCs w:val="24"/>
              </w:rPr>
              <w:t>0.74</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szCs w:val="24"/>
              </w:rPr>
              <w:t>&lt;.0001</w:t>
            </w:r>
          </w:p>
        </w:tc>
      </w:tr>
      <w:tr w:rsidR="00CF13EB" w:rsidRPr="00B3588A" w:rsidTr="00CF13EB">
        <w:trPr>
          <w:gridAfter w:val="1"/>
          <w:wAfter w:w="6" w:type="dxa"/>
          <w:trHeight w:val="24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Male (ref: Female)</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0.76</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0.55</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1.05</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0.098</w:t>
            </w:r>
          </w:p>
        </w:tc>
      </w:tr>
      <w:tr w:rsidR="00CF13EB" w:rsidRPr="00B3588A" w:rsidTr="00CF13EB">
        <w:trPr>
          <w:gridAfter w:val="1"/>
          <w:wAfter w:w="6" w:type="dxa"/>
          <w:trHeight w:val="24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xml:space="preserve">College education (ref: ≤ High School) </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1.04</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0.69</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1.56</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0.865</w:t>
            </w:r>
          </w:p>
        </w:tc>
      </w:tr>
      <w:tr w:rsidR="00CF13EB" w:rsidRPr="00B3588A" w:rsidTr="00CF13EB">
        <w:trPr>
          <w:gridAfter w:val="1"/>
          <w:wAfter w:w="6" w:type="dxa"/>
          <w:trHeight w:val="24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Graduate education (ref: ≤ High School)</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0.82</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0.47</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1.43</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0.49</w:t>
            </w:r>
          </w:p>
        </w:tc>
      </w:tr>
      <w:tr w:rsidR="00CF13EB" w:rsidRPr="00B3588A" w:rsidTr="00CF13EB">
        <w:trPr>
          <w:gridAfter w:val="1"/>
          <w:wAfter w:w="6" w:type="dxa"/>
          <w:trHeight w:val="24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xml:space="preserve">Hispanic (ref: White, non-Hispanic) </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1.26</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0.73</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2.15</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0.409</w:t>
            </w:r>
          </w:p>
        </w:tc>
      </w:tr>
      <w:tr w:rsidR="00CF13EB" w:rsidRPr="00B3588A" w:rsidTr="00CF13EB">
        <w:trPr>
          <w:gridAfter w:val="1"/>
          <w:wAfter w:w="6" w:type="dxa"/>
          <w:trHeight w:val="24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xml:space="preserve">Black  (ref: White, non-Hispanic) </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1.24</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0.65</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2.39</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0.512</w:t>
            </w:r>
          </w:p>
        </w:tc>
      </w:tr>
      <w:tr w:rsidR="00CF13EB" w:rsidRPr="00B3588A" w:rsidTr="00CF13EB">
        <w:trPr>
          <w:gridAfter w:val="1"/>
          <w:wAfter w:w="6" w:type="dxa"/>
          <w:trHeight w:val="24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xml:space="preserve">Asian (ref: White, non-Hispanic) </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1.35</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0.63</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2.90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0.441</w:t>
            </w:r>
          </w:p>
        </w:tc>
      </w:tr>
      <w:tr w:rsidR="00CF13EB" w:rsidRPr="00B3588A" w:rsidTr="00CF13EB">
        <w:trPr>
          <w:gridAfter w:val="1"/>
          <w:wAfter w:w="6" w:type="dxa"/>
          <w:trHeight w:val="24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 xml:space="preserve">Other (ref: White, non-Hispanic) </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0.87</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0.38</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1.99</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0.735</w:t>
            </w:r>
          </w:p>
        </w:tc>
      </w:tr>
      <w:tr w:rsidR="00CF13EB" w:rsidRPr="00B3588A" w:rsidTr="00CF13EB">
        <w:trPr>
          <w:gridAfter w:val="1"/>
          <w:wAfter w:w="6" w:type="dxa"/>
          <w:trHeight w:val="24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hAnsi="Arial" w:cs="Arial"/>
                <w:szCs w:val="24"/>
              </w:rPr>
              <w:t>1 - 20 days of marijuana use (Ref: 0 days)</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color w:val="000000"/>
                <w:szCs w:val="24"/>
              </w:rPr>
              <w:t>5.79</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color w:val="000000"/>
                <w:szCs w:val="24"/>
              </w:rPr>
              <w:t>3.70</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color w:val="000000"/>
                <w:szCs w:val="24"/>
              </w:rPr>
              <w:t>9.07</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szCs w:val="24"/>
              </w:rPr>
              <w:t>&lt;.0001</w:t>
            </w:r>
          </w:p>
        </w:tc>
      </w:tr>
      <w:tr w:rsidR="00CF13EB" w:rsidRPr="00B3588A" w:rsidTr="00CF13EB">
        <w:trPr>
          <w:gridAfter w:val="1"/>
          <w:wAfter w:w="6" w:type="dxa"/>
          <w:trHeight w:val="24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hAnsi="Arial" w:cs="Arial"/>
                <w:szCs w:val="24"/>
              </w:rPr>
              <w:t>≥21  days of marijuana use (Ref: 0 days)</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color w:val="000000"/>
                <w:szCs w:val="24"/>
              </w:rPr>
              <w:t>8.57</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color w:val="000000"/>
                <w:szCs w:val="24"/>
              </w:rPr>
              <w:t>5.42</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color w:val="000000"/>
                <w:szCs w:val="24"/>
              </w:rPr>
              <w:t>13.55</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szCs w:val="24"/>
              </w:rPr>
              <w:t>&lt;.0001</w:t>
            </w:r>
          </w:p>
        </w:tc>
      </w:tr>
      <w:tr w:rsidR="00CF13EB" w:rsidRPr="00B3588A" w:rsidTr="00CF13EB">
        <w:trPr>
          <w:gridAfter w:val="1"/>
          <w:wAfter w:w="6" w:type="dxa"/>
          <w:trHeight w:val="24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Used alcohol</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0.97</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0.62</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1.53</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color w:val="000000"/>
                <w:szCs w:val="24"/>
              </w:rPr>
              <w:t>0.907</w:t>
            </w:r>
          </w:p>
        </w:tc>
      </w:tr>
      <w:tr w:rsidR="00CF13EB" w:rsidRPr="00B3588A" w:rsidTr="00CF13EB">
        <w:trPr>
          <w:gridAfter w:val="1"/>
          <w:wAfter w:w="6" w:type="dxa"/>
          <w:trHeight w:val="240"/>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Rode with a driver under influence of alcohol</w:t>
            </w: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color w:val="000000"/>
                <w:szCs w:val="24"/>
              </w:rPr>
              <w:t>2.25</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color w:val="000000"/>
                <w:szCs w:val="24"/>
              </w:rPr>
              <w:t>1.66</w:t>
            </w:r>
          </w:p>
        </w:tc>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color w:val="000000"/>
                <w:szCs w:val="24"/>
              </w:rPr>
              <w:t>3.05</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3EB" w:rsidRPr="00B3588A" w:rsidRDefault="00CF13EB" w:rsidP="00B74EFE">
            <w:pPr>
              <w:spacing w:after="0" w:line="240" w:lineRule="auto"/>
              <w:jc w:val="center"/>
              <w:rPr>
                <w:rFonts w:ascii="Arial" w:eastAsia="Times New Roman" w:hAnsi="Arial" w:cs="Arial"/>
                <w:szCs w:val="24"/>
              </w:rPr>
            </w:pPr>
            <w:r w:rsidRPr="00B3588A">
              <w:rPr>
                <w:rFonts w:ascii="Arial" w:hAnsi="Arial" w:cs="Arial"/>
                <w:b/>
                <w:bCs/>
                <w:szCs w:val="24"/>
              </w:rPr>
              <w:t>&lt;.0001</w:t>
            </w:r>
          </w:p>
        </w:tc>
      </w:tr>
      <w:tr w:rsidR="00CF13EB" w:rsidRPr="00B3588A" w:rsidTr="00CF13EB">
        <w:trPr>
          <w:trHeight w:val="600"/>
        </w:trPr>
        <w:tc>
          <w:tcPr>
            <w:tcW w:w="8985" w:type="dxa"/>
            <w:gridSpan w:val="6"/>
            <w:tcBorders>
              <w:top w:val="single" w:sz="4" w:space="0" w:color="auto"/>
            </w:tcBorders>
            <w:shd w:val="clear" w:color="auto" w:fill="auto"/>
            <w:vAlign w:val="bottom"/>
            <w:hideMark/>
          </w:tcPr>
          <w:p w:rsidR="00CF13EB" w:rsidRDefault="00CF13EB" w:rsidP="006057BE">
            <w:pPr>
              <w:spacing w:after="0" w:line="240" w:lineRule="auto"/>
              <w:rPr>
                <w:rFonts w:ascii="Arial" w:eastAsia="Times New Roman" w:hAnsi="Arial" w:cs="Arial"/>
                <w:szCs w:val="24"/>
              </w:rPr>
            </w:pPr>
            <w:r w:rsidRPr="00B3588A">
              <w:rPr>
                <w:rFonts w:ascii="Arial" w:eastAsia="Times New Roman" w:hAnsi="Arial" w:cs="Arial"/>
                <w:szCs w:val="24"/>
              </w:rPr>
              <w:t>Note: Results from multivariable, modified Poisson regression. Entire sample (marijuana users and non-users) included. All substance use and DUI or RUI variables refer to behavior in the past 30 days</w:t>
            </w:r>
          </w:p>
          <w:p w:rsidR="00B74EFE" w:rsidRPr="00B3588A" w:rsidRDefault="00B74EFE" w:rsidP="006057BE">
            <w:pPr>
              <w:spacing w:after="0" w:line="240" w:lineRule="auto"/>
              <w:rPr>
                <w:rFonts w:ascii="Arial" w:eastAsia="Times New Roman" w:hAnsi="Arial" w:cs="Arial"/>
                <w:szCs w:val="24"/>
              </w:rPr>
            </w:pPr>
          </w:p>
        </w:tc>
      </w:tr>
    </w:tbl>
    <w:p w:rsidR="00CF13EB" w:rsidRDefault="00CF13EB" w:rsidP="00332358">
      <w:pPr>
        <w:pStyle w:val="Heading3"/>
      </w:pPr>
      <w:bookmarkStart w:id="428" w:name="_Toc530566811"/>
      <w:bookmarkStart w:id="429" w:name="_Toc11766004"/>
      <w:bookmarkStart w:id="430" w:name="_Toc11766659"/>
      <w:r w:rsidRPr="00B3588A">
        <w:t>Fatality Analysis Reporting System (FARS)</w:t>
      </w:r>
      <w:bookmarkEnd w:id="428"/>
      <w:bookmarkEnd w:id="429"/>
      <w:bookmarkEnd w:id="430"/>
    </w:p>
    <w:p w:rsidR="00B74EFE" w:rsidRPr="00B74EFE" w:rsidRDefault="00B74EFE" w:rsidP="00B74EFE">
      <w:pPr>
        <w:pStyle w:val="BodyText"/>
      </w:pPr>
    </w:p>
    <w:p w:rsidR="00CF13EB" w:rsidRPr="00B74EFE" w:rsidRDefault="00CF13EB" w:rsidP="006057BE">
      <w:pPr>
        <w:pStyle w:val="BodyText"/>
        <w:spacing w:line="240" w:lineRule="auto"/>
        <w:rPr>
          <w:sz w:val="24"/>
        </w:rPr>
      </w:pPr>
      <w:r w:rsidRPr="00B74EFE">
        <w:rPr>
          <w:sz w:val="24"/>
        </w:rPr>
        <w:t>From 2006-2016, there were an average of 373 traffic fatalities per year. 2015 had the lowest number of traffic deaths since 2009, 345, but in 2016 this number increased to 389, the highest number since 2007 when there were 434 traffic-related fatalities (Figure 1</w:t>
      </w:r>
      <w:bookmarkStart w:id="431" w:name="_Ref507681292"/>
      <w:bookmarkStart w:id="432" w:name="_Toc507681321"/>
      <w:r w:rsidRPr="00B74EFE">
        <w:rPr>
          <w:sz w:val="24"/>
        </w:rPr>
        <w:t>, Table 8).</w:t>
      </w:r>
    </w:p>
    <w:p w:rsidR="00CF13EB" w:rsidRPr="00B3588A" w:rsidRDefault="00722D61" w:rsidP="006057BE">
      <w:pPr>
        <w:pStyle w:val="Caption"/>
        <w:spacing w:after="0"/>
        <w:rPr>
          <w:b/>
        </w:rPr>
      </w:pPr>
      <w:r>
        <w:rPr>
          <w:b/>
          <w:noProof/>
        </w:rPr>
        <w:drawing>
          <wp:inline distT="0" distB="0" distL="0" distR="0" wp14:anchorId="24A0A260" wp14:editId="418206FB">
            <wp:extent cx="4559935" cy="2743200"/>
            <wp:effectExtent l="0" t="0" r="0" b="0"/>
            <wp:docPr id="15" name="Picture 15" descr="The figure presents data for total fatalities and number of motor vehicle crashes with a fatality in Massachusetts by year for the years 2006 to 2016. Over this time, there was an average of 373 fatalities per year." title="Total Fatalities and Vehicle Cr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59935" cy="2743200"/>
                    </a:xfrm>
                    <a:prstGeom prst="rect">
                      <a:avLst/>
                    </a:prstGeom>
                    <a:noFill/>
                  </pic:spPr>
                </pic:pic>
              </a:graphicData>
            </a:graphic>
          </wp:inline>
        </w:drawing>
      </w:r>
    </w:p>
    <w:p w:rsidR="00CF13EB" w:rsidRPr="0090612A" w:rsidRDefault="00CF13EB" w:rsidP="005D614A">
      <w:pPr>
        <w:spacing w:after="0"/>
        <w:rPr>
          <w:rFonts w:ascii="Arial" w:hAnsi="Arial" w:cs="Arial"/>
          <w:b/>
          <w:sz w:val="24"/>
        </w:rPr>
      </w:pPr>
      <w:bookmarkStart w:id="433" w:name="_Toc11766005"/>
      <w:bookmarkStart w:id="434" w:name="_Toc11766660"/>
      <w:bookmarkStart w:id="435" w:name="_Toc11917240"/>
      <w:bookmarkStart w:id="436" w:name="_Toc11921678"/>
      <w:bookmarkEnd w:id="431"/>
      <w:r w:rsidRPr="0090612A">
        <w:rPr>
          <w:rFonts w:ascii="Arial" w:hAnsi="Arial" w:cs="Arial"/>
          <w:b/>
          <w:sz w:val="24"/>
        </w:rPr>
        <w:t>Figure 1. Total fatalities and number of motor vehicle crashes with a fatality in M</w:t>
      </w:r>
      <w:bookmarkEnd w:id="432"/>
      <w:r w:rsidR="00C63AA0" w:rsidRPr="0090612A">
        <w:rPr>
          <w:rFonts w:ascii="Arial" w:hAnsi="Arial" w:cs="Arial"/>
          <w:b/>
          <w:sz w:val="24"/>
        </w:rPr>
        <w:t>assachusetts by year (2006-2016)</w:t>
      </w:r>
      <w:bookmarkEnd w:id="433"/>
      <w:bookmarkEnd w:id="434"/>
      <w:bookmarkEnd w:id="435"/>
      <w:bookmarkEnd w:id="436"/>
    </w:p>
    <w:p w:rsidR="005D7694" w:rsidRDefault="005D7694" w:rsidP="00F950A2">
      <w:pPr>
        <w:pStyle w:val="BodyText"/>
      </w:pPr>
    </w:p>
    <w:p w:rsidR="00CF13EB" w:rsidRPr="005D614A" w:rsidRDefault="00CF13EB" w:rsidP="005D614A">
      <w:pPr>
        <w:spacing w:after="0"/>
        <w:rPr>
          <w:rFonts w:ascii="Arial" w:hAnsi="Arial" w:cs="Arial"/>
          <w:b/>
          <w:sz w:val="24"/>
        </w:rPr>
      </w:pPr>
      <w:bookmarkStart w:id="437" w:name="_Toc11766006"/>
      <w:bookmarkStart w:id="438" w:name="_Toc11766661"/>
      <w:bookmarkStart w:id="439" w:name="_Toc11917241"/>
      <w:bookmarkStart w:id="440" w:name="_Toc11921679"/>
      <w:r w:rsidRPr="005D614A">
        <w:rPr>
          <w:rFonts w:ascii="Arial" w:hAnsi="Arial" w:cs="Arial"/>
          <w:b/>
          <w:sz w:val="24"/>
        </w:rPr>
        <w:t>Table 8. Number of fatal crashes and total number of fatalities in Massachusetts, 2006-2016</w:t>
      </w:r>
      <w:bookmarkEnd w:id="437"/>
      <w:bookmarkEnd w:id="438"/>
      <w:bookmarkEnd w:id="439"/>
      <w:bookmarkEnd w:id="440"/>
    </w:p>
    <w:p w:rsidR="00CF13EB" w:rsidRPr="00CF13EB" w:rsidRDefault="00CF13EB" w:rsidP="006057BE">
      <w:pPr>
        <w:pStyle w:val="BodyText"/>
        <w:spacing w:line="240" w:lineRule="auto"/>
      </w:pPr>
    </w:p>
    <w:tbl>
      <w:tblPr>
        <w:tblStyle w:val="TableGrid1"/>
        <w:tblW w:w="0" w:type="auto"/>
        <w:tblLook w:val="04A0" w:firstRow="1" w:lastRow="0" w:firstColumn="1" w:lastColumn="0" w:noHBand="0" w:noVBand="1"/>
        <w:tblCaption w:val="Number of fatal crashes and total number of fatalities in Massachusetts, 2006-2016"/>
      </w:tblPr>
      <w:tblGrid>
        <w:gridCol w:w="872"/>
        <w:gridCol w:w="2033"/>
        <w:gridCol w:w="1685"/>
        <w:gridCol w:w="2425"/>
        <w:gridCol w:w="2070"/>
      </w:tblGrid>
      <w:tr w:rsidR="00CF13EB" w:rsidRPr="00404D54" w:rsidTr="00CF13EB">
        <w:tc>
          <w:tcPr>
            <w:tcW w:w="872" w:type="dxa"/>
            <w:vAlign w:val="center"/>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b/>
                <w:bCs/>
                <w:color w:val="000000"/>
                <w:szCs w:val="24"/>
              </w:rPr>
              <w:t>Year</w:t>
            </w:r>
          </w:p>
        </w:tc>
        <w:tc>
          <w:tcPr>
            <w:tcW w:w="2033" w:type="dxa"/>
            <w:vAlign w:val="center"/>
            <w:hideMark/>
          </w:tcPr>
          <w:p w:rsidR="00CF13EB" w:rsidRPr="00404D54" w:rsidRDefault="00CF13EB" w:rsidP="006057BE">
            <w:pPr>
              <w:jc w:val="center"/>
              <w:rPr>
                <w:rFonts w:ascii="Arial" w:eastAsia="Calibri" w:hAnsi="Arial" w:cs="Arial"/>
                <w:b/>
                <w:color w:val="000000"/>
                <w:szCs w:val="24"/>
              </w:rPr>
            </w:pPr>
            <w:r w:rsidRPr="00404D54">
              <w:rPr>
                <w:rFonts w:ascii="Arial" w:eastAsia="Calibri" w:hAnsi="Arial" w:cs="Arial"/>
                <w:b/>
                <w:color w:val="000000"/>
                <w:szCs w:val="24"/>
              </w:rPr>
              <w:t>Number of Fatal Crashes</w:t>
            </w:r>
          </w:p>
        </w:tc>
        <w:tc>
          <w:tcPr>
            <w:tcW w:w="1685" w:type="dxa"/>
            <w:vAlign w:val="center"/>
            <w:hideMark/>
          </w:tcPr>
          <w:p w:rsidR="00CF13EB" w:rsidRPr="00404D54" w:rsidRDefault="00CF13EB" w:rsidP="006057BE">
            <w:pPr>
              <w:jc w:val="center"/>
              <w:rPr>
                <w:rFonts w:ascii="Arial" w:eastAsia="Calibri" w:hAnsi="Arial" w:cs="Arial"/>
                <w:b/>
                <w:color w:val="000000"/>
                <w:szCs w:val="24"/>
              </w:rPr>
            </w:pPr>
            <w:r w:rsidRPr="00404D54">
              <w:rPr>
                <w:rFonts w:ascii="Arial" w:eastAsia="Calibri" w:hAnsi="Arial" w:cs="Arial"/>
                <w:b/>
                <w:color w:val="000000"/>
                <w:szCs w:val="24"/>
              </w:rPr>
              <w:t>Traffic Fatalities in MA</w:t>
            </w:r>
          </w:p>
        </w:tc>
        <w:tc>
          <w:tcPr>
            <w:tcW w:w="2425" w:type="dxa"/>
            <w:vAlign w:val="center"/>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b/>
                <w:color w:val="000000"/>
                <w:szCs w:val="24"/>
              </w:rPr>
              <w:t>Number of Drivers Involved in a Fatal Crash</w:t>
            </w:r>
          </w:p>
        </w:tc>
        <w:tc>
          <w:tcPr>
            <w:tcW w:w="2070" w:type="dxa"/>
            <w:vAlign w:val="center"/>
            <w:hideMark/>
          </w:tcPr>
          <w:p w:rsidR="00CF13EB" w:rsidRPr="00404D54" w:rsidRDefault="00CF13EB" w:rsidP="006057BE">
            <w:pPr>
              <w:jc w:val="center"/>
              <w:rPr>
                <w:rFonts w:ascii="Arial" w:eastAsia="Calibri" w:hAnsi="Arial" w:cs="Arial"/>
                <w:b/>
                <w:color w:val="000000"/>
                <w:szCs w:val="24"/>
              </w:rPr>
            </w:pPr>
            <w:r w:rsidRPr="00404D54">
              <w:rPr>
                <w:rFonts w:ascii="Arial" w:eastAsia="Calibri" w:hAnsi="Arial" w:cs="Arial"/>
                <w:b/>
                <w:color w:val="000000"/>
                <w:szCs w:val="24"/>
              </w:rPr>
              <w:t>Number of Deceased Drivers</w:t>
            </w:r>
          </w:p>
        </w:tc>
      </w:tr>
      <w:tr w:rsidR="00CF13EB" w:rsidRPr="00404D54" w:rsidTr="00CF13EB">
        <w:tc>
          <w:tcPr>
            <w:tcW w:w="872"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2006</w:t>
            </w:r>
          </w:p>
        </w:tc>
        <w:tc>
          <w:tcPr>
            <w:tcW w:w="2033"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403</w:t>
            </w:r>
          </w:p>
        </w:tc>
        <w:tc>
          <w:tcPr>
            <w:tcW w:w="1685"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429</w:t>
            </w:r>
          </w:p>
        </w:tc>
        <w:tc>
          <w:tcPr>
            <w:tcW w:w="2425"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568</w:t>
            </w:r>
          </w:p>
        </w:tc>
        <w:tc>
          <w:tcPr>
            <w:tcW w:w="2070"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284</w:t>
            </w:r>
          </w:p>
        </w:tc>
      </w:tr>
      <w:tr w:rsidR="00CF13EB" w:rsidRPr="00404D54" w:rsidTr="00CF13EB">
        <w:tc>
          <w:tcPr>
            <w:tcW w:w="872"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2007</w:t>
            </w:r>
          </w:p>
        </w:tc>
        <w:tc>
          <w:tcPr>
            <w:tcW w:w="2033"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408</w:t>
            </w:r>
          </w:p>
        </w:tc>
        <w:tc>
          <w:tcPr>
            <w:tcW w:w="1685"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434</w:t>
            </w:r>
          </w:p>
        </w:tc>
        <w:tc>
          <w:tcPr>
            <w:tcW w:w="2425"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570</w:t>
            </w:r>
          </w:p>
        </w:tc>
        <w:tc>
          <w:tcPr>
            <w:tcW w:w="2070"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277</w:t>
            </w:r>
          </w:p>
        </w:tc>
      </w:tr>
      <w:tr w:rsidR="00CF13EB" w:rsidRPr="00404D54" w:rsidTr="00CF13EB">
        <w:tc>
          <w:tcPr>
            <w:tcW w:w="872"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2008</w:t>
            </w:r>
          </w:p>
        </w:tc>
        <w:tc>
          <w:tcPr>
            <w:tcW w:w="2033"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338</w:t>
            </w:r>
          </w:p>
        </w:tc>
        <w:tc>
          <w:tcPr>
            <w:tcW w:w="1685"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364</w:t>
            </w:r>
          </w:p>
        </w:tc>
        <w:tc>
          <w:tcPr>
            <w:tcW w:w="2425"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442</w:t>
            </w:r>
          </w:p>
        </w:tc>
        <w:tc>
          <w:tcPr>
            <w:tcW w:w="2070"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218</w:t>
            </w:r>
          </w:p>
        </w:tc>
      </w:tr>
      <w:tr w:rsidR="00CF13EB" w:rsidRPr="00404D54" w:rsidTr="00CF13EB">
        <w:tc>
          <w:tcPr>
            <w:tcW w:w="872"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2009</w:t>
            </w:r>
          </w:p>
        </w:tc>
        <w:tc>
          <w:tcPr>
            <w:tcW w:w="2033"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313</w:t>
            </w:r>
          </w:p>
        </w:tc>
        <w:tc>
          <w:tcPr>
            <w:tcW w:w="1685"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340</w:t>
            </w:r>
          </w:p>
        </w:tc>
        <w:tc>
          <w:tcPr>
            <w:tcW w:w="2425"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447</w:t>
            </w:r>
          </w:p>
        </w:tc>
        <w:tc>
          <w:tcPr>
            <w:tcW w:w="2070"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216</w:t>
            </w:r>
          </w:p>
        </w:tc>
      </w:tr>
      <w:tr w:rsidR="00CF13EB" w:rsidRPr="00404D54" w:rsidTr="00CF13EB">
        <w:tc>
          <w:tcPr>
            <w:tcW w:w="872"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2010</w:t>
            </w:r>
          </w:p>
        </w:tc>
        <w:tc>
          <w:tcPr>
            <w:tcW w:w="2033"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330</w:t>
            </w:r>
          </w:p>
        </w:tc>
        <w:tc>
          <w:tcPr>
            <w:tcW w:w="1685"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347</w:t>
            </w:r>
          </w:p>
        </w:tc>
        <w:tc>
          <w:tcPr>
            <w:tcW w:w="2425"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448</w:t>
            </w:r>
          </w:p>
        </w:tc>
        <w:tc>
          <w:tcPr>
            <w:tcW w:w="2070"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220</w:t>
            </w:r>
          </w:p>
        </w:tc>
      </w:tr>
      <w:tr w:rsidR="00CF13EB" w:rsidRPr="00404D54" w:rsidTr="00CF13EB">
        <w:tc>
          <w:tcPr>
            <w:tcW w:w="872"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2011</w:t>
            </w:r>
          </w:p>
        </w:tc>
        <w:tc>
          <w:tcPr>
            <w:tcW w:w="2033"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356</w:t>
            </w:r>
          </w:p>
        </w:tc>
        <w:tc>
          <w:tcPr>
            <w:tcW w:w="1685"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374</w:t>
            </w:r>
          </w:p>
        </w:tc>
        <w:tc>
          <w:tcPr>
            <w:tcW w:w="2425"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499</w:t>
            </w:r>
          </w:p>
        </w:tc>
        <w:tc>
          <w:tcPr>
            <w:tcW w:w="2070"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239</w:t>
            </w:r>
          </w:p>
        </w:tc>
      </w:tr>
      <w:tr w:rsidR="00CF13EB" w:rsidRPr="00404D54" w:rsidTr="00CF13EB">
        <w:tc>
          <w:tcPr>
            <w:tcW w:w="872"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2012</w:t>
            </w:r>
          </w:p>
        </w:tc>
        <w:tc>
          <w:tcPr>
            <w:tcW w:w="2033"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365</w:t>
            </w:r>
          </w:p>
        </w:tc>
        <w:tc>
          <w:tcPr>
            <w:tcW w:w="1685"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383</w:t>
            </w:r>
          </w:p>
        </w:tc>
        <w:tc>
          <w:tcPr>
            <w:tcW w:w="2425"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497</w:t>
            </w:r>
          </w:p>
        </w:tc>
        <w:tc>
          <w:tcPr>
            <w:tcW w:w="2070"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225</w:t>
            </w:r>
          </w:p>
        </w:tc>
      </w:tr>
      <w:tr w:rsidR="00CF13EB" w:rsidRPr="00404D54" w:rsidTr="00CF13EB">
        <w:tc>
          <w:tcPr>
            <w:tcW w:w="872"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2013</w:t>
            </w:r>
          </w:p>
        </w:tc>
        <w:tc>
          <w:tcPr>
            <w:tcW w:w="2033"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334</w:t>
            </w:r>
          </w:p>
        </w:tc>
        <w:tc>
          <w:tcPr>
            <w:tcW w:w="1685"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351</w:t>
            </w:r>
          </w:p>
        </w:tc>
        <w:tc>
          <w:tcPr>
            <w:tcW w:w="2425"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445</w:t>
            </w:r>
          </w:p>
        </w:tc>
        <w:tc>
          <w:tcPr>
            <w:tcW w:w="2070"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212</w:t>
            </w:r>
          </w:p>
        </w:tc>
      </w:tr>
      <w:tr w:rsidR="00CF13EB" w:rsidRPr="00404D54" w:rsidTr="00CF13EB">
        <w:tc>
          <w:tcPr>
            <w:tcW w:w="872"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2014</w:t>
            </w:r>
          </w:p>
        </w:tc>
        <w:tc>
          <w:tcPr>
            <w:tcW w:w="2033"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336</w:t>
            </w:r>
          </w:p>
        </w:tc>
        <w:tc>
          <w:tcPr>
            <w:tcW w:w="1685"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354</w:t>
            </w:r>
          </w:p>
        </w:tc>
        <w:tc>
          <w:tcPr>
            <w:tcW w:w="2425"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456</w:t>
            </w:r>
          </w:p>
        </w:tc>
        <w:tc>
          <w:tcPr>
            <w:tcW w:w="2070"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212</w:t>
            </w:r>
          </w:p>
        </w:tc>
      </w:tr>
      <w:tr w:rsidR="00CF13EB" w:rsidRPr="00404D54" w:rsidTr="00CF13EB">
        <w:tc>
          <w:tcPr>
            <w:tcW w:w="872"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2015</w:t>
            </w:r>
          </w:p>
        </w:tc>
        <w:tc>
          <w:tcPr>
            <w:tcW w:w="2033"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328</w:t>
            </w:r>
          </w:p>
        </w:tc>
        <w:tc>
          <w:tcPr>
            <w:tcW w:w="1685"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345</w:t>
            </w:r>
          </w:p>
        </w:tc>
        <w:tc>
          <w:tcPr>
            <w:tcW w:w="2425"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457</w:t>
            </w:r>
          </w:p>
        </w:tc>
        <w:tc>
          <w:tcPr>
            <w:tcW w:w="2070"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210</w:t>
            </w:r>
          </w:p>
        </w:tc>
      </w:tr>
      <w:tr w:rsidR="00CF13EB" w:rsidRPr="00404D54" w:rsidTr="00CF13EB">
        <w:trPr>
          <w:trHeight w:val="188"/>
        </w:trPr>
        <w:tc>
          <w:tcPr>
            <w:tcW w:w="872"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2016</w:t>
            </w:r>
          </w:p>
        </w:tc>
        <w:tc>
          <w:tcPr>
            <w:tcW w:w="2033"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szCs w:val="24"/>
              </w:rPr>
              <w:t>359</w:t>
            </w:r>
          </w:p>
        </w:tc>
        <w:tc>
          <w:tcPr>
            <w:tcW w:w="1685"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389</w:t>
            </w:r>
          </w:p>
        </w:tc>
        <w:tc>
          <w:tcPr>
            <w:tcW w:w="2425" w:type="dxa"/>
            <w:vAlign w:val="bottom"/>
            <w:hideMark/>
          </w:tcPr>
          <w:p w:rsidR="00CF13EB" w:rsidRPr="00404D54" w:rsidRDefault="00CF13EB" w:rsidP="006057BE">
            <w:pPr>
              <w:jc w:val="center"/>
              <w:rPr>
                <w:rFonts w:ascii="Arial" w:eastAsia="Calibri" w:hAnsi="Arial" w:cs="Arial"/>
                <w:b/>
                <w:szCs w:val="24"/>
              </w:rPr>
            </w:pPr>
            <w:r w:rsidRPr="00404D54">
              <w:rPr>
                <w:rFonts w:ascii="Arial" w:eastAsia="Calibri" w:hAnsi="Arial" w:cs="Arial"/>
                <w:color w:val="000000"/>
                <w:szCs w:val="24"/>
              </w:rPr>
              <w:t>501</w:t>
            </w:r>
          </w:p>
        </w:tc>
        <w:tc>
          <w:tcPr>
            <w:tcW w:w="2070" w:type="dxa"/>
            <w:vAlign w:val="bottom"/>
            <w:hideMark/>
          </w:tcPr>
          <w:p w:rsidR="00CF13EB" w:rsidRPr="00404D54" w:rsidRDefault="00CF13EB" w:rsidP="006057BE">
            <w:pPr>
              <w:jc w:val="center"/>
              <w:rPr>
                <w:rFonts w:ascii="Arial" w:eastAsia="Calibri" w:hAnsi="Arial" w:cs="Arial"/>
                <w:color w:val="000000"/>
                <w:szCs w:val="24"/>
              </w:rPr>
            </w:pPr>
            <w:r w:rsidRPr="00404D54">
              <w:rPr>
                <w:rFonts w:ascii="Arial" w:eastAsia="Calibri" w:hAnsi="Arial" w:cs="Arial"/>
                <w:color w:val="000000"/>
                <w:szCs w:val="24"/>
              </w:rPr>
              <w:t>234</w:t>
            </w:r>
          </w:p>
        </w:tc>
      </w:tr>
    </w:tbl>
    <w:p w:rsidR="00CF13EB" w:rsidRPr="00B3588A" w:rsidRDefault="00CF13EB" w:rsidP="006057BE">
      <w:pPr>
        <w:pStyle w:val="BodyText"/>
        <w:spacing w:line="240" w:lineRule="auto"/>
      </w:pPr>
    </w:p>
    <w:p w:rsidR="00CF13EB" w:rsidRPr="00B74EFE" w:rsidRDefault="00CF13EB" w:rsidP="006057BE">
      <w:pPr>
        <w:pStyle w:val="BodyText"/>
        <w:spacing w:line="240" w:lineRule="auto"/>
        <w:rPr>
          <w:sz w:val="24"/>
        </w:rPr>
      </w:pPr>
      <w:r w:rsidRPr="00B74EFE">
        <w:rPr>
          <w:sz w:val="24"/>
        </w:rPr>
        <w:t xml:space="preserve">The number of drivers involved in a fatal crash followed a similar trend to the number of fatalities per year (Table 8, Figure 2.) Overall, there were an average of 484 drivers involved in a fatal crash each year from 2006 to 2016 and an average of 231 drivers were deceased from motor vehicle crashes. </w:t>
      </w:r>
      <w:bookmarkStart w:id="441" w:name="_Ref507920651"/>
    </w:p>
    <w:p w:rsidR="00CF13EB" w:rsidRPr="00B3588A" w:rsidRDefault="007B6DB6" w:rsidP="006057BE">
      <w:pPr>
        <w:pStyle w:val="Caption"/>
        <w:suppressLineNumbers/>
        <w:spacing w:after="0"/>
        <w:jc w:val="center"/>
        <w:rPr>
          <w:b/>
        </w:rPr>
      </w:pPr>
      <w:r>
        <w:rPr>
          <w:b/>
          <w:noProof/>
        </w:rPr>
        <w:drawing>
          <wp:inline distT="0" distB="0" distL="0" distR="0" wp14:anchorId="3CF29D50" wp14:editId="4289E00D">
            <wp:extent cx="4584700" cy="2743200"/>
            <wp:effectExtent l="0" t="0" r="6350" b="0"/>
            <wp:docPr id="16" name="Picture 16" descr="The figure presents data for the number of drivers involved in fatal crashes and the number of driver fatalities in the state for the years 2006 through 2016. Over this time, an average of 484 drivers were involved in fatal crashes and an average of 231 drivers died from crashes.  " title="Drivers in Fatal Cras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43200"/>
                    </a:xfrm>
                    <a:prstGeom prst="rect">
                      <a:avLst/>
                    </a:prstGeom>
                    <a:noFill/>
                  </pic:spPr>
                </pic:pic>
              </a:graphicData>
            </a:graphic>
          </wp:inline>
        </w:drawing>
      </w:r>
    </w:p>
    <w:p w:rsidR="00CF13EB" w:rsidRPr="00B3588A" w:rsidRDefault="00CF13EB" w:rsidP="006057BE">
      <w:pPr>
        <w:pStyle w:val="Caption"/>
        <w:suppressLineNumbers/>
        <w:spacing w:after="0"/>
        <w:jc w:val="center"/>
        <w:rPr>
          <w:b/>
        </w:rPr>
      </w:pPr>
    </w:p>
    <w:p w:rsidR="00CF13EB" w:rsidRPr="005D614A" w:rsidRDefault="00CF13EB" w:rsidP="005D614A">
      <w:pPr>
        <w:spacing w:after="0"/>
        <w:rPr>
          <w:rFonts w:ascii="Arial" w:hAnsi="Arial" w:cs="Arial"/>
          <w:b/>
          <w:sz w:val="24"/>
        </w:rPr>
      </w:pPr>
      <w:bookmarkStart w:id="442" w:name="_Toc11766007"/>
      <w:bookmarkStart w:id="443" w:name="_Toc11766662"/>
      <w:bookmarkStart w:id="444" w:name="_Toc11917242"/>
      <w:bookmarkStart w:id="445" w:name="_Toc11921680"/>
      <w:r w:rsidRPr="005D614A">
        <w:rPr>
          <w:rFonts w:ascii="Arial" w:hAnsi="Arial" w:cs="Arial"/>
          <w:b/>
          <w:sz w:val="24"/>
        </w:rPr>
        <w:t>Figure</w:t>
      </w:r>
      <w:bookmarkEnd w:id="441"/>
      <w:r w:rsidRPr="005D614A">
        <w:rPr>
          <w:rFonts w:ascii="Arial" w:hAnsi="Arial" w:cs="Arial"/>
          <w:b/>
          <w:sz w:val="24"/>
        </w:rPr>
        <w:t xml:space="preserve"> 2. Number of drivers involved in fatal crashes and number of deceased drivers in MA by year (2006-2016)</w:t>
      </w:r>
      <w:bookmarkEnd w:id="442"/>
      <w:bookmarkEnd w:id="443"/>
      <w:bookmarkEnd w:id="444"/>
      <w:bookmarkEnd w:id="445"/>
      <w:r w:rsidR="00C63AA0" w:rsidRPr="005D614A">
        <w:rPr>
          <w:rFonts w:ascii="Arial" w:hAnsi="Arial" w:cs="Arial"/>
          <w:b/>
          <w:sz w:val="24"/>
        </w:rPr>
        <w:t xml:space="preserve"> </w:t>
      </w:r>
    </w:p>
    <w:p w:rsidR="00CF13EB" w:rsidRPr="00404D54" w:rsidRDefault="00CF13EB" w:rsidP="006057BE">
      <w:pPr>
        <w:spacing w:after="0" w:line="240" w:lineRule="auto"/>
      </w:pPr>
    </w:p>
    <w:p w:rsidR="00CF13EB" w:rsidRPr="00B74EFE" w:rsidRDefault="00CF13EB" w:rsidP="00F950A2">
      <w:pPr>
        <w:pStyle w:val="Heading4"/>
      </w:pPr>
      <w:r w:rsidRPr="00B74EFE">
        <w:t>Toxicological Testing</w:t>
      </w:r>
    </w:p>
    <w:p w:rsidR="00CF13EB" w:rsidRPr="00B74EFE" w:rsidRDefault="00CF13EB" w:rsidP="006057BE">
      <w:pPr>
        <w:spacing w:after="0" w:line="240" w:lineRule="auto"/>
        <w:rPr>
          <w:rFonts w:ascii="Arial" w:hAnsi="Arial" w:cs="Arial"/>
          <w:i/>
          <w:sz w:val="24"/>
        </w:rPr>
      </w:pPr>
    </w:p>
    <w:p w:rsidR="00CF13EB" w:rsidRPr="00B74EFE" w:rsidRDefault="00CF13EB" w:rsidP="006057BE">
      <w:pPr>
        <w:pStyle w:val="BodyText"/>
        <w:spacing w:line="240" w:lineRule="auto"/>
        <w:rPr>
          <w:sz w:val="24"/>
        </w:rPr>
      </w:pPr>
      <w:r w:rsidRPr="00B74EFE">
        <w:rPr>
          <w:sz w:val="24"/>
        </w:rPr>
        <w:t xml:space="preserve">When drivers in a fatal crash are given a blood test, it is indicated in FARS under the ATST_TYP (alcohol test type) and DRUGTST (drug test type) fields. There were three instances in the 11-year sample where a driver was given a blood test for drugs but not for alcohol, and 54 instances of the reverse, when a driver’s blood was tested for alcohol but not drugs. Nearly 1900 drivers had their blood tested for both drugs and alcohol after a fatal crash in the 11-year sample, out of 5330 total crash-involved drivers, which is approximately 36% (Table 9.). </w:t>
      </w:r>
      <w:bookmarkStart w:id="446" w:name="_Ref507921904"/>
    </w:p>
    <w:p w:rsidR="00CF13EB" w:rsidRPr="00B74EFE" w:rsidRDefault="00CF13EB" w:rsidP="006057BE">
      <w:pPr>
        <w:pStyle w:val="BodyText"/>
        <w:spacing w:line="240" w:lineRule="auto"/>
        <w:rPr>
          <w:sz w:val="24"/>
        </w:rPr>
      </w:pPr>
    </w:p>
    <w:p w:rsidR="00CF13EB" w:rsidRPr="005D614A" w:rsidRDefault="00CF13EB" w:rsidP="005D614A">
      <w:pPr>
        <w:spacing w:after="0"/>
        <w:rPr>
          <w:rFonts w:ascii="Arial" w:hAnsi="Arial" w:cs="Arial"/>
          <w:b/>
          <w:sz w:val="24"/>
        </w:rPr>
      </w:pPr>
      <w:bookmarkStart w:id="447" w:name="_Toc11766008"/>
      <w:bookmarkStart w:id="448" w:name="_Toc11766663"/>
      <w:bookmarkStart w:id="449" w:name="_Toc11917243"/>
      <w:bookmarkStart w:id="450" w:name="_Toc11921681"/>
      <w:r w:rsidRPr="005D614A">
        <w:rPr>
          <w:rFonts w:ascii="Arial" w:hAnsi="Arial" w:cs="Arial"/>
          <w:b/>
          <w:sz w:val="24"/>
        </w:rPr>
        <w:t xml:space="preserve">Table </w:t>
      </w:r>
      <w:bookmarkEnd w:id="446"/>
      <w:r w:rsidRPr="005D614A">
        <w:rPr>
          <w:rFonts w:ascii="Arial" w:hAnsi="Arial" w:cs="Arial"/>
          <w:b/>
          <w:sz w:val="24"/>
        </w:rPr>
        <w:t>9. Blood test types for drivers involved in fatal crashes in MA (2006-2016)</w:t>
      </w:r>
      <w:bookmarkEnd w:id="447"/>
      <w:bookmarkEnd w:id="448"/>
      <w:bookmarkEnd w:id="449"/>
      <w:bookmarkEnd w:id="450"/>
    </w:p>
    <w:p w:rsidR="00CF13EB" w:rsidRPr="00CF13EB" w:rsidRDefault="00CF13EB" w:rsidP="006057BE">
      <w:pPr>
        <w:pStyle w:val="BodyText"/>
        <w:spacing w:line="240" w:lineRule="auto"/>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lood test types for drivers involved in fatal crashes in MA (2006-2016)"/>
      </w:tblPr>
      <w:tblGrid>
        <w:gridCol w:w="825"/>
        <w:gridCol w:w="1420"/>
        <w:gridCol w:w="1800"/>
        <w:gridCol w:w="1965"/>
        <w:gridCol w:w="1455"/>
        <w:gridCol w:w="1985"/>
      </w:tblGrid>
      <w:tr w:rsidR="00CF13EB" w:rsidRPr="00B3588A" w:rsidTr="00CF13EB">
        <w:tc>
          <w:tcPr>
            <w:tcW w:w="82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b/>
                <w:bCs/>
                <w:color w:val="000000"/>
                <w:szCs w:val="24"/>
              </w:rPr>
              <w:t>Year</w:t>
            </w:r>
          </w:p>
        </w:tc>
        <w:tc>
          <w:tcPr>
            <w:tcW w:w="142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b/>
                <w:color w:val="000000"/>
                <w:szCs w:val="24"/>
              </w:rPr>
              <w:t>Alcohol Test Only</w:t>
            </w:r>
          </w:p>
        </w:tc>
        <w:tc>
          <w:tcPr>
            <w:tcW w:w="1800" w:type="dxa"/>
            <w:tcBorders>
              <w:top w:val="single" w:sz="4" w:space="0" w:color="auto"/>
              <w:left w:val="single" w:sz="4" w:space="0" w:color="auto"/>
              <w:bottom w:val="single" w:sz="4" w:space="0" w:color="auto"/>
              <w:right w:val="single" w:sz="4" w:space="0" w:color="auto"/>
            </w:tcBorders>
            <w:vAlign w:val="center"/>
            <w:hideMark/>
          </w:tcPr>
          <w:p w:rsidR="00CF13EB" w:rsidRPr="00B3588A" w:rsidRDefault="00CF13EB" w:rsidP="006057BE">
            <w:pPr>
              <w:jc w:val="center"/>
              <w:rPr>
                <w:rFonts w:ascii="Arial" w:hAnsi="Arial" w:cs="Arial"/>
                <w:b/>
                <w:color w:val="000000"/>
                <w:szCs w:val="24"/>
              </w:rPr>
            </w:pPr>
            <w:r w:rsidRPr="00B3588A">
              <w:rPr>
                <w:rFonts w:ascii="Arial" w:hAnsi="Arial" w:cs="Arial"/>
                <w:b/>
                <w:color w:val="000000"/>
                <w:szCs w:val="24"/>
              </w:rPr>
              <w:t>Drug Test Only</w:t>
            </w:r>
          </w:p>
        </w:tc>
        <w:tc>
          <w:tcPr>
            <w:tcW w:w="196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color w:val="000000"/>
                <w:szCs w:val="24"/>
              </w:rPr>
            </w:pPr>
            <w:r w:rsidRPr="00B3588A">
              <w:rPr>
                <w:rFonts w:ascii="Arial" w:hAnsi="Arial" w:cs="Arial"/>
                <w:b/>
                <w:color w:val="000000"/>
                <w:szCs w:val="24"/>
              </w:rPr>
              <w:t>Alcohol and Drug Test</w:t>
            </w:r>
          </w:p>
        </w:tc>
        <w:tc>
          <w:tcPr>
            <w:tcW w:w="1455" w:type="dxa"/>
            <w:tcBorders>
              <w:top w:val="single" w:sz="4" w:space="0" w:color="auto"/>
              <w:left w:val="single" w:sz="4" w:space="0" w:color="auto"/>
              <w:bottom w:val="single" w:sz="4" w:space="0" w:color="auto"/>
              <w:right w:val="single" w:sz="4" w:space="0" w:color="auto"/>
            </w:tcBorders>
            <w:vAlign w:val="center"/>
            <w:hideMark/>
          </w:tcPr>
          <w:p w:rsidR="00CF13EB" w:rsidRPr="00B3588A" w:rsidRDefault="00CF13EB" w:rsidP="006057BE">
            <w:pPr>
              <w:jc w:val="center"/>
              <w:rPr>
                <w:rFonts w:ascii="Arial" w:hAnsi="Arial" w:cs="Arial"/>
                <w:b/>
                <w:color w:val="000000"/>
                <w:szCs w:val="24"/>
              </w:rPr>
            </w:pPr>
            <w:r w:rsidRPr="00B3588A">
              <w:rPr>
                <w:rFonts w:ascii="Arial" w:hAnsi="Arial" w:cs="Arial"/>
                <w:b/>
                <w:color w:val="000000"/>
                <w:szCs w:val="24"/>
              </w:rPr>
              <w:t>Total Drivers</w:t>
            </w:r>
          </w:p>
        </w:tc>
        <w:tc>
          <w:tcPr>
            <w:tcW w:w="1985" w:type="dxa"/>
            <w:tcBorders>
              <w:top w:val="single" w:sz="4" w:space="0" w:color="auto"/>
              <w:left w:val="single" w:sz="4" w:space="0" w:color="auto"/>
              <w:bottom w:val="single" w:sz="4" w:space="0" w:color="auto"/>
              <w:right w:val="single" w:sz="4" w:space="0" w:color="auto"/>
            </w:tcBorders>
          </w:tcPr>
          <w:p w:rsidR="00CF13EB" w:rsidRPr="00B3588A" w:rsidRDefault="00CF13EB" w:rsidP="006057BE">
            <w:pPr>
              <w:jc w:val="center"/>
              <w:rPr>
                <w:rFonts w:ascii="Arial" w:hAnsi="Arial" w:cs="Arial"/>
                <w:b/>
                <w:color w:val="000000"/>
                <w:szCs w:val="24"/>
              </w:rPr>
            </w:pPr>
            <w:r w:rsidRPr="00B3588A">
              <w:rPr>
                <w:rFonts w:ascii="Arial" w:hAnsi="Arial" w:cs="Arial"/>
                <w:b/>
                <w:color w:val="000000"/>
                <w:szCs w:val="24"/>
              </w:rPr>
              <w:t>Percent tested for alcohol and drugs</w:t>
            </w:r>
          </w:p>
        </w:tc>
      </w:tr>
      <w:tr w:rsidR="00CF13EB" w:rsidRPr="00B3588A" w:rsidTr="00CF13EB">
        <w:tc>
          <w:tcPr>
            <w:tcW w:w="82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2006</w:t>
            </w:r>
          </w:p>
        </w:tc>
        <w:tc>
          <w:tcPr>
            <w:tcW w:w="142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3</w:t>
            </w:r>
          </w:p>
        </w:tc>
        <w:tc>
          <w:tcPr>
            <w:tcW w:w="180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1</w:t>
            </w:r>
          </w:p>
        </w:tc>
        <w:tc>
          <w:tcPr>
            <w:tcW w:w="196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215</w:t>
            </w:r>
          </w:p>
        </w:tc>
        <w:tc>
          <w:tcPr>
            <w:tcW w:w="145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568</w:t>
            </w:r>
          </w:p>
        </w:tc>
        <w:tc>
          <w:tcPr>
            <w:tcW w:w="1985" w:type="dxa"/>
            <w:tcBorders>
              <w:top w:val="single" w:sz="4" w:space="0" w:color="auto"/>
              <w:left w:val="single" w:sz="4" w:space="0" w:color="auto"/>
              <w:bottom w:val="single" w:sz="4" w:space="0" w:color="auto"/>
              <w:right w:val="single" w:sz="4" w:space="0" w:color="auto"/>
            </w:tcBorders>
            <w:vAlign w:val="bottom"/>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37.9</w:t>
            </w:r>
          </w:p>
        </w:tc>
      </w:tr>
      <w:tr w:rsidR="00CF13EB" w:rsidRPr="00B3588A" w:rsidTr="00CF13EB">
        <w:tc>
          <w:tcPr>
            <w:tcW w:w="82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2007</w:t>
            </w:r>
          </w:p>
        </w:tc>
        <w:tc>
          <w:tcPr>
            <w:tcW w:w="142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9</w:t>
            </w:r>
          </w:p>
        </w:tc>
        <w:tc>
          <w:tcPr>
            <w:tcW w:w="180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0</w:t>
            </w:r>
          </w:p>
        </w:tc>
        <w:tc>
          <w:tcPr>
            <w:tcW w:w="196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207</w:t>
            </w:r>
          </w:p>
        </w:tc>
        <w:tc>
          <w:tcPr>
            <w:tcW w:w="145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570</w:t>
            </w:r>
          </w:p>
        </w:tc>
        <w:tc>
          <w:tcPr>
            <w:tcW w:w="1985" w:type="dxa"/>
            <w:tcBorders>
              <w:top w:val="single" w:sz="4" w:space="0" w:color="auto"/>
              <w:left w:val="single" w:sz="4" w:space="0" w:color="auto"/>
              <w:bottom w:val="single" w:sz="4" w:space="0" w:color="auto"/>
              <w:right w:val="single" w:sz="4" w:space="0" w:color="auto"/>
            </w:tcBorders>
            <w:vAlign w:val="bottom"/>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36.3</w:t>
            </w:r>
          </w:p>
        </w:tc>
      </w:tr>
      <w:tr w:rsidR="00CF13EB" w:rsidRPr="00B3588A" w:rsidTr="00CF13EB">
        <w:tc>
          <w:tcPr>
            <w:tcW w:w="82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2008</w:t>
            </w:r>
          </w:p>
        </w:tc>
        <w:tc>
          <w:tcPr>
            <w:tcW w:w="142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16</w:t>
            </w:r>
          </w:p>
        </w:tc>
        <w:tc>
          <w:tcPr>
            <w:tcW w:w="180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0</w:t>
            </w:r>
          </w:p>
        </w:tc>
        <w:tc>
          <w:tcPr>
            <w:tcW w:w="196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156</w:t>
            </w:r>
          </w:p>
        </w:tc>
        <w:tc>
          <w:tcPr>
            <w:tcW w:w="145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442</w:t>
            </w:r>
          </w:p>
        </w:tc>
        <w:tc>
          <w:tcPr>
            <w:tcW w:w="1985" w:type="dxa"/>
            <w:tcBorders>
              <w:top w:val="single" w:sz="4" w:space="0" w:color="auto"/>
              <w:left w:val="single" w:sz="4" w:space="0" w:color="auto"/>
              <w:bottom w:val="single" w:sz="4" w:space="0" w:color="auto"/>
              <w:right w:val="single" w:sz="4" w:space="0" w:color="auto"/>
            </w:tcBorders>
            <w:vAlign w:val="bottom"/>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35.3</w:t>
            </w:r>
          </w:p>
        </w:tc>
      </w:tr>
      <w:tr w:rsidR="00CF13EB" w:rsidRPr="00B3588A" w:rsidTr="00CF13EB">
        <w:tc>
          <w:tcPr>
            <w:tcW w:w="82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2009</w:t>
            </w:r>
          </w:p>
        </w:tc>
        <w:tc>
          <w:tcPr>
            <w:tcW w:w="142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9</w:t>
            </w:r>
          </w:p>
        </w:tc>
        <w:tc>
          <w:tcPr>
            <w:tcW w:w="180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0</w:t>
            </w:r>
          </w:p>
        </w:tc>
        <w:tc>
          <w:tcPr>
            <w:tcW w:w="196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155</w:t>
            </w:r>
          </w:p>
        </w:tc>
        <w:tc>
          <w:tcPr>
            <w:tcW w:w="145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447</w:t>
            </w:r>
          </w:p>
        </w:tc>
        <w:tc>
          <w:tcPr>
            <w:tcW w:w="1985" w:type="dxa"/>
            <w:tcBorders>
              <w:top w:val="single" w:sz="4" w:space="0" w:color="auto"/>
              <w:left w:val="single" w:sz="4" w:space="0" w:color="auto"/>
              <w:bottom w:val="single" w:sz="4" w:space="0" w:color="auto"/>
              <w:right w:val="single" w:sz="4" w:space="0" w:color="auto"/>
            </w:tcBorders>
            <w:vAlign w:val="bottom"/>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34.7</w:t>
            </w:r>
          </w:p>
        </w:tc>
      </w:tr>
      <w:tr w:rsidR="00CF13EB" w:rsidRPr="00B3588A" w:rsidTr="00CF13EB">
        <w:tc>
          <w:tcPr>
            <w:tcW w:w="82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2010</w:t>
            </w:r>
          </w:p>
        </w:tc>
        <w:tc>
          <w:tcPr>
            <w:tcW w:w="142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2</w:t>
            </w:r>
          </w:p>
        </w:tc>
        <w:tc>
          <w:tcPr>
            <w:tcW w:w="180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0</w:t>
            </w:r>
          </w:p>
        </w:tc>
        <w:tc>
          <w:tcPr>
            <w:tcW w:w="196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186</w:t>
            </w:r>
          </w:p>
        </w:tc>
        <w:tc>
          <w:tcPr>
            <w:tcW w:w="145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448</w:t>
            </w:r>
          </w:p>
        </w:tc>
        <w:tc>
          <w:tcPr>
            <w:tcW w:w="1985" w:type="dxa"/>
            <w:tcBorders>
              <w:top w:val="single" w:sz="4" w:space="0" w:color="auto"/>
              <w:left w:val="single" w:sz="4" w:space="0" w:color="auto"/>
              <w:bottom w:val="single" w:sz="4" w:space="0" w:color="auto"/>
              <w:right w:val="single" w:sz="4" w:space="0" w:color="auto"/>
            </w:tcBorders>
            <w:vAlign w:val="bottom"/>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41.5</w:t>
            </w:r>
          </w:p>
        </w:tc>
      </w:tr>
      <w:tr w:rsidR="00CF13EB" w:rsidRPr="00B3588A" w:rsidTr="00CF13EB">
        <w:tc>
          <w:tcPr>
            <w:tcW w:w="82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2011</w:t>
            </w:r>
          </w:p>
        </w:tc>
        <w:tc>
          <w:tcPr>
            <w:tcW w:w="142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3</w:t>
            </w:r>
          </w:p>
        </w:tc>
        <w:tc>
          <w:tcPr>
            <w:tcW w:w="180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1</w:t>
            </w:r>
          </w:p>
        </w:tc>
        <w:tc>
          <w:tcPr>
            <w:tcW w:w="196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149</w:t>
            </w:r>
          </w:p>
        </w:tc>
        <w:tc>
          <w:tcPr>
            <w:tcW w:w="145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499</w:t>
            </w:r>
          </w:p>
        </w:tc>
        <w:tc>
          <w:tcPr>
            <w:tcW w:w="1985" w:type="dxa"/>
            <w:tcBorders>
              <w:top w:val="single" w:sz="4" w:space="0" w:color="auto"/>
              <w:left w:val="single" w:sz="4" w:space="0" w:color="auto"/>
              <w:bottom w:val="single" w:sz="4" w:space="0" w:color="auto"/>
              <w:right w:val="single" w:sz="4" w:space="0" w:color="auto"/>
            </w:tcBorders>
            <w:vAlign w:val="bottom"/>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29.9</w:t>
            </w:r>
          </w:p>
        </w:tc>
      </w:tr>
      <w:tr w:rsidR="00CF13EB" w:rsidRPr="00B3588A" w:rsidTr="00CF13EB">
        <w:tc>
          <w:tcPr>
            <w:tcW w:w="82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2012</w:t>
            </w:r>
          </w:p>
        </w:tc>
        <w:tc>
          <w:tcPr>
            <w:tcW w:w="142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1</w:t>
            </w:r>
          </w:p>
        </w:tc>
        <w:tc>
          <w:tcPr>
            <w:tcW w:w="180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0</w:t>
            </w:r>
          </w:p>
        </w:tc>
        <w:tc>
          <w:tcPr>
            <w:tcW w:w="196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172</w:t>
            </w:r>
          </w:p>
        </w:tc>
        <w:tc>
          <w:tcPr>
            <w:tcW w:w="145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497</w:t>
            </w:r>
          </w:p>
        </w:tc>
        <w:tc>
          <w:tcPr>
            <w:tcW w:w="1985" w:type="dxa"/>
            <w:tcBorders>
              <w:top w:val="single" w:sz="4" w:space="0" w:color="auto"/>
              <w:left w:val="single" w:sz="4" w:space="0" w:color="auto"/>
              <w:bottom w:val="single" w:sz="4" w:space="0" w:color="auto"/>
              <w:right w:val="single" w:sz="4" w:space="0" w:color="auto"/>
            </w:tcBorders>
            <w:vAlign w:val="bottom"/>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34.6</w:t>
            </w:r>
          </w:p>
        </w:tc>
      </w:tr>
      <w:tr w:rsidR="00CF13EB" w:rsidRPr="00B3588A" w:rsidTr="00CF13EB">
        <w:tc>
          <w:tcPr>
            <w:tcW w:w="82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2013</w:t>
            </w:r>
          </w:p>
        </w:tc>
        <w:tc>
          <w:tcPr>
            <w:tcW w:w="142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1</w:t>
            </w:r>
          </w:p>
        </w:tc>
        <w:tc>
          <w:tcPr>
            <w:tcW w:w="180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0</w:t>
            </w:r>
          </w:p>
        </w:tc>
        <w:tc>
          <w:tcPr>
            <w:tcW w:w="196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164</w:t>
            </w:r>
          </w:p>
        </w:tc>
        <w:tc>
          <w:tcPr>
            <w:tcW w:w="145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445</w:t>
            </w:r>
          </w:p>
        </w:tc>
        <w:tc>
          <w:tcPr>
            <w:tcW w:w="1985" w:type="dxa"/>
            <w:tcBorders>
              <w:top w:val="single" w:sz="4" w:space="0" w:color="auto"/>
              <w:left w:val="single" w:sz="4" w:space="0" w:color="auto"/>
              <w:bottom w:val="single" w:sz="4" w:space="0" w:color="auto"/>
              <w:right w:val="single" w:sz="4" w:space="0" w:color="auto"/>
            </w:tcBorders>
            <w:vAlign w:val="bottom"/>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36.9</w:t>
            </w:r>
          </w:p>
        </w:tc>
      </w:tr>
      <w:tr w:rsidR="00CF13EB" w:rsidRPr="00B3588A" w:rsidTr="00CF13EB">
        <w:tc>
          <w:tcPr>
            <w:tcW w:w="82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2014</w:t>
            </w:r>
          </w:p>
        </w:tc>
        <w:tc>
          <w:tcPr>
            <w:tcW w:w="142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4</w:t>
            </w:r>
          </w:p>
        </w:tc>
        <w:tc>
          <w:tcPr>
            <w:tcW w:w="180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0</w:t>
            </w:r>
          </w:p>
        </w:tc>
        <w:tc>
          <w:tcPr>
            <w:tcW w:w="196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142</w:t>
            </w:r>
          </w:p>
        </w:tc>
        <w:tc>
          <w:tcPr>
            <w:tcW w:w="145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456</w:t>
            </w:r>
          </w:p>
        </w:tc>
        <w:tc>
          <w:tcPr>
            <w:tcW w:w="1985" w:type="dxa"/>
            <w:tcBorders>
              <w:top w:val="single" w:sz="4" w:space="0" w:color="auto"/>
              <w:left w:val="single" w:sz="4" w:space="0" w:color="auto"/>
              <w:bottom w:val="single" w:sz="4" w:space="0" w:color="auto"/>
              <w:right w:val="single" w:sz="4" w:space="0" w:color="auto"/>
            </w:tcBorders>
            <w:vAlign w:val="bottom"/>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31.1</w:t>
            </w:r>
          </w:p>
        </w:tc>
      </w:tr>
      <w:tr w:rsidR="00CF13EB" w:rsidRPr="00B3588A" w:rsidTr="00CF13EB">
        <w:tc>
          <w:tcPr>
            <w:tcW w:w="82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2015</w:t>
            </w:r>
          </w:p>
        </w:tc>
        <w:tc>
          <w:tcPr>
            <w:tcW w:w="142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6</w:t>
            </w:r>
          </w:p>
        </w:tc>
        <w:tc>
          <w:tcPr>
            <w:tcW w:w="180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0</w:t>
            </w:r>
          </w:p>
        </w:tc>
        <w:tc>
          <w:tcPr>
            <w:tcW w:w="196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159</w:t>
            </w:r>
          </w:p>
        </w:tc>
        <w:tc>
          <w:tcPr>
            <w:tcW w:w="145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457</w:t>
            </w:r>
          </w:p>
        </w:tc>
        <w:tc>
          <w:tcPr>
            <w:tcW w:w="1985" w:type="dxa"/>
            <w:tcBorders>
              <w:top w:val="single" w:sz="4" w:space="0" w:color="auto"/>
              <w:left w:val="single" w:sz="4" w:space="0" w:color="auto"/>
              <w:bottom w:val="single" w:sz="4" w:space="0" w:color="auto"/>
              <w:right w:val="single" w:sz="4" w:space="0" w:color="auto"/>
            </w:tcBorders>
            <w:vAlign w:val="bottom"/>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34.8</w:t>
            </w:r>
          </w:p>
        </w:tc>
      </w:tr>
      <w:tr w:rsidR="00CF13EB" w:rsidRPr="00B3588A" w:rsidTr="00CF13EB">
        <w:trPr>
          <w:trHeight w:val="188"/>
        </w:trPr>
        <w:tc>
          <w:tcPr>
            <w:tcW w:w="82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2016</w:t>
            </w:r>
          </w:p>
        </w:tc>
        <w:tc>
          <w:tcPr>
            <w:tcW w:w="142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szCs w:val="24"/>
              </w:rPr>
            </w:pPr>
            <w:r w:rsidRPr="00B3588A">
              <w:rPr>
                <w:rFonts w:ascii="Arial" w:hAnsi="Arial" w:cs="Arial"/>
                <w:color w:val="000000"/>
                <w:szCs w:val="24"/>
              </w:rPr>
              <w:t>0</w:t>
            </w:r>
          </w:p>
        </w:tc>
        <w:tc>
          <w:tcPr>
            <w:tcW w:w="180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1</w:t>
            </w:r>
          </w:p>
        </w:tc>
        <w:tc>
          <w:tcPr>
            <w:tcW w:w="196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192</w:t>
            </w:r>
          </w:p>
        </w:tc>
        <w:tc>
          <w:tcPr>
            <w:tcW w:w="145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501</w:t>
            </w:r>
          </w:p>
        </w:tc>
        <w:tc>
          <w:tcPr>
            <w:tcW w:w="1985" w:type="dxa"/>
            <w:tcBorders>
              <w:top w:val="single" w:sz="4" w:space="0" w:color="auto"/>
              <w:left w:val="single" w:sz="4" w:space="0" w:color="auto"/>
              <w:bottom w:val="single" w:sz="4" w:space="0" w:color="auto"/>
              <w:right w:val="single" w:sz="4" w:space="0" w:color="auto"/>
            </w:tcBorders>
            <w:vAlign w:val="bottom"/>
          </w:tcPr>
          <w:p w:rsidR="00CF13EB" w:rsidRPr="00B3588A" w:rsidRDefault="00CF13EB" w:rsidP="006057BE">
            <w:pPr>
              <w:jc w:val="center"/>
              <w:rPr>
                <w:rFonts w:ascii="Arial" w:hAnsi="Arial" w:cs="Arial"/>
                <w:color w:val="000000"/>
                <w:szCs w:val="24"/>
              </w:rPr>
            </w:pPr>
            <w:r w:rsidRPr="00B3588A">
              <w:rPr>
                <w:rFonts w:ascii="Arial" w:hAnsi="Arial" w:cs="Arial"/>
                <w:color w:val="000000"/>
                <w:szCs w:val="24"/>
              </w:rPr>
              <w:t>38.3</w:t>
            </w:r>
          </w:p>
        </w:tc>
      </w:tr>
      <w:tr w:rsidR="00CF13EB" w:rsidRPr="00B3588A" w:rsidTr="00CF13EB">
        <w:trPr>
          <w:trHeight w:val="188"/>
        </w:trPr>
        <w:tc>
          <w:tcPr>
            <w:tcW w:w="82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color w:val="000000"/>
                <w:szCs w:val="24"/>
              </w:rPr>
            </w:pPr>
            <w:r w:rsidRPr="00B3588A">
              <w:rPr>
                <w:rFonts w:ascii="Arial" w:hAnsi="Arial" w:cs="Arial"/>
                <w:b/>
                <w:color w:val="000000"/>
                <w:szCs w:val="24"/>
              </w:rPr>
              <w:t>Total</w:t>
            </w:r>
          </w:p>
        </w:tc>
        <w:tc>
          <w:tcPr>
            <w:tcW w:w="142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color w:val="000000"/>
                <w:szCs w:val="24"/>
              </w:rPr>
            </w:pPr>
            <w:r w:rsidRPr="00B3588A">
              <w:rPr>
                <w:rFonts w:ascii="Arial" w:hAnsi="Arial" w:cs="Arial"/>
                <w:b/>
                <w:color w:val="000000"/>
                <w:szCs w:val="24"/>
              </w:rPr>
              <w:t>54</w:t>
            </w:r>
          </w:p>
        </w:tc>
        <w:tc>
          <w:tcPr>
            <w:tcW w:w="1800"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color w:val="000000"/>
                <w:szCs w:val="24"/>
              </w:rPr>
            </w:pPr>
            <w:r w:rsidRPr="00B3588A">
              <w:rPr>
                <w:rFonts w:ascii="Arial" w:hAnsi="Arial" w:cs="Arial"/>
                <w:b/>
                <w:color w:val="000000"/>
                <w:szCs w:val="24"/>
              </w:rPr>
              <w:t>3</w:t>
            </w:r>
          </w:p>
        </w:tc>
        <w:tc>
          <w:tcPr>
            <w:tcW w:w="1965" w:type="dxa"/>
            <w:tcBorders>
              <w:top w:val="single" w:sz="4" w:space="0" w:color="auto"/>
              <w:left w:val="single" w:sz="4" w:space="0" w:color="auto"/>
              <w:bottom w:val="single" w:sz="4" w:space="0" w:color="auto"/>
              <w:right w:val="single" w:sz="4" w:space="0" w:color="auto"/>
            </w:tcBorders>
            <w:vAlign w:val="bottom"/>
            <w:hideMark/>
          </w:tcPr>
          <w:p w:rsidR="00CF13EB" w:rsidRPr="00B3588A" w:rsidRDefault="00CF13EB" w:rsidP="006057BE">
            <w:pPr>
              <w:jc w:val="center"/>
              <w:rPr>
                <w:rFonts w:ascii="Arial" w:hAnsi="Arial" w:cs="Arial"/>
                <w:b/>
                <w:color w:val="000000"/>
                <w:szCs w:val="24"/>
              </w:rPr>
            </w:pPr>
            <w:r w:rsidRPr="00B3588A">
              <w:rPr>
                <w:rFonts w:ascii="Arial" w:hAnsi="Arial" w:cs="Arial"/>
                <w:b/>
                <w:color w:val="000000"/>
                <w:szCs w:val="24"/>
              </w:rPr>
              <w:t>1897</w:t>
            </w:r>
          </w:p>
        </w:tc>
        <w:tc>
          <w:tcPr>
            <w:tcW w:w="1455" w:type="dxa"/>
            <w:tcBorders>
              <w:top w:val="single" w:sz="4" w:space="0" w:color="auto"/>
              <w:left w:val="single" w:sz="4" w:space="0" w:color="auto"/>
              <w:bottom w:val="single" w:sz="4" w:space="0" w:color="auto"/>
              <w:right w:val="single" w:sz="4" w:space="0" w:color="auto"/>
            </w:tcBorders>
            <w:hideMark/>
          </w:tcPr>
          <w:p w:rsidR="00CF13EB" w:rsidRPr="00B3588A" w:rsidRDefault="00CF13EB" w:rsidP="006057BE">
            <w:pPr>
              <w:jc w:val="center"/>
              <w:rPr>
                <w:rFonts w:ascii="Arial" w:hAnsi="Arial" w:cs="Arial"/>
                <w:b/>
                <w:color w:val="000000"/>
                <w:szCs w:val="24"/>
              </w:rPr>
            </w:pPr>
            <w:r w:rsidRPr="00B3588A">
              <w:rPr>
                <w:rFonts w:ascii="Arial" w:hAnsi="Arial" w:cs="Arial"/>
                <w:b/>
                <w:color w:val="000000"/>
                <w:szCs w:val="24"/>
              </w:rPr>
              <w:t>5330</w:t>
            </w:r>
          </w:p>
        </w:tc>
        <w:tc>
          <w:tcPr>
            <w:tcW w:w="1985" w:type="dxa"/>
            <w:tcBorders>
              <w:top w:val="single" w:sz="4" w:space="0" w:color="auto"/>
              <w:left w:val="single" w:sz="4" w:space="0" w:color="auto"/>
              <w:bottom w:val="single" w:sz="4" w:space="0" w:color="auto"/>
              <w:right w:val="single" w:sz="4" w:space="0" w:color="auto"/>
            </w:tcBorders>
            <w:vAlign w:val="bottom"/>
          </w:tcPr>
          <w:p w:rsidR="00CF13EB" w:rsidRPr="00B3588A" w:rsidRDefault="00CF13EB" w:rsidP="006057BE">
            <w:pPr>
              <w:jc w:val="center"/>
              <w:rPr>
                <w:rFonts w:ascii="Arial" w:hAnsi="Arial" w:cs="Arial"/>
                <w:b/>
                <w:color w:val="000000"/>
                <w:szCs w:val="24"/>
              </w:rPr>
            </w:pPr>
            <w:r w:rsidRPr="00B3588A">
              <w:rPr>
                <w:rFonts w:ascii="Arial" w:hAnsi="Arial" w:cs="Arial"/>
                <w:b/>
                <w:color w:val="000000"/>
                <w:szCs w:val="24"/>
              </w:rPr>
              <w:t>35.6</w:t>
            </w:r>
          </w:p>
        </w:tc>
      </w:tr>
    </w:tbl>
    <w:p w:rsidR="00CF13EB" w:rsidRPr="00B3588A" w:rsidRDefault="00CF13EB" w:rsidP="006057BE">
      <w:pPr>
        <w:spacing w:after="0" w:line="240" w:lineRule="auto"/>
      </w:pPr>
    </w:p>
    <w:p w:rsidR="00CF13EB" w:rsidRPr="00B74EFE" w:rsidRDefault="00CF13EB" w:rsidP="006057BE">
      <w:pPr>
        <w:pStyle w:val="BodyText"/>
        <w:spacing w:line="240" w:lineRule="auto"/>
        <w:rPr>
          <w:sz w:val="24"/>
        </w:rPr>
      </w:pPr>
      <w:r w:rsidRPr="00B74EFE">
        <w:rPr>
          <w:sz w:val="24"/>
        </w:rPr>
        <w:t>Within the FARS database there are three options that can be selected to indicate that a person was tested for the presence of drugs: (1) blood test, (2) urine test, and (3) both blood and urine tests. Among these three options, for both surviving and deceased drivers, blood tests were used, almost exclusively, to determine the presence of drugs. In the 11-year sample, 1897 drivers were given only a blood test, three were given a urine test only and only one person was given both a blood and urine test to determine if drugs were present in their system after being involved in a fatal crash.</w:t>
      </w:r>
    </w:p>
    <w:p w:rsidR="00CF13EB" w:rsidRPr="00B74EFE" w:rsidRDefault="00CF13EB" w:rsidP="006057BE">
      <w:pPr>
        <w:pStyle w:val="BodyText"/>
        <w:spacing w:line="240" w:lineRule="auto"/>
        <w:rPr>
          <w:sz w:val="24"/>
        </w:rPr>
      </w:pPr>
    </w:p>
    <w:p w:rsidR="00CF13EB" w:rsidRDefault="00CF13EB" w:rsidP="006057BE">
      <w:pPr>
        <w:pStyle w:val="BodyText"/>
        <w:spacing w:line="240" w:lineRule="auto"/>
      </w:pPr>
      <w:r w:rsidRPr="00B74EFE">
        <w:rPr>
          <w:sz w:val="24"/>
        </w:rPr>
        <w:t>Overall, approximately 73% of the drivers who were deceased in a crash were given a post-mortem blood test for alcohol or drugs. By contrast, less than 1% of drivers who survived a crash in which there was at least one fatality were given a blood test for alcohol or drugs according to the FARS data (Figure 3). During the 11-year study period (2006-2016), the highest proportion of deceased drivers given a blood test for alcohol or drugs was 83% in 2010 and the lowest was 63% in 2011. The highest proportion of surviving drivers given a blood test for alcohol or drugs was 2% in 2005 and the lowest was 0% in 2009 and 2015.  In 2016, the proportion of deceased drivers given a blood test for alcohol or drugs was 82%, which was a slightly higher testing rate for deceased drivers than in the preceding five years, and less than 1% of surviving drivers were tested</w:t>
      </w:r>
      <w:r>
        <w:t>.</w:t>
      </w:r>
    </w:p>
    <w:p w:rsidR="00CF13EB" w:rsidRPr="00B3588A" w:rsidRDefault="00CF13EB" w:rsidP="006057BE">
      <w:pPr>
        <w:pStyle w:val="BodyText"/>
        <w:spacing w:line="240" w:lineRule="auto"/>
      </w:pPr>
    </w:p>
    <w:p w:rsidR="00D572BF" w:rsidRDefault="00D572BF" w:rsidP="00F950A2">
      <w:pPr>
        <w:pStyle w:val="BodyText"/>
      </w:pPr>
      <w:bookmarkStart w:id="451" w:name="_Ref507920943"/>
    </w:p>
    <w:p w:rsidR="007B6DB6" w:rsidRDefault="007B6DB6" w:rsidP="00F950A2">
      <w:pPr>
        <w:pStyle w:val="BodyText"/>
      </w:pPr>
    </w:p>
    <w:p w:rsidR="007B6DB6" w:rsidRDefault="007B6DB6" w:rsidP="00F950A2">
      <w:pPr>
        <w:pStyle w:val="BodyText"/>
      </w:pPr>
    </w:p>
    <w:p w:rsidR="007B6DB6" w:rsidRDefault="007B6DB6" w:rsidP="00F950A2">
      <w:pPr>
        <w:pStyle w:val="BodyText"/>
      </w:pPr>
      <w:r>
        <w:rPr>
          <w:noProof/>
        </w:rPr>
        <w:drawing>
          <wp:inline distT="0" distB="0" distL="0" distR="0" wp14:anchorId="0A92489B" wp14:editId="28F82333">
            <wp:extent cx="4224655" cy="2578735"/>
            <wp:effectExtent l="0" t="0" r="4445" b="0"/>
            <wp:docPr id="17" name="Picture 17" descr="The figure presents data for the percentage of deceased and surviving drivers who were in fatal crashes and who were given a blood test for detection of drugs in the body. The time period was 2006 through 2016. About 73% of deceased drivers were administered a post-mortem blood test for alcohol and drugs.  Less than 1% of surviving drivers received a blood test after a crash in which there was a fatality. " title="Percentage of Deceased and Surviving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24655" cy="2578735"/>
                    </a:xfrm>
                    <a:prstGeom prst="rect">
                      <a:avLst/>
                    </a:prstGeom>
                    <a:noFill/>
                  </pic:spPr>
                </pic:pic>
              </a:graphicData>
            </a:graphic>
          </wp:inline>
        </w:drawing>
      </w:r>
    </w:p>
    <w:p w:rsidR="00CF13EB" w:rsidRPr="005D614A" w:rsidRDefault="00CF13EB" w:rsidP="005D614A">
      <w:pPr>
        <w:spacing w:after="0"/>
        <w:rPr>
          <w:rFonts w:ascii="Arial" w:hAnsi="Arial" w:cs="Arial"/>
          <w:b/>
          <w:sz w:val="24"/>
        </w:rPr>
      </w:pPr>
      <w:bookmarkStart w:id="452" w:name="_Toc11766009"/>
      <w:bookmarkStart w:id="453" w:name="_Toc11766664"/>
      <w:bookmarkStart w:id="454" w:name="_Toc11917244"/>
      <w:bookmarkStart w:id="455" w:name="_Toc11921682"/>
      <w:r w:rsidRPr="005D614A">
        <w:rPr>
          <w:rFonts w:ascii="Arial" w:hAnsi="Arial" w:cs="Arial"/>
          <w:b/>
          <w:sz w:val="24"/>
        </w:rPr>
        <w:t xml:space="preserve">Figure </w:t>
      </w:r>
      <w:bookmarkEnd w:id="451"/>
      <w:r w:rsidRPr="005D614A">
        <w:rPr>
          <w:rFonts w:ascii="Arial" w:hAnsi="Arial" w:cs="Arial"/>
          <w:b/>
          <w:sz w:val="24"/>
        </w:rPr>
        <w:t>3. Percentage of deceased and surviving dr</w:t>
      </w:r>
      <w:r w:rsidR="00EA0518" w:rsidRPr="005D614A">
        <w:rPr>
          <w:rFonts w:ascii="Arial" w:hAnsi="Arial" w:cs="Arial"/>
          <w:b/>
          <w:sz w:val="24"/>
        </w:rPr>
        <w:t>ivers in fatal crashes given a B</w:t>
      </w:r>
      <w:r w:rsidRPr="005D614A">
        <w:rPr>
          <w:rFonts w:ascii="Arial" w:hAnsi="Arial" w:cs="Arial"/>
          <w:b/>
          <w:sz w:val="24"/>
        </w:rPr>
        <w:t>lood test for drugs</w:t>
      </w:r>
      <w:bookmarkEnd w:id="452"/>
      <w:bookmarkEnd w:id="453"/>
      <w:bookmarkEnd w:id="454"/>
      <w:bookmarkEnd w:id="455"/>
    </w:p>
    <w:p w:rsidR="00CF13EB" w:rsidRPr="00CF13EB" w:rsidRDefault="00CF13EB" w:rsidP="006057BE">
      <w:pPr>
        <w:pStyle w:val="BodyText"/>
        <w:spacing w:line="240" w:lineRule="auto"/>
      </w:pPr>
    </w:p>
    <w:p w:rsidR="005D7694" w:rsidRPr="00B74EFE" w:rsidRDefault="00CF13EB" w:rsidP="006057BE">
      <w:pPr>
        <w:pStyle w:val="BodyText"/>
        <w:spacing w:line="240" w:lineRule="auto"/>
        <w:rPr>
          <w:sz w:val="24"/>
        </w:rPr>
      </w:pPr>
      <w:r w:rsidRPr="00B74EFE">
        <w:rPr>
          <w:sz w:val="24"/>
        </w:rPr>
        <w:t>To detect potential demographic differences in blood-testing trends, testing rates were examined by race/ethnicity. Figure 4 displays the percent of all deceased drivers who were given a blood test by race/ethnicity. The “Other, non-Hispanic” category was lower than others, due to this category containing the “Unknown” race option which was strongly correlated with</w:t>
      </w:r>
      <w:r w:rsidR="005D7694" w:rsidRPr="00B74EFE">
        <w:rPr>
          <w:sz w:val="24"/>
        </w:rPr>
        <w:t xml:space="preserve"> having an “unknown drug test type</w:t>
      </w:r>
      <w:r w:rsidR="00B74EFE">
        <w:rPr>
          <w:sz w:val="24"/>
        </w:rPr>
        <w:t>.</w:t>
      </w:r>
      <w:r w:rsidR="005D7694" w:rsidRPr="00B74EFE">
        <w:rPr>
          <w:sz w:val="24"/>
        </w:rPr>
        <w:t xml:space="preserve"> </w:t>
      </w:r>
    </w:p>
    <w:p w:rsidR="00CF13EB" w:rsidRPr="00B3588A" w:rsidRDefault="007B6DB6" w:rsidP="006057BE">
      <w:pPr>
        <w:pStyle w:val="BodyText"/>
        <w:spacing w:line="240" w:lineRule="auto"/>
      </w:pPr>
      <w:bookmarkStart w:id="456" w:name="_Ref509747722"/>
      <w:r>
        <w:rPr>
          <w:noProof/>
        </w:rPr>
        <w:drawing>
          <wp:inline distT="0" distB="0" distL="0" distR="0" wp14:anchorId="526B1A8B" wp14:editId="71E6171E">
            <wp:extent cx="5487035" cy="2743200"/>
            <wp:effectExtent l="0" t="0" r="0" b="0"/>
            <wp:docPr id="18" name="Picture 18" descr="The figure presents data summarizing demographic differences for blood testing in the bodies of drivers who died in a vehicle crash. By race/ethnicity, non-Hispanic Asians were tested as the highest percentage (~90%) , while Other, non-Hispanic was tested at the lowest percentage (~30%).  " title="Driver Blood Tests by Race/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7035" cy="2743200"/>
                    </a:xfrm>
                    <a:prstGeom prst="rect">
                      <a:avLst/>
                    </a:prstGeom>
                    <a:noFill/>
                  </pic:spPr>
                </pic:pic>
              </a:graphicData>
            </a:graphic>
          </wp:inline>
        </w:drawing>
      </w:r>
      <w:r w:rsidR="00CF13EB" w:rsidRPr="00B3588A">
        <w:rPr>
          <w:iCs/>
        </w:rPr>
        <w:br/>
      </w:r>
    </w:p>
    <w:p w:rsidR="00CF13EB" w:rsidRPr="005D614A" w:rsidRDefault="00CF13EB" w:rsidP="005D614A">
      <w:pPr>
        <w:spacing w:after="0"/>
        <w:rPr>
          <w:rFonts w:ascii="Arial" w:hAnsi="Arial" w:cs="Arial"/>
          <w:b/>
          <w:sz w:val="24"/>
        </w:rPr>
      </w:pPr>
      <w:bookmarkStart w:id="457" w:name="_Toc11766010"/>
      <w:bookmarkStart w:id="458" w:name="_Toc11766665"/>
      <w:bookmarkStart w:id="459" w:name="_Toc11917245"/>
      <w:bookmarkStart w:id="460" w:name="_Toc11921683"/>
      <w:r w:rsidRPr="005D614A">
        <w:rPr>
          <w:rFonts w:ascii="Arial" w:hAnsi="Arial" w:cs="Arial"/>
          <w:b/>
          <w:sz w:val="24"/>
        </w:rPr>
        <w:t xml:space="preserve">Figure </w:t>
      </w:r>
      <w:bookmarkEnd w:id="456"/>
      <w:r w:rsidRPr="005D614A">
        <w:rPr>
          <w:rFonts w:ascii="Arial" w:hAnsi="Arial" w:cs="Arial"/>
          <w:b/>
          <w:sz w:val="24"/>
        </w:rPr>
        <w:t>4. Percent of deceased drivers given a blood test for drugs, by race/ethnicity.</w:t>
      </w:r>
      <w:bookmarkEnd w:id="457"/>
      <w:bookmarkEnd w:id="458"/>
      <w:bookmarkEnd w:id="459"/>
      <w:bookmarkEnd w:id="460"/>
    </w:p>
    <w:p w:rsidR="00CF13EB" w:rsidRPr="00CF13EB" w:rsidRDefault="00CF13EB" w:rsidP="006057BE">
      <w:pPr>
        <w:pStyle w:val="BodyText"/>
        <w:spacing w:line="240" w:lineRule="auto"/>
      </w:pPr>
    </w:p>
    <w:p w:rsidR="00CF13EB" w:rsidRPr="00B74EFE" w:rsidRDefault="00CF13EB" w:rsidP="006057BE">
      <w:pPr>
        <w:spacing w:after="0" w:line="240" w:lineRule="auto"/>
        <w:rPr>
          <w:rFonts w:ascii="Arial" w:hAnsi="Arial" w:cs="Arial"/>
          <w:i/>
          <w:sz w:val="24"/>
        </w:rPr>
      </w:pPr>
      <w:r w:rsidRPr="00B74EFE">
        <w:rPr>
          <w:rFonts w:ascii="Arial" w:hAnsi="Arial" w:cs="Arial"/>
          <w:i/>
          <w:sz w:val="24"/>
        </w:rPr>
        <w:t>Marijuana Use</w:t>
      </w:r>
    </w:p>
    <w:p w:rsidR="00B74EFE" w:rsidRPr="00B74EFE" w:rsidRDefault="00B74EFE" w:rsidP="006057BE">
      <w:pPr>
        <w:spacing w:after="0" w:line="240" w:lineRule="auto"/>
        <w:rPr>
          <w:rFonts w:ascii="Arial" w:hAnsi="Arial" w:cs="Arial"/>
          <w:i/>
          <w:sz w:val="24"/>
        </w:rPr>
      </w:pPr>
    </w:p>
    <w:p w:rsidR="00CF13EB" w:rsidRPr="00B74EFE" w:rsidRDefault="00CF13EB" w:rsidP="006057BE">
      <w:pPr>
        <w:pStyle w:val="BodyText"/>
        <w:spacing w:line="240" w:lineRule="auto"/>
        <w:rPr>
          <w:sz w:val="24"/>
        </w:rPr>
      </w:pPr>
      <w:r w:rsidRPr="00B74EFE">
        <w:rPr>
          <w:sz w:val="24"/>
        </w:rPr>
        <w:t>The prevalence of marijuana use among deceased drivers blood-tested for drugs was evaluated by examining how often they tested positive for any cannabinoid (Figure 5).</w:t>
      </w:r>
    </w:p>
    <w:p w:rsidR="005D7694" w:rsidRPr="00B74EFE" w:rsidRDefault="005D7694" w:rsidP="00F950A2">
      <w:pPr>
        <w:pStyle w:val="BodyText"/>
      </w:pPr>
      <w:bookmarkStart w:id="461" w:name="_Ref509650809"/>
    </w:p>
    <w:p w:rsidR="005D7694" w:rsidRDefault="007B6DB6" w:rsidP="00F950A2">
      <w:pPr>
        <w:pStyle w:val="BodyText"/>
      </w:pPr>
      <w:r>
        <w:rPr>
          <w:noProof/>
        </w:rPr>
        <w:drawing>
          <wp:inline distT="0" distB="0" distL="0" distR="0" wp14:anchorId="2311C4D3" wp14:editId="7BB88DEB">
            <wp:extent cx="5365115" cy="2743200"/>
            <wp:effectExtent l="0" t="0" r="6985" b="0"/>
            <wp:docPr id="19" name="Picture 19" descr="The figure presents data for the number of drivers who died in vehicle crashes who tested positive for cannabinoids over the years 2006 through 2016. Cannabinoids in the body were detected by a blood test administered post-mortem. Of these years, 2016 had the highest number of positive results, while 2007 had the lowest number. " title="Deceased Driver Blood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5115" cy="2743200"/>
                    </a:xfrm>
                    <a:prstGeom prst="rect">
                      <a:avLst/>
                    </a:prstGeom>
                    <a:noFill/>
                  </pic:spPr>
                </pic:pic>
              </a:graphicData>
            </a:graphic>
          </wp:inline>
        </w:drawing>
      </w:r>
    </w:p>
    <w:p w:rsidR="007B6DB6" w:rsidRDefault="007B6DB6" w:rsidP="00F950A2">
      <w:pPr>
        <w:pStyle w:val="BodyText"/>
      </w:pPr>
    </w:p>
    <w:p w:rsidR="00CF13EB" w:rsidRPr="005D614A" w:rsidRDefault="00CF13EB" w:rsidP="005D614A">
      <w:pPr>
        <w:spacing w:after="0"/>
        <w:rPr>
          <w:rFonts w:ascii="Arial" w:hAnsi="Arial" w:cs="Arial"/>
          <w:b/>
          <w:sz w:val="24"/>
        </w:rPr>
      </w:pPr>
      <w:bookmarkStart w:id="462" w:name="_Toc11766011"/>
      <w:bookmarkStart w:id="463" w:name="_Toc11766666"/>
      <w:bookmarkStart w:id="464" w:name="_Toc11917246"/>
      <w:bookmarkStart w:id="465" w:name="_Toc11921684"/>
      <w:r w:rsidRPr="005D614A">
        <w:rPr>
          <w:rFonts w:ascii="Arial" w:hAnsi="Arial" w:cs="Arial"/>
          <w:b/>
          <w:sz w:val="24"/>
        </w:rPr>
        <w:t xml:space="preserve">Figure </w:t>
      </w:r>
      <w:bookmarkEnd w:id="461"/>
      <w:r w:rsidRPr="005D614A">
        <w:rPr>
          <w:rFonts w:ascii="Arial" w:hAnsi="Arial" w:cs="Arial"/>
          <w:b/>
          <w:sz w:val="24"/>
        </w:rPr>
        <w:t>5. Number of deceased drivers given a blood test for drugs testing positive for any cannabinoid</w:t>
      </w:r>
      <w:bookmarkEnd w:id="462"/>
      <w:bookmarkEnd w:id="463"/>
      <w:bookmarkEnd w:id="464"/>
      <w:bookmarkEnd w:id="465"/>
    </w:p>
    <w:p w:rsidR="00CF13EB" w:rsidRPr="00CF13EB" w:rsidRDefault="00CF13EB" w:rsidP="006057BE">
      <w:pPr>
        <w:pStyle w:val="BodyText"/>
        <w:spacing w:line="240" w:lineRule="auto"/>
      </w:pPr>
    </w:p>
    <w:p w:rsidR="00CF13EB" w:rsidRPr="005D7694" w:rsidRDefault="00CF13EB" w:rsidP="005D7694">
      <w:pPr>
        <w:pStyle w:val="BodyText"/>
        <w:spacing w:line="240" w:lineRule="auto"/>
        <w:rPr>
          <w:b/>
        </w:rPr>
      </w:pPr>
      <w:r w:rsidRPr="00B74EFE">
        <w:rPr>
          <w:sz w:val="24"/>
        </w:rPr>
        <w:t xml:space="preserve">When examining the frequency in which deceased drivers given a blood test for drugs tested positive for any cannabinoid, a noticeable increase was observed in 2010 (Figure 6).  </w:t>
      </w:r>
      <w:bookmarkStart w:id="466" w:name="_Ref509651169"/>
      <w:r w:rsidR="005D7694" w:rsidRPr="00B74EFE">
        <w:rPr>
          <w:b/>
          <w:sz w:val="24"/>
        </w:rPr>
        <w:t xml:space="preserve">          </w:t>
      </w:r>
      <w:r w:rsidR="005D7694">
        <w:rPr>
          <w:b/>
        </w:rPr>
        <w:t xml:space="preserve">   </w:t>
      </w:r>
    </w:p>
    <w:p w:rsidR="00CF13EB" w:rsidRPr="00B3588A" w:rsidRDefault="00CF13EB" w:rsidP="006057BE">
      <w:pPr>
        <w:pStyle w:val="BodyText"/>
        <w:suppressLineNumbers/>
        <w:spacing w:line="240" w:lineRule="auto"/>
      </w:pPr>
    </w:p>
    <w:p w:rsidR="00CF13EB" w:rsidRPr="00B3588A" w:rsidRDefault="007B6DB6" w:rsidP="006057BE">
      <w:pPr>
        <w:pStyle w:val="BodyText"/>
        <w:spacing w:line="240" w:lineRule="auto"/>
      </w:pPr>
      <w:r>
        <w:rPr>
          <w:noProof/>
        </w:rPr>
        <w:drawing>
          <wp:inline distT="0" distB="0" distL="0" distR="0" wp14:anchorId="72296435" wp14:editId="38F63E6A">
            <wp:extent cx="5231130" cy="2505710"/>
            <wp:effectExtent l="0" t="0" r="7620" b="8890"/>
            <wp:docPr id="20" name="Picture 20" descr="The figure presents data for the percentage of drivers who died in vehicle crashes who tested positive for cannabinoids over the years 2006 through 2016. Cannabinoids in the body were detected by a blood test administered post-mortem. Of these years, 2016 had the highest percentage of positive results, while 2007 had the lowest percentage. There was a notable increase in the percentage starting in 2010. " title="Number of Deceased Drivers Given Bloo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1130" cy="2505710"/>
                    </a:xfrm>
                    <a:prstGeom prst="rect">
                      <a:avLst/>
                    </a:prstGeom>
                    <a:noFill/>
                  </pic:spPr>
                </pic:pic>
              </a:graphicData>
            </a:graphic>
          </wp:inline>
        </w:drawing>
      </w:r>
    </w:p>
    <w:p w:rsidR="00CF13EB" w:rsidRDefault="00CF13EB" w:rsidP="00F950A2">
      <w:pPr>
        <w:pStyle w:val="BodyText"/>
      </w:pPr>
    </w:p>
    <w:p w:rsidR="00CF13EB" w:rsidRPr="005D614A" w:rsidRDefault="00CF13EB" w:rsidP="005D614A">
      <w:pPr>
        <w:spacing w:after="0"/>
        <w:rPr>
          <w:rFonts w:ascii="Arial" w:hAnsi="Arial" w:cs="Arial"/>
          <w:b/>
          <w:sz w:val="24"/>
        </w:rPr>
      </w:pPr>
      <w:bookmarkStart w:id="467" w:name="_Toc11766012"/>
      <w:bookmarkStart w:id="468" w:name="_Toc11766667"/>
      <w:bookmarkStart w:id="469" w:name="_Toc11917247"/>
      <w:bookmarkStart w:id="470" w:name="_Toc11921685"/>
      <w:r w:rsidRPr="005D614A">
        <w:rPr>
          <w:rFonts w:ascii="Arial" w:hAnsi="Arial" w:cs="Arial"/>
          <w:b/>
          <w:sz w:val="24"/>
        </w:rPr>
        <w:t xml:space="preserve">Figure </w:t>
      </w:r>
      <w:bookmarkEnd w:id="466"/>
      <w:r w:rsidRPr="005D614A">
        <w:rPr>
          <w:rFonts w:ascii="Arial" w:hAnsi="Arial" w:cs="Arial"/>
          <w:b/>
          <w:sz w:val="24"/>
        </w:rPr>
        <w:t>6. Percentage of deceased drivers given a blood test for drugs who tested positive for any cannabinoid</w:t>
      </w:r>
      <w:bookmarkEnd w:id="467"/>
      <w:bookmarkEnd w:id="468"/>
      <w:bookmarkEnd w:id="469"/>
      <w:bookmarkEnd w:id="470"/>
      <w:r w:rsidRPr="005D614A">
        <w:rPr>
          <w:rFonts w:ascii="Arial" w:hAnsi="Arial" w:cs="Arial"/>
          <w:b/>
          <w:sz w:val="24"/>
        </w:rPr>
        <w:t xml:space="preserve"> </w:t>
      </w:r>
    </w:p>
    <w:p w:rsidR="00CF13EB" w:rsidRPr="00CF13EB" w:rsidRDefault="00CF13EB" w:rsidP="006057BE">
      <w:pPr>
        <w:pStyle w:val="BodyText"/>
        <w:spacing w:line="240" w:lineRule="auto"/>
      </w:pPr>
    </w:p>
    <w:p w:rsidR="00CF13EB" w:rsidRPr="00B74EFE" w:rsidRDefault="00CF13EB" w:rsidP="006057BE">
      <w:pPr>
        <w:pStyle w:val="BodyText"/>
        <w:spacing w:line="240" w:lineRule="auto"/>
        <w:rPr>
          <w:sz w:val="24"/>
        </w:rPr>
      </w:pPr>
      <w:r w:rsidRPr="00B74EFE">
        <w:rPr>
          <w:sz w:val="24"/>
        </w:rPr>
        <w:t xml:space="preserve">The data was further examined by driver sex, race, and age in order to identify potential differences in marijuana use in these demographic groups (Table 10). </w:t>
      </w:r>
    </w:p>
    <w:p w:rsidR="00CF13EB" w:rsidRPr="00B74EFE" w:rsidRDefault="00CF13EB" w:rsidP="006057BE">
      <w:pPr>
        <w:pStyle w:val="BodyText"/>
        <w:suppressLineNumbers/>
        <w:spacing w:line="240" w:lineRule="auto"/>
        <w:rPr>
          <w:sz w:val="24"/>
        </w:rPr>
      </w:pPr>
    </w:p>
    <w:p w:rsidR="00CF13EB" w:rsidRPr="005D614A" w:rsidRDefault="00CF13EB" w:rsidP="005D614A">
      <w:pPr>
        <w:spacing w:after="0"/>
        <w:rPr>
          <w:rFonts w:ascii="Arial" w:hAnsi="Arial" w:cs="Arial"/>
          <w:b/>
          <w:sz w:val="24"/>
        </w:rPr>
      </w:pPr>
      <w:bookmarkStart w:id="471" w:name="_Ref509651254"/>
      <w:bookmarkStart w:id="472" w:name="_Toc11766013"/>
      <w:bookmarkStart w:id="473" w:name="_Toc11766668"/>
      <w:bookmarkStart w:id="474" w:name="_Toc11917248"/>
      <w:bookmarkStart w:id="475" w:name="_Toc11921686"/>
      <w:r w:rsidRPr="005D614A">
        <w:rPr>
          <w:rFonts w:ascii="Arial" w:hAnsi="Arial" w:cs="Arial"/>
          <w:b/>
          <w:sz w:val="24"/>
        </w:rPr>
        <w:t xml:space="preserve">Table </w:t>
      </w:r>
      <w:bookmarkEnd w:id="471"/>
      <w:r w:rsidRPr="005D614A">
        <w:rPr>
          <w:rFonts w:ascii="Arial" w:hAnsi="Arial" w:cs="Arial"/>
          <w:b/>
          <w:sz w:val="24"/>
        </w:rPr>
        <w:t>10. Number of deceased drivers given a blood test for drugs who tested positive for any cannabinoid by sex, race, and age</w:t>
      </w:r>
      <w:bookmarkEnd w:id="472"/>
      <w:bookmarkEnd w:id="473"/>
      <w:bookmarkEnd w:id="474"/>
      <w:bookmarkEnd w:id="475"/>
    </w:p>
    <w:tbl>
      <w:tblPr>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of deceased drivers given a blood test for drugs who tested positive for any cannabinoid by sex, race, and age"/>
      </w:tblPr>
      <w:tblGrid>
        <w:gridCol w:w="2875"/>
        <w:gridCol w:w="743"/>
        <w:gridCol w:w="1177"/>
        <w:gridCol w:w="868"/>
        <w:gridCol w:w="1102"/>
        <w:gridCol w:w="1230"/>
      </w:tblGrid>
      <w:tr w:rsidR="00CF13EB" w:rsidRPr="00B3588A" w:rsidTr="00CF13EB">
        <w:trPr>
          <w:trHeight w:val="585"/>
        </w:trPr>
        <w:tc>
          <w:tcPr>
            <w:tcW w:w="2875" w:type="dxa"/>
            <w:vMerge w:val="restart"/>
            <w:vAlign w:val="center"/>
            <w:hideMark/>
          </w:tcPr>
          <w:p w:rsidR="00CF13EB" w:rsidRPr="00B3588A" w:rsidRDefault="00CF13EB" w:rsidP="006057BE">
            <w:pPr>
              <w:spacing w:after="0" w:line="240" w:lineRule="auto"/>
              <w:jc w:val="center"/>
              <w:rPr>
                <w:rFonts w:ascii="Arial" w:eastAsia="Times New Roman" w:hAnsi="Arial" w:cs="Arial"/>
                <w:b/>
                <w:bCs/>
                <w:color w:val="000000"/>
                <w:szCs w:val="24"/>
              </w:rPr>
            </w:pPr>
            <w:r w:rsidRPr="00B3588A">
              <w:rPr>
                <w:rFonts w:ascii="Arial" w:eastAsia="Times New Roman" w:hAnsi="Arial" w:cs="Arial"/>
                <w:b/>
                <w:bCs/>
                <w:color w:val="000000"/>
                <w:szCs w:val="24"/>
              </w:rPr>
              <w:t>Demographic Category</w:t>
            </w:r>
          </w:p>
        </w:tc>
        <w:tc>
          <w:tcPr>
            <w:tcW w:w="1920" w:type="dxa"/>
            <w:gridSpan w:val="2"/>
            <w:noWrap/>
            <w:vAlign w:val="center"/>
            <w:hideMark/>
          </w:tcPr>
          <w:p w:rsidR="00CF13EB" w:rsidRPr="00B3588A" w:rsidRDefault="00CF13EB" w:rsidP="006057BE">
            <w:pPr>
              <w:spacing w:after="0" w:line="240" w:lineRule="auto"/>
              <w:jc w:val="center"/>
              <w:rPr>
                <w:rFonts w:ascii="Arial" w:eastAsia="Times New Roman" w:hAnsi="Arial" w:cs="Arial"/>
                <w:b/>
                <w:bCs/>
                <w:color w:val="000000"/>
                <w:szCs w:val="24"/>
              </w:rPr>
            </w:pPr>
            <w:r w:rsidRPr="00B3588A">
              <w:rPr>
                <w:rFonts w:ascii="Arial" w:eastAsia="Times New Roman" w:hAnsi="Arial" w:cs="Arial"/>
                <w:b/>
                <w:bCs/>
                <w:color w:val="000000"/>
                <w:szCs w:val="24"/>
              </w:rPr>
              <w:t>Any Cannabinoid</w:t>
            </w:r>
          </w:p>
        </w:tc>
        <w:tc>
          <w:tcPr>
            <w:tcW w:w="1970" w:type="dxa"/>
            <w:gridSpan w:val="2"/>
            <w:vAlign w:val="center"/>
            <w:hideMark/>
          </w:tcPr>
          <w:p w:rsidR="00CF13EB" w:rsidRPr="00B3588A" w:rsidRDefault="00CF13EB" w:rsidP="006057BE">
            <w:pPr>
              <w:spacing w:after="0" w:line="240" w:lineRule="auto"/>
              <w:jc w:val="center"/>
              <w:rPr>
                <w:rFonts w:ascii="Arial" w:eastAsia="Times New Roman" w:hAnsi="Arial" w:cs="Arial"/>
                <w:b/>
                <w:bCs/>
                <w:color w:val="000000"/>
                <w:szCs w:val="24"/>
              </w:rPr>
            </w:pPr>
            <w:r w:rsidRPr="00B3588A">
              <w:rPr>
                <w:rFonts w:ascii="Arial" w:eastAsia="Times New Roman" w:hAnsi="Arial" w:cs="Arial"/>
                <w:b/>
                <w:bCs/>
                <w:color w:val="000000"/>
                <w:szCs w:val="24"/>
              </w:rPr>
              <w:t>No Cannabinoids</w:t>
            </w:r>
          </w:p>
        </w:tc>
        <w:tc>
          <w:tcPr>
            <w:tcW w:w="1230" w:type="dxa"/>
            <w:vMerge w:val="restart"/>
            <w:vAlign w:val="center"/>
            <w:hideMark/>
          </w:tcPr>
          <w:p w:rsidR="00CF13EB" w:rsidRPr="00B3588A" w:rsidRDefault="00CF13EB" w:rsidP="006057BE">
            <w:pPr>
              <w:spacing w:after="0" w:line="240" w:lineRule="auto"/>
              <w:jc w:val="center"/>
              <w:rPr>
                <w:rFonts w:ascii="Arial" w:eastAsia="Times New Roman" w:hAnsi="Arial" w:cs="Arial"/>
                <w:b/>
                <w:bCs/>
                <w:color w:val="000000"/>
                <w:szCs w:val="24"/>
              </w:rPr>
            </w:pPr>
            <w:r w:rsidRPr="00B3588A">
              <w:rPr>
                <w:rFonts w:ascii="Arial" w:eastAsia="Times New Roman" w:hAnsi="Arial" w:cs="Arial"/>
                <w:b/>
                <w:bCs/>
                <w:color w:val="000000"/>
                <w:szCs w:val="24"/>
              </w:rPr>
              <w:t>Total</w:t>
            </w:r>
          </w:p>
        </w:tc>
      </w:tr>
      <w:tr w:rsidR="00CF13EB" w:rsidRPr="00B3588A" w:rsidTr="00CF13EB">
        <w:trPr>
          <w:trHeight w:val="315"/>
        </w:trPr>
        <w:tc>
          <w:tcPr>
            <w:tcW w:w="2875" w:type="dxa"/>
            <w:vMerge/>
            <w:vAlign w:val="center"/>
            <w:hideMark/>
          </w:tcPr>
          <w:p w:rsidR="00CF13EB" w:rsidRPr="00B3588A" w:rsidRDefault="00CF13EB" w:rsidP="006057BE">
            <w:pPr>
              <w:spacing w:after="0" w:line="240" w:lineRule="auto"/>
              <w:rPr>
                <w:rFonts w:ascii="Arial" w:eastAsia="Times New Roman" w:hAnsi="Arial" w:cs="Arial"/>
                <w:b/>
                <w:bCs/>
                <w:color w:val="000000"/>
                <w:szCs w:val="24"/>
              </w:rPr>
            </w:pPr>
          </w:p>
        </w:tc>
        <w:tc>
          <w:tcPr>
            <w:tcW w:w="743" w:type="dxa"/>
            <w:noWrap/>
            <w:vAlign w:val="center"/>
            <w:hideMark/>
          </w:tcPr>
          <w:p w:rsidR="00CF13EB" w:rsidRPr="00B3588A" w:rsidRDefault="00CF13EB" w:rsidP="006057BE">
            <w:pPr>
              <w:spacing w:after="0" w:line="240" w:lineRule="auto"/>
              <w:jc w:val="center"/>
              <w:rPr>
                <w:rFonts w:ascii="Arial" w:eastAsia="Times New Roman" w:hAnsi="Arial" w:cs="Arial"/>
                <w:b/>
                <w:bCs/>
                <w:color w:val="000000"/>
                <w:szCs w:val="24"/>
              </w:rPr>
            </w:pPr>
            <w:r w:rsidRPr="00B3588A">
              <w:rPr>
                <w:rFonts w:ascii="Arial" w:eastAsia="Times New Roman" w:hAnsi="Arial" w:cs="Arial"/>
                <w:b/>
                <w:bCs/>
                <w:color w:val="000000"/>
                <w:szCs w:val="24"/>
              </w:rPr>
              <w:t>n</w:t>
            </w:r>
          </w:p>
        </w:tc>
        <w:tc>
          <w:tcPr>
            <w:tcW w:w="1177" w:type="dxa"/>
            <w:noWrap/>
            <w:vAlign w:val="center"/>
            <w:hideMark/>
          </w:tcPr>
          <w:p w:rsidR="00CF13EB" w:rsidRPr="00B3588A" w:rsidRDefault="00CF13EB" w:rsidP="006057BE">
            <w:pPr>
              <w:spacing w:after="0" w:line="240" w:lineRule="auto"/>
              <w:jc w:val="center"/>
              <w:rPr>
                <w:rFonts w:ascii="Arial" w:eastAsia="Times New Roman" w:hAnsi="Arial" w:cs="Arial"/>
                <w:b/>
                <w:bCs/>
                <w:color w:val="000000"/>
                <w:szCs w:val="24"/>
              </w:rPr>
            </w:pPr>
            <w:r w:rsidRPr="00B3588A">
              <w:rPr>
                <w:rFonts w:ascii="Arial" w:eastAsia="Times New Roman" w:hAnsi="Arial" w:cs="Arial"/>
                <w:b/>
                <w:bCs/>
                <w:color w:val="000000"/>
                <w:szCs w:val="24"/>
              </w:rPr>
              <w:t>%</w:t>
            </w:r>
          </w:p>
        </w:tc>
        <w:tc>
          <w:tcPr>
            <w:tcW w:w="868" w:type="dxa"/>
            <w:noWrap/>
            <w:vAlign w:val="center"/>
            <w:hideMark/>
          </w:tcPr>
          <w:p w:rsidR="00CF13EB" w:rsidRPr="00B3588A" w:rsidRDefault="00CF13EB" w:rsidP="006057BE">
            <w:pPr>
              <w:spacing w:after="0" w:line="240" w:lineRule="auto"/>
              <w:jc w:val="center"/>
              <w:rPr>
                <w:rFonts w:ascii="Arial" w:eastAsia="Times New Roman" w:hAnsi="Arial" w:cs="Arial"/>
                <w:b/>
                <w:bCs/>
                <w:color w:val="000000"/>
                <w:szCs w:val="24"/>
              </w:rPr>
            </w:pPr>
            <w:r w:rsidRPr="00B3588A">
              <w:rPr>
                <w:rFonts w:ascii="Arial" w:eastAsia="Times New Roman" w:hAnsi="Arial" w:cs="Arial"/>
                <w:b/>
                <w:bCs/>
                <w:color w:val="000000"/>
                <w:szCs w:val="24"/>
              </w:rPr>
              <w:t>n</w:t>
            </w:r>
          </w:p>
        </w:tc>
        <w:tc>
          <w:tcPr>
            <w:tcW w:w="1102" w:type="dxa"/>
            <w:noWrap/>
            <w:vAlign w:val="center"/>
            <w:hideMark/>
          </w:tcPr>
          <w:p w:rsidR="00CF13EB" w:rsidRPr="00B3588A" w:rsidRDefault="00CF13EB" w:rsidP="006057BE">
            <w:pPr>
              <w:spacing w:after="0" w:line="240" w:lineRule="auto"/>
              <w:jc w:val="center"/>
              <w:rPr>
                <w:rFonts w:ascii="Arial" w:eastAsia="Times New Roman" w:hAnsi="Arial" w:cs="Arial"/>
                <w:b/>
                <w:bCs/>
                <w:color w:val="000000"/>
                <w:szCs w:val="24"/>
              </w:rPr>
            </w:pPr>
            <w:r w:rsidRPr="00B3588A">
              <w:rPr>
                <w:rFonts w:ascii="Arial" w:eastAsia="Times New Roman" w:hAnsi="Arial" w:cs="Arial"/>
                <w:b/>
                <w:bCs/>
                <w:color w:val="000000"/>
                <w:szCs w:val="24"/>
              </w:rPr>
              <w:t>%</w:t>
            </w:r>
          </w:p>
        </w:tc>
        <w:tc>
          <w:tcPr>
            <w:tcW w:w="0" w:type="auto"/>
            <w:vMerge/>
            <w:vAlign w:val="center"/>
            <w:hideMark/>
          </w:tcPr>
          <w:p w:rsidR="00CF13EB" w:rsidRPr="00B3588A" w:rsidRDefault="00CF13EB" w:rsidP="006057BE">
            <w:pPr>
              <w:spacing w:after="0" w:line="240" w:lineRule="auto"/>
              <w:rPr>
                <w:rFonts w:ascii="Arial" w:eastAsia="Times New Roman" w:hAnsi="Arial" w:cs="Arial"/>
                <w:b/>
                <w:bCs/>
                <w:color w:val="000000"/>
                <w:szCs w:val="24"/>
              </w:rPr>
            </w:pPr>
          </w:p>
        </w:tc>
      </w:tr>
      <w:tr w:rsidR="00CF13EB" w:rsidRPr="00B3588A" w:rsidTr="00CF13EB">
        <w:trPr>
          <w:trHeight w:val="300"/>
        </w:trPr>
        <w:tc>
          <w:tcPr>
            <w:tcW w:w="2875" w:type="dxa"/>
            <w:noWrap/>
            <w:vAlign w:val="center"/>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Male</w:t>
            </w:r>
          </w:p>
        </w:tc>
        <w:tc>
          <w:tcPr>
            <w:tcW w:w="743"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297</w:t>
            </w:r>
          </w:p>
        </w:tc>
        <w:tc>
          <w:tcPr>
            <w:tcW w:w="1177"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20.3%</w:t>
            </w:r>
          </w:p>
        </w:tc>
        <w:tc>
          <w:tcPr>
            <w:tcW w:w="868"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1167</w:t>
            </w:r>
          </w:p>
        </w:tc>
        <w:tc>
          <w:tcPr>
            <w:tcW w:w="1102"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79.7%</w:t>
            </w:r>
          </w:p>
        </w:tc>
        <w:tc>
          <w:tcPr>
            <w:tcW w:w="1230" w:type="dxa"/>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1464</w:t>
            </w:r>
          </w:p>
        </w:tc>
      </w:tr>
      <w:tr w:rsidR="00CF13EB" w:rsidRPr="00B3588A" w:rsidTr="00CF13EB">
        <w:trPr>
          <w:trHeight w:val="315"/>
        </w:trPr>
        <w:tc>
          <w:tcPr>
            <w:tcW w:w="2875" w:type="dxa"/>
            <w:noWrap/>
            <w:vAlign w:val="center"/>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Female</w:t>
            </w:r>
          </w:p>
        </w:tc>
        <w:tc>
          <w:tcPr>
            <w:tcW w:w="743"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71</w:t>
            </w:r>
          </w:p>
        </w:tc>
        <w:tc>
          <w:tcPr>
            <w:tcW w:w="1177"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17.1%</w:t>
            </w:r>
          </w:p>
        </w:tc>
        <w:tc>
          <w:tcPr>
            <w:tcW w:w="868"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343</w:t>
            </w:r>
          </w:p>
        </w:tc>
        <w:tc>
          <w:tcPr>
            <w:tcW w:w="1102"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82.9%</w:t>
            </w:r>
          </w:p>
        </w:tc>
        <w:tc>
          <w:tcPr>
            <w:tcW w:w="1230" w:type="dxa"/>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414</w:t>
            </w:r>
          </w:p>
        </w:tc>
      </w:tr>
      <w:tr w:rsidR="00CF13EB" w:rsidRPr="00B3588A" w:rsidTr="00CF13EB">
        <w:trPr>
          <w:trHeight w:val="300"/>
        </w:trPr>
        <w:tc>
          <w:tcPr>
            <w:tcW w:w="2875" w:type="dxa"/>
            <w:noWrap/>
            <w:vAlign w:val="center"/>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White, non-Hispanic</w:t>
            </w:r>
          </w:p>
        </w:tc>
        <w:tc>
          <w:tcPr>
            <w:tcW w:w="743"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275</w:t>
            </w:r>
          </w:p>
        </w:tc>
        <w:tc>
          <w:tcPr>
            <w:tcW w:w="1177"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17.8%</w:t>
            </w:r>
          </w:p>
        </w:tc>
        <w:tc>
          <w:tcPr>
            <w:tcW w:w="868"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1272</w:t>
            </w:r>
          </w:p>
        </w:tc>
        <w:tc>
          <w:tcPr>
            <w:tcW w:w="1102"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82.2%</w:t>
            </w:r>
          </w:p>
        </w:tc>
        <w:tc>
          <w:tcPr>
            <w:tcW w:w="1230" w:type="dxa"/>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1547</w:t>
            </w:r>
          </w:p>
        </w:tc>
      </w:tr>
      <w:tr w:rsidR="00CF13EB" w:rsidRPr="00B3588A" w:rsidTr="00CF13EB">
        <w:trPr>
          <w:trHeight w:val="300"/>
        </w:trPr>
        <w:tc>
          <w:tcPr>
            <w:tcW w:w="2875" w:type="dxa"/>
            <w:noWrap/>
            <w:vAlign w:val="center"/>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Black, non-Hispanic</w:t>
            </w:r>
          </w:p>
        </w:tc>
        <w:tc>
          <w:tcPr>
            <w:tcW w:w="743" w:type="dxa"/>
            <w:noWrap/>
            <w:vAlign w:val="bottom"/>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42</w:t>
            </w:r>
          </w:p>
        </w:tc>
        <w:tc>
          <w:tcPr>
            <w:tcW w:w="1177" w:type="dxa"/>
            <w:noWrap/>
            <w:vAlign w:val="center"/>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34.4%</w:t>
            </w:r>
          </w:p>
        </w:tc>
        <w:tc>
          <w:tcPr>
            <w:tcW w:w="868" w:type="dxa"/>
            <w:noWrap/>
            <w:vAlign w:val="bottom"/>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80</w:t>
            </w:r>
          </w:p>
        </w:tc>
        <w:tc>
          <w:tcPr>
            <w:tcW w:w="1102" w:type="dxa"/>
            <w:noWrap/>
            <w:vAlign w:val="bottom"/>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65.6%</w:t>
            </w:r>
          </w:p>
        </w:tc>
        <w:tc>
          <w:tcPr>
            <w:tcW w:w="1230" w:type="dxa"/>
            <w:vAlign w:val="bottom"/>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122</w:t>
            </w:r>
          </w:p>
        </w:tc>
      </w:tr>
      <w:tr w:rsidR="00CF13EB" w:rsidRPr="00B3588A" w:rsidTr="00CF13EB">
        <w:trPr>
          <w:trHeight w:val="300"/>
        </w:trPr>
        <w:tc>
          <w:tcPr>
            <w:tcW w:w="2875" w:type="dxa"/>
            <w:noWrap/>
            <w:vAlign w:val="center"/>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Asian, non-Hispanic</w:t>
            </w:r>
          </w:p>
        </w:tc>
        <w:tc>
          <w:tcPr>
            <w:tcW w:w="743" w:type="dxa"/>
            <w:noWrap/>
            <w:vAlign w:val="bottom"/>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w:t>
            </w:r>
          </w:p>
        </w:tc>
        <w:tc>
          <w:tcPr>
            <w:tcW w:w="1177" w:type="dxa"/>
            <w:noWrap/>
            <w:vAlign w:val="center"/>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7.7%</w:t>
            </w:r>
          </w:p>
        </w:tc>
        <w:tc>
          <w:tcPr>
            <w:tcW w:w="868" w:type="dxa"/>
            <w:noWrap/>
            <w:vAlign w:val="bottom"/>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w:t>
            </w:r>
          </w:p>
        </w:tc>
        <w:tc>
          <w:tcPr>
            <w:tcW w:w="1102" w:type="dxa"/>
            <w:noWrap/>
            <w:vAlign w:val="bottom"/>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92.3%</w:t>
            </w:r>
          </w:p>
        </w:tc>
        <w:tc>
          <w:tcPr>
            <w:tcW w:w="1230" w:type="dxa"/>
            <w:vAlign w:val="bottom"/>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13</w:t>
            </w:r>
          </w:p>
        </w:tc>
      </w:tr>
      <w:tr w:rsidR="00CF13EB" w:rsidRPr="00B3588A" w:rsidTr="00CF13EB">
        <w:trPr>
          <w:trHeight w:val="300"/>
        </w:trPr>
        <w:tc>
          <w:tcPr>
            <w:tcW w:w="2875" w:type="dxa"/>
            <w:noWrap/>
            <w:vAlign w:val="center"/>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Other, non-Hispanic</w:t>
            </w:r>
          </w:p>
        </w:tc>
        <w:tc>
          <w:tcPr>
            <w:tcW w:w="743"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12</w:t>
            </w:r>
          </w:p>
        </w:tc>
        <w:tc>
          <w:tcPr>
            <w:tcW w:w="1177"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18.8%</w:t>
            </w:r>
          </w:p>
        </w:tc>
        <w:tc>
          <w:tcPr>
            <w:tcW w:w="868"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52</w:t>
            </w:r>
          </w:p>
        </w:tc>
        <w:tc>
          <w:tcPr>
            <w:tcW w:w="1102"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81.3%</w:t>
            </w:r>
          </w:p>
        </w:tc>
        <w:tc>
          <w:tcPr>
            <w:tcW w:w="1230" w:type="dxa"/>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64</w:t>
            </w:r>
          </w:p>
        </w:tc>
      </w:tr>
      <w:tr w:rsidR="00CF13EB" w:rsidRPr="00B3588A" w:rsidTr="00CF13EB">
        <w:trPr>
          <w:trHeight w:val="315"/>
        </w:trPr>
        <w:tc>
          <w:tcPr>
            <w:tcW w:w="2875" w:type="dxa"/>
            <w:noWrap/>
            <w:vAlign w:val="center"/>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Any Hispanic/Latino</w:t>
            </w:r>
          </w:p>
        </w:tc>
        <w:tc>
          <w:tcPr>
            <w:tcW w:w="743" w:type="dxa"/>
            <w:noWrap/>
            <w:vAlign w:val="bottom"/>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38</w:t>
            </w:r>
          </w:p>
        </w:tc>
        <w:tc>
          <w:tcPr>
            <w:tcW w:w="1177" w:type="dxa"/>
            <w:noWrap/>
            <w:vAlign w:val="center"/>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28.8%</w:t>
            </w:r>
          </w:p>
        </w:tc>
        <w:tc>
          <w:tcPr>
            <w:tcW w:w="868" w:type="dxa"/>
            <w:noWrap/>
            <w:vAlign w:val="bottom"/>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94</w:t>
            </w:r>
          </w:p>
        </w:tc>
        <w:tc>
          <w:tcPr>
            <w:tcW w:w="1102" w:type="dxa"/>
            <w:noWrap/>
            <w:vAlign w:val="bottom"/>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eastAsia="Times New Roman" w:hAnsi="Arial" w:cs="Arial"/>
                <w:color w:val="000000"/>
                <w:szCs w:val="24"/>
              </w:rPr>
              <w:t>71.2%</w:t>
            </w:r>
          </w:p>
        </w:tc>
        <w:tc>
          <w:tcPr>
            <w:tcW w:w="1230" w:type="dxa"/>
            <w:vAlign w:val="bottom"/>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132</w:t>
            </w:r>
          </w:p>
        </w:tc>
      </w:tr>
      <w:tr w:rsidR="00CF13EB" w:rsidRPr="00B3588A" w:rsidTr="00CF13EB">
        <w:trPr>
          <w:trHeight w:val="300"/>
        </w:trPr>
        <w:tc>
          <w:tcPr>
            <w:tcW w:w="2875" w:type="dxa"/>
            <w:noWrap/>
            <w:vAlign w:val="center"/>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&lt;18 years</w:t>
            </w:r>
          </w:p>
        </w:tc>
        <w:tc>
          <w:tcPr>
            <w:tcW w:w="743"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12</w:t>
            </w:r>
          </w:p>
        </w:tc>
        <w:tc>
          <w:tcPr>
            <w:tcW w:w="1177"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26.1%</w:t>
            </w:r>
          </w:p>
        </w:tc>
        <w:tc>
          <w:tcPr>
            <w:tcW w:w="868"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34</w:t>
            </w:r>
          </w:p>
        </w:tc>
        <w:tc>
          <w:tcPr>
            <w:tcW w:w="1102"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73.9%</w:t>
            </w:r>
          </w:p>
        </w:tc>
        <w:tc>
          <w:tcPr>
            <w:tcW w:w="1230" w:type="dxa"/>
            <w:vAlign w:val="bottom"/>
            <w:hideMark/>
          </w:tcPr>
          <w:p w:rsidR="00CF13EB" w:rsidRPr="00B3588A" w:rsidRDefault="00CF13EB" w:rsidP="00D173C3">
            <w:pPr>
              <w:spacing w:after="0" w:line="240" w:lineRule="auto"/>
              <w:jc w:val="center"/>
              <w:rPr>
                <w:rFonts w:ascii="Arial" w:hAnsi="Arial" w:cs="Arial"/>
                <w:color w:val="000000"/>
                <w:szCs w:val="24"/>
              </w:rPr>
            </w:pPr>
            <w:r w:rsidRPr="00B3588A">
              <w:rPr>
                <w:rFonts w:ascii="Arial" w:hAnsi="Arial" w:cs="Arial"/>
                <w:color w:val="000000"/>
                <w:szCs w:val="24"/>
              </w:rPr>
              <w:t>46</w:t>
            </w:r>
          </w:p>
        </w:tc>
      </w:tr>
      <w:tr w:rsidR="00CF13EB" w:rsidRPr="00B3588A" w:rsidTr="00CF13EB">
        <w:trPr>
          <w:trHeight w:val="300"/>
        </w:trPr>
        <w:tc>
          <w:tcPr>
            <w:tcW w:w="2875" w:type="dxa"/>
            <w:noWrap/>
            <w:vAlign w:val="center"/>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18-20 years</w:t>
            </w:r>
          </w:p>
        </w:tc>
        <w:tc>
          <w:tcPr>
            <w:tcW w:w="743"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47</w:t>
            </w:r>
          </w:p>
        </w:tc>
        <w:tc>
          <w:tcPr>
            <w:tcW w:w="1177"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32.9%</w:t>
            </w:r>
          </w:p>
        </w:tc>
        <w:tc>
          <w:tcPr>
            <w:tcW w:w="868"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96</w:t>
            </w:r>
          </w:p>
        </w:tc>
        <w:tc>
          <w:tcPr>
            <w:tcW w:w="1102"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67.1%</w:t>
            </w:r>
          </w:p>
        </w:tc>
        <w:tc>
          <w:tcPr>
            <w:tcW w:w="1230" w:type="dxa"/>
            <w:vAlign w:val="bottom"/>
            <w:hideMark/>
          </w:tcPr>
          <w:p w:rsidR="00CF13EB" w:rsidRPr="00B3588A" w:rsidRDefault="00CF13EB" w:rsidP="00D173C3">
            <w:pPr>
              <w:spacing w:after="0" w:line="240" w:lineRule="auto"/>
              <w:jc w:val="center"/>
              <w:rPr>
                <w:rFonts w:ascii="Arial" w:hAnsi="Arial" w:cs="Arial"/>
                <w:color w:val="000000"/>
                <w:szCs w:val="24"/>
              </w:rPr>
            </w:pPr>
            <w:r w:rsidRPr="00B3588A">
              <w:rPr>
                <w:rFonts w:ascii="Arial" w:hAnsi="Arial" w:cs="Arial"/>
                <w:color w:val="000000"/>
                <w:szCs w:val="24"/>
              </w:rPr>
              <w:t>143</w:t>
            </w:r>
          </w:p>
        </w:tc>
      </w:tr>
      <w:tr w:rsidR="00CF13EB" w:rsidRPr="00B3588A" w:rsidTr="00CF13EB">
        <w:trPr>
          <w:trHeight w:val="300"/>
        </w:trPr>
        <w:tc>
          <w:tcPr>
            <w:tcW w:w="2875" w:type="dxa"/>
            <w:noWrap/>
            <w:vAlign w:val="center"/>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21-25 years</w:t>
            </w:r>
          </w:p>
        </w:tc>
        <w:tc>
          <w:tcPr>
            <w:tcW w:w="743"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115</w:t>
            </w:r>
          </w:p>
        </w:tc>
        <w:tc>
          <w:tcPr>
            <w:tcW w:w="1177"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33.0%</w:t>
            </w:r>
          </w:p>
        </w:tc>
        <w:tc>
          <w:tcPr>
            <w:tcW w:w="868"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233</w:t>
            </w:r>
          </w:p>
        </w:tc>
        <w:tc>
          <w:tcPr>
            <w:tcW w:w="1102"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67.0%</w:t>
            </w:r>
          </w:p>
        </w:tc>
        <w:tc>
          <w:tcPr>
            <w:tcW w:w="1230" w:type="dxa"/>
            <w:vAlign w:val="bottom"/>
            <w:hideMark/>
          </w:tcPr>
          <w:p w:rsidR="00CF13EB" w:rsidRPr="00B3588A" w:rsidRDefault="00CF13EB" w:rsidP="00D173C3">
            <w:pPr>
              <w:spacing w:after="0" w:line="240" w:lineRule="auto"/>
              <w:jc w:val="center"/>
              <w:rPr>
                <w:rFonts w:ascii="Arial" w:hAnsi="Arial" w:cs="Arial"/>
                <w:color w:val="000000"/>
                <w:szCs w:val="24"/>
              </w:rPr>
            </w:pPr>
            <w:r w:rsidRPr="00B3588A">
              <w:rPr>
                <w:rFonts w:ascii="Arial" w:hAnsi="Arial" w:cs="Arial"/>
                <w:color w:val="000000"/>
                <w:szCs w:val="24"/>
              </w:rPr>
              <w:t>348</w:t>
            </w:r>
          </w:p>
        </w:tc>
      </w:tr>
      <w:tr w:rsidR="00CF13EB" w:rsidRPr="00B3588A" w:rsidTr="00CF13EB">
        <w:trPr>
          <w:trHeight w:val="300"/>
        </w:trPr>
        <w:tc>
          <w:tcPr>
            <w:tcW w:w="2875" w:type="dxa"/>
            <w:noWrap/>
            <w:vAlign w:val="center"/>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26-34 years</w:t>
            </w:r>
          </w:p>
        </w:tc>
        <w:tc>
          <w:tcPr>
            <w:tcW w:w="743"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87</w:t>
            </w:r>
          </w:p>
        </w:tc>
        <w:tc>
          <w:tcPr>
            <w:tcW w:w="1177"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27.4%</w:t>
            </w:r>
          </w:p>
        </w:tc>
        <w:tc>
          <w:tcPr>
            <w:tcW w:w="868"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231</w:t>
            </w:r>
          </w:p>
        </w:tc>
        <w:tc>
          <w:tcPr>
            <w:tcW w:w="1102"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72.6%</w:t>
            </w:r>
          </w:p>
        </w:tc>
        <w:tc>
          <w:tcPr>
            <w:tcW w:w="1230" w:type="dxa"/>
            <w:vAlign w:val="bottom"/>
            <w:hideMark/>
          </w:tcPr>
          <w:p w:rsidR="00CF13EB" w:rsidRPr="00B3588A" w:rsidRDefault="00CF13EB" w:rsidP="00D173C3">
            <w:pPr>
              <w:spacing w:after="0" w:line="240" w:lineRule="auto"/>
              <w:jc w:val="center"/>
              <w:rPr>
                <w:rFonts w:ascii="Arial" w:hAnsi="Arial" w:cs="Arial"/>
                <w:color w:val="000000"/>
                <w:szCs w:val="24"/>
              </w:rPr>
            </w:pPr>
            <w:r w:rsidRPr="00B3588A">
              <w:rPr>
                <w:rFonts w:ascii="Arial" w:hAnsi="Arial" w:cs="Arial"/>
                <w:color w:val="000000"/>
                <w:szCs w:val="24"/>
              </w:rPr>
              <w:t>318</w:t>
            </w:r>
          </w:p>
        </w:tc>
      </w:tr>
      <w:tr w:rsidR="00CF13EB" w:rsidRPr="00B3588A" w:rsidTr="00CF13EB">
        <w:trPr>
          <w:trHeight w:val="300"/>
        </w:trPr>
        <w:tc>
          <w:tcPr>
            <w:tcW w:w="2875" w:type="dxa"/>
            <w:noWrap/>
            <w:vAlign w:val="center"/>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35-64 years</w:t>
            </w:r>
          </w:p>
        </w:tc>
        <w:tc>
          <w:tcPr>
            <w:tcW w:w="743"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99</w:t>
            </w:r>
          </w:p>
        </w:tc>
        <w:tc>
          <w:tcPr>
            <w:tcW w:w="1177"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13.3%</w:t>
            </w:r>
          </w:p>
        </w:tc>
        <w:tc>
          <w:tcPr>
            <w:tcW w:w="868"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644</w:t>
            </w:r>
          </w:p>
        </w:tc>
        <w:tc>
          <w:tcPr>
            <w:tcW w:w="1102"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86.7%</w:t>
            </w:r>
          </w:p>
        </w:tc>
        <w:tc>
          <w:tcPr>
            <w:tcW w:w="1230" w:type="dxa"/>
            <w:vAlign w:val="bottom"/>
            <w:hideMark/>
          </w:tcPr>
          <w:p w:rsidR="00CF13EB" w:rsidRPr="00B3588A" w:rsidRDefault="00CF13EB" w:rsidP="00D173C3">
            <w:pPr>
              <w:spacing w:after="0" w:line="240" w:lineRule="auto"/>
              <w:jc w:val="center"/>
              <w:rPr>
                <w:rFonts w:ascii="Arial" w:hAnsi="Arial" w:cs="Arial"/>
                <w:color w:val="000000"/>
                <w:szCs w:val="24"/>
              </w:rPr>
            </w:pPr>
            <w:r w:rsidRPr="00B3588A">
              <w:rPr>
                <w:rFonts w:ascii="Arial" w:hAnsi="Arial" w:cs="Arial"/>
                <w:color w:val="000000"/>
                <w:szCs w:val="24"/>
              </w:rPr>
              <w:t>743</w:t>
            </w:r>
          </w:p>
        </w:tc>
      </w:tr>
      <w:tr w:rsidR="00CF13EB" w:rsidRPr="00B3588A" w:rsidTr="00CF13EB">
        <w:trPr>
          <w:trHeight w:val="300"/>
        </w:trPr>
        <w:tc>
          <w:tcPr>
            <w:tcW w:w="2875" w:type="dxa"/>
            <w:noWrap/>
            <w:vAlign w:val="center"/>
            <w:hideMark/>
          </w:tcPr>
          <w:p w:rsidR="00CF13EB" w:rsidRPr="00B3588A" w:rsidRDefault="00CF13EB" w:rsidP="006057BE">
            <w:pPr>
              <w:spacing w:after="0" w:line="240" w:lineRule="auto"/>
              <w:rPr>
                <w:rFonts w:ascii="Arial" w:eastAsia="Times New Roman" w:hAnsi="Arial" w:cs="Arial"/>
                <w:color w:val="000000"/>
                <w:szCs w:val="24"/>
              </w:rPr>
            </w:pPr>
            <w:r w:rsidRPr="00B3588A">
              <w:rPr>
                <w:rFonts w:ascii="Arial" w:eastAsia="Times New Roman" w:hAnsi="Arial" w:cs="Arial"/>
                <w:color w:val="000000"/>
                <w:szCs w:val="24"/>
              </w:rPr>
              <w:t>65+ years</w:t>
            </w:r>
          </w:p>
        </w:tc>
        <w:tc>
          <w:tcPr>
            <w:tcW w:w="743"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8</w:t>
            </w:r>
          </w:p>
        </w:tc>
        <w:tc>
          <w:tcPr>
            <w:tcW w:w="1177" w:type="dxa"/>
            <w:noWrap/>
            <w:vAlign w:val="center"/>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2.9%</w:t>
            </w:r>
          </w:p>
        </w:tc>
        <w:tc>
          <w:tcPr>
            <w:tcW w:w="868"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272</w:t>
            </w:r>
          </w:p>
        </w:tc>
        <w:tc>
          <w:tcPr>
            <w:tcW w:w="1102" w:type="dxa"/>
            <w:noWrap/>
            <w:vAlign w:val="bottom"/>
            <w:hideMark/>
          </w:tcPr>
          <w:p w:rsidR="00CF13EB" w:rsidRPr="00B3588A" w:rsidRDefault="00CF13EB" w:rsidP="00D173C3">
            <w:pPr>
              <w:spacing w:after="0" w:line="240" w:lineRule="auto"/>
              <w:jc w:val="center"/>
              <w:rPr>
                <w:rFonts w:ascii="Arial" w:eastAsia="Times New Roman" w:hAnsi="Arial" w:cs="Arial"/>
                <w:color w:val="000000"/>
                <w:szCs w:val="24"/>
              </w:rPr>
            </w:pPr>
            <w:r w:rsidRPr="00B3588A">
              <w:rPr>
                <w:rFonts w:ascii="Arial" w:hAnsi="Arial" w:cs="Arial"/>
                <w:color w:val="000000"/>
                <w:szCs w:val="24"/>
              </w:rPr>
              <w:t>97.1%</w:t>
            </w:r>
          </w:p>
        </w:tc>
        <w:tc>
          <w:tcPr>
            <w:tcW w:w="1230" w:type="dxa"/>
            <w:vAlign w:val="bottom"/>
            <w:hideMark/>
          </w:tcPr>
          <w:p w:rsidR="00CF13EB" w:rsidRPr="00B3588A" w:rsidRDefault="00CF13EB" w:rsidP="00D173C3">
            <w:pPr>
              <w:spacing w:after="0" w:line="240" w:lineRule="auto"/>
              <w:jc w:val="center"/>
              <w:rPr>
                <w:rFonts w:ascii="Arial" w:hAnsi="Arial" w:cs="Arial"/>
                <w:color w:val="000000"/>
                <w:szCs w:val="24"/>
              </w:rPr>
            </w:pPr>
            <w:r w:rsidRPr="00B3588A">
              <w:rPr>
                <w:rFonts w:ascii="Arial" w:hAnsi="Arial" w:cs="Arial"/>
                <w:color w:val="000000"/>
                <w:szCs w:val="24"/>
              </w:rPr>
              <w:t>280</w:t>
            </w:r>
          </w:p>
        </w:tc>
      </w:tr>
    </w:tbl>
    <w:p w:rsidR="00CF13EB" w:rsidRDefault="00CF13EB" w:rsidP="006057BE">
      <w:pPr>
        <w:keepNext/>
        <w:spacing w:after="0" w:line="240" w:lineRule="auto"/>
        <w:rPr>
          <w:rFonts w:ascii="Arial" w:hAnsi="Arial" w:cs="Arial"/>
          <w:szCs w:val="24"/>
        </w:rPr>
      </w:pPr>
      <w:r w:rsidRPr="00B3588A">
        <w:rPr>
          <w:rFonts w:ascii="Arial" w:hAnsi="Arial" w:cs="Arial"/>
          <w:szCs w:val="24"/>
        </w:rPr>
        <w:t>Note: Rows percentages are reported. Any cannabinoid + no cannabinoid will sum to 100% within demographic groups.</w:t>
      </w:r>
    </w:p>
    <w:p w:rsidR="00CF13EB" w:rsidRPr="00B3588A" w:rsidRDefault="00CF13EB" w:rsidP="006057BE">
      <w:pPr>
        <w:keepNext/>
        <w:spacing w:after="0" w:line="240" w:lineRule="auto"/>
        <w:rPr>
          <w:rFonts w:ascii="Arial" w:hAnsi="Arial" w:cs="Arial"/>
          <w:szCs w:val="24"/>
        </w:rPr>
      </w:pPr>
    </w:p>
    <w:p w:rsidR="00CF13EB" w:rsidRPr="00B74EFE" w:rsidRDefault="00CF13EB" w:rsidP="006057BE">
      <w:pPr>
        <w:pStyle w:val="BodyText"/>
        <w:spacing w:line="240" w:lineRule="auto"/>
        <w:rPr>
          <w:sz w:val="24"/>
        </w:rPr>
      </w:pPr>
      <w:r w:rsidRPr="00B74EFE">
        <w:rPr>
          <w:sz w:val="24"/>
        </w:rPr>
        <w:t>When examining cannabinoid presence, there was no statistically significant difference between male and female drivers</w:t>
      </w:r>
      <w:bookmarkStart w:id="476" w:name="_Ref510346039"/>
      <w:r w:rsidRPr="00B74EFE">
        <w:rPr>
          <w:sz w:val="24"/>
        </w:rPr>
        <w:t xml:space="preserve"> (Figure 7).</w:t>
      </w:r>
    </w:p>
    <w:p w:rsidR="00CF13EB" w:rsidRDefault="00CF13EB" w:rsidP="006057BE">
      <w:pPr>
        <w:pStyle w:val="Caption"/>
        <w:spacing w:after="0"/>
        <w:jc w:val="center"/>
        <w:rPr>
          <w:noProof/>
        </w:rPr>
      </w:pPr>
    </w:p>
    <w:p w:rsidR="007B6DB6" w:rsidRPr="007B6DB6" w:rsidRDefault="007B6DB6" w:rsidP="007B6DB6">
      <w:r>
        <w:rPr>
          <w:noProof/>
        </w:rPr>
        <w:drawing>
          <wp:inline distT="0" distB="0" distL="0" distR="0" wp14:anchorId="6831EC82" wp14:editId="5E4B1D5A">
            <wp:extent cx="4572635" cy="2761615"/>
            <wp:effectExtent l="0" t="0" r="0" b="635"/>
            <wp:docPr id="21" name="Picture 21" descr="The figure presents the comparison between male and female drivers who died in a vehicle crash and who tested positive for any cannabinoid post-mortem.  Males tested positive at a higher percentage than females, though the difference was not significant. " title="Percentage of Deceased Drivers Given Blood Test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635" cy="2761615"/>
                    </a:xfrm>
                    <a:prstGeom prst="rect">
                      <a:avLst/>
                    </a:prstGeom>
                    <a:noFill/>
                  </pic:spPr>
                </pic:pic>
              </a:graphicData>
            </a:graphic>
          </wp:inline>
        </w:drawing>
      </w:r>
    </w:p>
    <w:p w:rsidR="00CF13EB" w:rsidRPr="005D614A" w:rsidRDefault="00CF13EB" w:rsidP="005D614A">
      <w:pPr>
        <w:spacing w:after="0"/>
        <w:rPr>
          <w:rFonts w:ascii="Arial" w:hAnsi="Arial" w:cs="Arial"/>
          <w:b/>
          <w:sz w:val="24"/>
        </w:rPr>
      </w:pPr>
      <w:bookmarkStart w:id="477" w:name="_Toc11766014"/>
      <w:bookmarkStart w:id="478" w:name="_Toc11766669"/>
      <w:bookmarkStart w:id="479" w:name="_Toc11917249"/>
      <w:bookmarkStart w:id="480" w:name="_Toc11921687"/>
      <w:r w:rsidRPr="005D614A">
        <w:rPr>
          <w:rFonts w:ascii="Arial" w:hAnsi="Arial" w:cs="Arial"/>
          <w:b/>
          <w:sz w:val="24"/>
        </w:rPr>
        <w:t xml:space="preserve">Figure </w:t>
      </w:r>
      <w:bookmarkEnd w:id="476"/>
      <w:r w:rsidRPr="005D614A">
        <w:rPr>
          <w:rFonts w:ascii="Arial" w:hAnsi="Arial" w:cs="Arial"/>
          <w:b/>
          <w:sz w:val="24"/>
        </w:rPr>
        <w:t>7. Percentage of deceased drivers given a blood test for drugs who tested positive for any cannabinoid, by driver sex</w:t>
      </w:r>
      <w:bookmarkEnd w:id="477"/>
      <w:bookmarkEnd w:id="478"/>
      <w:bookmarkEnd w:id="479"/>
      <w:bookmarkEnd w:id="480"/>
    </w:p>
    <w:p w:rsidR="00CF13EB" w:rsidRPr="00CF13EB" w:rsidRDefault="00CF13EB" w:rsidP="006057BE">
      <w:pPr>
        <w:pStyle w:val="BodyText"/>
        <w:spacing w:line="240" w:lineRule="auto"/>
      </w:pPr>
    </w:p>
    <w:p w:rsidR="00CF13EB" w:rsidRPr="00B74EFE" w:rsidRDefault="00CF13EB" w:rsidP="006057BE">
      <w:pPr>
        <w:pStyle w:val="BodyText"/>
        <w:spacing w:line="240" w:lineRule="auto"/>
        <w:rPr>
          <w:sz w:val="24"/>
        </w:rPr>
      </w:pPr>
      <w:r w:rsidRPr="00B74EFE">
        <w:rPr>
          <w:sz w:val="24"/>
        </w:rPr>
        <w:t>When examining</w:t>
      </w:r>
      <w:r w:rsidR="000C2BF1" w:rsidRPr="00B74EFE">
        <w:rPr>
          <w:sz w:val="24"/>
        </w:rPr>
        <w:t xml:space="preserve"> race/ethnicity of dec</w:t>
      </w:r>
      <w:r w:rsidRPr="00B74EFE">
        <w:rPr>
          <w:sz w:val="24"/>
        </w:rPr>
        <w:t>eased drivers given a blood test for drugs, the proportion of individuals of any Hispanic/Latino ethnicity and Black, non-Hispanic race/ethnicity who tested positive for cannabinoids was higher than for White, non-Hispanic drivers (Figure 8). There were very small samples of deceased Asian, non-Hispanic and Other, non-Hispanic drivers.</w:t>
      </w:r>
    </w:p>
    <w:p w:rsidR="00CF13EB" w:rsidRPr="00B3588A" w:rsidRDefault="00CF13EB" w:rsidP="006057BE">
      <w:pPr>
        <w:pStyle w:val="BodyText"/>
        <w:suppressLineNumbers/>
        <w:spacing w:line="240" w:lineRule="auto"/>
      </w:pPr>
    </w:p>
    <w:p w:rsidR="00CF13EB" w:rsidRPr="00B3588A" w:rsidRDefault="00CF13EB" w:rsidP="006057BE">
      <w:pPr>
        <w:pStyle w:val="BodyText"/>
        <w:suppressLineNumbers/>
        <w:spacing w:line="240" w:lineRule="auto"/>
      </w:pPr>
    </w:p>
    <w:p w:rsidR="00CF13EB" w:rsidRPr="00B3588A" w:rsidRDefault="00CF13EB" w:rsidP="006057BE">
      <w:pPr>
        <w:pStyle w:val="Caption"/>
        <w:spacing w:after="0"/>
        <w:rPr>
          <w:b/>
        </w:rPr>
      </w:pPr>
      <w:bookmarkStart w:id="481" w:name="_Ref510346482"/>
    </w:p>
    <w:p w:rsidR="00CF13EB" w:rsidRDefault="007B6DB6" w:rsidP="00F950A2">
      <w:pPr>
        <w:pStyle w:val="BodyText"/>
      </w:pPr>
      <w:r>
        <w:rPr>
          <w:noProof/>
        </w:rPr>
        <w:drawing>
          <wp:inline distT="0" distB="0" distL="0" distR="0" wp14:anchorId="02B1F5A4" wp14:editId="0029564B">
            <wp:extent cx="5944235" cy="2341245"/>
            <wp:effectExtent l="0" t="0" r="0" b="1905"/>
            <wp:docPr id="22" name="Picture 22" descr="The figure presents a comparison among different race/ethnicity for deceased drivers whose blood tested positive for cannabinoids. Non-Hispanic Blacks had the highest percentage, while non-Hispanic Asians had the lowest percentage. " title="Percentage of Deceased Drivers Who Tested Positive by Race/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4235" cy="2341245"/>
                    </a:xfrm>
                    <a:prstGeom prst="rect">
                      <a:avLst/>
                    </a:prstGeom>
                    <a:noFill/>
                  </pic:spPr>
                </pic:pic>
              </a:graphicData>
            </a:graphic>
          </wp:inline>
        </w:drawing>
      </w:r>
    </w:p>
    <w:p w:rsidR="00CF13EB" w:rsidRDefault="00CF13EB" w:rsidP="00F950A2">
      <w:pPr>
        <w:pStyle w:val="BodyText"/>
      </w:pPr>
    </w:p>
    <w:p w:rsidR="00CF13EB" w:rsidRPr="005D614A" w:rsidRDefault="00CF13EB" w:rsidP="005D614A">
      <w:pPr>
        <w:spacing w:after="0"/>
        <w:rPr>
          <w:rFonts w:ascii="Arial" w:hAnsi="Arial" w:cs="Arial"/>
          <w:b/>
          <w:sz w:val="24"/>
        </w:rPr>
      </w:pPr>
      <w:bookmarkStart w:id="482" w:name="_Toc11766015"/>
      <w:bookmarkStart w:id="483" w:name="_Toc11766670"/>
      <w:bookmarkStart w:id="484" w:name="_Toc11917250"/>
      <w:bookmarkStart w:id="485" w:name="_Toc11921688"/>
      <w:r w:rsidRPr="005D614A">
        <w:rPr>
          <w:rFonts w:ascii="Arial" w:hAnsi="Arial" w:cs="Arial"/>
          <w:b/>
          <w:sz w:val="24"/>
        </w:rPr>
        <w:t xml:space="preserve">Figure </w:t>
      </w:r>
      <w:bookmarkEnd w:id="481"/>
      <w:r w:rsidRPr="005D614A">
        <w:rPr>
          <w:rFonts w:ascii="Arial" w:hAnsi="Arial" w:cs="Arial"/>
          <w:b/>
          <w:sz w:val="24"/>
        </w:rPr>
        <w:t>8. Percentage of all deceased drivers given a blood test for drugs who tested positive for any cannabinoid, by driver race/ethnicity</w:t>
      </w:r>
      <w:bookmarkEnd w:id="482"/>
      <w:bookmarkEnd w:id="483"/>
      <w:bookmarkEnd w:id="484"/>
      <w:bookmarkEnd w:id="485"/>
    </w:p>
    <w:p w:rsidR="00CF13EB" w:rsidRPr="00B74EFE" w:rsidRDefault="00CF13EB" w:rsidP="006057BE">
      <w:pPr>
        <w:pStyle w:val="BodyText"/>
        <w:spacing w:line="240" w:lineRule="auto"/>
        <w:rPr>
          <w:sz w:val="24"/>
        </w:rPr>
      </w:pPr>
    </w:p>
    <w:p w:rsidR="00CF13EB" w:rsidRDefault="00CF13EB" w:rsidP="006057BE">
      <w:pPr>
        <w:spacing w:after="0" w:line="240" w:lineRule="auto"/>
        <w:rPr>
          <w:rFonts w:ascii="Arial" w:hAnsi="Arial" w:cs="Arial"/>
          <w:sz w:val="24"/>
          <w:szCs w:val="24"/>
        </w:rPr>
      </w:pPr>
      <w:r w:rsidRPr="00B74EFE">
        <w:rPr>
          <w:rFonts w:ascii="Arial" w:hAnsi="Arial" w:cs="Arial"/>
          <w:sz w:val="24"/>
          <w:szCs w:val="24"/>
        </w:rPr>
        <w:t>Figure note: NH=non-Hispanic</w:t>
      </w:r>
    </w:p>
    <w:p w:rsidR="00D173C3" w:rsidRPr="00B74EFE" w:rsidRDefault="00D173C3" w:rsidP="006057BE">
      <w:pPr>
        <w:spacing w:after="0" w:line="240" w:lineRule="auto"/>
        <w:rPr>
          <w:rFonts w:ascii="Arial" w:hAnsi="Arial" w:cs="Arial"/>
          <w:sz w:val="24"/>
          <w:szCs w:val="24"/>
        </w:rPr>
      </w:pPr>
    </w:p>
    <w:p w:rsidR="00CF13EB" w:rsidRPr="00B74EFE" w:rsidRDefault="00CF13EB" w:rsidP="006057BE">
      <w:pPr>
        <w:pStyle w:val="BodyText"/>
        <w:spacing w:line="240" w:lineRule="auto"/>
        <w:rPr>
          <w:sz w:val="24"/>
        </w:rPr>
      </w:pPr>
      <w:r w:rsidRPr="00B74EFE">
        <w:rPr>
          <w:sz w:val="24"/>
        </w:rPr>
        <w:t>The presence of any cannabinoid in deceased drivers given a blood test for drugs was most common in young drivers and decreased precipitously from the 26-34 age group to the 35-64 age group, as shown in Figure 9</w:t>
      </w:r>
      <w:bookmarkStart w:id="486" w:name="_Ref510348160"/>
      <w:r w:rsidRPr="00B74EFE">
        <w:rPr>
          <w:sz w:val="24"/>
        </w:rPr>
        <w:t xml:space="preserve">. </w:t>
      </w:r>
    </w:p>
    <w:p w:rsidR="00CF13EB" w:rsidRPr="00B3588A" w:rsidRDefault="00CF13EB" w:rsidP="006057BE">
      <w:pPr>
        <w:pStyle w:val="BodyText"/>
        <w:suppressLineNumbers/>
        <w:spacing w:line="240" w:lineRule="auto"/>
      </w:pPr>
    </w:p>
    <w:p w:rsidR="00CF13EB" w:rsidRPr="00B3588A" w:rsidRDefault="00CF13EB" w:rsidP="006057BE">
      <w:pPr>
        <w:pStyle w:val="BodyText"/>
        <w:suppressLineNumbers/>
        <w:spacing w:line="240" w:lineRule="auto"/>
      </w:pPr>
    </w:p>
    <w:p w:rsidR="00CF13EB" w:rsidRPr="00B3588A" w:rsidRDefault="007B6DB6" w:rsidP="006057BE">
      <w:pPr>
        <w:pStyle w:val="BodyText"/>
        <w:suppressLineNumbers/>
        <w:spacing w:line="240" w:lineRule="auto"/>
      </w:pPr>
      <w:r>
        <w:rPr>
          <w:noProof/>
        </w:rPr>
        <w:drawing>
          <wp:inline distT="0" distB="0" distL="0" distR="0" wp14:anchorId="4CE03A30" wp14:editId="51252417">
            <wp:extent cx="5487035" cy="2859405"/>
            <wp:effectExtent l="0" t="0" r="0" b="0"/>
            <wp:docPr id="23" name="Picture 23" descr="The figure presents a comparison among different age groups of deceased drivers whose blood tested positive for cannabinoids. The 21 to 25 year olf age group had the highest percentage, while ages 65 and older had the lowest percentage. " title="Percentage of Deceased Drivers Who Tested Positive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7035" cy="2859405"/>
                    </a:xfrm>
                    <a:prstGeom prst="rect">
                      <a:avLst/>
                    </a:prstGeom>
                    <a:noFill/>
                  </pic:spPr>
                </pic:pic>
              </a:graphicData>
            </a:graphic>
          </wp:inline>
        </w:drawing>
      </w:r>
    </w:p>
    <w:p w:rsidR="00CF13EB" w:rsidRPr="00B3588A" w:rsidRDefault="00CF13EB" w:rsidP="006057BE">
      <w:pPr>
        <w:pStyle w:val="BodyText"/>
        <w:spacing w:line="240" w:lineRule="auto"/>
      </w:pPr>
    </w:p>
    <w:p w:rsidR="00CF13EB" w:rsidRPr="005D614A" w:rsidRDefault="00CF13EB" w:rsidP="005D614A">
      <w:pPr>
        <w:spacing w:after="0"/>
        <w:rPr>
          <w:rFonts w:ascii="Arial" w:hAnsi="Arial" w:cs="Arial"/>
          <w:b/>
          <w:sz w:val="24"/>
        </w:rPr>
      </w:pPr>
      <w:bookmarkStart w:id="487" w:name="_Toc11766016"/>
      <w:bookmarkStart w:id="488" w:name="_Toc11766671"/>
      <w:bookmarkStart w:id="489" w:name="_Toc11917251"/>
      <w:bookmarkStart w:id="490" w:name="_Toc11921689"/>
      <w:r w:rsidRPr="005D614A">
        <w:rPr>
          <w:rFonts w:ascii="Arial" w:hAnsi="Arial" w:cs="Arial"/>
          <w:b/>
          <w:sz w:val="24"/>
        </w:rPr>
        <w:t xml:space="preserve">Figure </w:t>
      </w:r>
      <w:bookmarkEnd w:id="486"/>
      <w:r w:rsidRPr="005D614A">
        <w:rPr>
          <w:rFonts w:ascii="Arial" w:hAnsi="Arial" w:cs="Arial"/>
          <w:b/>
          <w:sz w:val="24"/>
        </w:rPr>
        <w:t>9. Percentage of deceased drivers given a blood for drugs who tested positive for any cannabinoid by driver age</w:t>
      </w:r>
      <w:bookmarkEnd w:id="487"/>
      <w:bookmarkEnd w:id="488"/>
      <w:bookmarkEnd w:id="489"/>
      <w:bookmarkEnd w:id="490"/>
    </w:p>
    <w:p w:rsidR="00CF13EB" w:rsidRPr="00CF13EB" w:rsidRDefault="00CF13EB" w:rsidP="006057BE">
      <w:pPr>
        <w:pStyle w:val="BodyText"/>
        <w:spacing w:line="240" w:lineRule="auto"/>
      </w:pPr>
    </w:p>
    <w:p w:rsidR="00CF13EB" w:rsidRDefault="00CF13EB" w:rsidP="006057BE">
      <w:pPr>
        <w:spacing w:after="0" w:line="240" w:lineRule="auto"/>
        <w:rPr>
          <w:rFonts w:ascii="Arial" w:hAnsi="Arial" w:cs="Arial"/>
          <w:i/>
          <w:sz w:val="24"/>
        </w:rPr>
      </w:pPr>
      <w:r w:rsidRPr="00B74EFE">
        <w:rPr>
          <w:rFonts w:ascii="Arial" w:hAnsi="Arial" w:cs="Arial"/>
          <w:i/>
          <w:sz w:val="24"/>
        </w:rPr>
        <w:t>Alcohol and Drug Use</w:t>
      </w:r>
    </w:p>
    <w:p w:rsidR="00B74EFE" w:rsidRPr="00B74EFE" w:rsidRDefault="00B74EFE" w:rsidP="006057BE">
      <w:pPr>
        <w:spacing w:after="0" w:line="240" w:lineRule="auto"/>
        <w:rPr>
          <w:rFonts w:ascii="Arial" w:hAnsi="Arial" w:cs="Arial"/>
          <w:i/>
          <w:sz w:val="24"/>
        </w:rPr>
      </w:pPr>
    </w:p>
    <w:p w:rsidR="00CF13EB" w:rsidRDefault="00CF13EB" w:rsidP="006057BE">
      <w:pPr>
        <w:pStyle w:val="BodyText"/>
        <w:spacing w:line="240" w:lineRule="auto"/>
        <w:rPr>
          <w:sz w:val="24"/>
        </w:rPr>
      </w:pPr>
      <w:r w:rsidRPr="00B74EFE">
        <w:rPr>
          <w:sz w:val="24"/>
        </w:rPr>
        <w:t xml:space="preserve">Reducing the prevalence of drunk driving has long been a focal point for the public health community as a way to reduce motor vehicle crash injuries and deaths. As such, the presence of alcohol in fatal crashes was examined, both by itself and in conjunction with the presence of cannabinoids (Table 11). For all demographic categories, with the exception of Black, non-Hispanics there were more blood-tested, deceased drivers with a blood alcohol content greater than or equal to 0.08% than with cannabinoids in their system. </w:t>
      </w:r>
    </w:p>
    <w:p w:rsidR="00B74EFE" w:rsidRPr="00B74EFE" w:rsidRDefault="00B74EFE" w:rsidP="006057BE">
      <w:pPr>
        <w:pStyle w:val="BodyText"/>
        <w:spacing w:line="240" w:lineRule="auto"/>
        <w:rPr>
          <w:sz w:val="24"/>
        </w:rPr>
      </w:pPr>
    </w:p>
    <w:p w:rsidR="00CF13EB" w:rsidRPr="00B74EFE" w:rsidRDefault="00CF13EB" w:rsidP="006057BE">
      <w:pPr>
        <w:pStyle w:val="BodyText"/>
        <w:spacing w:line="240" w:lineRule="auto"/>
        <w:rPr>
          <w:sz w:val="24"/>
        </w:rPr>
      </w:pPr>
      <w:r w:rsidRPr="00B74EFE">
        <w:rPr>
          <w:sz w:val="24"/>
        </w:rPr>
        <w:t>Cannabinoid results were examined in conjunction with alcohol use. Table 11 displays the number of deceased drivers given a blood test for drugs and alcohol who tested positive for any cannabinoid only, had a BAC ≥ 0.08% only, had both a positive  cannabinoid result and a BAC ≥ 0.08%  or tested negative for cannabinoids and had a BAC less than 0.08%.</w:t>
      </w:r>
    </w:p>
    <w:p w:rsidR="00CF13EB" w:rsidRPr="00B3588A" w:rsidRDefault="00CF13EB" w:rsidP="006057BE">
      <w:pPr>
        <w:pStyle w:val="BodyText"/>
        <w:suppressLineNumbers/>
        <w:spacing w:line="240" w:lineRule="auto"/>
        <w:rPr>
          <w:rFonts w:asciiTheme="minorHAnsi" w:hAnsiTheme="minorHAnsi"/>
        </w:rPr>
      </w:pPr>
      <w:bookmarkStart w:id="491" w:name="_Ref510349587"/>
      <w:r w:rsidRPr="00B3588A">
        <w:rPr>
          <w:rFonts w:cs="Times New Roman"/>
          <w:b/>
        </w:rPr>
        <w:br w:type="page"/>
      </w:r>
    </w:p>
    <w:p w:rsidR="00CF13EB" w:rsidRPr="005D614A" w:rsidRDefault="00CF13EB" w:rsidP="005D614A">
      <w:pPr>
        <w:spacing w:after="0"/>
        <w:rPr>
          <w:rFonts w:ascii="Arial" w:hAnsi="Arial" w:cs="Arial"/>
          <w:b/>
          <w:sz w:val="24"/>
        </w:rPr>
      </w:pPr>
      <w:bookmarkStart w:id="492" w:name="_Toc11766017"/>
      <w:bookmarkStart w:id="493" w:name="_Toc11766672"/>
      <w:bookmarkStart w:id="494" w:name="_Toc11917252"/>
      <w:bookmarkStart w:id="495" w:name="_Toc11921690"/>
      <w:bookmarkEnd w:id="491"/>
      <w:r w:rsidRPr="005D614A">
        <w:rPr>
          <w:rFonts w:ascii="Arial" w:hAnsi="Arial" w:cs="Arial"/>
          <w:b/>
          <w:sz w:val="24"/>
        </w:rPr>
        <w:t>Table 11. Number of deceased drivers given a blood test for alcohol and drugs who tested positive for any cannabinoid and/or had a blood alcohol content (BAC) ≥ 0.08% by sex, race/ethnicity, and age.</w:t>
      </w:r>
      <w:bookmarkEnd w:id="492"/>
      <w:bookmarkEnd w:id="493"/>
      <w:bookmarkEnd w:id="494"/>
      <w:bookmarkEnd w:id="495"/>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Number of deceased drivers given a blood test for alcohol and drugs who tested positive for any cannabinoid and/or had a blood alcohol content (BAC) ≥ 0.08% by sex, race/ethnicity, and age."/>
      </w:tblPr>
      <w:tblGrid>
        <w:gridCol w:w="2065"/>
        <w:gridCol w:w="1013"/>
        <w:gridCol w:w="967"/>
        <w:gridCol w:w="864"/>
        <w:gridCol w:w="846"/>
        <w:gridCol w:w="792"/>
        <w:gridCol w:w="918"/>
        <w:gridCol w:w="706"/>
        <w:gridCol w:w="1004"/>
        <w:gridCol w:w="923"/>
      </w:tblGrid>
      <w:tr w:rsidR="00CF13EB" w:rsidRPr="009E441D" w:rsidTr="00CF13EB">
        <w:trPr>
          <w:trHeight w:val="575"/>
        </w:trPr>
        <w:tc>
          <w:tcPr>
            <w:tcW w:w="2065" w:type="dxa"/>
            <w:vMerge w:val="restart"/>
            <w:vAlign w:val="center"/>
            <w:hideMark/>
          </w:tcPr>
          <w:p w:rsidR="00CF13EB" w:rsidRPr="009E441D" w:rsidRDefault="00CF13EB" w:rsidP="006057BE">
            <w:pPr>
              <w:spacing w:after="0" w:line="240" w:lineRule="auto"/>
              <w:jc w:val="center"/>
              <w:rPr>
                <w:rFonts w:ascii="Arial" w:eastAsia="Times New Roman" w:hAnsi="Arial" w:cs="Arial"/>
                <w:b/>
                <w:bCs/>
                <w:color w:val="000000"/>
                <w:szCs w:val="24"/>
              </w:rPr>
            </w:pPr>
            <w:r w:rsidRPr="009E441D">
              <w:rPr>
                <w:rFonts w:ascii="Arial" w:eastAsia="Times New Roman" w:hAnsi="Arial" w:cs="Arial"/>
                <w:b/>
                <w:bCs/>
                <w:color w:val="000000"/>
                <w:szCs w:val="24"/>
              </w:rPr>
              <w:t>Demographic Category</w:t>
            </w:r>
          </w:p>
        </w:tc>
        <w:tc>
          <w:tcPr>
            <w:tcW w:w="1980" w:type="dxa"/>
            <w:gridSpan w:val="2"/>
            <w:noWrap/>
            <w:vAlign w:val="center"/>
            <w:hideMark/>
          </w:tcPr>
          <w:p w:rsidR="00CF13EB" w:rsidRPr="009E441D" w:rsidRDefault="00CF13EB" w:rsidP="006057BE">
            <w:pPr>
              <w:spacing w:after="0" w:line="240" w:lineRule="auto"/>
              <w:jc w:val="center"/>
              <w:rPr>
                <w:rFonts w:ascii="Arial" w:eastAsia="Times New Roman" w:hAnsi="Arial" w:cs="Arial"/>
                <w:b/>
                <w:bCs/>
                <w:color w:val="000000"/>
                <w:szCs w:val="24"/>
              </w:rPr>
            </w:pPr>
            <w:r w:rsidRPr="009E441D">
              <w:rPr>
                <w:rFonts w:ascii="Arial" w:eastAsia="Calibri" w:hAnsi="Arial" w:cs="Arial"/>
                <w:b/>
                <w:bCs/>
                <w:color w:val="000000"/>
                <w:szCs w:val="24"/>
              </w:rPr>
              <w:t xml:space="preserve">Any Cannabinoid,  BAC ≤ 0.08% </w:t>
            </w:r>
          </w:p>
        </w:tc>
        <w:tc>
          <w:tcPr>
            <w:tcW w:w="1710" w:type="dxa"/>
            <w:gridSpan w:val="2"/>
            <w:noWrap/>
            <w:vAlign w:val="center"/>
            <w:hideMark/>
          </w:tcPr>
          <w:p w:rsidR="00CF13EB" w:rsidRPr="009E441D" w:rsidRDefault="00CF13EB" w:rsidP="006057BE">
            <w:pPr>
              <w:spacing w:after="0" w:line="240" w:lineRule="auto"/>
              <w:jc w:val="center"/>
              <w:rPr>
                <w:rFonts w:ascii="Arial" w:eastAsia="Times New Roman" w:hAnsi="Arial" w:cs="Arial"/>
                <w:b/>
                <w:bCs/>
                <w:color w:val="000000"/>
                <w:szCs w:val="24"/>
              </w:rPr>
            </w:pPr>
            <w:r w:rsidRPr="009E441D">
              <w:rPr>
                <w:rFonts w:ascii="Arial" w:eastAsia="Calibri" w:hAnsi="Arial" w:cs="Arial"/>
                <w:b/>
                <w:bCs/>
                <w:color w:val="000000"/>
                <w:szCs w:val="24"/>
              </w:rPr>
              <w:t xml:space="preserve">No Cannabinoid, BAC ≥ 0.08% </w:t>
            </w:r>
          </w:p>
        </w:tc>
        <w:tc>
          <w:tcPr>
            <w:tcW w:w="1710" w:type="dxa"/>
            <w:gridSpan w:val="2"/>
            <w:vAlign w:val="center"/>
            <w:hideMark/>
          </w:tcPr>
          <w:p w:rsidR="00CF13EB" w:rsidRPr="009E441D" w:rsidRDefault="00CF13EB" w:rsidP="006057BE">
            <w:pPr>
              <w:spacing w:after="0" w:line="240" w:lineRule="auto"/>
              <w:jc w:val="center"/>
              <w:rPr>
                <w:rFonts w:ascii="Arial" w:eastAsia="Times New Roman" w:hAnsi="Arial" w:cs="Arial"/>
                <w:b/>
                <w:bCs/>
                <w:color w:val="000000"/>
                <w:szCs w:val="24"/>
              </w:rPr>
            </w:pPr>
            <w:r w:rsidRPr="009E441D">
              <w:rPr>
                <w:rFonts w:ascii="Arial" w:eastAsia="Calibri" w:hAnsi="Arial" w:cs="Arial"/>
                <w:b/>
                <w:bCs/>
                <w:color w:val="000000"/>
                <w:szCs w:val="24"/>
              </w:rPr>
              <w:t>Any Cannabinoid + BAC≥ 0.08%</w:t>
            </w:r>
          </w:p>
        </w:tc>
        <w:tc>
          <w:tcPr>
            <w:tcW w:w="1710" w:type="dxa"/>
            <w:gridSpan w:val="2"/>
            <w:vAlign w:val="center"/>
            <w:hideMark/>
          </w:tcPr>
          <w:p w:rsidR="00CF13EB" w:rsidRPr="009E441D" w:rsidRDefault="00CF13EB" w:rsidP="006057BE">
            <w:pPr>
              <w:spacing w:after="0" w:line="240" w:lineRule="auto"/>
              <w:jc w:val="center"/>
              <w:rPr>
                <w:rFonts w:ascii="Arial" w:eastAsia="Times New Roman" w:hAnsi="Arial" w:cs="Arial"/>
                <w:b/>
                <w:bCs/>
                <w:color w:val="000000"/>
                <w:szCs w:val="24"/>
              </w:rPr>
            </w:pPr>
            <w:r w:rsidRPr="009E441D">
              <w:rPr>
                <w:rFonts w:ascii="Arial" w:eastAsia="Calibri" w:hAnsi="Arial" w:cs="Arial"/>
                <w:b/>
                <w:bCs/>
                <w:color w:val="000000"/>
                <w:szCs w:val="24"/>
              </w:rPr>
              <w:t>No Cannabinoid, BAC ≤ 0.08%</w:t>
            </w:r>
          </w:p>
        </w:tc>
        <w:tc>
          <w:tcPr>
            <w:tcW w:w="923" w:type="dxa"/>
            <w:vAlign w:val="center"/>
            <w:hideMark/>
          </w:tcPr>
          <w:p w:rsidR="00CF13EB" w:rsidRPr="009E441D" w:rsidRDefault="00CF13EB" w:rsidP="006057BE">
            <w:pPr>
              <w:spacing w:after="0" w:line="240" w:lineRule="auto"/>
              <w:jc w:val="center"/>
              <w:rPr>
                <w:rFonts w:ascii="Arial" w:eastAsia="Times New Roman" w:hAnsi="Arial" w:cs="Arial"/>
                <w:b/>
                <w:bCs/>
                <w:color w:val="000000"/>
                <w:szCs w:val="24"/>
              </w:rPr>
            </w:pPr>
            <w:r w:rsidRPr="009E441D">
              <w:rPr>
                <w:rFonts w:ascii="Arial" w:eastAsia="Times New Roman" w:hAnsi="Arial" w:cs="Arial"/>
                <w:b/>
                <w:bCs/>
                <w:color w:val="000000"/>
                <w:szCs w:val="24"/>
              </w:rPr>
              <w:t>Total</w:t>
            </w:r>
          </w:p>
        </w:tc>
      </w:tr>
      <w:tr w:rsidR="00CF13EB" w:rsidRPr="009E441D" w:rsidTr="00D173C3">
        <w:trPr>
          <w:trHeight w:val="310"/>
        </w:trPr>
        <w:tc>
          <w:tcPr>
            <w:tcW w:w="2065" w:type="dxa"/>
            <w:vMerge/>
            <w:vAlign w:val="center"/>
            <w:hideMark/>
          </w:tcPr>
          <w:p w:rsidR="00CF13EB" w:rsidRPr="009E441D" w:rsidRDefault="00CF13EB" w:rsidP="006057BE">
            <w:pPr>
              <w:spacing w:after="0" w:line="240" w:lineRule="auto"/>
              <w:rPr>
                <w:rFonts w:ascii="Arial" w:eastAsia="Times New Roman" w:hAnsi="Arial" w:cs="Arial"/>
                <w:b/>
                <w:bCs/>
                <w:color w:val="000000"/>
                <w:szCs w:val="24"/>
              </w:rPr>
            </w:pPr>
          </w:p>
        </w:tc>
        <w:tc>
          <w:tcPr>
            <w:tcW w:w="1013" w:type="dxa"/>
            <w:noWrap/>
            <w:vAlign w:val="center"/>
            <w:hideMark/>
          </w:tcPr>
          <w:p w:rsidR="00CF13EB" w:rsidRPr="009E441D" w:rsidRDefault="00CF13EB" w:rsidP="00D173C3">
            <w:pPr>
              <w:spacing w:after="0" w:line="240" w:lineRule="auto"/>
              <w:jc w:val="center"/>
              <w:rPr>
                <w:rFonts w:ascii="Arial" w:eastAsia="Times New Roman" w:hAnsi="Arial" w:cs="Arial"/>
                <w:b/>
                <w:bCs/>
                <w:color w:val="000000"/>
                <w:szCs w:val="24"/>
              </w:rPr>
            </w:pPr>
            <w:r w:rsidRPr="009E441D">
              <w:rPr>
                <w:rFonts w:ascii="Arial" w:eastAsia="Times New Roman" w:hAnsi="Arial" w:cs="Arial"/>
                <w:b/>
                <w:bCs/>
                <w:color w:val="000000"/>
                <w:szCs w:val="24"/>
              </w:rPr>
              <w:t>n</w:t>
            </w:r>
          </w:p>
        </w:tc>
        <w:tc>
          <w:tcPr>
            <w:tcW w:w="967" w:type="dxa"/>
            <w:noWrap/>
            <w:vAlign w:val="center"/>
            <w:hideMark/>
          </w:tcPr>
          <w:p w:rsidR="00CF13EB" w:rsidRPr="009E441D" w:rsidRDefault="00CF13EB" w:rsidP="00D173C3">
            <w:pPr>
              <w:spacing w:after="0" w:line="240" w:lineRule="auto"/>
              <w:jc w:val="center"/>
              <w:rPr>
                <w:rFonts w:ascii="Arial" w:eastAsia="Times New Roman" w:hAnsi="Arial" w:cs="Arial"/>
                <w:b/>
                <w:bCs/>
                <w:color w:val="000000"/>
                <w:szCs w:val="24"/>
              </w:rPr>
            </w:pPr>
            <w:r w:rsidRPr="009E441D">
              <w:rPr>
                <w:rFonts w:ascii="Arial" w:eastAsia="Times New Roman" w:hAnsi="Arial" w:cs="Arial"/>
                <w:b/>
                <w:bCs/>
                <w:color w:val="000000"/>
                <w:szCs w:val="24"/>
              </w:rPr>
              <w:t>%</w:t>
            </w:r>
          </w:p>
        </w:tc>
        <w:tc>
          <w:tcPr>
            <w:tcW w:w="864" w:type="dxa"/>
            <w:noWrap/>
            <w:vAlign w:val="center"/>
            <w:hideMark/>
          </w:tcPr>
          <w:p w:rsidR="00CF13EB" w:rsidRPr="009E441D" w:rsidRDefault="00CF13EB" w:rsidP="00D173C3">
            <w:pPr>
              <w:spacing w:after="0" w:line="240" w:lineRule="auto"/>
              <w:jc w:val="center"/>
              <w:rPr>
                <w:rFonts w:ascii="Arial" w:eastAsia="Times New Roman" w:hAnsi="Arial" w:cs="Arial"/>
                <w:b/>
                <w:bCs/>
                <w:color w:val="000000"/>
                <w:szCs w:val="24"/>
              </w:rPr>
            </w:pPr>
            <w:r w:rsidRPr="009E441D">
              <w:rPr>
                <w:rFonts w:ascii="Arial" w:eastAsia="Times New Roman" w:hAnsi="Arial" w:cs="Arial"/>
                <w:b/>
                <w:bCs/>
                <w:color w:val="000000"/>
                <w:szCs w:val="24"/>
              </w:rPr>
              <w:t>n</w:t>
            </w:r>
          </w:p>
        </w:tc>
        <w:tc>
          <w:tcPr>
            <w:tcW w:w="846" w:type="dxa"/>
            <w:noWrap/>
            <w:vAlign w:val="center"/>
            <w:hideMark/>
          </w:tcPr>
          <w:p w:rsidR="00CF13EB" w:rsidRPr="009E441D" w:rsidRDefault="00CF13EB" w:rsidP="00D173C3">
            <w:pPr>
              <w:spacing w:after="0" w:line="240" w:lineRule="auto"/>
              <w:jc w:val="center"/>
              <w:rPr>
                <w:rFonts w:ascii="Arial" w:eastAsia="Times New Roman" w:hAnsi="Arial" w:cs="Arial"/>
                <w:b/>
                <w:bCs/>
                <w:color w:val="000000"/>
                <w:szCs w:val="24"/>
              </w:rPr>
            </w:pPr>
            <w:r w:rsidRPr="009E441D">
              <w:rPr>
                <w:rFonts w:ascii="Arial" w:eastAsia="Times New Roman" w:hAnsi="Arial" w:cs="Arial"/>
                <w:b/>
                <w:bCs/>
                <w:color w:val="000000"/>
                <w:szCs w:val="24"/>
              </w:rPr>
              <w:t>%</w:t>
            </w:r>
          </w:p>
        </w:tc>
        <w:tc>
          <w:tcPr>
            <w:tcW w:w="792" w:type="dxa"/>
            <w:noWrap/>
            <w:vAlign w:val="center"/>
            <w:hideMark/>
          </w:tcPr>
          <w:p w:rsidR="00CF13EB" w:rsidRPr="009E441D" w:rsidRDefault="00CF13EB" w:rsidP="00D173C3">
            <w:pPr>
              <w:spacing w:after="0" w:line="240" w:lineRule="auto"/>
              <w:jc w:val="center"/>
              <w:rPr>
                <w:rFonts w:ascii="Arial" w:eastAsia="Times New Roman" w:hAnsi="Arial" w:cs="Arial"/>
                <w:b/>
                <w:bCs/>
                <w:color w:val="000000"/>
                <w:szCs w:val="24"/>
              </w:rPr>
            </w:pPr>
            <w:r w:rsidRPr="009E441D">
              <w:rPr>
                <w:rFonts w:ascii="Arial" w:eastAsia="Times New Roman" w:hAnsi="Arial" w:cs="Arial"/>
                <w:b/>
                <w:bCs/>
                <w:color w:val="000000"/>
                <w:szCs w:val="24"/>
              </w:rPr>
              <w:t>n</w:t>
            </w:r>
          </w:p>
        </w:tc>
        <w:tc>
          <w:tcPr>
            <w:tcW w:w="918" w:type="dxa"/>
            <w:noWrap/>
            <w:vAlign w:val="center"/>
            <w:hideMark/>
          </w:tcPr>
          <w:p w:rsidR="00CF13EB" w:rsidRPr="009E441D" w:rsidRDefault="00CF13EB" w:rsidP="00D173C3">
            <w:pPr>
              <w:spacing w:after="0" w:line="240" w:lineRule="auto"/>
              <w:jc w:val="center"/>
              <w:rPr>
                <w:rFonts w:ascii="Arial" w:eastAsia="Times New Roman" w:hAnsi="Arial" w:cs="Arial"/>
                <w:b/>
                <w:bCs/>
                <w:color w:val="000000"/>
                <w:szCs w:val="24"/>
              </w:rPr>
            </w:pPr>
            <w:r w:rsidRPr="009E441D">
              <w:rPr>
                <w:rFonts w:ascii="Arial" w:eastAsia="Times New Roman" w:hAnsi="Arial" w:cs="Arial"/>
                <w:b/>
                <w:bCs/>
                <w:color w:val="000000"/>
                <w:szCs w:val="24"/>
              </w:rPr>
              <w:t>%</w:t>
            </w:r>
          </w:p>
        </w:tc>
        <w:tc>
          <w:tcPr>
            <w:tcW w:w="706" w:type="dxa"/>
            <w:noWrap/>
            <w:vAlign w:val="center"/>
            <w:hideMark/>
          </w:tcPr>
          <w:p w:rsidR="00CF13EB" w:rsidRPr="009E441D" w:rsidRDefault="00CF13EB" w:rsidP="00D173C3">
            <w:pPr>
              <w:spacing w:after="0" w:line="240" w:lineRule="auto"/>
              <w:jc w:val="center"/>
              <w:rPr>
                <w:rFonts w:ascii="Arial" w:eastAsia="Times New Roman" w:hAnsi="Arial" w:cs="Arial"/>
                <w:b/>
                <w:bCs/>
                <w:color w:val="000000"/>
                <w:szCs w:val="24"/>
              </w:rPr>
            </w:pPr>
            <w:r w:rsidRPr="009E441D">
              <w:rPr>
                <w:rFonts w:ascii="Arial" w:eastAsia="Times New Roman" w:hAnsi="Arial" w:cs="Arial"/>
                <w:b/>
                <w:bCs/>
                <w:color w:val="000000"/>
                <w:szCs w:val="24"/>
              </w:rPr>
              <w:t>n</w:t>
            </w:r>
          </w:p>
        </w:tc>
        <w:tc>
          <w:tcPr>
            <w:tcW w:w="1004" w:type="dxa"/>
            <w:noWrap/>
            <w:vAlign w:val="center"/>
            <w:hideMark/>
          </w:tcPr>
          <w:p w:rsidR="00CF13EB" w:rsidRPr="009E441D" w:rsidRDefault="00CF13EB" w:rsidP="00D173C3">
            <w:pPr>
              <w:spacing w:after="0" w:line="240" w:lineRule="auto"/>
              <w:jc w:val="center"/>
              <w:rPr>
                <w:rFonts w:ascii="Arial" w:eastAsia="Times New Roman" w:hAnsi="Arial" w:cs="Arial"/>
                <w:b/>
                <w:bCs/>
                <w:color w:val="000000"/>
                <w:szCs w:val="24"/>
              </w:rPr>
            </w:pPr>
            <w:r w:rsidRPr="009E441D">
              <w:rPr>
                <w:rFonts w:ascii="Arial" w:eastAsia="Times New Roman" w:hAnsi="Arial" w:cs="Arial"/>
                <w:b/>
                <w:bCs/>
                <w:color w:val="000000"/>
                <w:szCs w:val="24"/>
              </w:rPr>
              <w:t>%</w:t>
            </w:r>
          </w:p>
        </w:tc>
        <w:tc>
          <w:tcPr>
            <w:tcW w:w="923" w:type="dxa"/>
            <w:vAlign w:val="center"/>
            <w:hideMark/>
          </w:tcPr>
          <w:p w:rsidR="00CF13EB" w:rsidRPr="009E441D" w:rsidRDefault="00CF13EB" w:rsidP="00D173C3">
            <w:pPr>
              <w:spacing w:after="0" w:line="240" w:lineRule="auto"/>
              <w:jc w:val="center"/>
              <w:rPr>
                <w:rFonts w:ascii="Arial" w:eastAsia="Times New Roman" w:hAnsi="Arial" w:cs="Arial"/>
                <w:b/>
                <w:bCs/>
                <w:color w:val="000000"/>
                <w:szCs w:val="24"/>
              </w:rPr>
            </w:pPr>
          </w:p>
        </w:tc>
      </w:tr>
      <w:tr w:rsidR="00CF13EB" w:rsidRPr="009E441D" w:rsidTr="00D173C3">
        <w:trPr>
          <w:trHeight w:val="228"/>
        </w:trPr>
        <w:tc>
          <w:tcPr>
            <w:tcW w:w="2065" w:type="dxa"/>
            <w:noWrap/>
            <w:vAlign w:val="center"/>
            <w:hideMark/>
          </w:tcPr>
          <w:p w:rsidR="00CF13EB" w:rsidRPr="009E441D" w:rsidRDefault="00CF13EB" w:rsidP="006057BE">
            <w:pPr>
              <w:spacing w:after="0" w:line="240" w:lineRule="auto"/>
              <w:rPr>
                <w:rFonts w:ascii="Arial" w:eastAsia="Times New Roman" w:hAnsi="Arial" w:cs="Arial"/>
                <w:color w:val="000000"/>
                <w:szCs w:val="24"/>
              </w:rPr>
            </w:pPr>
            <w:r w:rsidRPr="009E441D">
              <w:rPr>
                <w:rFonts w:ascii="Arial" w:eastAsia="Times New Roman" w:hAnsi="Arial" w:cs="Arial"/>
                <w:color w:val="000000"/>
                <w:szCs w:val="24"/>
              </w:rPr>
              <w:t>Male</w:t>
            </w:r>
          </w:p>
        </w:tc>
        <w:tc>
          <w:tcPr>
            <w:tcW w:w="1013"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176</w:t>
            </w:r>
          </w:p>
        </w:tc>
        <w:tc>
          <w:tcPr>
            <w:tcW w:w="967"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12.0%</w:t>
            </w:r>
          </w:p>
        </w:tc>
        <w:tc>
          <w:tcPr>
            <w:tcW w:w="86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383</w:t>
            </w:r>
          </w:p>
        </w:tc>
        <w:tc>
          <w:tcPr>
            <w:tcW w:w="84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26.2%</w:t>
            </w:r>
          </w:p>
        </w:tc>
        <w:tc>
          <w:tcPr>
            <w:tcW w:w="792"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119</w:t>
            </w:r>
          </w:p>
        </w:tc>
        <w:tc>
          <w:tcPr>
            <w:tcW w:w="918"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8.1%</w:t>
            </w:r>
          </w:p>
        </w:tc>
        <w:tc>
          <w:tcPr>
            <w:tcW w:w="70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752</w:t>
            </w:r>
          </w:p>
        </w:tc>
        <w:tc>
          <w:tcPr>
            <w:tcW w:w="100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51.4%</w:t>
            </w:r>
          </w:p>
        </w:tc>
        <w:tc>
          <w:tcPr>
            <w:tcW w:w="923" w:type="dxa"/>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1464</w:t>
            </w:r>
          </w:p>
        </w:tc>
      </w:tr>
      <w:tr w:rsidR="00CF13EB" w:rsidRPr="009E441D" w:rsidTr="00D173C3">
        <w:trPr>
          <w:trHeight w:val="238"/>
        </w:trPr>
        <w:tc>
          <w:tcPr>
            <w:tcW w:w="2065" w:type="dxa"/>
            <w:noWrap/>
            <w:vAlign w:val="center"/>
            <w:hideMark/>
          </w:tcPr>
          <w:p w:rsidR="00CF13EB" w:rsidRPr="009E441D" w:rsidRDefault="00CF13EB" w:rsidP="006057BE">
            <w:pPr>
              <w:spacing w:after="0" w:line="240" w:lineRule="auto"/>
              <w:rPr>
                <w:rFonts w:ascii="Arial" w:eastAsia="Times New Roman" w:hAnsi="Arial" w:cs="Arial"/>
                <w:color w:val="000000"/>
                <w:szCs w:val="24"/>
              </w:rPr>
            </w:pPr>
            <w:r w:rsidRPr="009E441D">
              <w:rPr>
                <w:rFonts w:ascii="Arial" w:eastAsia="Times New Roman" w:hAnsi="Arial" w:cs="Arial"/>
                <w:color w:val="000000"/>
                <w:szCs w:val="24"/>
              </w:rPr>
              <w:t>Female</w:t>
            </w:r>
          </w:p>
        </w:tc>
        <w:tc>
          <w:tcPr>
            <w:tcW w:w="1013"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33</w:t>
            </w:r>
          </w:p>
        </w:tc>
        <w:tc>
          <w:tcPr>
            <w:tcW w:w="967"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8.0%</w:t>
            </w:r>
          </w:p>
        </w:tc>
        <w:tc>
          <w:tcPr>
            <w:tcW w:w="86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86</w:t>
            </w:r>
          </w:p>
        </w:tc>
        <w:tc>
          <w:tcPr>
            <w:tcW w:w="84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20.8%</w:t>
            </w:r>
          </w:p>
        </w:tc>
        <w:tc>
          <w:tcPr>
            <w:tcW w:w="792"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38</w:t>
            </w:r>
          </w:p>
        </w:tc>
        <w:tc>
          <w:tcPr>
            <w:tcW w:w="918"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9.2%</w:t>
            </w:r>
          </w:p>
        </w:tc>
        <w:tc>
          <w:tcPr>
            <w:tcW w:w="70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245</w:t>
            </w:r>
          </w:p>
        </w:tc>
        <w:tc>
          <w:tcPr>
            <w:tcW w:w="100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59.2%</w:t>
            </w:r>
          </w:p>
        </w:tc>
        <w:tc>
          <w:tcPr>
            <w:tcW w:w="923" w:type="dxa"/>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414</w:t>
            </w:r>
          </w:p>
        </w:tc>
      </w:tr>
      <w:tr w:rsidR="00CF13EB" w:rsidRPr="009E441D" w:rsidTr="00D173C3">
        <w:trPr>
          <w:trHeight w:val="229"/>
        </w:trPr>
        <w:tc>
          <w:tcPr>
            <w:tcW w:w="2065" w:type="dxa"/>
            <w:noWrap/>
            <w:vAlign w:val="center"/>
            <w:hideMark/>
          </w:tcPr>
          <w:p w:rsidR="00CF13EB" w:rsidRPr="009E441D" w:rsidRDefault="00CF13EB" w:rsidP="006057BE">
            <w:pPr>
              <w:spacing w:after="0" w:line="240" w:lineRule="auto"/>
              <w:rPr>
                <w:rFonts w:ascii="Arial" w:eastAsia="Times New Roman" w:hAnsi="Arial" w:cs="Arial"/>
                <w:color w:val="000000"/>
                <w:szCs w:val="24"/>
              </w:rPr>
            </w:pPr>
            <w:r w:rsidRPr="009E441D">
              <w:rPr>
                <w:rFonts w:ascii="Arial" w:eastAsia="Times New Roman" w:hAnsi="Arial" w:cs="Arial"/>
                <w:color w:val="000000"/>
                <w:szCs w:val="24"/>
              </w:rPr>
              <w:t>White, non-Hispanic</w:t>
            </w:r>
          </w:p>
        </w:tc>
        <w:tc>
          <w:tcPr>
            <w:tcW w:w="1013"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151</w:t>
            </w:r>
          </w:p>
        </w:tc>
        <w:tc>
          <w:tcPr>
            <w:tcW w:w="967"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9.8%</w:t>
            </w:r>
          </w:p>
        </w:tc>
        <w:tc>
          <w:tcPr>
            <w:tcW w:w="86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395</w:t>
            </w:r>
          </w:p>
        </w:tc>
        <w:tc>
          <w:tcPr>
            <w:tcW w:w="84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25.5%</w:t>
            </w:r>
          </w:p>
        </w:tc>
        <w:tc>
          <w:tcPr>
            <w:tcW w:w="792"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124</w:t>
            </w:r>
          </w:p>
        </w:tc>
        <w:tc>
          <w:tcPr>
            <w:tcW w:w="918"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8.0%</w:t>
            </w:r>
          </w:p>
        </w:tc>
        <w:tc>
          <w:tcPr>
            <w:tcW w:w="70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840</w:t>
            </w:r>
          </w:p>
        </w:tc>
        <w:tc>
          <w:tcPr>
            <w:tcW w:w="100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54.3%</w:t>
            </w:r>
          </w:p>
        </w:tc>
        <w:tc>
          <w:tcPr>
            <w:tcW w:w="923" w:type="dxa"/>
            <w:vAlign w:val="center"/>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1547</w:t>
            </w:r>
          </w:p>
        </w:tc>
      </w:tr>
      <w:tr w:rsidR="00CF13EB" w:rsidRPr="009E441D" w:rsidTr="00D173C3">
        <w:trPr>
          <w:trHeight w:val="238"/>
        </w:trPr>
        <w:tc>
          <w:tcPr>
            <w:tcW w:w="2065" w:type="dxa"/>
            <w:noWrap/>
            <w:vAlign w:val="center"/>
            <w:hideMark/>
          </w:tcPr>
          <w:p w:rsidR="00CF13EB" w:rsidRPr="009E441D" w:rsidRDefault="00CF13EB" w:rsidP="006057BE">
            <w:pPr>
              <w:spacing w:after="0" w:line="240" w:lineRule="auto"/>
              <w:rPr>
                <w:rFonts w:ascii="Arial" w:eastAsia="Times New Roman" w:hAnsi="Arial" w:cs="Arial"/>
                <w:color w:val="000000"/>
                <w:szCs w:val="24"/>
              </w:rPr>
            </w:pPr>
            <w:r w:rsidRPr="009E441D">
              <w:rPr>
                <w:rFonts w:ascii="Arial" w:eastAsia="Times New Roman" w:hAnsi="Arial" w:cs="Arial"/>
                <w:color w:val="000000"/>
                <w:szCs w:val="24"/>
              </w:rPr>
              <w:t>Any Hispanic/Latino</w:t>
            </w:r>
          </w:p>
        </w:tc>
        <w:tc>
          <w:tcPr>
            <w:tcW w:w="1013"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29</w:t>
            </w:r>
          </w:p>
        </w:tc>
        <w:tc>
          <w:tcPr>
            <w:tcW w:w="967"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22.0%</w:t>
            </w:r>
          </w:p>
        </w:tc>
        <w:tc>
          <w:tcPr>
            <w:tcW w:w="86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33</w:t>
            </w:r>
          </w:p>
        </w:tc>
        <w:tc>
          <w:tcPr>
            <w:tcW w:w="84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25.0%</w:t>
            </w:r>
          </w:p>
        </w:tc>
        <w:tc>
          <w:tcPr>
            <w:tcW w:w="792"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9</w:t>
            </w:r>
          </w:p>
        </w:tc>
        <w:tc>
          <w:tcPr>
            <w:tcW w:w="918"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6.8%</w:t>
            </w:r>
          </w:p>
        </w:tc>
        <w:tc>
          <w:tcPr>
            <w:tcW w:w="70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57</w:t>
            </w:r>
          </w:p>
        </w:tc>
        <w:tc>
          <w:tcPr>
            <w:tcW w:w="100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43.2%</w:t>
            </w:r>
          </w:p>
        </w:tc>
        <w:tc>
          <w:tcPr>
            <w:tcW w:w="923" w:type="dxa"/>
            <w:vAlign w:val="center"/>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132</w:t>
            </w:r>
          </w:p>
        </w:tc>
      </w:tr>
      <w:tr w:rsidR="00CF13EB" w:rsidRPr="009E441D" w:rsidTr="00D173C3">
        <w:trPr>
          <w:trHeight w:val="238"/>
        </w:trPr>
        <w:tc>
          <w:tcPr>
            <w:tcW w:w="2065" w:type="dxa"/>
            <w:noWrap/>
            <w:vAlign w:val="center"/>
            <w:hideMark/>
          </w:tcPr>
          <w:p w:rsidR="00CF13EB" w:rsidRPr="009E441D" w:rsidRDefault="00CF13EB" w:rsidP="006057BE">
            <w:pPr>
              <w:spacing w:after="0" w:line="240" w:lineRule="auto"/>
              <w:rPr>
                <w:rFonts w:ascii="Arial" w:eastAsia="Times New Roman" w:hAnsi="Arial" w:cs="Arial"/>
                <w:color w:val="000000"/>
                <w:szCs w:val="24"/>
              </w:rPr>
            </w:pPr>
            <w:r w:rsidRPr="009E441D">
              <w:rPr>
                <w:rFonts w:ascii="Arial" w:eastAsia="Times New Roman" w:hAnsi="Arial" w:cs="Arial"/>
                <w:color w:val="000000"/>
                <w:szCs w:val="24"/>
              </w:rPr>
              <w:t>Black, non-Hispanic</w:t>
            </w:r>
          </w:p>
        </w:tc>
        <w:tc>
          <w:tcPr>
            <w:tcW w:w="1013"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21</w:t>
            </w:r>
          </w:p>
        </w:tc>
        <w:tc>
          <w:tcPr>
            <w:tcW w:w="967"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17.2%</w:t>
            </w:r>
          </w:p>
        </w:tc>
        <w:tc>
          <w:tcPr>
            <w:tcW w:w="86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21</w:t>
            </w:r>
          </w:p>
        </w:tc>
        <w:tc>
          <w:tcPr>
            <w:tcW w:w="84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17.2%</w:t>
            </w:r>
          </w:p>
        </w:tc>
        <w:tc>
          <w:tcPr>
            <w:tcW w:w="792"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19</w:t>
            </w:r>
          </w:p>
        </w:tc>
        <w:tc>
          <w:tcPr>
            <w:tcW w:w="918"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15.6%</w:t>
            </w:r>
          </w:p>
        </w:tc>
        <w:tc>
          <w:tcPr>
            <w:tcW w:w="70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57</w:t>
            </w:r>
          </w:p>
        </w:tc>
        <w:tc>
          <w:tcPr>
            <w:tcW w:w="100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46.7%</w:t>
            </w:r>
          </w:p>
        </w:tc>
        <w:tc>
          <w:tcPr>
            <w:tcW w:w="923" w:type="dxa"/>
            <w:vAlign w:val="center"/>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122</w:t>
            </w:r>
          </w:p>
        </w:tc>
      </w:tr>
      <w:tr w:rsidR="00CF13EB" w:rsidRPr="009E441D" w:rsidTr="00D173C3">
        <w:trPr>
          <w:trHeight w:val="238"/>
        </w:trPr>
        <w:tc>
          <w:tcPr>
            <w:tcW w:w="2065" w:type="dxa"/>
            <w:noWrap/>
            <w:vAlign w:val="center"/>
            <w:hideMark/>
          </w:tcPr>
          <w:p w:rsidR="00CF13EB" w:rsidRPr="009E441D" w:rsidRDefault="00CF13EB" w:rsidP="006057BE">
            <w:pPr>
              <w:spacing w:after="0" w:line="240" w:lineRule="auto"/>
              <w:rPr>
                <w:rFonts w:ascii="Arial" w:eastAsia="Times New Roman" w:hAnsi="Arial" w:cs="Arial"/>
                <w:color w:val="000000"/>
                <w:szCs w:val="24"/>
              </w:rPr>
            </w:pPr>
            <w:r w:rsidRPr="009E441D">
              <w:rPr>
                <w:rFonts w:ascii="Arial" w:eastAsia="Times New Roman" w:hAnsi="Arial" w:cs="Arial"/>
                <w:color w:val="000000"/>
                <w:szCs w:val="24"/>
              </w:rPr>
              <w:t xml:space="preserve">Other, non-Hispanic </w:t>
            </w:r>
          </w:p>
        </w:tc>
        <w:tc>
          <w:tcPr>
            <w:tcW w:w="1013"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8</w:t>
            </w:r>
          </w:p>
        </w:tc>
        <w:tc>
          <w:tcPr>
            <w:tcW w:w="967"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12.5%</w:t>
            </w:r>
          </w:p>
        </w:tc>
        <w:tc>
          <w:tcPr>
            <w:tcW w:w="86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17</w:t>
            </w:r>
          </w:p>
        </w:tc>
        <w:tc>
          <w:tcPr>
            <w:tcW w:w="84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26.6%</w:t>
            </w:r>
          </w:p>
        </w:tc>
        <w:tc>
          <w:tcPr>
            <w:tcW w:w="792"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4</w:t>
            </w:r>
          </w:p>
        </w:tc>
        <w:tc>
          <w:tcPr>
            <w:tcW w:w="918"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6.3%</w:t>
            </w:r>
          </w:p>
        </w:tc>
        <w:tc>
          <w:tcPr>
            <w:tcW w:w="70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34</w:t>
            </w:r>
          </w:p>
        </w:tc>
        <w:tc>
          <w:tcPr>
            <w:tcW w:w="100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53.1%</w:t>
            </w:r>
          </w:p>
        </w:tc>
        <w:tc>
          <w:tcPr>
            <w:tcW w:w="923" w:type="dxa"/>
            <w:vAlign w:val="center"/>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64</w:t>
            </w:r>
          </w:p>
        </w:tc>
      </w:tr>
      <w:tr w:rsidR="00CF13EB" w:rsidRPr="009E441D" w:rsidTr="00D173C3">
        <w:trPr>
          <w:trHeight w:val="238"/>
        </w:trPr>
        <w:tc>
          <w:tcPr>
            <w:tcW w:w="2065" w:type="dxa"/>
            <w:noWrap/>
            <w:vAlign w:val="center"/>
            <w:hideMark/>
          </w:tcPr>
          <w:p w:rsidR="00CF13EB" w:rsidRPr="009E441D" w:rsidRDefault="00CF13EB" w:rsidP="006057BE">
            <w:pPr>
              <w:spacing w:after="0" w:line="240" w:lineRule="auto"/>
              <w:rPr>
                <w:rFonts w:ascii="Arial" w:eastAsia="Times New Roman" w:hAnsi="Arial" w:cs="Arial"/>
                <w:color w:val="000000"/>
                <w:szCs w:val="24"/>
              </w:rPr>
            </w:pPr>
            <w:r w:rsidRPr="009E441D">
              <w:rPr>
                <w:rFonts w:ascii="Arial" w:eastAsia="Times New Roman" w:hAnsi="Arial" w:cs="Arial"/>
                <w:color w:val="000000"/>
                <w:szCs w:val="24"/>
              </w:rPr>
              <w:t>Asian, non-Hispanic</w:t>
            </w:r>
          </w:p>
        </w:tc>
        <w:tc>
          <w:tcPr>
            <w:tcW w:w="1013"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0</w:t>
            </w:r>
          </w:p>
        </w:tc>
        <w:tc>
          <w:tcPr>
            <w:tcW w:w="967"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0.0%</w:t>
            </w:r>
          </w:p>
        </w:tc>
        <w:tc>
          <w:tcPr>
            <w:tcW w:w="86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3</w:t>
            </w:r>
          </w:p>
        </w:tc>
        <w:tc>
          <w:tcPr>
            <w:tcW w:w="84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23.1%</w:t>
            </w:r>
          </w:p>
        </w:tc>
        <w:tc>
          <w:tcPr>
            <w:tcW w:w="792"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w:t>
            </w:r>
          </w:p>
        </w:tc>
        <w:tc>
          <w:tcPr>
            <w:tcW w:w="918"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7.7%</w:t>
            </w:r>
          </w:p>
        </w:tc>
        <w:tc>
          <w:tcPr>
            <w:tcW w:w="70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9</w:t>
            </w:r>
          </w:p>
        </w:tc>
        <w:tc>
          <w:tcPr>
            <w:tcW w:w="100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69.2%</w:t>
            </w:r>
          </w:p>
        </w:tc>
        <w:tc>
          <w:tcPr>
            <w:tcW w:w="923" w:type="dxa"/>
            <w:vAlign w:val="center"/>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13</w:t>
            </w:r>
          </w:p>
        </w:tc>
      </w:tr>
      <w:tr w:rsidR="00CF13EB" w:rsidRPr="009E441D" w:rsidTr="00D173C3">
        <w:trPr>
          <w:trHeight w:val="219"/>
        </w:trPr>
        <w:tc>
          <w:tcPr>
            <w:tcW w:w="2065" w:type="dxa"/>
            <w:noWrap/>
            <w:vAlign w:val="bottom"/>
            <w:hideMark/>
          </w:tcPr>
          <w:p w:rsidR="00CF13EB" w:rsidRPr="009E441D" w:rsidRDefault="00CF13EB" w:rsidP="006057BE">
            <w:pPr>
              <w:spacing w:after="0" w:line="240" w:lineRule="auto"/>
              <w:rPr>
                <w:rFonts w:ascii="Arial" w:eastAsia="Times New Roman" w:hAnsi="Arial" w:cs="Arial"/>
                <w:color w:val="000000"/>
                <w:szCs w:val="24"/>
              </w:rPr>
            </w:pPr>
            <w:r w:rsidRPr="009E441D">
              <w:rPr>
                <w:rFonts w:ascii="Arial" w:eastAsia="Calibri" w:hAnsi="Arial" w:cs="Arial"/>
                <w:color w:val="000000"/>
                <w:szCs w:val="24"/>
              </w:rPr>
              <w:t>&lt;18 years</w:t>
            </w:r>
          </w:p>
        </w:tc>
        <w:tc>
          <w:tcPr>
            <w:tcW w:w="1013"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8</w:t>
            </w:r>
          </w:p>
        </w:tc>
        <w:tc>
          <w:tcPr>
            <w:tcW w:w="967"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17.4%</w:t>
            </w:r>
          </w:p>
        </w:tc>
        <w:tc>
          <w:tcPr>
            <w:tcW w:w="86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7</w:t>
            </w:r>
          </w:p>
        </w:tc>
        <w:tc>
          <w:tcPr>
            <w:tcW w:w="84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15.2%</w:t>
            </w:r>
          </w:p>
        </w:tc>
        <w:tc>
          <w:tcPr>
            <w:tcW w:w="792"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4</w:t>
            </w:r>
          </w:p>
        </w:tc>
        <w:tc>
          <w:tcPr>
            <w:tcW w:w="918"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8.7%</w:t>
            </w:r>
          </w:p>
        </w:tc>
        <w:tc>
          <w:tcPr>
            <w:tcW w:w="70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26</w:t>
            </w:r>
          </w:p>
        </w:tc>
        <w:tc>
          <w:tcPr>
            <w:tcW w:w="100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56.5%</w:t>
            </w:r>
          </w:p>
        </w:tc>
        <w:tc>
          <w:tcPr>
            <w:tcW w:w="923" w:type="dxa"/>
            <w:vAlign w:val="center"/>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46</w:t>
            </w:r>
          </w:p>
        </w:tc>
      </w:tr>
      <w:tr w:rsidR="00CF13EB" w:rsidRPr="009E441D" w:rsidTr="00D173C3">
        <w:trPr>
          <w:trHeight w:val="295"/>
        </w:trPr>
        <w:tc>
          <w:tcPr>
            <w:tcW w:w="2065" w:type="dxa"/>
            <w:noWrap/>
            <w:vAlign w:val="bottom"/>
            <w:hideMark/>
          </w:tcPr>
          <w:p w:rsidR="00CF13EB" w:rsidRPr="009E441D" w:rsidRDefault="00CF13EB" w:rsidP="006057BE">
            <w:pPr>
              <w:spacing w:after="0" w:line="240" w:lineRule="auto"/>
              <w:rPr>
                <w:rFonts w:ascii="Arial" w:eastAsia="Times New Roman" w:hAnsi="Arial" w:cs="Arial"/>
                <w:color w:val="000000"/>
                <w:szCs w:val="24"/>
              </w:rPr>
            </w:pPr>
            <w:r w:rsidRPr="009E441D">
              <w:rPr>
                <w:rFonts w:ascii="Arial" w:eastAsia="Calibri" w:hAnsi="Arial" w:cs="Arial"/>
                <w:color w:val="000000"/>
                <w:szCs w:val="24"/>
              </w:rPr>
              <w:t>18-20 years</w:t>
            </w:r>
          </w:p>
        </w:tc>
        <w:tc>
          <w:tcPr>
            <w:tcW w:w="1013"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29</w:t>
            </w:r>
          </w:p>
        </w:tc>
        <w:tc>
          <w:tcPr>
            <w:tcW w:w="967"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20.3%</w:t>
            </w:r>
          </w:p>
        </w:tc>
        <w:tc>
          <w:tcPr>
            <w:tcW w:w="86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31</w:t>
            </w:r>
          </w:p>
        </w:tc>
        <w:tc>
          <w:tcPr>
            <w:tcW w:w="84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21.7%</w:t>
            </w:r>
          </w:p>
        </w:tc>
        <w:tc>
          <w:tcPr>
            <w:tcW w:w="792"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17</w:t>
            </w:r>
          </w:p>
        </w:tc>
        <w:tc>
          <w:tcPr>
            <w:tcW w:w="918"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11.9%</w:t>
            </w:r>
          </w:p>
        </w:tc>
        <w:tc>
          <w:tcPr>
            <w:tcW w:w="70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62</w:t>
            </w:r>
          </w:p>
        </w:tc>
        <w:tc>
          <w:tcPr>
            <w:tcW w:w="100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43.4%</w:t>
            </w:r>
          </w:p>
        </w:tc>
        <w:tc>
          <w:tcPr>
            <w:tcW w:w="923" w:type="dxa"/>
            <w:vAlign w:val="center"/>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143</w:t>
            </w:r>
          </w:p>
        </w:tc>
      </w:tr>
      <w:tr w:rsidR="00CF13EB" w:rsidRPr="009E441D" w:rsidTr="00D173C3">
        <w:trPr>
          <w:trHeight w:val="283"/>
        </w:trPr>
        <w:tc>
          <w:tcPr>
            <w:tcW w:w="2065" w:type="dxa"/>
            <w:noWrap/>
            <w:vAlign w:val="bottom"/>
            <w:hideMark/>
          </w:tcPr>
          <w:p w:rsidR="00CF13EB" w:rsidRPr="009E441D" w:rsidRDefault="00CF13EB" w:rsidP="006057BE">
            <w:pPr>
              <w:spacing w:after="0" w:line="240" w:lineRule="auto"/>
              <w:rPr>
                <w:rFonts w:ascii="Arial" w:eastAsia="Times New Roman" w:hAnsi="Arial" w:cs="Arial"/>
                <w:color w:val="000000"/>
                <w:szCs w:val="24"/>
              </w:rPr>
            </w:pPr>
            <w:r w:rsidRPr="009E441D">
              <w:rPr>
                <w:rFonts w:ascii="Arial" w:eastAsia="Calibri" w:hAnsi="Arial" w:cs="Arial"/>
                <w:color w:val="000000"/>
                <w:szCs w:val="24"/>
              </w:rPr>
              <w:t>21-25 years</w:t>
            </w:r>
          </w:p>
        </w:tc>
        <w:tc>
          <w:tcPr>
            <w:tcW w:w="1013"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61</w:t>
            </w:r>
          </w:p>
        </w:tc>
        <w:tc>
          <w:tcPr>
            <w:tcW w:w="967"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17.5%</w:t>
            </w:r>
          </w:p>
        </w:tc>
        <w:tc>
          <w:tcPr>
            <w:tcW w:w="86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103</w:t>
            </w:r>
          </w:p>
        </w:tc>
        <w:tc>
          <w:tcPr>
            <w:tcW w:w="84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29.6%</w:t>
            </w:r>
          </w:p>
        </w:tc>
        <w:tc>
          <w:tcPr>
            <w:tcW w:w="792"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54</w:t>
            </w:r>
          </w:p>
        </w:tc>
        <w:tc>
          <w:tcPr>
            <w:tcW w:w="918"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15.5%</w:t>
            </w:r>
          </w:p>
        </w:tc>
        <w:tc>
          <w:tcPr>
            <w:tcW w:w="70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126</w:t>
            </w:r>
          </w:p>
        </w:tc>
        <w:tc>
          <w:tcPr>
            <w:tcW w:w="100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36.2%</w:t>
            </w:r>
          </w:p>
        </w:tc>
        <w:tc>
          <w:tcPr>
            <w:tcW w:w="923" w:type="dxa"/>
            <w:vAlign w:val="center"/>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348</w:t>
            </w:r>
          </w:p>
        </w:tc>
      </w:tr>
      <w:tr w:rsidR="00CF13EB" w:rsidRPr="009E441D" w:rsidTr="00D173C3">
        <w:trPr>
          <w:trHeight w:val="265"/>
        </w:trPr>
        <w:tc>
          <w:tcPr>
            <w:tcW w:w="2065" w:type="dxa"/>
            <w:noWrap/>
            <w:vAlign w:val="bottom"/>
            <w:hideMark/>
          </w:tcPr>
          <w:p w:rsidR="00CF13EB" w:rsidRPr="009E441D" w:rsidRDefault="00CF13EB" w:rsidP="006057BE">
            <w:pPr>
              <w:spacing w:after="0" w:line="240" w:lineRule="auto"/>
              <w:rPr>
                <w:rFonts w:ascii="Arial" w:eastAsia="Times New Roman" w:hAnsi="Arial" w:cs="Arial"/>
                <w:color w:val="000000"/>
                <w:szCs w:val="24"/>
              </w:rPr>
            </w:pPr>
            <w:r w:rsidRPr="009E441D">
              <w:rPr>
                <w:rFonts w:ascii="Arial" w:eastAsia="Calibri" w:hAnsi="Arial" w:cs="Arial"/>
                <w:color w:val="000000"/>
                <w:szCs w:val="24"/>
              </w:rPr>
              <w:t>26-34 years</w:t>
            </w:r>
          </w:p>
        </w:tc>
        <w:tc>
          <w:tcPr>
            <w:tcW w:w="1013"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46</w:t>
            </w:r>
          </w:p>
        </w:tc>
        <w:tc>
          <w:tcPr>
            <w:tcW w:w="967"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14.5%</w:t>
            </w:r>
          </w:p>
        </w:tc>
        <w:tc>
          <w:tcPr>
            <w:tcW w:w="86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104</w:t>
            </w:r>
          </w:p>
        </w:tc>
        <w:tc>
          <w:tcPr>
            <w:tcW w:w="84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32.7%</w:t>
            </w:r>
          </w:p>
        </w:tc>
        <w:tc>
          <w:tcPr>
            <w:tcW w:w="792"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40</w:t>
            </w:r>
          </w:p>
        </w:tc>
        <w:tc>
          <w:tcPr>
            <w:tcW w:w="918"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12.6%</w:t>
            </w:r>
          </w:p>
        </w:tc>
        <w:tc>
          <w:tcPr>
            <w:tcW w:w="70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119</w:t>
            </w:r>
          </w:p>
        </w:tc>
        <w:tc>
          <w:tcPr>
            <w:tcW w:w="100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37.4%</w:t>
            </w:r>
          </w:p>
        </w:tc>
        <w:tc>
          <w:tcPr>
            <w:tcW w:w="923" w:type="dxa"/>
            <w:vAlign w:val="center"/>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318</w:t>
            </w:r>
          </w:p>
        </w:tc>
      </w:tr>
      <w:tr w:rsidR="00CF13EB" w:rsidRPr="009E441D" w:rsidTr="00D173C3">
        <w:trPr>
          <w:trHeight w:val="265"/>
        </w:trPr>
        <w:tc>
          <w:tcPr>
            <w:tcW w:w="2065" w:type="dxa"/>
            <w:noWrap/>
            <w:vAlign w:val="bottom"/>
            <w:hideMark/>
          </w:tcPr>
          <w:p w:rsidR="00CF13EB" w:rsidRPr="009E441D" w:rsidRDefault="00CF13EB" w:rsidP="006057BE">
            <w:pPr>
              <w:spacing w:after="0" w:line="240" w:lineRule="auto"/>
              <w:rPr>
                <w:rFonts w:ascii="Arial" w:eastAsia="Times New Roman" w:hAnsi="Arial" w:cs="Arial"/>
                <w:color w:val="000000"/>
                <w:szCs w:val="24"/>
              </w:rPr>
            </w:pPr>
            <w:r w:rsidRPr="009E441D">
              <w:rPr>
                <w:rFonts w:ascii="Arial" w:eastAsia="Calibri" w:hAnsi="Arial" w:cs="Arial"/>
                <w:color w:val="000000"/>
                <w:szCs w:val="24"/>
              </w:rPr>
              <w:t>35-64 years</w:t>
            </w:r>
          </w:p>
        </w:tc>
        <w:tc>
          <w:tcPr>
            <w:tcW w:w="1013"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59</w:t>
            </w:r>
          </w:p>
        </w:tc>
        <w:tc>
          <w:tcPr>
            <w:tcW w:w="967"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7.9%</w:t>
            </w:r>
          </w:p>
        </w:tc>
        <w:tc>
          <w:tcPr>
            <w:tcW w:w="86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206</w:t>
            </w:r>
          </w:p>
        </w:tc>
        <w:tc>
          <w:tcPr>
            <w:tcW w:w="84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27.7%</w:t>
            </w:r>
          </w:p>
        </w:tc>
        <w:tc>
          <w:tcPr>
            <w:tcW w:w="792"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40</w:t>
            </w:r>
          </w:p>
        </w:tc>
        <w:tc>
          <w:tcPr>
            <w:tcW w:w="918"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5.4%</w:t>
            </w:r>
          </w:p>
        </w:tc>
        <w:tc>
          <w:tcPr>
            <w:tcW w:w="70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418</w:t>
            </w:r>
          </w:p>
        </w:tc>
        <w:tc>
          <w:tcPr>
            <w:tcW w:w="100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56.3%</w:t>
            </w:r>
          </w:p>
        </w:tc>
        <w:tc>
          <w:tcPr>
            <w:tcW w:w="923" w:type="dxa"/>
            <w:vAlign w:val="center"/>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743</w:t>
            </w:r>
          </w:p>
        </w:tc>
      </w:tr>
      <w:tr w:rsidR="00CF13EB" w:rsidRPr="009E441D" w:rsidTr="00D173C3">
        <w:trPr>
          <w:trHeight w:val="295"/>
        </w:trPr>
        <w:tc>
          <w:tcPr>
            <w:tcW w:w="2065" w:type="dxa"/>
            <w:noWrap/>
            <w:vAlign w:val="bottom"/>
            <w:hideMark/>
          </w:tcPr>
          <w:p w:rsidR="00CF13EB" w:rsidRPr="009E441D" w:rsidRDefault="00CF13EB" w:rsidP="006057BE">
            <w:pPr>
              <w:spacing w:after="0" w:line="240" w:lineRule="auto"/>
              <w:rPr>
                <w:rFonts w:ascii="Arial" w:eastAsia="Times New Roman" w:hAnsi="Arial" w:cs="Arial"/>
                <w:color w:val="000000"/>
                <w:szCs w:val="24"/>
              </w:rPr>
            </w:pPr>
            <w:r w:rsidRPr="009E441D">
              <w:rPr>
                <w:rFonts w:ascii="Arial" w:eastAsia="Calibri" w:hAnsi="Arial" w:cs="Arial"/>
                <w:color w:val="000000"/>
                <w:szCs w:val="24"/>
              </w:rPr>
              <w:t>65+ years</w:t>
            </w:r>
          </w:p>
        </w:tc>
        <w:tc>
          <w:tcPr>
            <w:tcW w:w="1013"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6</w:t>
            </w:r>
          </w:p>
        </w:tc>
        <w:tc>
          <w:tcPr>
            <w:tcW w:w="967"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2.1%</w:t>
            </w:r>
          </w:p>
        </w:tc>
        <w:tc>
          <w:tcPr>
            <w:tcW w:w="86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18</w:t>
            </w:r>
          </w:p>
        </w:tc>
        <w:tc>
          <w:tcPr>
            <w:tcW w:w="84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6.4%</w:t>
            </w:r>
          </w:p>
        </w:tc>
        <w:tc>
          <w:tcPr>
            <w:tcW w:w="792"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w:t>
            </w:r>
          </w:p>
        </w:tc>
        <w:tc>
          <w:tcPr>
            <w:tcW w:w="918"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0.7%</w:t>
            </w:r>
          </w:p>
        </w:tc>
        <w:tc>
          <w:tcPr>
            <w:tcW w:w="706"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246</w:t>
            </w:r>
          </w:p>
        </w:tc>
        <w:tc>
          <w:tcPr>
            <w:tcW w:w="1004" w:type="dxa"/>
            <w:noWrap/>
            <w:vAlign w:val="bottom"/>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87.9%</w:t>
            </w:r>
          </w:p>
        </w:tc>
        <w:tc>
          <w:tcPr>
            <w:tcW w:w="923" w:type="dxa"/>
            <w:vAlign w:val="center"/>
            <w:hideMark/>
          </w:tcPr>
          <w:p w:rsidR="00CF13EB" w:rsidRPr="009E441D" w:rsidRDefault="00CF13EB" w:rsidP="00D173C3">
            <w:pPr>
              <w:spacing w:after="0" w:line="240" w:lineRule="auto"/>
              <w:jc w:val="center"/>
              <w:rPr>
                <w:rFonts w:ascii="Arial" w:eastAsia="Times New Roman" w:hAnsi="Arial" w:cs="Arial"/>
                <w:color w:val="000000"/>
                <w:szCs w:val="24"/>
              </w:rPr>
            </w:pPr>
            <w:r w:rsidRPr="009E441D">
              <w:rPr>
                <w:rFonts w:ascii="Arial" w:eastAsia="Calibri" w:hAnsi="Arial" w:cs="Arial"/>
                <w:color w:val="000000"/>
                <w:szCs w:val="24"/>
              </w:rPr>
              <w:t>280</w:t>
            </w:r>
          </w:p>
        </w:tc>
      </w:tr>
    </w:tbl>
    <w:p w:rsidR="00CF13EB" w:rsidRDefault="00CF13EB" w:rsidP="006057BE">
      <w:pPr>
        <w:spacing w:after="0" w:line="240" w:lineRule="auto"/>
        <w:rPr>
          <w:rFonts w:ascii="Arial" w:hAnsi="Arial" w:cs="Arial"/>
          <w:szCs w:val="24"/>
        </w:rPr>
      </w:pPr>
      <w:bookmarkStart w:id="496" w:name="_Ref509652369"/>
    </w:p>
    <w:p w:rsidR="00CF13EB" w:rsidRDefault="00CF13EB" w:rsidP="006057BE">
      <w:pPr>
        <w:spacing w:after="0" w:line="240" w:lineRule="auto"/>
        <w:rPr>
          <w:rFonts w:ascii="Arial" w:hAnsi="Arial" w:cs="Arial"/>
          <w:szCs w:val="24"/>
        </w:rPr>
      </w:pPr>
      <w:r w:rsidRPr="00B3588A">
        <w:rPr>
          <w:rFonts w:ascii="Arial" w:hAnsi="Arial" w:cs="Arial"/>
          <w:szCs w:val="24"/>
        </w:rPr>
        <w:t xml:space="preserve">Table Note: Other drugs could be present in any column. </w:t>
      </w:r>
      <w:r w:rsidRPr="00EA7851">
        <w:rPr>
          <w:rFonts w:ascii="Arial" w:hAnsi="Arial" w:cs="Arial"/>
          <w:szCs w:val="24"/>
        </w:rPr>
        <w:t xml:space="preserve">A small portion (2.4%) of all deceased drivers given a blood test for alcohol and drugs had an unknown alcohol result and are excluded from the table.  </w:t>
      </w:r>
    </w:p>
    <w:p w:rsidR="00CF13EB" w:rsidRPr="00B3588A" w:rsidRDefault="00CF13EB" w:rsidP="006057BE">
      <w:pPr>
        <w:spacing w:after="0" w:line="240" w:lineRule="auto"/>
        <w:rPr>
          <w:rFonts w:ascii="Arial" w:hAnsi="Arial" w:cs="Arial"/>
          <w:szCs w:val="24"/>
        </w:rPr>
      </w:pPr>
    </w:p>
    <w:bookmarkEnd w:id="496"/>
    <w:p w:rsidR="00CF13EB" w:rsidRPr="00B74EFE" w:rsidRDefault="00CF13EB" w:rsidP="006057BE">
      <w:pPr>
        <w:pStyle w:val="BodyText"/>
        <w:spacing w:line="240" w:lineRule="auto"/>
        <w:rPr>
          <w:sz w:val="24"/>
        </w:rPr>
      </w:pPr>
      <w:r w:rsidRPr="00B74EFE">
        <w:rPr>
          <w:sz w:val="24"/>
        </w:rPr>
        <w:t xml:space="preserve">When examining alcohol and cannabis presence in fatal crash-involved drivers by age group, a trend emerges. The proportion of drivers that had only a BAC </w:t>
      </w:r>
      <w:r w:rsidRPr="00B74EFE">
        <w:rPr>
          <w:rFonts w:cs="Times New Roman"/>
          <w:bCs/>
          <w:color w:val="000000"/>
          <w:sz w:val="24"/>
        </w:rPr>
        <w:t>≥</w:t>
      </w:r>
      <w:r w:rsidRPr="00B74EFE">
        <w:rPr>
          <w:bCs/>
          <w:color w:val="000000"/>
          <w:sz w:val="24"/>
        </w:rPr>
        <w:t xml:space="preserve"> 0.08%</w:t>
      </w:r>
      <w:r w:rsidRPr="00B74EFE">
        <w:rPr>
          <w:b/>
          <w:bCs/>
          <w:color w:val="000000"/>
          <w:szCs w:val="21"/>
        </w:rPr>
        <w:t xml:space="preserve"> </w:t>
      </w:r>
      <w:r w:rsidRPr="00B74EFE">
        <w:rPr>
          <w:sz w:val="24"/>
        </w:rPr>
        <w:t xml:space="preserve">increased with age until peaking in the 26-34 years age category, whereas those with only a positive cannabinoid result peaked in the 18-20 years age group and then declined with age (Figure 10). As expected from these two trends, having both a positive cannabinoid result and a BAC </w:t>
      </w:r>
      <w:r w:rsidRPr="00B74EFE">
        <w:rPr>
          <w:rFonts w:cs="Times New Roman"/>
          <w:bCs/>
          <w:color w:val="000000"/>
          <w:sz w:val="24"/>
        </w:rPr>
        <w:t>≥</w:t>
      </w:r>
      <w:r w:rsidRPr="00B74EFE">
        <w:rPr>
          <w:bCs/>
          <w:color w:val="000000"/>
          <w:sz w:val="24"/>
        </w:rPr>
        <w:t xml:space="preserve"> 0.08%</w:t>
      </w:r>
      <w:r w:rsidRPr="00B74EFE">
        <w:rPr>
          <w:b/>
          <w:bCs/>
          <w:color w:val="000000"/>
          <w:szCs w:val="21"/>
        </w:rPr>
        <w:t xml:space="preserve"> </w:t>
      </w:r>
      <w:r w:rsidRPr="00B74EFE">
        <w:rPr>
          <w:sz w:val="24"/>
        </w:rPr>
        <w:t>peaked in the 21-25 years age group.</w:t>
      </w:r>
    </w:p>
    <w:p w:rsidR="00CF13EB" w:rsidRPr="00B3588A" w:rsidRDefault="00CF13EB" w:rsidP="006057BE">
      <w:pPr>
        <w:pStyle w:val="BodyText"/>
        <w:spacing w:line="240" w:lineRule="auto"/>
      </w:pPr>
    </w:p>
    <w:p w:rsidR="00CF13EB" w:rsidRPr="00B3588A" w:rsidRDefault="007B6DB6" w:rsidP="006057BE">
      <w:pPr>
        <w:pStyle w:val="Caption"/>
        <w:spacing w:after="0"/>
        <w:jc w:val="center"/>
        <w:rPr>
          <w:rFonts w:ascii="Times New Roman" w:hAnsi="Times New Roman" w:cs="Times New Roman"/>
          <w:b/>
        </w:rPr>
      </w:pPr>
      <w:bookmarkStart w:id="497" w:name="_Ref509654775"/>
      <w:r>
        <w:rPr>
          <w:rFonts w:ascii="Times New Roman" w:hAnsi="Times New Roman" w:cs="Times New Roman"/>
          <w:b/>
          <w:noProof/>
        </w:rPr>
        <w:drawing>
          <wp:inline distT="0" distB="0" distL="0" distR="0" wp14:anchorId="4D22ADB7" wp14:editId="466F2085">
            <wp:extent cx="5487035" cy="2743200"/>
            <wp:effectExtent l="0" t="0" r="0" b="0"/>
            <wp:docPr id="24" name="Picture 24" descr="The figure presents data for alcohol and cannabinoids in fatal crash drivers by age group. The proportion of drivers that had only a BAC ≥ 0.08% increased by age group until peaking in the 26-34 years age category, whereas those with only a positive cannabinoid result peaked in the 18-20 years age group and then declined with age. Having both a positive cannabinoid result and a BAC ≥ 0.08% peaked in the 21-25 years age group." title="Percentage of Deceased Drivers Whose Blood Tested Positive for Cannabinoid and or Hig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7035" cy="2743200"/>
                    </a:xfrm>
                    <a:prstGeom prst="rect">
                      <a:avLst/>
                    </a:prstGeom>
                    <a:noFill/>
                  </pic:spPr>
                </pic:pic>
              </a:graphicData>
            </a:graphic>
          </wp:inline>
        </w:drawing>
      </w:r>
    </w:p>
    <w:bookmarkEnd w:id="497"/>
    <w:p w:rsidR="005D7694" w:rsidRDefault="005D7694" w:rsidP="006057BE">
      <w:pPr>
        <w:pStyle w:val="BodyText"/>
        <w:spacing w:line="240" w:lineRule="auto"/>
        <w:rPr>
          <w:b/>
          <w:iCs/>
        </w:rPr>
      </w:pPr>
    </w:p>
    <w:p w:rsidR="00CF13EB" w:rsidRPr="005D614A" w:rsidRDefault="00CF13EB" w:rsidP="005D614A">
      <w:pPr>
        <w:spacing w:after="0"/>
        <w:rPr>
          <w:rFonts w:ascii="Arial" w:hAnsi="Arial" w:cs="Arial"/>
          <w:b/>
          <w:sz w:val="24"/>
        </w:rPr>
      </w:pPr>
      <w:r w:rsidRPr="005D614A">
        <w:rPr>
          <w:rFonts w:ascii="Arial" w:hAnsi="Arial" w:cs="Arial"/>
          <w:b/>
          <w:sz w:val="24"/>
        </w:rPr>
        <w:t xml:space="preserve">Figure 10. Percentage of all deceased drivers given a blood test for alcohol and drugs who tested positive for any cannabinoid and/or had a blood alcohol content (BAC) ≥ 0.08%, by driver age (years). </w:t>
      </w:r>
    </w:p>
    <w:p w:rsidR="00CF13EB" w:rsidRPr="00B74EFE" w:rsidRDefault="00CF13EB" w:rsidP="006057BE">
      <w:pPr>
        <w:pStyle w:val="BodyText"/>
        <w:spacing w:line="240" w:lineRule="auto"/>
        <w:rPr>
          <w:b/>
          <w:iCs/>
          <w:sz w:val="24"/>
        </w:rPr>
      </w:pPr>
    </w:p>
    <w:p w:rsidR="00CF13EB" w:rsidRPr="00B74EFE" w:rsidRDefault="00CF13EB" w:rsidP="006057BE">
      <w:pPr>
        <w:pStyle w:val="BodyText"/>
        <w:spacing w:line="240" w:lineRule="auto"/>
        <w:rPr>
          <w:sz w:val="24"/>
        </w:rPr>
      </w:pPr>
      <w:r w:rsidRPr="00B74EFE">
        <w:rPr>
          <w:sz w:val="24"/>
        </w:rPr>
        <w:t xml:space="preserve">The trend in drivers with a BAC </w:t>
      </w:r>
      <w:r w:rsidRPr="00B74EFE">
        <w:rPr>
          <w:rFonts w:cs="Times New Roman"/>
          <w:bCs/>
          <w:color w:val="000000"/>
          <w:sz w:val="24"/>
        </w:rPr>
        <w:t>≥</w:t>
      </w:r>
      <w:r w:rsidRPr="00B74EFE">
        <w:rPr>
          <w:bCs/>
          <w:color w:val="000000"/>
          <w:sz w:val="24"/>
        </w:rPr>
        <w:t xml:space="preserve"> 0.08%</w:t>
      </w:r>
      <w:r w:rsidRPr="00B74EFE">
        <w:rPr>
          <w:sz w:val="24"/>
        </w:rPr>
        <w:t xml:space="preserve"> and/or positive cannabinoid results was examined over time (Figure 11.) In 2007 and 2008, nearly 40% of all deceased drivers given a blood test for alcohol and drugs had a BAC </w:t>
      </w:r>
      <w:r w:rsidRPr="00B74EFE">
        <w:rPr>
          <w:rFonts w:cstheme="minorHAnsi"/>
          <w:sz w:val="24"/>
        </w:rPr>
        <w:t>≥</w:t>
      </w:r>
      <w:r w:rsidRPr="00B74EFE">
        <w:rPr>
          <w:sz w:val="24"/>
        </w:rPr>
        <w:t xml:space="preserve"> 0.08%.</w:t>
      </w:r>
    </w:p>
    <w:p w:rsidR="00CF13EB" w:rsidRPr="00B3588A" w:rsidRDefault="00CF13EB" w:rsidP="006057BE">
      <w:pPr>
        <w:pStyle w:val="BodyText"/>
        <w:spacing w:line="240" w:lineRule="auto"/>
      </w:pPr>
      <w:bookmarkStart w:id="498" w:name="_Ref509654987"/>
    </w:p>
    <w:p w:rsidR="00CF13EB" w:rsidRPr="00B3588A" w:rsidRDefault="00CF13EB" w:rsidP="006057BE">
      <w:pPr>
        <w:pStyle w:val="Caption"/>
        <w:suppressLineNumbers/>
        <w:spacing w:after="0"/>
        <w:rPr>
          <w:b/>
        </w:rPr>
      </w:pPr>
    </w:p>
    <w:p w:rsidR="00CF13EB" w:rsidRPr="00B3588A" w:rsidRDefault="007B6DB6" w:rsidP="006057BE">
      <w:pPr>
        <w:pStyle w:val="Caption"/>
        <w:spacing w:after="0"/>
        <w:contextualSpacing w:val="0"/>
        <w:jc w:val="center"/>
        <w:rPr>
          <w:rFonts w:ascii="Times New Roman" w:hAnsi="Times New Roman" w:cs="Times New Roman"/>
          <w:b/>
        </w:rPr>
      </w:pPr>
      <w:r>
        <w:rPr>
          <w:rFonts w:ascii="Times New Roman" w:hAnsi="Times New Roman" w:cs="Times New Roman"/>
          <w:b/>
          <w:noProof/>
        </w:rPr>
        <w:drawing>
          <wp:inline distT="0" distB="0" distL="0" distR="0" wp14:anchorId="303F5C65" wp14:editId="09C84C83">
            <wp:extent cx="5487035" cy="2761615"/>
            <wp:effectExtent l="0" t="0" r="0" b="635"/>
            <wp:docPr id="25" name="Picture 25" descr="The figure presents the percentages of all deceased drivers given a blood test for alcohol and drugs who tested positive for any cannabinoid and/or had a BAC &gt;= 0.08% (2006 to 2016). The trend in drivers with a BAC ≥ 0.08% and/or positive cannabinoid results was examined over time. In 2007 and 2008, nearly 40% of all deceased drivers given a blood test for alcohol and drugs had a BAC ≥ 0.08%." title="Percentage of all deceased drivers given a blood test for alcohol and drugs who tested positive for any cannabinoid and/or had a BAC &gt;=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7035" cy="2761615"/>
                    </a:xfrm>
                    <a:prstGeom prst="rect">
                      <a:avLst/>
                    </a:prstGeom>
                    <a:noFill/>
                  </pic:spPr>
                </pic:pic>
              </a:graphicData>
            </a:graphic>
          </wp:inline>
        </w:drawing>
      </w:r>
    </w:p>
    <w:p w:rsidR="005D7694" w:rsidRDefault="005D7694" w:rsidP="006057BE">
      <w:pPr>
        <w:pStyle w:val="BodyText"/>
        <w:spacing w:line="240" w:lineRule="auto"/>
        <w:rPr>
          <w:b/>
          <w:iCs/>
        </w:rPr>
      </w:pPr>
    </w:p>
    <w:p w:rsidR="00CF13EB" w:rsidRPr="005D614A" w:rsidRDefault="00CF13EB" w:rsidP="005D614A">
      <w:pPr>
        <w:spacing w:after="0"/>
        <w:rPr>
          <w:rFonts w:ascii="Arial" w:hAnsi="Arial" w:cs="Arial"/>
          <w:b/>
          <w:sz w:val="24"/>
        </w:rPr>
      </w:pPr>
      <w:r w:rsidRPr="005D614A">
        <w:rPr>
          <w:rFonts w:ascii="Arial" w:hAnsi="Arial" w:cs="Arial"/>
          <w:b/>
          <w:sz w:val="24"/>
        </w:rPr>
        <w:t>Figure 11. Percentage of all deceased drivers given a blood test for alcohol and drugs who tested positive for any cannabinoid and/or had a BAC &gt;= 0.08% in Massachusetts from 2006 to 2016</w:t>
      </w:r>
    </w:p>
    <w:bookmarkEnd w:id="498"/>
    <w:p w:rsidR="00CF13EB" w:rsidRPr="00EA7851" w:rsidRDefault="00CF13EB" w:rsidP="006057BE">
      <w:pPr>
        <w:spacing w:after="0" w:line="240" w:lineRule="auto"/>
      </w:pPr>
    </w:p>
    <w:p w:rsidR="00CF13EB" w:rsidRPr="00B74EFE" w:rsidRDefault="00CF13EB" w:rsidP="006057BE">
      <w:pPr>
        <w:pStyle w:val="BodyText"/>
        <w:spacing w:line="240" w:lineRule="auto"/>
        <w:rPr>
          <w:sz w:val="24"/>
        </w:rPr>
      </w:pPr>
      <w:r w:rsidRPr="00B74EFE">
        <w:rPr>
          <w:sz w:val="24"/>
        </w:rPr>
        <w:t xml:space="preserve">The number of deaths resulting from these crashes has followed a similar trend (Figure 12). While the number of deaths from drivers with a BAC </w:t>
      </w:r>
      <w:r w:rsidRPr="00B74EFE">
        <w:rPr>
          <w:bCs/>
          <w:sz w:val="24"/>
        </w:rPr>
        <w:t>≥ 0.08%</w:t>
      </w:r>
      <w:r w:rsidRPr="00B74EFE">
        <w:rPr>
          <w:b/>
          <w:bCs/>
          <w:sz w:val="24"/>
        </w:rPr>
        <w:t xml:space="preserve"> </w:t>
      </w:r>
      <w:r w:rsidRPr="00B74EFE">
        <w:rPr>
          <w:sz w:val="24"/>
        </w:rPr>
        <w:t xml:space="preserve"> and no cannabinoids in their blood has steadily decreased since 2006, the number of deaths from drivers with cannabinoids and with a BAC below the legal limit of 0.08%, has steadily increased.</w:t>
      </w:r>
    </w:p>
    <w:p w:rsidR="00CF13EB" w:rsidRPr="00B3588A" w:rsidRDefault="00CF13EB" w:rsidP="006057BE">
      <w:pPr>
        <w:pStyle w:val="BodyText"/>
        <w:suppressLineNumbers/>
        <w:spacing w:line="240" w:lineRule="auto"/>
      </w:pPr>
    </w:p>
    <w:p w:rsidR="00CF13EB" w:rsidRPr="00B3588A" w:rsidRDefault="00CF13EB" w:rsidP="006057BE">
      <w:pPr>
        <w:pStyle w:val="Caption"/>
        <w:spacing w:after="0"/>
        <w:jc w:val="center"/>
        <w:rPr>
          <w:rFonts w:ascii="Times New Roman" w:hAnsi="Times New Roman" w:cs="Times New Roman"/>
          <w:b/>
        </w:rPr>
      </w:pPr>
      <w:bookmarkStart w:id="499" w:name="_Ref509663556"/>
    </w:p>
    <w:bookmarkEnd w:id="499"/>
    <w:p w:rsidR="005D7694" w:rsidRDefault="007B6DB6" w:rsidP="006057BE">
      <w:pPr>
        <w:pStyle w:val="BodyText"/>
        <w:spacing w:line="240" w:lineRule="auto"/>
        <w:rPr>
          <w:b/>
          <w:iCs/>
        </w:rPr>
      </w:pPr>
      <w:r>
        <w:rPr>
          <w:b/>
          <w:iCs/>
          <w:noProof/>
        </w:rPr>
        <w:drawing>
          <wp:inline distT="0" distB="0" distL="0" distR="0" wp14:anchorId="642BEB72" wp14:editId="03F4548D">
            <wp:extent cx="5487035" cy="2755900"/>
            <wp:effectExtent l="0" t="0" r="0" b="6350"/>
            <wp:docPr id="26" name="Picture 26" descr="The figure presents the number of deaths per year resulting from crashes with deceased drivers given a blood test for alcohol and drugs who tested positive for any cannabinoid and/or had a BAC ≥ 0.08% in Massachusetts from 2006 to 2016. Three separate lines on the graph notate &quot;any cannabinoid with a blood alcohol level less than 0.08%&quot;, &quot;any cannabinoid with a blood alcohol level higher than or equal to 0.08%&quot;, and &quot;blood alcohol level of higher than or equal to 0.08% and no cannabinoids detected&quot;. " title="Number of Deaths per Year from Crashes and Blood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7035" cy="2755900"/>
                    </a:xfrm>
                    <a:prstGeom prst="rect">
                      <a:avLst/>
                    </a:prstGeom>
                    <a:noFill/>
                  </pic:spPr>
                </pic:pic>
              </a:graphicData>
            </a:graphic>
          </wp:inline>
        </w:drawing>
      </w:r>
    </w:p>
    <w:p w:rsidR="00CF13EB" w:rsidRPr="005D614A" w:rsidRDefault="00CF13EB" w:rsidP="005D614A">
      <w:pPr>
        <w:spacing w:after="0"/>
        <w:rPr>
          <w:rFonts w:ascii="Arial" w:hAnsi="Arial" w:cs="Arial"/>
          <w:b/>
          <w:sz w:val="24"/>
        </w:rPr>
      </w:pPr>
      <w:r w:rsidRPr="005D614A">
        <w:rPr>
          <w:rFonts w:ascii="Arial" w:hAnsi="Arial" w:cs="Arial"/>
          <w:b/>
          <w:sz w:val="24"/>
        </w:rPr>
        <w:t>Figure 12. Number of deaths per year resulting from crashes with deceased drivers given a blood test for alcohol and drugs who tested positive for any cannabinoid and/or had a BAC ≥ 0.08% in Massachusetts from 2006 to 2016.</w:t>
      </w:r>
    </w:p>
    <w:p w:rsidR="00CF13EB" w:rsidRPr="00B74EFE" w:rsidRDefault="00CF13EB" w:rsidP="006057BE">
      <w:pPr>
        <w:pStyle w:val="BodyText"/>
        <w:spacing w:line="240" w:lineRule="auto"/>
        <w:rPr>
          <w:iCs/>
          <w:sz w:val="24"/>
        </w:rPr>
      </w:pPr>
    </w:p>
    <w:p w:rsidR="00CF13EB" w:rsidRPr="00B74EFE" w:rsidRDefault="00CF13EB" w:rsidP="006057BE">
      <w:pPr>
        <w:pStyle w:val="BodyText"/>
        <w:spacing w:line="240" w:lineRule="auto"/>
        <w:rPr>
          <w:sz w:val="24"/>
        </w:rPr>
      </w:pPr>
      <w:r w:rsidRPr="00B74EFE">
        <w:rPr>
          <w:sz w:val="24"/>
        </w:rPr>
        <w:t xml:space="preserve">The presence of other drugs was examined in addition to alcohol and cannabinoids. Figure 13 shows the frequency at which other drugs were present in blood-tested, deceased drivers. The drug categories were taken from the 2016 FARS/NASS GES Coding and Validation Manual </w:t>
      </w:r>
      <w:r w:rsidRPr="00B74EFE">
        <w:rPr>
          <w:sz w:val="24"/>
        </w:rPr>
        <w:fldChar w:fldCharType="begin"/>
      </w:r>
      <w:r w:rsidRPr="00B74EFE">
        <w:rPr>
          <w:sz w:val="24"/>
        </w:rPr>
        <w:instrText xml:space="preserve"> ADDIN EN.CITE &lt;EndNote&gt;&lt;Cite&gt;&lt;Author&gt;National Highway Traffic Safety Administration&lt;/Author&gt;&lt;Year&gt;2016&lt;/Year&gt;&lt;RecNum&gt;1446&lt;/RecNum&gt;&lt;DisplayText&gt;(National Highway Traffic Safety Administration, 2016)&lt;/DisplayText&gt;&lt;record&gt;&lt;rec-number&gt;1446&lt;/rec-number&gt;&lt;foreign-keys&gt;&lt;key app="EN" db-id="drzedr0r40wx06ee2zn5f5tvxx9wta0svwzs" timestamp="1526322228"&gt;1446&lt;/key&gt;&lt;key app="ENWeb" db-id=""&gt;0&lt;/key&gt;&lt;/foreign-keys&gt;&lt;ref-type name="Report"&gt;27&lt;/ref-type&gt;&lt;contributors&gt;&lt;authors&gt;&lt;author&gt;National Highway Traffic Safety Administration,,&lt;/author&gt;&lt;/authors&gt;&lt;tertiary-authors&gt;&lt;author&gt;U.S. Department of Transportation&lt;/author&gt;&lt;/tertiary-authors&gt;&lt;/contributors&gt;&lt;titles&gt;&lt;title&gt;Fatality Analysis Reporting System (FARS) Analytical User&amp;apos;s Manual 1974-2015&lt;/title&gt;&lt;/titles&gt;&lt;dates&gt;&lt;year&gt;2016&lt;/year&gt;&lt;/dates&gt;&lt;pub-location&gt;Washington, D.C.&lt;/pub-location&gt;&lt;urls&gt;&lt;related-urls&gt;&lt;url&gt;http://www.nber.org/fars/ftp.nhtsa.dot.gov/fars/FARS-DOC/Analytical%20User%20Guide/USERGUIDE-2015.pdf&lt;/url&gt;&lt;/related-urls&gt;&lt;/urls&gt;&lt;/record&gt;&lt;/Cite&gt;&lt;/EndNote&gt;</w:instrText>
      </w:r>
      <w:r w:rsidRPr="00B74EFE">
        <w:rPr>
          <w:sz w:val="24"/>
        </w:rPr>
        <w:fldChar w:fldCharType="separate"/>
      </w:r>
      <w:r w:rsidRPr="00B74EFE">
        <w:rPr>
          <w:noProof/>
          <w:sz w:val="24"/>
        </w:rPr>
        <w:t>(National Highway Traffic Safety Administration, 2016)</w:t>
      </w:r>
      <w:r w:rsidRPr="00B74EFE">
        <w:rPr>
          <w:sz w:val="24"/>
        </w:rPr>
        <w:fldChar w:fldCharType="end"/>
      </w:r>
      <w:r w:rsidRPr="00B74EFE">
        <w:rPr>
          <w:sz w:val="24"/>
        </w:rPr>
        <w:t xml:space="preserve"> with “Other” encompassing all drugs other than cannabinoids, narcotics, stimulants, depressants, and hallucinogens/PCP. Overall, all drug categories have generally trended upwards in the past 11 years.</w:t>
      </w:r>
    </w:p>
    <w:p w:rsidR="005D7694" w:rsidRDefault="005D7694" w:rsidP="006057BE">
      <w:pPr>
        <w:pStyle w:val="Caption"/>
        <w:spacing w:after="0"/>
        <w:contextualSpacing w:val="0"/>
        <w:rPr>
          <w:b/>
        </w:rPr>
      </w:pPr>
      <w:bookmarkStart w:id="500" w:name="_Ref509655549"/>
    </w:p>
    <w:p w:rsidR="00CF13EB" w:rsidRPr="00B3588A" w:rsidRDefault="007B6DB6" w:rsidP="006057BE">
      <w:pPr>
        <w:pStyle w:val="Caption"/>
        <w:spacing w:after="0"/>
        <w:contextualSpacing w:val="0"/>
        <w:rPr>
          <w:b/>
        </w:rPr>
      </w:pPr>
      <w:r>
        <w:rPr>
          <w:b/>
          <w:noProof/>
        </w:rPr>
        <w:drawing>
          <wp:inline distT="0" distB="0" distL="0" distR="0" wp14:anchorId="4F5C5A6C" wp14:editId="2505B9BA">
            <wp:extent cx="5944235" cy="3474720"/>
            <wp:effectExtent l="0" t="0" r="0" b="0"/>
            <wp:docPr id="27" name="Picture 27" descr="The figure shows the frequency at which drugs other than alcohol were present in blood-tested, deceased drivers. The drug categories were taken from the 2016 FARS/NASS GES Coding and Validation Manual from 2016. Categories include cannabinoids, narcotics, stimulants, depressants, hallucinogens/PCP, and &quot;other&quot;. Overall, all drug categories have generally trended upwards over 11 years from 2006 through 2016. " title="Pertentage of Deceased with Positive Results for Various Drug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4235" cy="3474720"/>
                    </a:xfrm>
                    <a:prstGeom prst="rect">
                      <a:avLst/>
                    </a:prstGeom>
                    <a:noFill/>
                  </pic:spPr>
                </pic:pic>
              </a:graphicData>
            </a:graphic>
          </wp:inline>
        </w:drawing>
      </w:r>
    </w:p>
    <w:bookmarkEnd w:id="500"/>
    <w:p w:rsidR="005D7694" w:rsidRDefault="005D7694" w:rsidP="006057BE">
      <w:pPr>
        <w:spacing w:after="0" w:line="240" w:lineRule="auto"/>
        <w:rPr>
          <w:rFonts w:ascii="Arial" w:hAnsi="Arial" w:cs="Arial"/>
          <w:b/>
          <w:iCs/>
        </w:rPr>
      </w:pPr>
    </w:p>
    <w:p w:rsidR="00CF13EB" w:rsidRPr="00B74EFE" w:rsidRDefault="00CF13EB" w:rsidP="006057BE">
      <w:pPr>
        <w:spacing w:after="0" w:line="240" w:lineRule="auto"/>
        <w:rPr>
          <w:rFonts w:ascii="Arial" w:hAnsi="Arial" w:cs="Arial"/>
          <w:b/>
          <w:iCs/>
          <w:sz w:val="24"/>
        </w:rPr>
      </w:pPr>
      <w:r w:rsidRPr="00B74EFE">
        <w:rPr>
          <w:rFonts w:ascii="Arial" w:hAnsi="Arial" w:cs="Arial"/>
          <w:b/>
          <w:iCs/>
          <w:sz w:val="24"/>
        </w:rPr>
        <w:t xml:space="preserve">Figure 13. Percentage of all deceased, drivers given a blood test for drugs who tested positive for various drug categories in Massachusetts from 2006 to 2016. </w:t>
      </w:r>
    </w:p>
    <w:p w:rsidR="00CF13EB" w:rsidRPr="00B74EFE" w:rsidRDefault="00CF13EB" w:rsidP="006057BE">
      <w:pPr>
        <w:spacing w:after="0" w:line="240" w:lineRule="auto"/>
        <w:rPr>
          <w:rFonts w:ascii="Arial" w:hAnsi="Arial" w:cs="Arial"/>
          <w:sz w:val="24"/>
        </w:rPr>
      </w:pPr>
    </w:p>
    <w:p w:rsidR="00CF13EB" w:rsidRPr="00B74EFE" w:rsidRDefault="00CF13EB" w:rsidP="006057BE">
      <w:pPr>
        <w:spacing w:after="0" w:line="240" w:lineRule="auto"/>
        <w:rPr>
          <w:rFonts w:ascii="Arial" w:hAnsi="Arial" w:cs="Arial"/>
          <w:sz w:val="24"/>
        </w:rPr>
      </w:pPr>
      <w:r w:rsidRPr="00B74EFE">
        <w:rPr>
          <w:rFonts w:ascii="Arial" w:hAnsi="Arial" w:cs="Arial"/>
          <w:sz w:val="24"/>
        </w:rPr>
        <w:t>Figure note: Totals will not sum to 100% as drivers could test positive in multiple categories. Cases with a positive test result but unknown drug type are excluded (0.2% of drivers given a blood test for drugs).</w:t>
      </w:r>
    </w:p>
    <w:p w:rsidR="00CF13EB" w:rsidRPr="00B74EFE" w:rsidRDefault="00CF13EB" w:rsidP="006057BE">
      <w:pPr>
        <w:spacing w:after="0" w:line="240" w:lineRule="auto"/>
        <w:rPr>
          <w:rFonts w:ascii="Arial" w:hAnsi="Arial" w:cs="Arial"/>
          <w:sz w:val="24"/>
        </w:rPr>
      </w:pPr>
    </w:p>
    <w:p w:rsidR="00CF13EB" w:rsidRPr="00B74EFE" w:rsidRDefault="00CF13EB" w:rsidP="006057BE">
      <w:pPr>
        <w:pStyle w:val="BodyText"/>
        <w:spacing w:line="240" w:lineRule="auto"/>
        <w:rPr>
          <w:sz w:val="24"/>
        </w:rPr>
      </w:pPr>
      <w:r w:rsidRPr="00B74EFE">
        <w:rPr>
          <w:sz w:val="24"/>
        </w:rPr>
        <w:t xml:space="preserve">Drugs besides cannabinoids were analyzed in conjunction with alcohol (BAC </w:t>
      </w:r>
      <w:r w:rsidRPr="00B74EFE">
        <w:rPr>
          <w:rFonts w:cstheme="minorHAnsi"/>
          <w:sz w:val="24"/>
        </w:rPr>
        <w:t>≥</w:t>
      </w:r>
      <w:r w:rsidRPr="00B74EFE">
        <w:rPr>
          <w:sz w:val="24"/>
        </w:rPr>
        <w:t xml:space="preserve"> 0.08) and any cannabinoids (Table 12). When examining racial/ethnic differences, White, non-Hispanic drivers were more likely to have only other drugs in their system than cannabinoids (Table 13). The same did not hold true for drivers with any Hispanic/Latino ethnicity and Black, non-Hispanic drivers. Those groups were equally or more likely to have cannabinoids only in their system than other drugs only. Sample sizes were too small for the other racial/ethnic categories to make similar comparisons.</w:t>
      </w:r>
    </w:p>
    <w:p w:rsidR="00CF13EB" w:rsidRPr="00B74EFE" w:rsidRDefault="00CF13EB" w:rsidP="006057BE">
      <w:pPr>
        <w:pStyle w:val="BodyText"/>
        <w:spacing w:line="240" w:lineRule="auto"/>
        <w:rPr>
          <w:sz w:val="24"/>
        </w:rPr>
      </w:pPr>
    </w:p>
    <w:p w:rsidR="00CF13EB" w:rsidRPr="00B74EFE" w:rsidRDefault="00CF13EB" w:rsidP="006057BE">
      <w:pPr>
        <w:pStyle w:val="BodyText"/>
        <w:spacing w:line="240" w:lineRule="auto"/>
        <w:rPr>
          <w:rFonts w:cs="Times New Roman"/>
          <w:sz w:val="24"/>
        </w:rPr>
      </w:pPr>
      <w:r w:rsidRPr="00B74EFE">
        <w:rPr>
          <w:sz w:val="24"/>
        </w:rPr>
        <w:t xml:space="preserve">Table 12, Table 13 and Table 14 show the number and frequency of deceased drivers by sex, race and age (respectively) testing positive for the seven combinations of cannabinoids, drugs and alcohol (defined as a BAC </w:t>
      </w:r>
      <w:r w:rsidRPr="00B74EFE">
        <w:rPr>
          <w:rFonts w:cs="Times New Roman"/>
          <w:sz w:val="24"/>
        </w:rPr>
        <w:t>≥ 0.08%)</w:t>
      </w:r>
      <w:r w:rsidRPr="00B74EFE">
        <w:rPr>
          <w:sz w:val="24"/>
        </w:rPr>
        <w:t xml:space="preserve"> or none of those results.. Females were less likely than males to have a blood alcohol content above the legal limit or test positive for cannabinoids only, </w:t>
      </w:r>
      <w:r w:rsidRPr="00B74EFE">
        <w:rPr>
          <w:rFonts w:cs="Times New Roman"/>
          <w:sz w:val="24"/>
        </w:rPr>
        <w:t>but were more likely than males to have a positive result for only other drugs (Table 12).</w:t>
      </w:r>
      <w:bookmarkStart w:id="501" w:name="_Ref509655893"/>
    </w:p>
    <w:p w:rsidR="00CF13EB" w:rsidRPr="00B74EFE" w:rsidRDefault="00CF13EB" w:rsidP="006057BE">
      <w:pPr>
        <w:pStyle w:val="BodyText"/>
        <w:spacing w:line="240" w:lineRule="auto"/>
        <w:rPr>
          <w:rFonts w:cs="Times New Roman"/>
          <w:sz w:val="24"/>
        </w:rPr>
      </w:pPr>
    </w:p>
    <w:p w:rsidR="00CF13EB" w:rsidRPr="00B74EFE" w:rsidRDefault="00CF13EB" w:rsidP="006057BE">
      <w:pPr>
        <w:pStyle w:val="BodyText"/>
        <w:spacing w:line="240" w:lineRule="auto"/>
        <w:rPr>
          <w:rFonts w:cs="Times New Roman"/>
          <w:sz w:val="24"/>
        </w:rPr>
      </w:pPr>
    </w:p>
    <w:p w:rsidR="00CF13EB" w:rsidRPr="00B74EFE" w:rsidRDefault="00CF13EB" w:rsidP="006057BE">
      <w:pPr>
        <w:pStyle w:val="BodyText"/>
        <w:spacing w:line="240" w:lineRule="auto"/>
        <w:rPr>
          <w:rFonts w:cs="Times New Roman"/>
          <w:sz w:val="24"/>
        </w:rPr>
      </w:pPr>
    </w:p>
    <w:p w:rsidR="00CF13EB" w:rsidRPr="00B74EFE" w:rsidRDefault="00CF13EB" w:rsidP="006057BE">
      <w:pPr>
        <w:pStyle w:val="BodyText"/>
        <w:spacing w:line="240" w:lineRule="auto"/>
        <w:rPr>
          <w:rFonts w:cs="Times New Roman"/>
          <w:sz w:val="24"/>
        </w:rPr>
      </w:pPr>
    </w:p>
    <w:p w:rsidR="00CF13EB" w:rsidRPr="00B74EFE" w:rsidRDefault="00CF13EB" w:rsidP="006057BE">
      <w:pPr>
        <w:pStyle w:val="BodyText"/>
        <w:spacing w:line="240" w:lineRule="auto"/>
        <w:rPr>
          <w:rFonts w:cs="Times New Roman"/>
          <w:sz w:val="24"/>
        </w:rPr>
      </w:pPr>
    </w:p>
    <w:p w:rsidR="00CF13EB" w:rsidRPr="005D614A" w:rsidRDefault="00CF13EB" w:rsidP="005D614A">
      <w:pPr>
        <w:spacing w:after="0"/>
        <w:rPr>
          <w:rFonts w:ascii="Arial" w:hAnsi="Arial" w:cs="Arial"/>
          <w:b/>
          <w:sz w:val="24"/>
        </w:rPr>
      </w:pPr>
      <w:bookmarkStart w:id="502" w:name="_Toc11766018"/>
      <w:bookmarkStart w:id="503" w:name="_Toc11766673"/>
      <w:bookmarkStart w:id="504" w:name="_Toc11917253"/>
      <w:bookmarkStart w:id="505" w:name="_Toc11921691"/>
      <w:bookmarkEnd w:id="501"/>
      <w:r w:rsidRPr="005D614A">
        <w:rPr>
          <w:rFonts w:ascii="Arial" w:hAnsi="Arial" w:cs="Arial"/>
          <w:b/>
          <w:sz w:val="24"/>
        </w:rPr>
        <w:t>Table 12. Number and proportion of deceased drivers given a blood test for drugs who tested positive for any cannabinoid and/or had a blood alcohol content (BAC) ≥  0.08% and/or positive  results for other drugs, by driver sex</w:t>
      </w:r>
      <w:bookmarkEnd w:id="502"/>
      <w:bookmarkEnd w:id="503"/>
      <w:bookmarkEnd w:id="504"/>
      <w:bookmarkEnd w:id="505"/>
    </w:p>
    <w:p w:rsidR="00CF13EB" w:rsidRPr="00CF13EB" w:rsidRDefault="00CF13EB" w:rsidP="006057BE">
      <w:pPr>
        <w:pStyle w:val="BodyText"/>
        <w:spacing w:line="240" w:lineRule="auto"/>
      </w:pP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and proportion of deceased drivers given a blood test for drugs who tested positive for any cannabinoid and/or had a blood alcohol content (BAC) ≥  0.08% and/or positive  results for other drugs, by driver sex"/>
      </w:tblPr>
      <w:tblGrid>
        <w:gridCol w:w="3430"/>
        <w:gridCol w:w="900"/>
        <w:gridCol w:w="900"/>
        <w:gridCol w:w="1080"/>
        <w:gridCol w:w="1155"/>
      </w:tblGrid>
      <w:tr w:rsidR="00CF13EB" w:rsidRPr="00EA7851" w:rsidTr="00CF13EB">
        <w:trPr>
          <w:trHeight w:val="300"/>
          <w:jc w:val="center"/>
        </w:trPr>
        <w:tc>
          <w:tcPr>
            <w:tcW w:w="3430" w:type="dxa"/>
            <w:vMerge w:val="restart"/>
            <w:noWrap/>
            <w:vAlign w:val="center"/>
            <w:hideMark/>
          </w:tcPr>
          <w:p w:rsidR="00CF13EB" w:rsidRPr="00D173C3" w:rsidRDefault="00CF13EB" w:rsidP="006057BE">
            <w:pPr>
              <w:spacing w:after="0" w:line="240" w:lineRule="auto"/>
              <w:rPr>
                <w:rFonts w:ascii="Arial" w:hAnsi="Arial" w:cs="Arial"/>
                <w:b/>
                <w:bCs/>
                <w:sz w:val="24"/>
                <w:szCs w:val="24"/>
              </w:rPr>
            </w:pPr>
            <w:bookmarkStart w:id="506" w:name="_Ref509656006"/>
            <w:bookmarkStart w:id="507" w:name="_Ref509660014"/>
          </w:p>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Type</w:t>
            </w:r>
          </w:p>
        </w:tc>
        <w:tc>
          <w:tcPr>
            <w:tcW w:w="1800" w:type="dxa"/>
            <w:gridSpan w:val="2"/>
            <w:noWrap/>
            <w:vAlign w:val="center"/>
            <w:hideMark/>
          </w:tcPr>
          <w:p w:rsidR="00CF13EB" w:rsidRPr="00D173C3" w:rsidRDefault="00CF13EB" w:rsidP="00D173C3">
            <w:pPr>
              <w:spacing w:after="0" w:line="240" w:lineRule="auto"/>
              <w:jc w:val="center"/>
              <w:rPr>
                <w:rFonts w:ascii="Arial" w:hAnsi="Arial" w:cs="Arial"/>
                <w:b/>
                <w:bCs/>
                <w:sz w:val="24"/>
                <w:szCs w:val="24"/>
              </w:rPr>
            </w:pPr>
            <w:r w:rsidRPr="00D173C3">
              <w:rPr>
                <w:rFonts w:ascii="Arial" w:hAnsi="Arial" w:cs="Arial"/>
                <w:b/>
                <w:bCs/>
                <w:sz w:val="24"/>
                <w:szCs w:val="24"/>
              </w:rPr>
              <w:t>Male</w:t>
            </w:r>
          </w:p>
        </w:tc>
        <w:tc>
          <w:tcPr>
            <w:tcW w:w="2235" w:type="dxa"/>
            <w:gridSpan w:val="2"/>
            <w:noWrap/>
            <w:vAlign w:val="center"/>
            <w:hideMark/>
          </w:tcPr>
          <w:p w:rsidR="00CF13EB" w:rsidRPr="00D173C3" w:rsidRDefault="00CF13EB" w:rsidP="00D173C3">
            <w:pPr>
              <w:spacing w:after="0" w:line="240" w:lineRule="auto"/>
              <w:jc w:val="center"/>
              <w:rPr>
                <w:rFonts w:ascii="Arial" w:hAnsi="Arial" w:cs="Arial"/>
                <w:b/>
                <w:bCs/>
                <w:sz w:val="24"/>
                <w:szCs w:val="24"/>
              </w:rPr>
            </w:pPr>
            <w:r w:rsidRPr="00D173C3">
              <w:rPr>
                <w:rFonts w:ascii="Arial" w:hAnsi="Arial" w:cs="Arial"/>
                <w:b/>
                <w:bCs/>
                <w:sz w:val="24"/>
                <w:szCs w:val="24"/>
              </w:rPr>
              <w:t>Female</w:t>
            </w:r>
          </w:p>
        </w:tc>
      </w:tr>
      <w:tr w:rsidR="00CF13EB" w:rsidRPr="00EA7851" w:rsidTr="00CF13EB">
        <w:trPr>
          <w:trHeight w:val="300"/>
          <w:jc w:val="center"/>
        </w:trPr>
        <w:tc>
          <w:tcPr>
            <w:tcW w:w="3430" w:type="dxa"/>
            <w:vMerge/>
            <w:vAlign w:val="center"/>
            <w:hideMark/>
          </w:tcPr>
          <w:p w:rsidR="00CF13EB" w:rsidRPr="00D173C3" w:rsidRDefault="00CF13EB" w:rsidP="006057BE">
            <w:pPr>
              <w:spacing w:after="0" w:line="240" w:lineRule="auto"/>
              <w:rPr>
                <w:rFonts w:ascii="Arial" w:hAnsi="Arial" w:cs="Arial"/>
                <w:b/>
                <w:bCs/>
                <w:sz w:val="24"/>
                <w:szCs w:val="24"/>
              </w:rPr>
            </w:pPr>
          </w:p>
        </w:tc>
        <w:tc>
          <w:tcPr>
            <w:tcW w:w="900" w:type="dxa"/>
            <w:noWrap/>
            <w:vAlign w:val="center"/>
            <w:hideMark/>
          </w:tcPr>
          <w:p w:rsidR="00CF13EB" w:rsidRPr="00D173C3" w:rsidRDefault="00CF13EB" w:rsidP="00D173C3">
            <w:pPr>
              <w:spacing w:after="0" w:line="240" w:lineRule="auto"/>
              <w:jc w:val="center"/>
              <w:rPr>
                <w:rFonts w:ascii="Arial" w:hAnsi="Arial" w:cs="Arial"/>
                <w:b/>
                <w:bCs/>
                <w:sz w:val="24"/>
                <w:szCs w:val="24"/>
              </w:rPr>
            </w:pPr>
            <w:r w:rsidRPr="00D173C3">
              <w:rPr>
                <w:rFonts w:ascii="Arial" w:hAnsi="Arial" w:cs="Arial"/>
                <w:b/>
                <w:bCs/>
                <w:sz w:val="24"/>
                <w:szCs w:val="24"/>
              </w:rPr>
              <w:t>n</w:t>
            </w:r>
          </w:p>
        </w:tc>
        <w:tc>
          <w:tcPr>
            <w:tcW w:w="900" w:type="dxa"/>
            <w:noWrap/>
            <w:vAlign w:val="center"/>
            <w:hideMark/>
          </w:tcPr>
          <w:p w:rsidR="00CF13EB" w:rsidRPr="00D173C3" w:rsidRDefault="00CF13EB" w:rsidP="00D173C3">
            <w:pPr>
              <w:spacing w:after="0" w:line="240" w:lineRule="auto"/>
              <w:jc w:val="center"/>
              <w:rPr>
                <w:rFonts w:ascii="Arial" w:hAnsi="Arial" w:cs="Arial"/>
                <w:b/>
                <w:bCs/>
                <w:sz w:val="24"/>
                <w:szCs w:val="24"/>
              </w:rPr>
            </w:pPr>
            <w:r w:rsidRPr="00D173C3">
              <w:rPr>
                <w:rFonts w:ascii="Arial" w:hAnsi="Arial" w:cs="Arial"/>
                <w:b/>
                <w:bCs/>
                <w:sz w:val="24"/>
                <w:szCs w:val="24"/>
              </w:rPr>
              <w:t>%</w:t>
            </w:r>
          </w:p>
        </w:tc>
        <w:tc>
          <w:tcPr>
            <w:tcW w:w="1080" w:type="dxa"/>
            <w:noWrap/>
            <w:vAlign w:val="center"/>
            <w:hideMark/>
          </w:tcPr>
          <w:p w:rsidR="00CF13EB" w:rsidRPr="00D173C3" w:rsidRDefault="00CF13EB" w:rsidP="00D173C3">
            <w:pPr>
              <w:spacing w:after="0" w:line="240" w:lineRule="auto"/>
              <w:jc w:val="center"/>
              <w:rPr>
                <w:rFonts w:ascii="Arial" w:hAnsi="Arial" w:cs="Arial"/>
                <w:b/>
                <w:bCs/>
                <w:sz w:val="24"/>
                <w:szCs w:val="24"/>
              </w:rPr>
            </w:pPr>
            <w:r w:rsidRPr="00D173C3">
              <w:rPr>
                <w:rFonts w:ascii="Arial" w:hAnsi="Arial" w:cs="Arial"/>
                <w:b/>
                <w:bCs/>
                <w:sz w:val="24"/>
                <w:szCs w:val="24"/>
              </w:rPr>
              <w:t>n</w:t>
            </w:r>
          </w:p>
        </w:tc>
        <w:tc>
          <w:tcPr>
            <w:tcW w:w="1155" w:type="dxa"/>
            <w:noWrap/>
            <w:vAlign w:val="center"/>
            <w:hideMark/>
          </w:tcPr>
          <w:p w:rsidR="00CF13EB" w:rsidRPr="00D173C3" w:rsidRDefault="00CF13EB" w:rsidP="00D173C3">
            <w:pPr>
              <w:spacing w:after="0" w:line="240" w:lineRule="auto"/>
              <w:jc w:val="center"/>
              <w:rPr>
                <w:rFonts w:ascii="Arial" w:hAnsi="Arial" w:cs="Arial"/>
                <w:b/>
                <w:bCs/>
                <w:sz w:val="24"/>
                <w:szCs w:val="24"/>
              </w:rPr>
            </w:pPr>
            <w:r w:rsidRPr="00D173C3">
              <w:rPr>
                <w:rFonts w:ascii="Arial" w:hAnsi="Arial" w:cs="Arial"/>
                <w:b/>
                <w:bCs/>
                <w:sz w:val="24"/>
                <w:szCs w:val="24"/>
              </w:rPr>
              <w:t>%</w:t>
            </w:r>
          </w:p>
        </w:tc>
      </w:tr>
      <w:tr w:rsidR="00CF13EB" w:rsidRPr="00EA7851" w:rsidTr="00CF13EB">
        <w:trPr>
          <w:trHeight w:val="300"/>
          <w:jc w:val="center"/>
        </w:trPr>
        <w:tc>
          <w:tcPr>
            <w:tcW w:w="3430"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Cannabinoids Only (MJ)</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98</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6.7%</w:t>
            </w:r>
          </w:p>
        </w:tc>
        <w:tc>
          <w:tcPr>
            <w:tcW w:w="108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12</w:t>
            </w:r>
          </w:p>
        </w:tc>
        <w:tc>
          <w:tcPr>
            <w:tcW w:w="1155"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2.9%</w:t>
            </w:r>
          </w:p>
        </w:tc>
      </w:tr>
      <w:tr w:rsidR="00CF13EB" w:rsidRPr="00EA7851" w:rsidTr="00CF13EB">
        <w:trPr>
          <w:trHeight w:val="300"/>
          <w:jc w:val="center"/>
        </w:trPr>
        <w:tc>
          <w:tcPr>
            <w:tcW w:w="3430"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 xml:space="preserve">BAC ≥ 0.08%   </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270</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18.4%</w:t>
            </w:r>
          </w:p>
        </w:tc>
        <w:tc>
          <w:tcPr>
            <w:tcW w:w="108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53</w:t>
            </w:r>
          </w:p>
        </w:tc>
        <w:tc>
          <w:tcPr>
            <w:tcW w:w="1155"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12.8%</w:t>
            </w:r>
          </w:p>
        </w:tc>
      </w:tr>
      <w:tr w:rsidR="00CF13EB" w:rsidRPr="00EA7851" w:rsidTr="00CF13EB">
        <w:trPr>
          <w:trHeight w:val="315"/>
          <w:jc w:val="center"/>
        </w:trPr>
        <w:tc>
          <w:tcPr>
            <w:tcW w:w="3430"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Other Drugs Only (Drugs)</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261</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17.8%</w:t>
            </w:r>
          </w:p>
        </w:tc>
        <w:tc>
          <w:tcPr>
            <w:tcW w:w="108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110</w:t>
            </w:r>
          </w:p>
        </w:tc>
        <w:tc>
          <w:tcPr>
            <w:tcW w:w="1155"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26.6%</w:t>
            </w:r>
          </w:p>
        </w:tc>
      </w:tr>
      <w:tr w:rsidR="00CF13EB" w:rsidRPr="00EA7851" w:rsidTr="00CF13EB">
        <w:trPr>
          <w:trHeight w:val="300"/>
          <w:jc w:val="center"/>
        </w:trPr>
        <w:tc>
          <w:tcPr>
            <w:tcW w:w="3430"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 xml:space="preserve">MJ + BAC ≥ 0.08%   </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65</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4.4%</w:t>
            </w:r>
          </w:p>
        </w:tc>
        <w:tc>
          <w:tcPr>
            <w:tcW w:w="108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23</w:t>
            </w:r>
          </w:p>
        </w:tc>
        <w:tc>
          <w:tcPr>
            <w:tcW w:w="1155"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5.6%</w:t>
            </w:r>
          </w:p>
        </w:tc>
      </w:tr>
      <w:tr w:rsidR="00CF13EB" w:rsidRPr="00EA7851" w:rsidTr="00CF13EB">
        <w:trPr>
          <w:trHeight w:val="300"/>
          <w:jc w:val="center"/>
        </w:trPr>
        <w:tc>
          <w:tcPr>
            <w:tcW w:w="3430"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MJ + Drugs</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80</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5.5%</w:t>
            </w:r>
          </w:p>
        </w:tc>
        <w:tc>
          <w:tcPr>
            <w:tcW w:w="108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21</w:t>
            </w:r>
          </w:p>
        </w:tc>
        <w:tc>
          <w:tcPr>
            <w:tcW w:w="1155"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5.1%</w:t>
            </w:r>
          </w:p>
        </w:tc>
      </w:tr>
      <w:tr w:rsidR="00CF13EB" w:rsidRPr="00EA7851" w:rsidTr="00CF13EB">
        <w:trPr>
          <w:trHeight w:val="300"/>
          <w:jc w:val="center"/>
        </w:trPr>
        <w:tc>
          <w:tcPr>
            <w:tcW w:w="3430"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BAC ≥ 0.08% + Drugs</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113</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7.7%</w:t>
            </w:r>
          </w:p>
        </w:tc>
        <w:tc>
          <w:tcPr>
            <w:tcW w:w="108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33</w:t>
            </w:r>
          </w:p>
        </w:tc>
        <w:tc>
          <w:tcPr>
            <w:tcW w:w="1155"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8.0%</w:t>
            </w:r>
          </w:p>
        </w:tc>
      </w:tr>
      <w:tr w:rsidR="00CF13EB" w:rsidRPr="00EA7851" w:rsidTr="00CF13EB">
        <w:trPr>
          <w:trHeight w:val="300"/>
          <w:jc w:val="center"/>
        </w:trPr>
        <w:tc>
          <w:tcPr>
            <w:tcW w:w="3430"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MJ + BAC ≥ 0.08% + Drugs</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54</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3.7%</w:t>
            </w:r>
          </w:p>
        </w:tc>
        <w:tc>
          <w:tcPr>
            <w:tcW w:w="108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15</w:t>
            </w:r>
          </w:p>
        </w:tc>
        <w:tc>
          <w:tcPr>
            <w:tcW w:w="1155"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3.6%</w:t>
            </w:r>
          </w:p>
        </w:tc>
      </w:tr>
      <w:tr w:rsidR="00CF13EB" w:rsidRPr="00EA7851" w:rsidTr="00CF13EB">
        <w:trPr>
          <w:trHeight w:val="300"/>
          <w:jc w:val="center"/>
        </w:trPr>
        <w:tc>
          <w:tcPr>
            <w:tcW w:w="3430"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None</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523</w:t>
            </w:r>
          </w:p>
        </w:tc>
        <w:tc>
          <w:tcPr>
            <w:tcW w:w="90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35.7%</w:t>
            </w:r>
          </w:p>
        </w:tc>
        <w:tc>
          <w:tcPr>
            <w:tcW w:w="1080"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147</w:t>
            </w:r>
          </w:p>
        </w:tc>
        <w:tc>
          <w:tcPr>
            <w:tcW w:w="1155" w:type="dxa"/>
            <w:noWrap/>
            <w:vAlign w:val="center"/>
            <w:hideMark/>
          </w:tcPr>
          <w:p w:rsidR="00CF13EB" w:rsidRPr="00D173C3" w:rsidRDefault="00CF13EB" w:rsidP="00D173C3">
            <w:pPr>
              <w:spacing w:after="0" w:line="240" w:lineRule="auto"/>
              <w:jc w:val="center"/>
              <w:rPr>
                <w:rFonts w:ascii="Arial" w:hAnsi="Arial" w:cs="Arial"/>
                <w:sz w:val="24"/>
                <w:szCs w:val="24"/>
              </w:rPr>
            </w:pPr>
            <w:r w:rsidRPr="00D173C3">
              <w:rPr>
                <w:rFonts w:ascii="Arial" w:hAnsi="Arial" w:cs="Arial"/>
                <w:sz w:val="24"/>
                <w:szCs w:val="24"/>
              </w:rPr>
              <w:t>35.5%</w:t>
            </w:r>
          </w:p>
        </w:tc>
      </w:tr>
      <w:tr w:rsidR="00CF13EB" w:rsidRPr="00EA7851" w:rsidTr="00CF13EB">
        <w:trPr>
          <w:trHeight w:val="300"/>
          <w:jc w:val="center"/>
        </w:trPr>
        <w:tc>
          <w:tcPr>
            <w:tcW w:w="3430" w:type="dxa"/>
            <w:noWrap/>
            <w:vAlign w:val="bottom"/>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Total</w:t>
            </w:r>
          </w:p>
        </w:tc>
        <w:tc>
          <w:tcPr>
            <w:tcW w:w="900" w:type="dxa"/>
            <w:noWrap/>
            <w:vAlign w:val="bottom"/>
            <w:hideMark/>
          </w:tcPr>
          <w:p w:rsidR="00CF13EB" w:rsidRPr="00D173C3" w:rsidRDefault="00CF13EB" w:rsidP="00D173C3">
            <w:pPr>
              <w:spacing w:after="0" w:line="240" w:lineRule="auto"/>
              <w:jc w:val="center"/>
              <w:rPr>
                <w:rFonts w:ascii="Arial" w:hAnsi="Arial" w:cs="Arial"/>
                <w:b/>
                <w:bCs/>
                <w:sz w:val="24"/>
                <w:szCs w:val="24"/>
              </w:rPr>
            </w:pPr>
            <w:r w:rsidRPr="00D173C3">
              <w:rPr>
                <w:rFonts w:ascii="Arial" w:hAnsi="Arial" w:cs="Arial"/>
                <w:b/>
                <w:bCs/>
                <w:sz w:val="24"/>
                <w:szCs w:val="24"/>
              </w:rPr>
              <w:t>1464</w:t>
            </w:r>
          </w:p>
        </w:tc>
        <w:tc>
          <w:tcPr>
            <w:tcW w:w="900" w:type="dxa"/>
            <w:noWrap/>
            <w:vAlign w:val="bottom"/>
            <w:hideMark/>
          </w:tcPr>
          <w:p w:rsidR="00CF13EB" w:rsidRPr="00D173C3" w:rsidRDefault="00CF13EB" w:rsidP="00D173C3">
            <w:pPr>
              <w:spacing w:after="0" w:line="240" w:lineRule="auto"/>
              <w:jc w:val="center"/>
              <w:rPr>
                <w:rFonts w:ascii="Arial" w:hAnsi="Arial" w:cs="Arial"/>
                <w:b/>
                <w:bCs/>
                <w:sz w:val="24"/>
                <w:szCs w:val="24"/>
              </w:rPr>
            </w:pPr>
            <w:r w:rsidRPr="00D173C3">
              <w:rPr>
                <w:rFonts w:ascii="Arial" w:hAnsi="Arial" w:cs="Arial"/>
                <w:b/>
                <w:bCs/>
                <w:sz w:val="24"/>
                <w:szCs w:val="24"/>
              </w:rPr>
              <w:t>100%</w:t>
            </w:r>
          </w:p>
        </w:tc>
        <w:tc>
          <w:tcPr>
            <w:tcW w:w="1080" w:type="dxa"/>
            <w:noWrap/>
            <w:vAlign w:val="bottom"/>
            <w:hideMark/>
          </w:tcPr>
          <w:p w:rsidR="00CF13EB" w:rsidRPr="00D173C3" w:rsidRDefault="00CF13EB" w:rsidP="00D173C3">
            <w:pPr>
              <w:spacing w:after="0" w:line="240" w:lineRule="auto"/>
              <w:jc w:val="center"/>
              <w:rPr>
                <w:rFonts w:ascii="Arial" w:hAnsi="Arial" w:cs="Arial"/>
                <w:b/>
                <w:bCs/>
                <w:sz w:val="24"/>
                <w:szCs w:val="24"/>
              </w:rPr>
            </w:pPr>
            <w:r w:rsidRPr="00D173C3">
              <w:rPr>
                <w:rFonts w:ascii="Arial" w:hAnsi="Arial" w:cs="Arial"/>
                <w:b/>
                <w:bCs/>
                <w:sz w:val="24"/>
                <w:szCs w:val="24"/>
              </w:rPr>
              <w:t>414</w:t>
            </w:r>
          </w:p>
        </w:tc>
        <w:tc>
          <w:tcPr>
            <w:tcW w:w="1155" w:type="dxa"/>
            <w:noWrap/>
            <w:vAlign w:val="bottom"/>
            <w:hideMark/>
          </w:tcPr>
          <w:p w:rsidR="00CF13EB" w:rsidRPr="00D173C3" w:rsidRDefault="00CF13EB" w:rsidP="00D173C3">
            <w:pPr>
              <w:spacing w:after="0" w:line="240" w:lineRule="auto"/>
              <w:jc w:val="center"/>
              <w:rPr>
                <w:rFonts w:ascii="Arial" w:hAnsi="Arial" w:cs="Arial"/>
                <w:b/>
                <w:bCs/>
                <w:sz w:val="24"/>
                <w:szCs w:val="24"/>
              </w:rPr>
            </w:pPr>
            <w:r w:rsidRPr="00D173C3">
              <w:rPr>
                <w:rFonts w:ascii="Arial" w:hAnsi="Arial" w:cs="Arial"/>
                <w:b/>
                <w:bCs/>
                <w:sz w:val="24"/>
                <w:szCs w:val="24"/>
              </w:rPr>
              <w:t>100%</w:t>
            </w:r>
          </w:p>
        </w:tc>
      </w:tr>
    </w:tbl>
    <w:p w:rsidR="00CF13EB" w:rsidRDefault="00CF13EB" w:rsidP="006057BE">
      <w:pPr>
        <w:suppressLineNumbers/>
        <w:spacing w:after="0" w:line="240" w:lineRule="auto"/>
        <w:rPr>
          <w:b/>
          <w:iCs/>
        </w:rPr>
      </w:pPr>
    </w:p>
    <w:p w:rsidR="00CF13EB" w:rsidRPr="005D614A" w:rsidRDefault="00CF13EB" w:rsidP="005D614A">
      <w:pPr>
        <w:spacing w:after="0"/>
        <w:rPr>
          <w:rFonts w:ascii="Arial" w:hAnsi="Arial" w:cs="Arial"/>
          <w:b/>
          <w:sz w:val="24"/>
        </w:rPr>
      </w:pPr>
      <w:r w:rsidRPr="005D614A">
        <w:rPr>
          <w:rFonts w:ascii="Arial" w:hAnsi="Arial" w:cs="Arial"/>
          <w:b/>
          <w:sz w:val="24"/>
        </w:rPr>
        <w:t>Table 13. Number of deceased drivers given a blood test who tested positive for any cannabinoid and/or a BAC &gt;= 0.08 and/or other drugs by driver race/ethnicity</w:t>
      </w:r>
    </w:p>
    <w:p w:rsidR="00505004" w:rsidRPr="00B74EFE" w:rsidRDefault="00505004" w:rsidP="006057BE">
      <w:pPr>
        <w:spacing w:after="0" w:line="240" w:lineRule="auto"/>
        <w:rPr>
          <w:rFonts w:ascii="Arial" w:hAnsi="Arial" w:cs="Arial"/>
          <w:b/>
          <w:iCs/>
          <w:sz w:val="24"/>
          <w:szCs w:val="24"/>
        </w:rPr>
      </w:pPr>
    </w:p>
    <w:tbl>
      <w:tblPr>
        <w:tblW w:w="95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of deceased drivers given a blood test who tested positive for any cannabinoid and/or a BAC &gt;= 0.08 and/or other drugs by driver race/ethnicity"/>
      </w:tblPr>
      <w:tblGrid>
        <w:gridCol w:w="1827"/>
        <w:gridCol w:w="713"/>
        <w:gridCol w:w="897"/>
        <w:gridCol w:w="737"/>
        <w:gridCol w:w="974"/>
        <w:gridCol w:w="635"/>
        <w:gridCol w:w="1041"/>
        <w:gridCol w:w="488"/>
        <w:gridCol w:w="1009"/>
        <w:gridCol w:w="363"/>
        <w:gridCol w:w="897"/>
      </w:tblGrid>
      <w:tr w:rsidR="00062261" w:rsidRPr="00D02100" w:rsidTr="00062261">
        <w:trPr>
          <w:trHeight w:val="278"/>
        </w:trPr>
        <w:tc>
          <w:tcPr>
            <w:tcW w:w="1828" w:type="dxa"/>
            <w:vMerge w:val="restart"/>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Type</w:t>
            </w:r>
          </w:p>
        </w:tc>
        <w:tc>
          <w:tcPr>
            <w:tcW w:w="1610" w:type="dxa"/>
            <w:gridSpan w:val="2"/>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White NH</w:t>
            </w:r>
          </w:p>
        </w:tc>
        <w:tc>
          <w:tcPr>
            <w:tcW w:w="1711" w:type="dxa"/>
            <w:gridSpan w:val="2"/>
            <w:noWrap/>
            <w:vAlign w:val="center"/>
            <w:hideMark/>
          </w:tcPr>
          <w:p w:rsidR="00062261" w:rsidRDefault="00CF13EB" w:rsidP="006057BE">
            <w:pPr>
              <w:spacing w:after="0" w:line="240" w:lineRule="auto"/>
              <w:rPr>
                <w:rFonts w:ascii="Arial" w:hAnsi="Arial" w:cs="Arial"/>
                <w:b/>
                <w:bCs/>
                <w:sz w:val="24"/>
                <w:szCs w:val="24"/>
              </w:rPr>
            </w:pPr>
            <w:r w:rsidRPr="00D173C3">
              <w:rPr>
                <w:rFonts w:ascii="Arial" w:hAnsi="Arial" w:cs="Arial"/>
                <w:b/>
                <w:bCs/>
                <w:sz w:val="24"/>
                <w:szCs w:val="24"/>
              </w:rPr>
              <w:t>Hispanic/</w:t>
            </w:r>
          </w:p>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Latino</w:t>
            </w:r>
          </w:p>
        </w:tc>
        <w:tc>
          <w:tcPr>
            <w:tcW w:w="1676" w:type="dxa"/>
            <w:gridSpan w:val="2"/>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Black NH</w:t>
            </w:r>
          </w:p>
        </w:tc>
        <w:tc>
          <w:tcPr>
            <w:tcW w:w="1497" w:type="dxa"/>
            <w:gridSpan w:val="2"/>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Other NH</w:t>
            </w:r>
          </w:p>
        </w:tc>
        <w:tc>
          <w:tcPr>
            <w:tcW w:w="1259" w:type="dxa"/>
            <w:gridSpan w:val="2"/>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Asian NH</w:t>
            </w:r>
          </w:p>
        </w:tc>
      </w:tr>
      <w:tr w:rsidR="00062261" w:rsidRPr="00D02100" w:rsidTr="00062261">
        <w:trPr>
          <w:trHeight w:val="278"/>
        </w:trPr>
        <w:tc>
          <w:tcPr>
            <w:tcW w:w="1828" w:type="dxa"/>
            <w:vMerge/>
            <w:vAlign w:val="center"/>
            <w:hideMark/>
          </w:tcPr>
          <w:p w:rsidR="00CF13EB" w:rsidRPr="00D173C3" w:rsidRDefault="00CF13EB" w:rsidP="006057BE">
            <w:pPr>
              <w:spacing w:after="0" w:line="240" w:lineRule="auto"/>
              <w:rPr>
                <w:rFonts w:ascii="Arial" w:hAnsi="Arial" w:cs="Arial"/>
                <w:b/>
                <w:bCs/>
                <w:sz w:val="24"/>
                <w:szCs w:val="24"/>
              </w:rPr>
            </w:pPr>
          </w:p>
        </w:tc>
        <w:tc>
          <w:tcPr>
            <w:tcW w:w="714" w:type="dxa"/>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n</w:t>
            </w:r>
          </w:p>
        </w:tc>
        <w:tc>
          <w:tcPr>
            <w:tcW w:w="896" w:type="dxa"/>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w:t>
            </w:r>
          </w:p>
        </w:tc>
        <w:tc>
          <w:tcPr>
            <w:tcW w:w="737" w:type="dxa"/>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n</w:t>
            </w:r>
          </w:p>
        </w:tc>
        <w:tc>
          <w:tcPr>
            <w:tcW w:w="974" w:type="dxa"/>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w:t>
            </w:r>
          </w:p>
        </w:tc>
        <w:tc>
          <w:tcPr>
            <w:tcW w:w="635" w:type="dxa"/>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n</w:t>
            </w:r>
          </w:p>
        </w:tc>
        <w:tc>
          <w:tcPr>
            <w:tcW w:w="1041" w:type="dxa"/>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w:t>
            </w:r>
          </w:p>
        </w:tc>
        <w:tc>
          <w:tcPr>
            <w:tcW w:w="488" w:type="dxa"/>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n</w:t>
            </w:r>
          </w:p>
        </w:tc>
        <w:tc>
          <w:tcPr>
            <w:tcW w:w="1009" w:type="dxa"/>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w:t>
            </w:r>
          </w:p>
        </w:tc>
        <w:tc>
          <w:tcPr>
            <w:tcW w:w="363" w:type="dxa"/>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n</w:t>
            </w:r>
          </w:p>
        </w:tc>
        <w:tc>
          <w:tcPr>
            <w:tcW w:w="896" w:type="dxa"/>
            <w:noWrap/>
            <w:vAlign w:val="center"/>
            <w:hideMark/>
          </w:tcPr>
          <w:p w:rsidR="00CF13EB" w:rsidRPr="00D173C3" w:rsidRDefault="00CF13EB" w:rsidP="006057BE">
            <w:pPr>
              <w:spacing w:after="0" w:line="240" w:lineRule="auto"/>
              <w:rPr>
                <w:rFonts w:ascii="Arial" w:hAnsi="Arial" w:cs="Arial"/>
                <w:b/>
                <w:bCs/>
                <w:sz w:val="24"/>
                <w:szCs w:val="24"/>
              </w:rPr>
            </w:pPr>
            <w:r w:rsidRPr="00D173C3">
              <w:rPr>
                <w:rFonts w:ascii="Arial" w:hAnsi="Arial" w:cs="Arial"/>
                <w:b/>
                <w:bCs/>
                <w:sz w:val="24"/>
                <w:szCs w:val="24"/>
              </w:rPr>
              <w:t>%</w:t>
            </w:r>
          </w:p>
        </w:tc>
      </w:tr>
      <w:tr w:rsidR="00062261" w:rsidRPr="00D02100" w:rsidTr="00062261">
        <w:trPr>
          <w:trHeight w:val="278"/>
        </w:trPr>
        <w:tc>
          <w:tcPr>
            <w:tcW w:w="1828"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Cannabinoids Only (MJ)</w:t>
            </w:r>
          </w:p>
        </w:tc>
        <w:tc>
          <w:tcPr>
            <w:tcW w:w="71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73</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4.7%</w:t>
            </w:r>
          </w:p>
        </w:tc>
        <w:tc>
          <w:tcPr>
            <w:tcW w:w="737"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17</w:t>
            </w:r>
          </w:p>
        </w:tc>
        <w:tc>
          <w:tcPr>
            <w:tcW w:w="97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12.9%</w:t>
            </w:r>
          </w:p>
        </w:tc>
        <w:tc>
          <w:tcPr>
            <w:tcW w:w="635"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17</w:t>
            </w:r>
          </w:p>
        </w:tc>
        <w:tc>
          <w:tcPr>
            <w:tcW w:w="1041"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13.9%</w:t>
            </w:r>
          </w:p>
        </w:tc>
        <w:tc>
          <w:tcPr>
            <w:tcW w:w="488"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3</w:t>
            </w:r>
          </w:p>
        </w:tc>
        <w:tc>
          <w:tcPr>
            <w:tcW w:w="1009"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4.7%</w:t>
            </w:r>
          </w:p>
        </w:tc>
        <w:tc>
          <w:tcPr>
            <w:tcW w:w="363"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0</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0.0%</w:t>
            </w:r>
          </w:p>
        </w:tc>
      </w:tr>
      <w:tr w:rsidR="00062261" w:rsidRPr="00D02100" w:rsidTr="00062261">
        <w:trPr>
          <w:trHeight w:val="278"/>
        </w:trPr>
        <w:tc>
          <w:tcPr>
            <w:tcW w:w="1828"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 xml:space="preserve">BAC ≥ 0.08%   </w:t>
            </w:r>
          </w:p>
        </w:tc>
        <w:tc>
          <w:tcPr>
            <w:tcW w:w="71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267</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17.3%</w:t>
            </w:r>
          </w:p>
        </w:tc>
        <w:tc>
          <w:tcPr>
            <w:tcW w:w="737"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27</w:t>
            </w:r>
          </w:p>
        </w:tc>
        <w:tc>
          <w:tcPr>
            <w:tcW w:w="97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20.5%</w:t>
            </w:r>
          </w:p>
        </w:tc>
        <w:tc>
          <w:tcPr>
            <w:tcW w:w="635"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15</w:t>
            </w:r>
          </w:p>
        </w:tc>
        <w:tc>
          <w:tcPr>
            <w:tcW w:w="1041"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12.3%</w:t>
            </w:r>
          </w:p>
        </w:tc>
        <w:tc>
          <w:tcPr>
            <w:tcW w:w="488"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12</w:t>
            </w:r>
          </w:p>
        </w:tc>
        <w:tc>
          <w:tcPr>
            <w:tcW w:w="1009"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18.8%</w:t>
            </w:r>
          </w:p>
        </w:tc>
        <w:tc>
          <w:tcPr>
            <w:tcW w:w="363"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2</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15.4%</w:t>
            </w:r>
          </w:p>
        </w:tc>
      </w:tr>
      <w:tr w:rsidR="00062261" w:rsidRPr="00D02100" w:rsidTr="00062261">
        <w:trPr>
          <w:trHeight w:val="278"/>
        </w:trPr>
        <w:tc>
          <w:tcPr>
            <w:tcW w:w="1828"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Other Drugs Only (Drugs)</w:t>
            </w:r>
          </w:p>
        </w:tc>
        <w:tc>
          <w:tcPr>
            <w:tcW w:w="71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333</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21.5%</w:t>
            </w:r>
          </w:p>
        </w:tc>
        <w:tc>
          <w:tcPr>
            <w:tcW w:w="737"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10</w:t>
            </w:r>
          </w:p>
        </w:tc>
        <w:tc>
          <w:tcPr>
            <w:tcW w:w="97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7.6%</w:t>
            </w:r>
          </w:p>
        </w:tc>
        <w:tc>
          <w:tcPr>
            <w:tcW w:w="635"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16</w:t>
            </w:r>
          </w:p>
        </w:tc>
        <w:tc>
          <w:tcPr>
            <w:tcW w:w="1041"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13.1%</w:t>
            </w:r>
          </w:p>
        </w:tc>
        <w:tc>
          <w:tcPr>
            <w:tcW w:w="488"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11</w:t>
            </w:r>
          </w:p>
        </w:tc>
        <w:tc>
          <w:tcPr>
            <w:tcW w:w="1009"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17.2%</w:t>
            </w:r>
          </w:p>
        </w:tc>
        <w:tc>
          <w:tcPr>
            <w:tcW w:w="363"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1</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7.7%</w:t>
            </w:r>
          </w:p>
        </w:tc>
      </w:tr>
      <w:tr w:rsidR="00062261" w:rsidRPr="00D02100" w:rsidTr="00062261">
        <w:trPr>
          <w:trHeight w:val="278"/>
        </w:trPr>
        <w:tc>
          <w:tcPr>
            <w:tcW w:w="1828"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 xml:space="preserve">MJ + BAC ≥ 0.08%   </w:t>
            </w:r>
          </w:p>
        </w:tc>
        <w:tc>
          <w:tcPr>
            <w:tcW w:w="71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71</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4.6%</w:t>
            </w:r>
          </w:p>
        </w:tc>
        <w:tc>
          <w:tcPr>
            <w:tcW w:w="737"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4</w:t>
            </w:r>
          </w:p>
        </w:tc>
        <w:tc>
          <w:tcPr>
            <w:tcW w:w="97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3.0%</w:t>
            </w:r>
          </w:p>
        </w:tc>
        <w:tc>
          <w:tcPr>
            <w:tcW w:w="635"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11</w:t>
            </w:r>
          </w:p>
        </w:tc>
        <w:tc>
          <w:tcPr>
            <w:tcW w:w="1041"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9.0%</w:t>
            </w:r>
          </w:p>
        </w:tc>
        <w:tc>
          <w:tcPr>
            <w:tcW w:w="488"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2</w:t>
            </w:r>
          </w:p>
        </w:tc>
        <w:tc>
          <w:tcPr>
            <w:tcW w:w="1009"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3.1%</w:t>
            </w:r>
          </w:p>
        </w:tc>
        <w:tc>
          <w:tcPr>
            <w:tcW w:w="363"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0</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0.0%</w:t>
            </w:r>
          </w:p>
        </w:tc>
      </w:tr>
      <w:tr w:rsidR="00062261" w:rsidRPr="00D02100" w:rsidTr="00062261">
        <w:trPr>
          <w:trHeight w:val="278"/>
        </w:trPr>
        <w:tc>
          <w:tcPr>
            <w:tcW w:w="1828"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MJ + Drugs</w:t>
            </w:r>
          </w:p>
        </w:tc>
        <w:tc>
          <w:tcPr>
            <w:tcW w:w="71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78</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5.0%</w:t>
            </w:r>
          </w:p>
        </w:tc>
        <w:tc>
          <w:tcPr>
            <w:tcW w:w="737"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12</w:t>
            </w:r>
          </w:p>
        </w:tc>
        <w:tc>
          <w:tcPr>
            <w:tcW w:w="97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9.1%</w:t>
            </w:r>
          </w:p>
        </w:tc>
        <w:tc>
          <w:tcPr>
            <w:tcW w:w="635"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6</w:t>
            </w:r>
          </w:p>
        </w:tc>
        <w:tc>
          <w:tcPr>
            <w:tcW w:w="1041"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4.9%</w:t>
            </w:r>
          </w:p>
        </w:tc>
        <w:tc>
          <w:tcPr>
            <w:tcW w:w="488"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5</w:t>
            </w:r>
          </w:p>
        </w:tc>
        <w:tc>
          <w:tcPr>
            <w:tcW w:w="1009"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7.8%</w:t>
            </w:r>
          </w:p>
        </w:tc>
        <w:tc>
          <w:tcPr>
            <w:tcW w:w="363"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0</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0.0%</w:t>
            </w:r>
          </w:p>
        </w:tc>
      </w:tr>
      <w:tr w:rsidR="00062261" w:rsidRPr="00D02100" w:rsidTr="00062261">
        <w:trPr>
          <w:trHeight w:val="278"/>
        </w:trPr>
        <w:tc>
          <w:tcPr>
            <w:tcW w:w="1828"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BAC ≥ 0.08% + Drugs</w:t>
            </w:r>
          </w:p>
        </w:tc>
        <w:tc>
          <w:tcPr>
            <w:tcW w:w="71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128</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8.3%</w:t>
            </w:r>
          </w:p>
        </w:tc>
        <w:tc>
          <w:tcPr>
            <w:tcW w:w="737"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6</w:t>
            </w:r>
          </w:p>
        </w:tc>
        <w:tc>
          <w:tcPr>
            <w:tcW w:w="97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4.5%</w:t>
            </w:r>
          </w:p>
        </w:tc>
        <w:tc>
          <w:tcPr>
            <w:tcW w:w="635"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6</w:t>
            </w:r>
          </w:p>
        </w:tc>
        <w:tc>
          <w:tcPr>
            <w:tcW w:w="1041"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4.9%</w:t>
            </w:r>
          </w:p>
        </w:tc>
        <w:tc>
          <w:tcPr>
            <w:tcW w:w="488"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5</w:t>
            </w:r>
          </w:p>
        </w:tc>
        <w:tc>
          <w:tcPr>
            <w:tcW w:w="1009"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7.8%</w:t>
            </w:r>
          </w:p>
        </w:tc>
        <w:tc>
          <w:tcPr>
            <w:tcW w:w="363"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1</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7.7%</w:t>
            </w:r>
          </w:p>
        </w:tc>
      </w:tr>
      <w:tr w:rsidR="00062261" w:rsidRPr="00D02100" w:rsidTr="00062261">
        <w:trPr>
          <w:trHeight w:val="278"/>
        </w:trPr>
        <w:tc>
          <w:tcPr>
            <w:tcW w:w="1828" w:type="dxa"/>
            <w:noWrap/>
            <w:vAlign w:val="bottom"/>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MJ + BAC ≥ 0.08% + Drugs</w:t>
            </w:r>
          </w:p>
        </w:tc>
        <w:tc>
          <w:tcPr>
            <w:tcW w:w="71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53</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3.4%</w:t>
            </w:r>
          </w:p>
        </w:tc>
        <w:tc>
          <w:tcPr>
            <w:tcW w:w="737"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5</w:t>
            </w:r>
          </w:p>
        </w:tc>
        <w:tc>
          <w:tcPr>
            <w:tcW w:w="97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3.8%</w:t>
            </w:r>
          </w:p>
        </w:tc>
        <w:tc>
          <w:tcPr>
            <w:tcW w:w="635"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8</w:t>
            </w:r>
          </w:p>
        </w:tc>
        <w:tc>
          <w:tcPr>
            <w:tcW w:w="1041"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6.6%</w:t>
            </w:r>
          </w:p>
        </w:tc>
        <w:tc>
          <w:tcPr>
            <w:tcW w:w="488"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2</w:t>
            </w:r>
          </w:p>
        </w:tc>
        <w:tc>
          <w:tcPr>
            <w:tcW w:w="1009"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3.1%</w:t>
            </w:r>
          </w:p>
        </w:tc>
        <w:tc>
          <w:tcPr>
            <w:tcW w:w="363"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1</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7.7%</w:t>
            </w:r>
          </w:p>
        </w:tc>
      </w:tr>
      <w:tr w:rsidR="00062261" w:rsidRPr="00D02100" w:rsidTr="00062261">
        <w:trPr>
          <w:trHeight w:val="278"/>
        </w:trPr>
        <w:tc>
          <w:tcPr>
            <w:tcW w:w="1828"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None</w:t>
            </w:r>
          </w:p>
        </w:tc>
        <w:tc>
          <w:tcPr>
            <w:tcW w:w="71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544</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35.2%</w:t>
            </w:r>
          </w:p>
        </w:tc>
        <w:tc>
          <w:tcPr>
            <w:tcW w:w="737"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51</w:t>
            </w:r>
          </w:p>
        </w:tc>
        <w:tc>
          <w:tcPr>
            <w:tcW w:w="974"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38.6%</w:t>
            </w:r>
          </w:p>
        </w:tc>
        <w:tc>
          <w:tcPr>
            <w:tcW w:w="635"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43</w:t>
            </w:r>
          </w:p>
        </w:tc>
        <w:tc>
          <w:tcPr>
            <w:tcW w:w="1041"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35.2%</w:t>
            </w:r>
          </w:p>
        </w:tc>
        <w:tc>
          <w:tcPr>
            <w:tcW w:w="488"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24</w:t>
            </w:r>
          </w:p>
        </w:tc>
        <w:tc>
          <w:tcPr>
            <w:tcW w:w="1009"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37.5%</w:t>
            </w:r>
          </w:p>
        </w:tc>
        <w:tc>
          <w:tcPr>
            <w:tcW w:w="363"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bCs/>
                <w:sz w:val="24"/>
                <w:szCs w:val="24"/>
              </w:rPr>
              <w:t>8</w:t>
            </w:r>
          </w:p>
        </w:tc>
        <w:tc>
          <w:tcPr>
            <w:tcW w:w="896" w:type="dxa"/>
            <w:noWrap/>
            <w:vAlign w:val="center"/>
            <w:hideMark/>
          </w:tcPr>
          <w:p w:rsidR="00CF13EB" w:rsidRPr="00D173C3" w:rsidRDefault="00CF13EB" w:rsidP="006057BE">
            <w:pPr>
              <w:spacing w:after="0" w:line="240" w:lineRule="auto"/>
              <w:rPr>
                <w:rFonts w:ascii="Arial" w:hAnsi="Arial" w:cs="Arial"/>
                <w:sz w:val="24"/>
                <w:szCs w:val="24"/>
              </w:rPr>
            </w:pPr>
            <w:r w:rsidRPr="00D173C3">
              <w:rPr>
                <w:rFonts w:ascii="Arial" w:hAnsi="Arial" w:cs="Arial"/>
                <w:sz w:val="24"/>
                <w:szCs w:val="24"/>
              </w:rPr>
              <w:t>61.5%</w:t>
            </w:r>
          </w:p>
        </w:tc>
      </w:tr>
    </w:tbl>
    <w:p w:rsidR="00CF13EB" w:rsidRDefault="00CF13EB" w:rsidP="006057BE">
      <w:pPr>
        <w:spacing w:after="0" w:line="240" w:lineRule="auto"/>
        <w:rPr>
          <w:rFonts w:ascii="Arial" w:hAnsi="Arial" w:cs="Arial"/>
          <w:sz w:val="24"/>
        </w:rPr>
      </w:pPr>
      <w:r w:rsidRPr="00B74EFE">
        <w:rPr>
          <w:rFonts w:ascii="Arial" w:hAnsi="Arial" w:cs="Arial"/>
          <w:sz w:val="24"/>
        </w:rPr>
        <w:t>Table Note: NH= Non-Hispanic</w:t>
      </w:r>
      <w:bookmarkEnd w:id="506"/>
      <w:bookmarkEnd w:id="507"/>
    </w:p>
    <w:p w:rsidR="00B74EFE" w:rsidRPr="00B74EFE" w:rsidRDefault="00B74EFE" w:rsidP="006057BE">
      <w:pPr>
        <w:spacing w:after="0" w:line="240" w:lineRule="auto"/>
        <w:rPr>
          <w:rFonts w:ascii="Arial" w:hAnsi="Arial" w:cs="Arial"/>
          <w:sz w:val="24"/>
        </w:rPr>
      </w:pPr>
    </w:p>
    <w:p w:rsidR="00CF13EB" w:rsidRPr="00B74EFE" w:rsidRDefault="00CF13EB" w:rsidP="006057BE">
      <w:pPr>
        <w:pStyle w:val="BodyText"/>
        <w:spacing w:line="240" w:lineRule="auto"/>
        <w:rPr>
          <w:sz w:val="24"/>
        </w:rPr>
      </w:pPr>
      <w:r w:rsidRPr="00B74EFE">
        <w:rPr>
          <w:sz w:val="24"/>
        </w:rPr>
        <w:t>Examining results for alcohol, marijuana, and other drugs by age, the percentage of deceased drivers within an age group testing positive for other drugs increases with age and is highest for the 65+ age bracket (Tables 14a and 14b). Deceased blood-tested drivers in this age range rarely tested positive for cannabinoids or had a BAC above 0.08%, but frequently tested positive for other drugs (Table 14b). This is likely due to the number of medications taken by older individuals that are reported in FARS drug results.</w:t>
      </w:r>
    </w:p>
    <w:p w:rsidR="00CF13EB" w:rsidRPr="005D614A" w:rsidRDefault="00CF13EB" w:rsidP="005D614A">
      <w:pPr>
        <w:spacing w:after="0"/>
        <w:rPr>
          <w:rFonts w:ascii="Arial" w:hAnsi="Arial" w:cs="Arial"/>
          <w:b/>
          <w:sz w:val="24"/>
        </w:rPr>
      </w:pPr>
      <w:bookmarkStart w:id="508" w:name="_Toc11766019"/>
      <w:bookmarkStart w:id="509" w:name="_Toc11766674"/>
      <w:bookmarkStart w:id="510" w:name="_Toc11917254"/>
      <w:bookmarkStart w:id="511" w:name="_Toc11921692"/>
      <w:r w:rsidRPr="005D614A">
        <w:rPr>
          <w:rFonts w:ascii="Arial" w:hAnsi="Arial" w:cs="Arial"/>
          <w:b/>
          <w:sz w:val="24"/>
        </w:rPr>
        <w:t>Table 14a and 14b. Number and proportion of deceased drivers given a blood test Testing Positive for Any Cannabinoid and/or a blood alcohol content (BAC) &gt;= 0.08 and/or other drugs by driver age</w:t>
      </w:r>
      <w:bookmarkEnd w:id="508"/>
      <w:bookmarkEnd w:id="509"/>
      <w:bookmarkEnd w:id="510"/>
      <w:bookmarkEnd w:id="511"/>
    </w:p>
    <w:p w:rsidR="00505004" w:rsidRPr="00505004" w:rsidRDefault="00505004" w:rsidP="00505004">
      <w:pPr>
        <w:pStyle w:val="BodyText"/>
      </w:pPr>
    </w:p>
    <w:tbl>
      <w:tblPr>
        <w:tblW w:w="7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and proportion of deceased drivers given a blood test Testing Positive for Any Cannabinoid and/or a blood alcohol content (BAC) &gt;= 0.08 and/or other drugs by driver age"/>
      </w:tblPr>
      <w:tblGrid>
        <w:gridCol w:w="3055"/>
        <w:gridCol w:w="549"/>
        <w:gridCol w:w="840"/>
        <w:gridCol w:w="661"/>
        <w:gridCol w:w="840"/>
        <w:gridCol w:w="661"/>
        <w:gridCol w:w="873"/>
      </w:tblGrid>
      <w:tr w:rsidR="00CF13EB" w:rsidRPr="00B047EB" w:rsidTr="00CF13EB">
        <w:trPr>
          <w:trHeight w:val="300"/>
          <w:jc w:val="center"/>
        </w:trPr>
        <w:tc>
          <w:tcPr>
            <w:tcW w:w="3055" w:type="dxa"/>
            <w:vMerge w:val="restart"/>
            <w:noWrap/>
            <w:vAlign w:val="center"/>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Type</w:t>
            </w:r>
          </w:p>
        </w:tc>
        <w:tc>
          <w:tcPr>
            <w:tcW w:w="1334" w:type="dxa"/>
            <w:gridSpan w:val="2"/>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&lt;18</w:t>
            </w:r>
          </w:p>
        </w:tc>
        <w:tc>
          <w:tcPr>
            <w:tcW w:w="1446" w:type="dxa"/>
            <w:gridSpan w:val="2"/>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18-20</w:t>
            </w:r>
          </w:p>
        </w:tc>
        <w:tc>
          <w:tcPr>
            <w:tcW w:w="1534" w:type="dxa"/>
            <w:gridSpan w:val="2"/>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21-25</w:t>
            </w:r>
          </w:p>
        </w:tc>
      </w:tr>
      <w:tr w:rsidR="00CF13EB" w:rsidRPr="00B047EB" w:rsidTr="00CF13EB">
        <w:trPr>
          <w:trHeight w:val="300"/>
          <w:jc w:val="center"/>
        </w:trPr>
        <w:tc>
          <w:tcPr>
            <w:tcW w:w="3055" w:type="dxa"/>
            <w:vMerge/>
            <w:vAlign w:val="center"/>
            <w:hideMark/>
          </w:tcPr>
          <w:p w:rsidR="00CF13EB" w:rsidRPr="00B047EB" w:rsidRDefault="00CF13EB" w:rsidP="006057BE">
            <w:pPr>
              <w:suppressLineNumbers/>
              <w:spacing w:after="0" w:line="240" w:lineRule="auto"/>
              <w:rPr>
                <w:rFonts w:ascii="Arial" w:hAnsi="Arial" w:cs="Arial"/>
                <w:b/>
                <w:bCs/>
                <w:szCs w:val="24"/>
              </w:rPr>
            </w:pPr>
          </w:p>
        </w:tc>
        <w:tc>
          <w:tcPr>
            <w:tcW w:w="549" w:type="dxa"/>
            <w:noWrap/>
            <w:vAlign w:val="center"/>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n</w:t>
            </w:r>
          </w:p>
        </w:tc>
        <w:tc>
          <w:tcPr>
            <w:tcW w:w="785" w:type="dxa"/>
            <w:noWrap/>
            <w:vAlign w:val="center"/>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w:t>
            </w:r>
          </w:p>
        </w:tc>
        <w:tc>
          <w:tcPr>
            <w:tcW w:w="661" w:type="dxa"/>
            <w:noWrap/>
            <w:vAlign w:val="center"/>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n</w:t>
            </w:r>
          </w:p>
        </w:tc>
        <w:tc>
          <w:tcPr>
            <w:tcW w:w="785" w:type="dxa"/>
            <w:noWrap/>
            <w:vAlign w:val="center"/>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w:t>
            </w:r>
          </w:p>
        </w:tc>
        <w:tc>
          <w:tcPr>
            <w:tcW w:w="661" w:type="dxa"/>
            <w:noWrap/>
            <w:vAlign w:val="center"/>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n</w:t>
            </w:r>
          </w:p>
        </w:tc>
        <w:tc>
          <w:tcPr>
            <w:tcW w:w="873" w:type="dxa"/>
            <w:noWrap/>
            <w:vAlign w:val="center"/>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Cannabinoids Only (MJ)</w:t>
            </w:r>
          </w:p>
        </w:tc>
        <w:tc>
          <w:tcPr>
            <w:tcW w:w="549"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7</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15.2%</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17</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11.9%</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31</w:t>
            </w:r>
          </w:p>
        </w:tc>
        <w:tc>
          <w:tcPr>
            <w:tcW w:w="873"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8.9%</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 xml:space="preserve">BAC ≥ 0.08% Only </w:t>
            </w:r>
          </w:p>
        </w:tc>
        <w:tc>
          <w:tcPr>
            <w:tcW w:w="549"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6</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13.0%</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24</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16.8%</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79</w:t>
            </w:r>
          </w:p>
        </w:tc>
        <w:tc>
          <w:tcPr>
            <w:tcW w:w="873"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22.7%</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Other Drugs Only (Drugs)</w:t>
            </w:r>
          </w:p>
        </w:tc>
        <w:tc>
          <w:tcPr>
            <w:tcW w:w="549"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6</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13.0%</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13</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9.1%</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36</w:t>
            </w:r>
          </w:p>
        </w:tc>
        <w:tc>
          <w:tcPr>
            <w:tcW w:w="873"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10.3%</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MJ + BAC ≥ 0.08%</w:t>
            </w:r>
          </w:p>
        </w:tc>
        <w:tc>
          <w:tcPr>
            <w:tcW w:w="549"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3</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6.5%</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11</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7.7%</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29</w:t>
            </w:r>
          </w:p>
        </w:tc>
        <w:tc>
          <w:tcPr>
            <w:tcW w:w="873"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8.3%</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MJ + Drugs</w:t>
            </w:r>
          </w:p>
        </w:tc>
        <w:tc>
          <w:tcPr>
            <w:tcW w:w="549"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2.2%</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13</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9.1%</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30</w:t>
            </w:r>
          </w:p>
        </w:tc>
        <w:tc>
          <w:tcPr>
            <w:tcW w:w="873"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8.6%</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BAC ≥ 0.08% + Drugs</w:t>
            </w:r>
          </w:p>
        </w:tc>
        <w:tc>
          <w:tcPr>
            <w:tcW w:w="549"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2.2%</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7</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4.9%</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24</w:t>
            </w:r>
          </w:p>
        </w:tc>
        <w:tc>
          <w:tcPr>
            <w:tcW w:w="873"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6.9%</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MJ + BAC ≥ 0.08% + Drugs</w:t>
            </w:r>
          </w:p>
        </w:tc>
        <w:tc>
          <w:tcPr>
            <w:tcW w:w="549"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2.2%</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6</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4.2%</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25</w:t>
            </w:r>
          </w:p>
        </w:tc>
        <w:tc>
          <w:tcPr>
            <w:tcW w:w="873"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7.2%</w:t>
            </w:r>
          </w:p>
        </w:tc>
      </w:tr>
      <w:tr w:rsidR="00CF13EB" w:rsidRPr="00B047EB" w:rsidTr="00CF13EB">
        <w:trPr>
          <w:trHeight w:val="300"/>
          <w:jc w:val="center"/>
        </w:trPr>
        <w:tc>
          <w:tcPr>
            <w:tcW w:w="3055" w:type="dxa"/>
            <w:noWrap/>
            <w:vAlign w:val="center"/>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None</w:t>
            </w:r>
          </w:p>
        </w:tc>
        <w:tc>
          <w:tcPr>
            <w:tcW w:w="549"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21</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45.7%</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52</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36.4%</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94</w:t>
            </w:r>
          </w:p>
        </w:tc>
        <w:tc>
          <w:tcPr>
            <w:tcW w:w="873"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27.0%</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Total</w:t>
            </w:r>
          </w:p>
        </w:tc>
        <w:tc>
          <w:tcPr>
            <w:tcW w:w="549"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46</w:t>
            </w:r>
          </w:p>
        </w:tc>
        <w:tc>
          <w:tcPr>
            <w:tcW w:w="785"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100%</w:t>
            </w:r>
          </w:p>
        </w:tc>
        <w:tc>
          <w:tcPr>
            <w:tcW w:w="661"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143</w:t>
            </w:r>
          </w:p>
        </w:tc>
        <w:tc>
          <w:tcPr>
            <w:tcW w:w="785"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100%</w:t>
            </w:r>
          </w:p>
        </w:tc>
        <w:tc>
          <w:tcPr>
            <w:tcW w:w="661"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348</w:t>
            </w:r>
          </w:p>
        </w:tc>
        <w:tc>
          <w:tcPr>
            <w:tcW w:w="873"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100%</w:t>
            </w:r>
          </w:p>
        </w:tc>
      </w:tr>
    </w:tbl>
    <w:p w:rsidR="00CF13EB" w:rsidRPr="0061143B" w:rsidRDefault="00CF13EB" w:rsidP="006057BE">
      <w:pPr>
        <w:spacing w:after="0" w:line="240" w:lineRule="auto"/>
      </w:pPr>
    </w:p>
    <w:tbl>
      <w:tblPr>
        <w:tblW w:w="7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584"/>
        <w:gridCol w:w="840"/>
        <w:gridCol w:w="661"/>
        <w:gridCol w:w="840"/>
        <w:gridCol w:w="661"/>
        <w:gridCol w:w="840"/>
      </w:tblGrid>
      <w:tr w:rsidR="00CF13EB" w:rsidRPr="00B047EB" w:rsidTr="00CF13EB">
        <w:trPr>
          <w:trHeight w:val="300"/>
          <w:jc w:val="center"/>
        </w:trPr>
        <w:tc>
          <w:tcPr>
            <w:tcW w:w="3055" w:type="dxa"/>
            <w:vMerge w:val="restart"/>
            <w:noWrap/>
            <w:vAlign w:val="center"/>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Type</w:t>
            </w:r>
          </w:p>
        </w:tc>
        <w:tc>
          <w:tcPr>
            <w:tcW w:w="1336" w:type="dxa"/>
            <w:gridSpan w:val="2"/>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26-34</w:t>
            </w:r>
          </w:p>
        </w:tc>
        <w:tc>
          <w:tcPr>
            <w:tcW w:w="1446" w:type="dxa"/>
            <w:gridSpan w:val="2"/>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35-64</w:t>
            </w:r>
          </w:p>
        </w:tc>
        <w:tc>
          <w:tcPr>
            <w:tcW w:w="1446" w:type="dxa"/>
            <w:gridSpan w:val="2"/>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65+</w:t>
            </w:r>
          </w:p>
        </w:tc>
      </w:tr>
      <w:tr w:rsidR="00CF13EB" w:rsidRPr="00B047EB" w:rsidTr="00CF13EB">
        <w:trPr>
          <w:trHeight w:val="300"/>
          <w:jc w:val="center"/>
        </w:trPr>
        <w:tc>
          <w:tcPr>
            <w:tcW w:w="3055" w:type="dxa"/>
            <w:vMerge/>
            <w:vAlign w:val="center"/>
            <w:hideMark/>
          </w:tcPr>
          <w:p w:rsidR="00CF13EB" w:rsidRPr="00B047EB" w:rsidRDefault="00CF13EB" w:rsidP="006057BE">
            <w:pPr>
              <w:suppressLineNumbers/>
              <w:spacing w:after="0" w:line="240" w:lineRule="auto"/>
              <w:rPr>
                <w:rFonts w:ascii="Arial" w:hAnsi="Arial" w:cs="Arial"/>
                <w:b/>
                <w:bCs/>
                <w:szCs w:val="24"/>
              </w:rPr>
            </w:pPr>
          </w:p>
        </w:tc>
        <w:tc>
          <w:tcPr>
            <w:tcW w:w="551"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n</w:t>
            </w:r>
          </w:p>
        </w:tc>
        <w:tc>
          <w:tcPr>
            <w:tcW w:w="785"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w:t>
            </w:r>
          </w:p>
        </w:tc>
        <w:tc>
          <w:tcPr>
            <w:tcW w:w="661"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n</w:t>
            </w:r>
          </w:p>
        </w:tc>
        <w:tc>
          <w:tcPr>
            <w:tcW w:w="785"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w:t>
            </w:r>
          </w:p>
        </w:tc>
        <w:tc>
          <w:tcPr>
            <w:tcW w:w="661"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n</w:t>
            </w:r>
          </w:p>
        </w:tc>
        <w:tc>
          <w:tcPr>
            <w:tcW w:w="785"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Cannabinoids Only (MJ)</w:t>
            </w:r>
          </w:p>
        </w:tc>
        <w:tc>
          <w:tcPr>
            <w:tcW w:w="55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24</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7.5%</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30</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4.0%</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0.4%</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 xml:space="preserve">BAC ≥ 0.08% Only </w:t>
            </w:r>
          </w:p>
        </w:tc>
        <w:tc>
          <w:tcPr>
            <w:tcW w:w="55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76</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23.9%</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127</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17.1%</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11</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3.9%</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Other Drugs Only (Drugs)</w:t>
            </w:r>
          </w:p>
        </w:tc>
        <w:tc>
          <w:tcPr>
            <w:tcW w:w="55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47</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14.8%</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174</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23.4%</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95</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33.9%</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MJ + BAC ≥ 0.08%</w:t>
            </w:r>
          </w:p>
        </w:tc>
        <w:tc>
          <w:tcPr>
            <w:tcW w:w="55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20</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6.3%</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24</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3.2%</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0.4%</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MJ + Drugs</w:t>
            </w:r>
          </w:p>
        </w:tc>
        <w:tc>
          <w:tcPr>
            <w:tcW w:w="55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23</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7.2%</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29</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3.9%</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5</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1.8%</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BAC ≥ 0.08% + Drugs</w:t>
            </w:r>
          </w:p>
        </w:tc>
        <w:tc>
          <w:tcPr>
            <w:tcW w:w="55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28</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8.8%</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79</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10.6%</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7</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2.5%</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MJ + BAC ≥ 0.08% + Drugs</w:t>
            </w:r>
          </w:p>
        </w:tc>
        <w:tc>
          <w:tcPr>
            <w:tcW w:w="55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20</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6.3%</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16</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2.2%</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0.4%</w:t>
            </w:r>
          </w:p>
        </w:tc>
      </w:tr>
      <w:tr w:rsidR="00CF13EB" w:rsidRPr="00B047EB" w:rsidTr="00CF13EB">
        <w:trPr>
          <w:trHeight w:val="300"/>
          <w:jc w:val="center"/>
        </w:trPr>
        <w:tc>
          <w:tcPr>
            <w:tcW w:w="3055" w:type="dxa"/>
            <w:noWrap/>
            <w:vAlign w:val="center"/>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None</w:t>
            </w:r>
          </w:p>
        </w:tc>
        <w:tc>
          <w:tcPr>
            <w:tcW w:w="55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80</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25.2%</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264</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35.5%</w:t>
            </w:r>
          </w:p>
        </w:tc>
        <w:tc>
          <w:tcPr>
            <w:tcW w:w="661"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159</w:t>
            </w:r>
          </w:p>
        </w:tc>
        <w:tc>
          <w:tcPr>
            <w:tcW w:w="785" w:type="dxa"/>
            <w:noWrap/>
            <w:vAlign w:val="bottom"/>
            <w:hideMark/>
          </w:tcPr>
          <w:p w:rsidR="00CF13EB" w:rsidRPr="00B047EB" w:rsidRDefault="00CF13EB" w:rsidP="006057BE">
            <w:pPr>
              <w:suppressLineNumbers/>
              <w:spacing w:after="0" w:line="240" w:lineRule="auto"/>
              <w:rPr>
                <w:rFonts w:ascii="Arial" w:hAnsi="Arial" w:cs="Arial"/>
                <w:szCs w:val="24"/>
              </w:rPr>
            </w:pPr>
            <w:r w:rsidRPr="00B047EB">
              <w:rPr>
                <w:rFonts w:ascii="Arial" w:hAnsi="Arial" w:cs="Arial"/>
                <w:szCs w:val="24"/>
              </w:rPr>
              <w:t>56.8%</w:t>
            </w:r>
          </w:p>
        </w:tc>
      </w:tr>
      <w:tr w:rsidR="00CF13EB" w:rsidRPr="00B047EB" w:rsidTr="00CF13EB">
        <w:trPr>
          <w:trHeight w:val="300"/>
          <w:jc w:val="center"/>
        </w:trPr>
        <w:tc>
          <w:tcPr>
            <w:tcW w:w="3055" w:type="dxa"/>
            <w:noWrap/>
            <w:vAlign w:val="bottom"/>
            <w:hideMark/>
          </w:tcPr>
          <w:p w:rsidR="00CF13EB" w:rsidRPr="00B047EB" w:rsidRDefault="00CF13EB" w:rsidP="006057BE">
            <w:pPr>
              <w:suppressLineNumbers/>
              <w:spacing w:after="0" w:line="240" w:lineRule="auto"/>
              <w:rPr>
                <w:rFonts w:ascii="Arial" w:hAnsi="Arial" w:cs="Arial"/>
                <w:b/>
                <w:bCs/>
                <w:szCs w:val="24"/>
              </w:rPr>
            </w:pPr>
            <w:r w:rsidRPr="00B047EB">
              <w:rPr>
                <w:rFonts w:ascii="Arial" w:hAnsi="Arial" w:cs="Arial"/>
                <w:b/>
                <w:bCs/>
                <w:szCs w:val="24"/>
              </w:rPr>
              <w:t>Total</w:t>
            </w:r>
          </w:p>
        </w:tc>
        <w:tc>
          <w:tcPr>
            <w:tcW w:w="551" w:type="dxa"/>
            <w:noWrap/>
            <w:vAlign w:val="bottom"/>
            <w:hideMark/>
          </w:tcPr>
          <w:p w:rsidR="00CF13EB" w:rsidRPr="00B047EB" w:rsidRDefault="00CF13EB" w:rsidP="006057BE">
            <w:pPr>
              <w:suppressLineNumbers/>
              <w:spacing w:after="0" w:line="240" w:lineRule="auto"/>
              <w:rPr>
                <w:rFonts w:ascii="Arial" w:hAnsi="Arial" w:cs="Arial"/>
                <w:b/>
                <w:szCs w:val="24"/>
              </w:rPr>
            </w:pPr>
            <w:r w:rsidRPr="00B047EB">
              <w:rPr>
                <w:rFonts w:ascii="Arial" w:hAnsi="Arial" w:cs="Arial"/>
                <w:b/>
                <w:szCs w:val="24"/>
              </w:rPr>
              <w:t>318</w:t>
            </w:r>
          </w:p>
        </w:tc>
        <w:tc>
          <w:tcPr>
            <w:tcW w:w="785" w:type="dxa"/>
            <w:noWrap/>
            <w:vAlign w:val="bottom"/>
            <w:hideMark/>
          </w:tcPr>
          <w:p w:rsidR="00CF13EB" w:rsidRPr="00B047EB" w:rsidRDefault="00CF13EB" w:rsidP="006057BE">
            <w:pPr>
              <w:suppressLineNumbers/>
              <w:spacing w:after="0" w:line="240" w:lineRule="auto"/>
              <w:rPr>
                <w:rFonts w:ascii="Arial" w:hAnsi="Arial" w:cs="Arial"/>
                <w:b/>
                <w:szCs w:val="24"/>
              </w:rPr>
            </w:pPr>
            <w:r w:rsidRPr="00B047EB">
              <w:rPr>
                <w:rFonts w:ascii="Arial" w:hAnsi="Arial" w:cs="Arial"/>
                <w:b/>
                <w:szCs w:val="24"/>
              </w:rPr>
              <w:t>100%</w:t>
            </w:r>
          </w:p>
        </w:tc>
        <w:tc>
          <w:tcPr>
            <w:tcW w:w="661" w:type="dxa"/>
            <w:noWrap/>
            <w:vAlign w:val="bottom"/>
            <w:hideMark/>
          </w:tcPr>
          <w:p w:rsidR="00CF13EB" w:rsidRPr="00B047EB" w:rsidRDefault="00CF13EB" w:rsidP="006057BE">
            <w:pPr>
              <w:suppressLineNumbers/>
              <w:spacing w:after="0" w:line="240" w:lineRule="auto"/>
              <w:rPr>
                <w:rFonts w:ascii="Arial" w:hAnsi="Arial" w:cs="Arial"/>
                <w:b/>
                <w:szCs w:val="24"/>
              </w:rPr>
            </w:pPr>
            <w:r w:rsidRPr="00B047EB">
              <w:rPr>
                <w:rFonts w:ascii="Arial" w:hAnsi="Arial" w:cs="Arial"/>
                <w:b/>
                <w:szCs w:val="24"/>
              </w:rPr>
              <w:t>743</w:t>
            </w:r>
          </w:p>
        </w:tc>
        <w:tc>
          <w:tcPr>
            <w:tcW w:w="785" w:type="dxa"/>
            <w:noWrap/>
            <w:vAlign w:val="bottom"/>
            <w:hideMark/>
          </w:tcPr>
          <w:p w:rsidR="00CF13EB" w:rsidRPr="00B047EB" w:rsidRDefault="00CF13EB" w:rsidP="006057BE">
            <w:pPr>
              <w:suppressLineNumbers/>
              <w:spacing w:after="0" w:line="240" w:lineRule="auto"/>
              <w:rPr>
                <w:rFonts w:ascii="Arial" w:hAnsi="Arial" w:cs="Arial"/>
                <w:b/>
                <w:szCs w:val="24"/>
              </w:rPr>
            </w:pPr>
            <w:r w:rsidRPr="00B047EB">
              <w:rPr>
                <w:rFonts w:ascii="Arial" w:hAnsi="Arial" w:cs="Arial"/>
                <w:b/>
                <w:szCs w:val="24"/>
              </w:rPr>
              <w:t>100%</w:t>
            </w:r>
          </w:p>
        </w:tc>
        <w:tc>
          <w:tcPr>
            <w:tcW w:w="661" w:type="dxa"/>
            <w:noWrap/>
            <w:vAlign w:val="bottom"/>
            <w:hideMark/>
          </w:tcPr>
          <w:p w:rsidR="00CF13EB" w:rsidRPr="00B047EB" w:rsidRDefault="00CF13EB" w:rsidP="006057BE">
            <w:pPr>
              <w:suppressLineNumbers/>
              <w:spacing w:after="0" w:line="240" w:lineRule="auto"/>
              <w:rPr>
                <w:rFonts w:ascii="Arial" w:hAnsi="Arial" w:cs="Arial"/>
                <w:b/>
                <w:szCs w:val="24"/>
              </w:rPr>
            </w:pPr>
            <w:r w:rsidRPr="00B047EB">
              <w:rPr>
                <w:rFonts w:ascii="Arial" w:hAnsi="Arial" w:cs="Arial"/>
                <w:b/>
                <w:szCs w:val="24"/>
              </w:rPr>
              <w:t>280</w:t>
            </w:r>
          </w:p>
        </w:tc>
        <w:tc>
          <w:tcPr>
            <w:tcW w:w="785" w:type="dxa"/>
            <w:noWrap/>
            <w:vAlign w:val="bottom"/>
            <w:hideMark/>
          </w:tcPr>
          <w:p w:rsidR="00CF13EB" w:rsidRPr="00B047EB" w:rsidRDefault="00CF13EB" w:rsidP="006057BE">
            <w:pPr>
              <w:suppressLineNumbers/>
              <w:spacing w:after="0" w:line="240" w:lineRule="auto"/>
              <w:rPr>
                <w:rFonts w:ascii="Arial" w:hAnsi="Arial" w:cs="Arial"/>
                <w:b/>
                <w:szCs w:val="24"/>
              </w:rPr>
            </w:pPr>
            <w:r w:rsidRPr="00B047EB">
              <w:rPr>
                <w:rFonts w:ascii="Arial" w:hAnsi="Arial" w:cs="Arial"/>
                <w:b/>
                <w:szCs w:val="24"/>
              </w:rPr>
              <w:t>100%</w:t>
            </w:r>
          </w:p>
        </w:tc>
      </w:tr>
    </w:tbl>
    <w:p w:rsidR="00CF13EB" w:rsidRDefault="00CF13EB" w:rsidP="00F950A2">
      <w:pPr>
        <w:pStyle w:val="BodyText"/>
      </w:pPr>
      <w:bookmarkStart w:id="512" w:name="_Toc530566812"/>
    </w:p>
    <w:p w:rsidR="00A3309E" w:rsidRDefault="00A3309E" w:rsidP="00F950A2">
      <w:pPr>
        <w:pStyle w:val="BodyText"/>
      </w:pPr>
    </w:p>
    <w:p w:rsidR="00CF13EB" w:rsidRDefault="00CF13EB" w:rsidP="00332358">
      <w:pPr>
        <w:pStyle w:val="Heading3"/>
      </w:pPr>
      <w:bookmarkStart w:id="513" w:name="_Toc11766020"/>
      <w:bookmarkStart w:id="514" w:name="_Toc11766675"/>
      <w:r w:rsidRPr="00B3588A">
        <w:t>Crash Data System (CDS)</w:t>
      </w:r>
      <w:bookmarkEnd w:id="512"/>
      <w:bookmarkEnd w:id="513"/>
      <w:bookmarkEnd w:id="514"/>
    </w:p>
    <w:p w:rsidR="00B74EFE" w:rsidRPr="00B74EFE" w:rsidRDefault="00B74EFE" w:rsidP="00B74EFE">
      <w:pPr>
        <w:pStyle w:val="BodyText"/>
      </w:pPr>
    </w:p>
    <w:p w:rsidR="00CF13EB" w:rsidRPr="00B74EFE" w:rsidRDefault="00CF13EB" w:rsidP="006057BE">
      <w:pPr>
        <w:pStyle w:val="BodyText"/>
        <w:spacing w:line="240" w:lineRule="auto"/>
        <w:rPr>
          <w:sz w:val="24"/>
        </w:rPr>
      </w:pPr>
      <w:r w:rsidRPr="00B74EFE">
        <w:rPr>
          <w:sz w:val="24"/>
        </w:rPr>
        <w:t>The results from our query of non-fatal crash data to identify officer-written crash narratives which contained the words “marijuana”, “weed”, and “cannabis” are shown in Figure 14. This figure displays the number of non-fatal crashes per year with a crash narrative containing one or more of these keywords. Data from 2017 was included because it was available from CDS. The number of crashes per year where the responding officer suspected marijuana-involvement has followed the same increasing trend as has fatal crashes (Figure 14).</w:t>
      </w:r>
    </w:p>
    <w:p w:rsidR="00CF13EB" w:rsidRPr="00B3588A" w:rsidRDefault="00121153" w:rsidP="006057BE">
      <w:pPr>
        <w:pStyle w:val="Caption"/>
        <w:spacing w:after="0"/>
        <w:rPr>
          <w:b/>
        </w:rPr>
      </w:pPr>
      <w:bookmarkStart w:id="515" w:name="_Ref509740462"/>
      <w:r>
        <w:rPr>
          <w:b/>
          <w:noProof/>
        </w:rPr>
        <w:drawing>
          <wp:inline distT="0" distB="0" distL="0" distR="0" wp14:anchorId="1CE12DC8" wp14:editId="05A606EF">
            <wp:extent cx="4950460" cy="2451100"/>
            <wp:effectExtent l="0" t="0" r="2540" b="6350"/>
            <wp:docPr id="28" name="Picture 28" descr="The figure presents results from a query exploring trends in officer narratives including keywords such as &quot;marijuana&quot;, &quot;cannabis&quot;, and others. &#10;The number of crashes per year where the responding officer suspected marijuana-involvement has increased overall from 2006 to 2017. " title="Non-fatal Crash Narratives with Key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0460" cy="2451100"/>
                    </a:xfrm>
                    <a:prstGeom prst="rect">
                      <a:avLst/>
                    </a:prstGeom>
                    <a:noFill/>
                  </pic:spPr>
                </pic:pic>
              </a:graphicData>
            </a:graphic>
          </wp:inline>
        </w:drawing>
      </w:r>
    </w:p>
    <w:p w:rsidR="00CF13EB" w:rsidRPr="00B3588A" w:rsidRDefault="00CF13EB" w:rsidP="006057BE">
      <w:pPr>
        <w:pStyle w:val="Caption"/>
        <w:spacing w:after="0"/>
        <w:contextualSpacing w:val="0"/>
        <w:rPr>
          <w:b/>
        </w:rPr>
      </w:pPr>
    </w:p>
    <w:p w:rsidR="00CF13EB" w:rsidRPr="005D614A" w:rsidRDefault="00CF13EB" w:rsidP="005D614A">
      <w:pPr>
        <w:spacing w:after="0"/>
        <w:rPr>
          <w:rFonts w:ascii="Arial" w:hAnsi="Arial" w:cs="Arial"/>
          <w:b/>
          <w:sz w:val="24"/>
        </w:rPr>
      </w:pPr>
      <w:bookmarkStart w:id="516" w:name="_Toc11766021"/>
      <w:bookmarkStart w:id="517" w:name="_Toc11766676"/>
      <w:bookmarkStart w:id="518" w:name="_Toc11917255"/>
      <w:bookmarkStart w:id="519" w:name="_Toc11921693"/>
      <w:bookmarkEnd w:id="515"/>
      <w:r w:rsidRPr="005D614A">
        <w:rPr>
          <w:rFonts w:ascii="Arial" w:hAnsi="Arial" w:cs="Arial"/>
          <w:b/>
          <w:sz w:val="24"/>
        </w:rPr>
        <w:t>Figure 14. Non-fatal motor vehicle crashes which contain a crash narrative containing the keywords “marijuana”, “weed”, and/or “cannabis,” by year</w:t>
      </w:r>
      <w:bookmarkEnd w:id="516"/>
      <w:bookmarkEnd w:id="517"/>
      <w:bookmarkEnd w:id="518"/>
      <w:bookmarkEnd w:id="519"/>
    </w:p>
    <w:p w:rsidR="00CF13EB" w:rsidRPr="00785FFD" w:rsidRDefault="00CF13EB" w:rsidP="006057BE">
      <w:pPr>
        <w:spacing w:after="0" w:line="240" w:lineRule="auto"/>
      </w:pPr>
    </w:p>
    <w:p w:rsidR="00CF13EB" w:rsidRDefault="00CF13EB" w:rsidP="005F7A46">
      <w:pPr>
        <w:pStyle w:val="Heading2"/>
      </w:pPr>
      <w:bookmarkStart w:id="520" w:name="_Toc530566813"/>
      <w:bookmarkStart w:id="521" w:name="_Toc11766022"/>
      <w:bookmarkStart w:id="522" w:name="_Toc11766677"/>
      <w:bookmarkStart w:id="523" w:name="_Toc11917256"/>
      <w:bookmarkStart w:id="524" w:name="_Toc11921694"/>
      <w:bookmarkStart w:id="525" w:name="_Toc12520950"/>
      <w:bookmarkStart w:id="526" w:name="_Toc12521176"/>
      <w:bookmarkStart w:id="527" w:name="_Toc12529146"/>
      <w:r w:rsidRPr="00B3588A">
        <w:t>Discussion</w:t>
      </w:r>
      <w:bookmarkEnd w:id="520"/>
      <w:bookmarkEnd w:id="521"/>
      <w:bookmarkEnd w:id="522"/>
      <w:bookmarkEnd w:id="523"/>
      <w:bookmarkEnd w:id="524"/>
      <w:bookmarkEnd w:id="525"/>
      <w:bookmarkEnd w:id="526"/>
      <w:bookmarkEnd w:id="527"/>
    </w:p>
    <w:p w:rsidR="00CF13EB" w:rsidRPr="00CF13EB" w:rsidRDefault="00CF13EB" w:rsidP="006057BE">
      <w:pPr>
        <w:pStyle w:val="BodyText"/>
        <w:spacing w:line="240" w:lineRule="auto"/>
      </w:pPr>
    </w:p>
    <w:p w:rsidR="00CF13EB" w:rsidRPr="00B74EFE" w:rsidRDefault="00CF13EB" w:rsidP="006057BE">
      <w:pPr>
        <w:pStyle w:val="BodyText"/>
        <w:spacing w:line="240" w:lineRule="auto"/>
        <w:rPr>
          <w:sz w:val="24"/>
          <w:szCs w:val="24"/>
        </w:rPr>
      </w:pPr>
      <w:r w:rsidRPr="00B74EFE">
        <w:rPr>
          <w:sz w:val="24"/>
          <w:szCs w:val="24"/>
        </w:rPr>
        <w:t xml:space="preserve">In 2017, 7.2% of Massachusetts adults drove under the influence of marijuana (DUI) and 11.7% rode with a driver who was under the influence of marijuana (RUI). Among marijuana users, nearly 4 in 10 reported DUI and or RUI-marijuana. When stratified by age, younger age groups appeared more likely to engage in both behaviors. We found that DUI-marijuana was reported by 25.6% of individuals age 18-20 years and 24.1% of those age 21-24 years. RUI-marijuana was reported by 36% of those age 18-20 years and 38% of those age 21-25 years. Prevalence was much lower for both DUI-marijuana and RUI-marijuana among adults age 25 years and older compared to those age 24 years and younger. </w:t>
      </w:r>
    </w:p>
    <w:p w:rsidR="00CF13EB" w:rsidRPr="00B74EFE" w:rsidRDefault="00CF13EB" w:rsidP="006057BE">
      <w:pPr>
        <w:pStyle w:val="BodyText"/>
        <w:spacing w:line="240" w:lineRule="auto"/>
        <w:rPr>
          <w:sz w:val="24"/>
          <w:szCs w:val="24"/>
        </w:rPr>
      </w:pPr>
    </w:p>
    <w:p w:rsidR="00CF13EB" w:rsidRPr="00B74EFE" w:rsidRDefault="00CF13EB" w:rsidP="006057BE">
      <w:pPr>
        <w:pStyle w:val="BodyText"/>
        <w:spacing w:line="240" w:lineRule="auto"/>
        <w:rPr>
          <w:sz w:val="24"/>
          <w:szCs w:val="24"/>
        </w:rPr>
      </w:pPr>
      <w:r w:rsidRPr="00B74EFE">
        <w:rPr>
          <w:sz w:val="24"/>
          <w:szCs w:val="24"/>
        </w:rPr>
        <w:t xml:space="preserve">Compared to estimates from other states, the prevalence in Massachusetts of DUI- and RUI-marijuana appear higher, especially when stratified by age. However, some aspects of our results are consistent with prior work. For example, prior estimates from Colorado published in 2016 show that 6% of young adults age 18-25 years reported driving after using marijuana, while 4.8% 26-34 years old reported the behavior. Thus, our point estimates among Massachusetts adults are more than four times higher than estimates from Colorado </w:t>
      </w:r>
      <w:r w:rsidRPr="00B74EFE">
        <w:rPr>
          <w:sz w:val="24"/>
          <w:szCs w:val="24"/>
        </w:rPr>
        <w:fldChar w:fldCharType="begin"/>
      </w:r>
      <w:r w:rsidRPr="00B74EFE">
        <w:rPr>
          <w:sz w:val="24"/>
          <w:szCs w:val="24"/>
        </w:rPr>
        <w:instrText xml:space="preserve"> ADDIN EN.CITE &lt;EndNote&gt;&lt;Cite&gt;&lt;Author&gt;Department of Health and Environment&lt;/Author&gt;&lt;RecNum&gt;1442&lt;/RecNum&gt;&lt;DisplayText&gt;(Department of Health and Environment)&lt;/DisplayText&gt;&lt;record&gt;&lt;rec-number&gt;1442&lt;/rec-number&gt;&lt;foreign-keys&gt;&lt;key app="EN" db-id="drzedr0r40wx06ee2zn5f5tvxx9wta0svwzs" timestamp="1523993020"&gt;1442&lt;/key&gt;&lt;/foreign-keys&gt;&lt;ref-type name="Web Page"&gt;12&lt;/ref-type&gt;&lt;contributors&gt;&lt;authors&gt;&lt;author&gt;Department of Health and Environment, Colorado.&lt;/author&gt;&lt;/authors&gt;&lt;/contributors&gt;&lt;titles&gt;&lt;title&gt;Adult marijuana use trends&lt;/title&gt;&lt;secondary-title&gt;Monitoring trends in adult marijuana use&lt;/secondary-title&gt;&lt;/titles&gt;&lt;dates&gt;&lt;/dates&gt;&lt;work-type&gt;Website&lt;/work-type&gt;&lt;urls&gt;&lt;/urls&gt;&lt;/record&gt;&lt;/Cite&gt;&lt;/EndNote&gt;</w:instrText>
      </w:r>
      <w:r w:rsidRPr="00B74EFE">
        <w:rPr>
          <w:sz w:val="24"/>
          <w:szCs w:val="24"/>
        </w:rPr>
        <w:fldChar w:fldCharType="separate"/>
      </w:r>
      <w:r w:rsidRPr="00B74EFE">
        <w:rPr>
          <w:noProof/>
          <w:sz w:val="24"/>
          <w:szCs w:val="24"/>
        </w:rPr>
        <w:t>(Department of Health and Environment)</w:t>
      </w:r>
      <w:r w:rsidRPr="00B74EFE">
        <w:rPr>
          <w:sz w:val="24"/>
          <w:szCs w:val="24"/>
        </w:rPr>
        <w:fldChar w:fldCharType="end"/>
      </w:r>
      <w:r w:rsidRPr="00B74EFE">
        <w:rPr>
          <w:sz w:val="24"/>
          <w:szCs w:val="24"/>
        </w:rPr>
        <w:t xml:space="preserve">. The results across states, however, are consistent in finding that prevalence of DUI-marijuana among older age groups is lower compared to younger age groups. Cross-state differences in results may be due to several factors, including regional beliefs, attitudes and policies related to DUI-marijuana. </w:t>
      </w:r>
    </w:p>
    <w:p w:rsidR="00CF13EB" w:rsidRPr="00B74EFE" w:rsidRDefault="00CF13EB" w:rsidP="006057BE">
      <w:pPr>
        <w:pStyle w:val="BodyText"/>
        <w:spacing w:line="240" w:lineRule="auto"/>
        <w:rPr>
          <w:sz w:val="24"/>
          <w:szCs w:val="24"/>
        </w:rPr>
      </w:pPr>
    </w:p>
    <w:p w:rsidR="00CF13EB" w:rsidRPr="00B74EFE" w:rsidRDefault="00CF13EB" w:rsidP="006057BE">
      <w:pPr>
        <w:pStyle w:val="BodyText"/>
        <w:spacing w:line="240" w:lineRule="auto"/>
        <w:rPr>
          <w:sz w:val="24"/>
          <w:szCs w:val="24"/>
        </w:rPr>
      </w:pPr>
      <w:r w:rsidRPr="00B74EFE">
        <w:rPr>
          <w:sz w:val="24"/>
          <w:szCs w:val="24"/>
        </w:rPr>
        <w:t xml:space="preserve">Some prior studies have found that males are over-represented among those who drive under the influence of marijuana </w:t>
      </w:r>
      <w:r w:rsidRPr="00B74EFE">
        <w:rPr>
          <w:sz w:val="24"/>
          <w:szCs w:val="24"/>
        </w:rPr>
        <w:fldChar w:fldCharType="begin">
          <w:fldData xml:space="preserve">PEVuZE5vdGU+PENpdGU+PEF1dGhvcj5XaGl0ZWhpbGw8L0F1dGhvcj48WWVhcj4yMDE0PC9ZZWFy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</w:fldData>
        </w:fldChar>
      </w:r>
      <w:r w:rsidRPr="00B74EFE">
        <w:rPr>
          <w:sz w:val="24"/>
          <w:szCs w:val="24"/>
        </w:rPr>
        <w:instrText xml:space="preserve"> ADDIN EN.CITE </w:instrText>
      </w:r>
      <w:r w:rsidRPr="00B74EFE">
        <w:rPr>
          <w:sz w:val="24"/>
          <w:szCs w:val="24"/>
        </w:rPr>
        <w:fldChar w:fldCharType="begin">
          <w:fldData xml:space="preserve">PEVuZE5vdGU+PENpdGU+PEF1dGhvcj5XaGl0ZWhpbGw8L0F1dGhvcj48WWVhcj4yMDE0PC9ZZWFy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</w:fldData>
        </w:fldChar>
      </w:r>
      <w:r w:rsidRPr="00B74EFE">
        <w:rPr>
          <w:sz w:val="24"/>
          <w:szCs w:val="24"/>
        </w:rPr>
        <w:instrText xml:space="preserve"> ADDIN EN.CITE.DATA </w:instrText>
      </w:r>
      <w:r w:rsidRPr="00B74EFE">
        <w:rPr>
          <w:sz w:val="24"/>
          <w:szCs w:val="24"/>
        </w:rPr>
      </w:r>
      <w:r w:rsidRPr="00B74EFE">
        <w:rPr>
          <w:sz w:val="24"/>
          <w:szCs w:val="24"/>
        </w:rPr>
        <w:fldChar w:fldCharType="end"/>
      </w:r>
      <w:r w:rsidRPr="00B74EFE">
        <w:rPr>
          <w:sz w:val="24"/>
          <w:szCs w:val="24"/>
        </w:rPr>
      </w:r>
      <w:r w:rsidRPr="00B74EFE">
        <w:rPr>
          <w:sz w:val="24"/>
          <w:szCs w:val="24"/>
        </w:rPr>
        <w:fldChar w:fldCharType="separate"/>
      </w:r>
      <w:r w:rsidRPr="00B74EFE">
        <w:rPr>
          <w:noProof/>
          <w:sz w:val="24"/>
          <w:szCs w:val="24"/>
        </w:rPr>
        <w:t>(Arria, Caldeira, Vincent, Garnier-Dykstra, &amp; O'Grady, 2011; Whitehill et al., 2014)</w:t>
      </w:r>
      <w:r w:rsidRPr="00B74EFE">
        <w:rPr>
          <w:sz w:val="24"/>
          <w:szCs w:val="24"/>
        </w:rPr>
        <w:fldChar w:fldCharType="end"/>
      </w:r>
      <w:r w:rsidRPr="00B74EFE">
        <w:rPr>
          <w:sz w:val="24"/>
          <w:szCs w:val="24"/>
        </w:rPr>
        <w:t xml:space="preserve">. In the present study, this was not the case, with females representing about 42% of marijuana users, and a similar proportion of those who DUI-marijuana. </w:t>
      </w:r>
    </w:p>
    <w:p w:rsidR="00CF13EB" w:rsidRPr="00B74EFE" w:rsidRDefault="00CF13EB" w:rsidP="006057BE">
      <w:pPr>
        <w:pStyle w:val="BodyText"/>
        <w:spacing w:line="240" w:lineRule="auto"/>
        <w:rPr>
          <w:sz w:val="24"/>
          <w:szCs w:val="24"/>
        </w:rPr>
      </w:pPr>
    </w:p>
    <w:p w:rsidR="00CF13EB" w:rsidRPr="00B74EFE" w:rsidRDefault="00CF13EB" w:rsidP="006057BE">
      <w:pPr>
        <w:pStyle w:val="BodyText"/>
        <w:spacing w:line="240" w:lineRule="auto"/>
        <w:rPr>
          <w:sz w:val="24"/>
          <w:szCs w:val="24"/>
        </w:rPr>
      </w:pPr>
      <w:r w:rsidRPr="00B74EFE">
        <w:rPr>
          <w:sz w:val="24"/>
          <w:szCs w:val="24"/>
        </w:rPr>
        <w:t xml:space="preserve">About 4 out of 10 Massachusetts adults who drove under the influence of marijuana reported driving under the influence of alcohol and marijuana, simultaneously. This is concerning, since studies suggest that the crash risk from the combination of alcohol and marijuana may be higher than the risk from using either substance alone </w:t>
      </w:r>
      <w:r w:rsidRPr="00B74EFE">
        <w:rPr>
          <w:sz w:val="24"/>
          <w:szCs w:val="24"/>
        </w:rPr>
        <w:fldChar w:fldCharType="begin">
          <w:fldData xml:space="preserve">PEVuZE5vdGU+PENpdGU+PEF1dGhvcj5DaGlodXJpPC9BdXRob3I+PFllYXI+MjAxNzwvWWVhcj48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</w:fldData>
        </w:fldChar>
      </w:r>
      <w:r w:rsidRPr="00B74EFE">
        <w:rPr>
          <w:sz w:val="24"/>
          <w:szCs w:val="24"/>
        </w:rPr>
        <w:instrText xml:space="preserve"> ADDIN EN.CITE </w:instrText>
      </w:r>
      <w:r w:rsidRPr="00B74EFE">
        <w:rPr>
          <w:sz w:val="24"/>
          <w:szCs w:val="24"/>
        </w:rPr>
        <w:fldChar w:fldCharType="begin">
          <w:fldData xml:space="preserve">PEVuZE5vdGU+PENpdGU+PEF1dGhvcj5DaGlodXJpPC9BdXRob3I+PFllYXI+MjAxNzwvWWVhcj48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</w:fldData>
        </w:fldChar>
      </w:r>
      <w:r w:rsidRPr="00B74EFE">
        <w:rPr>
          <w:sz w:val="24"/>
          <w:szCs w:val="24"/>
        </w:rPr>
        <w:instrText xml:space="preserve"> ADDIN EN.CITE.DATA </w:instrText>
      </w:r>
      <w:r w:rsidRPr="00B74EFE">
        <w:rPr>
          <w:sz w:val="24"/>
          <w:szCs w:val="24"/>
        </w:rPr>
      </w:r>
      <w:r w:rsidRPr="00B74EFE">
        <w:rPr>
          <w:sz w:val="24"/>
          <w:szCs w:val="24"/>
        </w:rPr>
        <w:fldChar w:fldCharType="end"/>
      </w:r>
      <w:r w:rsidRPr="00B74EFE">
        <w:rPr>
          <w:sz w:val="24"/>
          <w:szCs w:val="24"/>
        </w:rPr>
      </w:r>
      <w:r w:rsidRPr="00B74EFE">
        <w:rPr>
          <w:sz w:val="24"/>
          <w:szCs w:val="24"/>
        </w:rPr>
        <w:fldChar w:fldCharType="separate"/>
      </w:r>
      <w:r w:rsidRPr="00B74EFE">
        <w:rPr>
          <w:noProof/>
          <w:sz w:val="24"/>
          <w:szCs w:val="24"/>
        </w:rPr>
        <w:t>(Chihuri, Li, &amp; Chen, 2017)</w:t>
      </w:r>
      <w:r w:rsidRPr="00B74EFE">
        <w:rPr>
          <w:sz w:val="24"/>
          <w:szCs w:val="24"/>
        </w:rPr>
        <w:fldChar w:fldCharType="end"/>
      </w:r>
      <w:r w:rsidRPr="00B74EFE">
        <w:rPr>
          <w:sz w:val="24"/>
          <w:szCs w:val="24"/>
        </w:rPr>
        <w:t>. Monitoring and preventing driving under the combination of alcohol and marijuana is an important consideration as legalization is implemented.</w:t>
      </w:r>
    </w:p>
    <w:p w:rsidR="00CF13EB" w:rsidRPr="00B74EFE" w:rsidRDefault="00CF13EB" w:rsidP="006057BE">
      <w:pPr>
        <w:pStyle w:val="BodyText"/>
        <w:spacing w:line="240" w:lineRule="auto"/>
        <w:rPr>
          <w:sz w:val="24"/>
          <w:szCs w:val="24"/>
        </w:rPr>
      </w:pPr>
    </w:p>
    <w:p w:rsidR="00CF13EB" w:rsidRPr="00B74EFE" w:rsidRDefault="00CF13EB" w:rsidP="006057BE">
      <w:pPr>
        <w:pStyle w:val="BodyText"/>
        <w:spacing w:line="240" w:lineRule="auto"/>
        <w:rPr>
          <w:sz w:val="24"/>
          <w:szCs w:val="24"/>
        </w:rPr>
      </w:pPr>
      <w:r w:rsidRPr="00B74EFE">
        <w:rPr>
          <w:sz w:val="24"/>
          <w:szCs w:val="24"/>
        </w:rPr>
        <w:t xml:space="preserve">The analysis of data from fatal crashes in Massachusetts demonstrated that there were approximately 360 crashes in 2016 in which at least one person died, with a total of nearly 390 fatalities, of which 234 were drivers. Many of these crashes are preventable and reducing potentially-impairing alcohol and drug use by drivers should remain a priority as marijuana policies are changing within the state.  Among the fatal crashes, approximately 36% of drivers received a blood drug test between 2002-2016. This included testing 73% of fatally injured drivers, and less than 1% of surviving drivers. To contextualize these numbers, prior studies seeking to establish national or cross-state comparisons using FARS data only include states in which testing rates are above 80% for deceased drivers. Thus, comparisons to other states may not be appropriate due to lower-than-ideal testing rates in Massachusetts. </w:t>
      </w:r>
    </w:p>
    <w:p w:rsidR="00CF13EB" w:rsidRPr="00B74EFE" w:rsidRDefault="00CF13EB" w:rsidP="006057BE">
      <w:pPr>
        <w:pStyle w:val="BodyText"/>
        <w:spacing w:line="240" w:lineRule="auto"/>
        <w:rPr>
          <w:sz w:val="24"/>
          <w:szCs w:val="24"/>
        </w:rPr>
      </w:pPr>
    </w:p>
    <w:p w:rsidR="00CF13EB" w:rsidRPr="00B74EFE" w:rsidRDefault="00CF13EB" w:rsidP="006057BE">
      <w:pPr>
        <w:pStyle w:val="BodyText"/>
        <w:spacing w:line="240" w:lineRule="auto"/>
        <w:rPr>
          <w:sz w:val="24"/>
          <w:szCs w:val="24"/>
        </w:rPr>
      </w:pPr>
      <w:r w:rsidRPr="00B74EFE">
        <w:rPr>
          <w:sz w:val="24"/>
          <w:szCs w:val="24"/>
        </w:rPr>
        <w:t xml:space="preserve">We observed a trend that may indicate an increasing proportion of decreased drivers involved in fatal motor vehicle crashes testing positive for cannabinoids. This does not mean the drivers were impaired by marijuana at the time of the crash, and could merely indicate increasing population-level marijuana use, which would be consistent with the results from the adult survey. The analysis of FARS data showed a decrease over time in the number of deaths per year resulting from crashes with drivers who had a blood alcohol content above 0.08%, but an increase in the number of deaths with drivers testing positive for cannabinoids or a blood alcohol content above 0.08% plus cannabinoids. This trend is something that warrants future investigation in alternate data sources with regard to the possibility of either substitution (i.e. drivers using marijuana instead of alcohol) or combination (e.g. drivers using alcohol and marijuana) effects. </w:t>
      </w:r>
    </w:p>
    <w:p w:rsidR="00CF13EB" w:rsidRPr="00B74EFE" w:rsidRDefault="00CF13EB" w:rsidP="006057BE">
      <w:pPr>
        <w:pStyle w:val="BodyText"/>
        <w:spacing w:line="240" w:lineRule="auto"/>
        <w:rPr>
          <w:sz w:val="24"/>
          <w:szCs w:val="24"/>
        </w:rPr>
      </w:pPr>
    </w:p>
    <w:p w:rsidR="00CF13EB" w:rsidRPr="00B74EFE" w:rsidRDefault="00CF13EB" w:rsidP="00332358">
      <w:pPr>
        <w:pStyle w:val="Heading3"/>
      </w:pPr>
      <w:bookmarkStart w:id="528" w:name="_Toc510280129"/>
      <w:bookmarkStart w:id="529" w:name="_Toc530566814"/>
      <w:bookmarkStart w:id="530" w:name="_Toc11766023"/>
      <w:bookmarkStart w:id="531" w:name="_Toc11766678"/>
      <w:r w:rsidRPr="00B74EFE">
        <w:t>Limitations</w:t>
      </w:r>
      <w:bookmarkEnd w:id="528"/>
      <w:bookmarkEnd w:id="529"/>
      <w:bookmarkEnd w:id="530"/>
      <w:bookmarkEnd w:id="531"/>
    </w:p>
    <w:p w:rsidR="00CF13EB" w:rsidRPr="00B74EFE" w:rsidRDefault="00CF13EB" w:rsidP="006057BE">
      <w:pPr>
        <w:pStyle w:val="BodyText"/>
        <w:spacing w:line="240" w:lineRule="auto"/>
        <w:rPr>
          <w:sz w:val="24"/>
          <w:szCs w:val="24"/>
        </w:rPr>
      </w:pPr>
    </w:p>
    <w:p w:rsidR="00CF13EB" w:rsidRPr="00B74EFE" w:rsidRDefault="00CF13EB" w:rsidP="006057BE">
      <w:pPr>
        <w:pStyle w:val="BodyText"/>
        <w:spacing w:line="240" w:lineRule="auto"/>
        <w:rPr>
          <w:sz w:val="24"/>
          <w:szCs w:val="24"/>
        </w:rPr>
      </w:pPr>
      <w:r w:rsidRPr="00B74EFE">
        <w:rPr>
          <w:sz w:val="24"/>
          <w:szCs w:val="24"/>
        </w:rPr>
        <w:t xml:space="preserve">As with all studies, these data are subject to several limitations. As reported in Task 1, Chapter 2, the survey response rate was 21.7%.  Although this rate is in line with surveys of this kind, there is a possibility for response bias on a measure not accounted for by the weighting, which would impact generalizability. For example, if adults who did not use marijuana discarded the survey but those who used marijuana were more likely to return it, this could lead to overestimation of the prevalence of marijuana use, and related measures like driving under the influence. As marijuana legalization continues to be implemented in the Commonwealth, it will be important to replicate this survey as well as expand data collection to additional modalities that will provide a robust picture of marijuana use and related behaviors. </w:t>
      </w:r>
    </w:p>
    <w:p w:rsidR="00CF13EB" w:rsidRPr="00B74EFE" w:rsidRDefault="00CF13EB" w:rsidP="006057BE">
      <w:pPr>
        <w:pStyle w:val="BodyText"/>
        <w:spacing w:line="240" w:lineRule="auto"/>
        <w:rPr>
          <w:sz w:val="24"/>
          <w:szCs w:val="24"/>
        </w:rPr>
      </w:pPr>
      <w:r w:rsidRPr="00B74EFE">
        <w:rPr>
          <w:sz w:val="24"/>
          <w:szCs w:val="24"/>
        </w:rPr>
        <w:t>T</w:t>
      </w:r>
      <w:r w:rsidRPr="00B74EFE">
        <w:rPr>
          <w:rFonts w:eastAsia="Arial Unicode MS"/>
          <w:sz w:val="24"/>
          <w:szCs w:val="24"/>
        </w:rPr>
        <w:t xml:space="preserve">he cross-sectional survey design precludes determining the </w:t>
      </w:r>
      <w:r w:rsidRPr="00B74EFE">
        <w:rPr>
          <w:sz w:val="24"/>
          <w:szCs w:val="24"/>
          <w:lang w:val="en-GB"/>
        </w:rPr>
        <w:t>temporal sequencing of experiences and prevents drawing of causal inferences.</w:t>
      </w:r>
      <w:r w:rsidRPr="00B74EFE">
        <w:rPr>
          <w:sz w:val="24"/>
          <w:szCs w:val="24"/>
          <w:vertAlign w:val="superscript"/>
        </w:rPr>
        <w:t xml:space="preserve"> </w:t>
      </w:r>
      <w:r w:rsidRPr="00B74EFE">
        <w:rPr>
          <w:sz w:val="24"/>
          <w:szCs w:val="24"/>
        </w:rPr>
        <w:t>Marijuana and other substance use were both self-reported, and not corroborated by testing of biological samples. Social desirability bias can lead to underestimates in survey research, however a unique contribution of this study is that it is the first to be conducted in Massachusetts after legalization of marijuana for adult recreational use.  Data was collected in late 2017, nearly one year after marijuana became legal for recreational use by adults, and several years after legalization of medical marijuana in Massachusetts. This should reduce potential for social desirability bias that leads to under-reporting of marijuana use. Illegal behaviors (e.g. use of illicit drugs; driving under the influence of alcohol or drugs) may be underreported.</w:t>
      </w:r>
    </w:p>
    <w:p w:rsidR="00CF13EB" w:rsidRPr="00B74EFE" w:rsidRDefault="00CF13EB" w:rsidP="006057BE">
      <w:pPr>
        <w:pStyle w:val="BodyText"/>
        <w:spacing w:line="240" w:lineRule="auto"/>
        <w:rPr>
          <w:sz w:val="24"/>
          <w:szCs w:val="24"/>
        </w:rPr>
      </w:pPr>
    </w:p>
    <w:p w:rsidR="00CF13EB" w:rsidRPr="00B74EFE" w:rsidRDefault="00CF13EB" w:rsidP="006057BE">
      <w:pPr>
        <w:pStyle w:val="BodyText"/>
        <w:spacing w:line="240" w:lineRule="auto"/>
        <w:rPr>
          <w:sz w:val="24"/>
          <w:szCs w:val="24"/>
        </w:rPr>
      </w:pPr>
      <w:r w:rsidRPr="00B74EFE">
        <w:rPr>
          <w:sz w:val="24"/>
          <w:szCs w:val="24"/>
        </w:rPr>
        <w:t>Small cell sizes for categories of some variables likely means that models including them are underpowered. For some variables, fewer than 5 respondents endorsed the items. Weighted estimates based on these few data should be interpreted carefully.</w:t>
      </w:r>
    </w:p>
    <w:p w:rsidR="00CF13EB" w:rsidRPr="00B74EFE" w:rsidRDefault="00CF13EB" w:rsidP="006057BE">
      <w:pPr>
        <w:pStyle w:val="BodyText"/>
        <w:spacing w:line="240" w:lineRule="auto"/>
        <w:rPr>
          <w:sz w:val="24"/>
          <w:szCs w:val="24"/>
        </w:rPr>
      </w:pPr>
    </w:p>
    <w:p w:rsidR="00CF13EB" w:rsidRPr="00B74EFE" w:rsidRDefault="00CF13EB" w:rsidP="006057BE">
      <w:pPr>
        <w:pStyle w:val="BodyText"/>
        <w:spacing w:line="240" w:lineRule="auto"/>
        <w:rPr>
          <w:sz w:val="24"/>
          <w:szCs w:val="24"/>
        </w:rPr>
      </w:pPr>
      <w:r w:rsidRPr="00B74EFE">
        <w:rPr>
          <w:sz w:val="24"/>
          <w:szCs w:val="24"/>
        </w:rPr>
        <w:t xml:space="preserve">In conclusion, this study presents the first estimate of prevalence of DUI-marijuana and RUI-marijuana among Massachusetts adults after the legalization of marijuana for use by all adults over 21 years. Driving under the influence of marijuana is common among marijuana users, particularly among young adults.  Riding as a passenger with a marijuana-using driver is even more common. Efforts to address social norms about driving under the influence of marijuana is one strategy that may reduce this behavior. In the meantime, more research to understand the true crash risk and methods for deterring impaired driving are needed. </w:t>
      </w:r>
    </w:p>
    <w:p w:rsidR="00CF13EB" w:rsidRPr="00B74EFE" w:rsidRDefault="00CF13EB" w:rsidP="006057BE">
      <w:pPr>
        <w:pStyle w:val="BodyText"/>
        <w:spacing w:line="240" w:lineRule="auto"/>
        <w:rPr>
          <w:sz w:val="24"/>
          <w:szCs w:val="24"/>
        </w:rPr>
      </w:pPr>
    </w:p>
    <w:p w:rsidR="00CF13EB" w:rsidRPr="00B74EFE" w:rsidRDefault="00CF13EB" w:rsidP="006057BE">
      <w:pPr>
        <w:pStyle w:val="BodyText"/>
        <w:spacing w:line="240" w:lineRule="auto"/>
        <w:rPr>
          <w:sz w:val="24"/>
          <w:szCs w:val="24"/>
        </w:rPr>
      </w:pPr>
      <w:r w:rsidRPr="00B74EFE">
        <w:rPr>
          <w:sz w:val="24"/>
          <w:szCs w:val="24"/>
        </w:rPr>
        <w:t xml:space="preserve">Analysis of fatality data is also subject to limitations. In addition to a lower-than-ideal rate of testing, described above, prior studies have questioned the validity of drug data in FARS due to variability in drug testing practices, even within states </w:t>
      </w:r>
      <w:r w:rsidRPr="00B74EFE">
        <w:rPr>
          <w:sz w:val="24"/>
          <w:szCs w:val="24"/>
        </w:rPr>
        <w:fldChar w:fldCharType="begin"/>
      </w:r>
      <w:r w:rsidRPr="00B74EFE">
        <w:rPr>
          <w:sz w:val="24"/>
          <w:szCs w:val="24"/>
        </w:rPr>
        <w:instrText xml:space="preserve"> ADDIN EN.CITE &lt;EndNote&gt;&lt;Cite&gt;&lt;Author&gt;Berning&lt;/Author&gt;&lt;Year&gt;2014&lt;/Year&gt;&lt;RecNum&gt;1019&lt;/RecNum&gt;&lt;DisplayText&gt;(Berning &amp;amp; Smither, 2014)&lt;/DisplayText&gt;&lt;record&gt;&lt;rec-number&gt;1019&lt;/rec-number&gt;&lt;foreign-keys&gt;&lt;key app="EN" db-id="drzedr0r40wx06ee2zn5f5tvxx9wta0svwzs" timestamp="1515783676"&gt;1019&lt;/key&gt;&lt;key app="ENWeb" db-id=""&gt;0&lt;/key&gt;&lt;/foreign-keys&gt;&lt;ref-type name="Report"&gt;27&lt;/ref-type&gt;&lt;contributors&gt;&lt;authors&gt;&lt;author&gt;Berning, A.&lt;/author&gt;&lt;author&gt;Smither, DD. &lt;/author&gt;&lt;/authors&gt;&lt;tertiary-authors&gt;&lt;author&gt;U.S. Department of Transportation&lt;/author&gt;&lt;/tertiary-authors&gt;&lt;/contributors&gt;&lt;titles&gt;&lt;title&gt;Understanding the Limitations of Drug Test Information, Reporting, and Testing Practices in Fatal Crashes&lt;/title&gt;&lt;/titles&gt;&lt;number&gt;DOT HS 812 072&lt;/number&gt;&lt;dates&gt;&lt;year&gt;2014&lt;/year&gt;&lt;/dates&gt;&lt;pub-location&gt;Washington, D.C.&lt;/pub-location&gt;&lt;publisher&gt;National Highway Traffic Safety Administration&lt;/publisher&gt;&lt;urls&gt;&lt;/urls&gt;&lt;/record&gt;&lt;/Cite&gt;&lt;/EndNote&gt;</w:instrText>
      </w:r>
      <w:r w:rsidRPr="00B74EFE">
        <w:rPr>
          <w:sz w:val="24"/>
          <w:szCs w:val="24"/>
        </w:rPr>
        <w:fldChar w:fldCharType="separate"/>
      </w:r>
      <w:r w:rsidRPr="00B74EFE">
        <w:rPr>
          <w:noProof/>
          <w:sz w:val="24"/>
          <w:szCs w:val="24"/>
        </w:rPr>
        <w:t>(Berning &amp; Smither, 2014)</w:t>
      </w:r>
      <w:r w:rsidRPr="00B74EFE">
        <w:rPr>
          <w:sz w:val="24"/>
          <w:szCs w:val="24"/>
        </w:rPr>
        <w:fldChar w:fldCharType="end"/>
      </w:r>
      <w:r w:rsidRPr="00B74EFE">
        <w:rPr>
          <w:sz w:val="24"/>
          <w:szCs w:val="24"/>
        </w:rPr>
        <w:t xml:space="preserve">. The data used for this study, which showed a dramatic dip to near-zero levels of recorded delta-9-THC results in 2011-2012 and precluded use of that data for this analysis likely reflects the type of testing and/or data coding problems that plague the FARS data. </w:t>
      </w:r>
    </w:p>
    <w:p w:rsidR="00CF13EB" w:rsidRPr="00B3588A" w:rsidRDefault="00CF13EB" w:rsidP="006057BE">
      <w:pPr>
        <w:pStyle w:val="BodyText"/>
        <w:suppressLineNumbers/>
        <w:spacing w:line="240" w:lineRule="auto"/>
      </w:pPr>
      <w:bookmarkStart w:id="532" w:name="_Toc530566816"/>
    </w:p>
    <w:p w:rsidR="00CF13EB" w:rsidRDefault="00CF13EB" w:rsidP="00F950A2">
      <w:pPr>
        <w:pStyle w:val="BodyText"/>
      </w:pPr>
      <w:bookmarkStart w:id="533" w:name="_Toc530566827"/>
      <w:bookmarkEnd w:id="532"/>
    </w:p>
    <w:p w:rsidR="005D7694" w:rsidRDefault="005D7694" w:rsidP="00F950A2">
      <w:pPr>
        <w:pStyle w:val="BodyText"/>
      </w:pPr>
    </w:p>
    <w:p w:rsidR="00A3309E" w:rsidRDefault="00A3309E" w:rsidP="00F950A2">
      <w:pPr>
        <w:pStyle w:val="BodyText"/>
      </w:pPr>
    </w:p>
    <w:p w:rsidR="00A3309E" w:rsidRDefault="00A3309E" w:rsidP="00F950A2">
      <w:pPr>
        <w:pStyle w:val="BodyText"/>
      </w:pPr>
    </w:p>
    <w:p w:rsidR="00A3309E" w:rsidRDefault="00A3309E" w:rsidP="00F950A2">
      <w:pPr>
        <w:pStyle w:val="BodyText"/>
      </w:pPr>
    </w:p>
    <w:p w:rsidR="00A3309E" w:rsidRDefault="00A3309E" w:rsidP="00F950A2">
      <w:pPr>
        <w:pStyle w:val="BodyText"/>
      </w:pPr>
    </w:p>
    <w:p w:rsidR="00A3309E" w:rsidRDefault="00A3309E" w:rsidP="00F950A2">
      <w:pPr>
        <w:pStyle w:val="BodyText"/>
      </w:pPr>
    </w:p>
    <w:p w:rsidR="00A3309E" w:rsidRDefault="00A3309E" w:rsidP="00F950A2">
      <w:pPr>
        <w:pStyle w:val="BodyText"/>
      </w:pPr>
    </w:p>
    <w:p w:rsidR="00A3309E" w:rsidRDefault="00A3309E" w:rsidP="00F950A2">
      <w:pPr>
        <w:pStyle w:val="BodyText"/>
      </w:pPr>
    </w:p>
    <w:p w:rsidR="00A3309E" w:rsidRDefault="00A3309E" w:rsidP="00F950A2">
      <w:pPr>
        <w:pStyle w:val="BodyText"/>
      </w:pPr>
    </w:p>
    <w:p w:rsidR="00A3309E" w:rsidRDefault="00A3309E" w:rsidP="00F950A2">
      <w:pPr>
        <w:pStyle w:val="BodyText"/>
      </w:pPr>
    </w:p>
    <w:p w:rsidR="00A3309E" w:rsidRDefault="00A3309E" w:rsidP="00F950A2">
      <w:pPr>
        <w:pStyle w:val="BodyText"/>
      </w:pPr>
    </w:p>
    <w:p w:rsidR="00A3309E" w:rsidRDefault="00A3309E" w:rsidP="00F950A2">
      <w:pPr>
        <w:pStyle w:val="BodyText"/>
      </w:pPr>
    </w:p>
    <w:p w:rsidR="00B74EFE" w:rsidRPr="00B74EFE" w:rsidRDefault="00B74EFE" w:rsidP="00B74EFE">
      <w:pPr>
        <w:pStyle w:val="BodyText"/>
      </w:pPr>
    </w:p>
    <w:p w:rsidR="00CF13EB" w:rsidRDefault="00CF13EB" w:rsidP="005F7A46">
      <w:pPr>
        <w:pStyle w:val="Heading2"/>
      </w:pPr>
      <w:bookmarkStart w:id="534" w:name="_Toc11766024"/>
      <w:bookmarkStart w:id="535" w:name="_Toc11766679"/>
      <w:bookmarkStart w:id="536" w:name="_Toc11917257"/>
      <w:bookmarkStart w:id="537" w:name="_Toc11921695"/>
      <w:bookmarkStart w:id="538" w:name="_Toc12520951"/>
      <w:bookmarkStart w:id="539" w:name="_Toc12521177"/>
      <w:bookmarkStart w:id="540" w:name="_Toc12529147"/>
      <w:r w:rsidRPr="00B3588A">
        <w:t>References</w:t>
      </w:r>
      <w:bookmarkEnd w:id="533"/>
      <w:bookmarkEnd w:id="534"/>
      <w:bookmarkEnd w:id="535"/>
      <w:bookmarkEnd w:id="536"/>
      <w:bookmarkEnd w:id="537"/>
      <w:bookmarkEnd w:id="538"/>
      <w:bookmarkEnd w:id="539"/>
      <w:bookmarkEnd w:id="540"/>
    </w:p>
    <w:p w:rsidR="00CF13EB" w:rsidRPr="00CF13EB" w:rsidRDefault="00CF13EB" w:rsidP="006057BE">
      <w:pPr>
        <w:pStyle w:val="BodyText"/>
        <w:spacing w:line="240" w:lineRule="auto"/>
      </w:pP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fldChar w:fldCharType="begin"/>
      </w:r>
      <w:r w:rsidRPr="00B3588A">
        <w:rPr>
          <w:rFonts w:ascii="Arial" w:hAnsi="Arial" w:cs="Arial"/>
          <w:szCs w:val="24"/>
        </w:rPr>
        <w:instrText xml:space="preserve"> ADDIN EN.REFLIST </w:instrText>
      </w:r>
      <w:r w:rsidRPr="00B3588A">
        <w:rPr>
          <w:rFonts w:ascii="Arial" w:hAnsi="Arial" w:cs="Arial"/>
          <w:szCs w:val="24"/>
        </w:rPr>
        <w:fldChar w:fldCharType="separate"/>
      </w:r>
      <w:r w:rsidRPr="00B3588A">
        <w:rPr>
          <w:rFonts w:ascii="Arial" w:hAnsi="Arial" w:cs="Arial"/>
          <w:szCs w:val="24"/>
        </w:rPr>
        <w:t xml:space="preserve">Alcohol and Drug Abuse Institute. (2013). What is Cannabis?   Retrieved from </w:t>
      </w:r>
      <w:hyperlink r:id="rId70" w:history="1">
        <w:r w:rsidRPr="00B3588A">
          <w:rPr>
            <w:rStyle w:val="Hyperlink"/>
            <w:rFonts w:ascii="Arial" w:hAnsi="Arial" w:cs="Arial"/>
            <w:szCs w:val="24"/>
          </w:rPr>
          <w:t>http://learnaboutmarijuanawa.org/factsheets/whatiscannabis.htm</w:t>
        </w:r>
      </w:hyperlink>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Alere DDS®2 Mobile Test System: Rapid Screening for Drugs of Abuse in Oral Fluid. (2018).   Retrieved from </w:t>
      </w:r>
      <w:hyperlink r:id="rId71" w:history="1">
        <w:r w:rsidRPr="00B3588A">
          <w:rPr>
            <w:rStyle w:val="Hyperlink"/>
            <w:rFonts w:ascii="Arial" w:hAnsi="Arial" w:cs="Arial"/>
            <w:szCs w:val="24"/>
          </w:rPr>
          <w:t>https://www.alere.com/en/home/product-details/dds2-mobile-test-system.html#</w:t>
        </w:r>
      </w:hyperlink>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Allen, K. R. (2011). Screening for drugs of abuse: which matrix, oral fluid or urine? </w:t>
      </w:r>
      <w:r w:rsidRPr="00B3588A">
        <w:rPr>
          <w:rFonts w:ascii="Arial" w:hAnsi="Arial" w:cs="Arial"/>
          <w:i/>
          <w:szCs w:val="24"/>
        </w:rPr>
        <w:t>Annals of Clinical Biochemistry, 48</w:t>
      </w:r>
      <w:r w:rsidRPr="00B3588A">
        <w:rPr>
          <w:rFonts w:ascii="Arial" w:hAnsi="Arial" w:cs="Arial"/>
          <w:szCs w:val="24"/>
        </w:rPr>
        <w:t xml:space="preserve">(6), 531-541.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Arnett, J. J., &amp; Tanner, J. L. (Eds.). (2004). </w:t>
      </w:r>
      <w:r w:rsidRPr="00B3588A">
        <w:rPr>
          <w:rFonts w:ascii="Arial" w:hAnsi="Arial" w:cs="Arial"/>
          <w:i/>
          <w:szCs w:val="24"/>
        </w:rPr>
        <w:t>Emerging Adulthood: The Winding Road from the Late Teens through the Twenties</w:t>
      </w:r>
      <w:r w:rsidRPr="00B3588A">
        <w:rPr>
          <w:rFonts w:ascii="Arial" w:hAnsi="Arial" w:cs="Arial"/>
          <w:szCs w:val="24"/>
        </w:rPr>
        <w:t>. New York, NY: Oxford University Press.</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Arria, A. M., Caldeira, K. M., Vincent, K. B., Garnier-Dykstra, L. M., &amp; O'Grady, K. E. (2011). Substance-related traffic-risk behaviors among college students. </w:t>
      </w:r>
      <w:r w:rsidRPr="00B3588A">
        <w:rPr>
          <w:rFonts w:ascii="Arial" w:hAnsi="Arial" w:cs="Arial"/>
          <w:i/>
          <w:szCs w:val="24"/>
        </w:rPr>
        <w:t>Drug Alcohol Depend, 118</w:t>
      </w:r>
      <w:r w:rsidRPr="00B3588A">
        <w:rPr>
          <w:rFonts w:ascii="Arial" w:hAnsi="Arial" w:cs="Arial"/>
          <w:szCs w:val="24"/>
        </w:rPr>
        <w:t>(2-3), 306-312. doi:10.1016/j.drugalcdep.2011.04.012</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Asbridge, M., Hayden, J. A., &amp; Cartwright, J. L. (2012). Acute cannabis consumption and motor vehicle collision risk: systematic review of observational studies and meta-analysis. </w:t>
      </w:r>
      <w:r w:rsidRPr="00B3588A">
        <w:rPr>
          <w:rFonts w:ascii="Arial" w:hAnsi="Arial" w:cs="Arial"/>
          <w:i/>
          <w:szCs w:val="24"/>
        </w:rPr>
        <w:t>BMJ, 344</w:t>
      </w:r>
      <w:r w:rsidRPr="00B3588A">
        <w:rPr>
          <w:rFonts w:ascii="Arial" w:hAnsi="Arial" w:cs="Arial"/>
          <w:szCs w:val="24"/>
        </w:rPr>
        <w:t xml:space="preserve">, e536.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Banta-Green, C., Rowhani-Rahbar, A., Ebel, B. E., Andris, L. M., &amp; Qiu, Q. (2016). Cannabis Use among Drivers Suspected of Driving Under the Influence or Involved in Collisions: Analyses of Washington State Patrol Data.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Berning, A., &amp; Smither, D. (2014). </w:t>
      </w:r>
      <w:r w:rsidRPr="00B3588A">
        <w:rPr>
          <w:rFonts w:ascii="Arial" w:hAnsi="Arial" w:cs="Arial"/>
          <w:i/>
          <w:szCs w:val="24"/>
        </w:rPr>
        <w:t>Understanding the Limitations of Drug Test Information, Reporting, and Testing Practices in Fatal Crashes</w:t>
      </w:r>
      <w:r w:rsidRPr="00B3588A">
        <w:rPr>
          <w:rFonts w:ascii="Arial" w:hAnsi="Arial" w:cs="Arial"/>
          <w:szCs w:val="24"/>
        </w:rPr>
        <w:t xml:space="preserve">. Retrieved from Washington, D.C.: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Blencowe, T., Pehrsson, A., &amp; Lillsunde, P. (2010). </w:t>
      </w:r>
      <w:r w:rsidRPr="00B3588A">
        <w:rPr>
          <w:rFonts w:ascii="Arial" w:hAnsi="Arial" w:cs="Arial"/>
          <w:i/>
          <w:szCs w:val="24"/>
        </w:rPr>
        <w:t>Analytical evaluation of oral fluid screening devices and preceding selection procedures</w:t>
      </w:r>
      <w:r w:rsidRPr="00B3588A">
        <w:rPr>
          <w:rFonts w:ascii="Arial" w:hAnsi="Arial" w:cs="Arial"/>
          <w:szCs w:val="24"/>
        </w:rPr>
        <w:t xml:space="preserve">. Retrieved from </w:t>
      </w:r>
      <w:hyperlink r:id="rId72" w:history="1">
        <w:r w:rsidRPr="00B3588A">
          <w:rPr>
            <w:rStyle w:val="Hyperlink"/>
            <w:rFonts w:ascii="Arial" w:hAnsi="Arial" w:cs="Arial"/>
            <w:szCs w:val="24"/>
          </w:rPr>
          <w:t>https://www.bast.de/Druid/EN/deliverales-list/downloads/Deliverable_3_2_2.pdf?__blob=publicationFile&amp;v=1</w:t>
        </w:r>
      </w:hyperlink>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Bondallaz, P., Favrat, B., Chtioui, H., Fornari, E., Maeder, P., &amp; Giroud, C. (2016). Cannabis and its effects on driving skills. </w:t>
      </w:r>
      <w:r w:rsidRPr="00B3588A">
        <w:rPr>
          <w:rFonts w:ascii="Arial" w:hAnsi="Arial" w:cs="Arial"/>
          <w:i/>
          <w:szCs w:val="24"/>
        </w:rPr>
        <w:t>Forensic Science International, 268</w:t>
      </w:r>
      <w:r w:rsidRPr="00B3588A">
        <w:rPr>
          <w:rFonts w:ascii="Arial" w:hAnsi="Arial" w:cs="Arial"/>
          <w:szCs w:val="24"/>
        </w:rPr>
        <w:t>, 92-102. doi:</w:t>
      </w:r>
      <w:hyperlink r:id="rId73" w:history="1">
        <w:r w:rsidRPr="00B3588A">
          <w:rPr>
            <w:rStyle w:val="Hyperlink"/>
            <w:rFonts w:ascii="Arial" w:hAnsi="Arial" w:cs="Arial"/>
            <w:szCs w:val="24"/>
          </w:rPr>
          <w:t>https://doi.org/10.1016/j.forsciint.2016.09.007</w:t>
        </w:r>
      </w:hyperlink>
    </w:p>
    <w:p w:rsidR="00CF13EB"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Bosker, W. M., &amp; Huestis, M. A. (2009). Oral fluid testing for drugs of abuse. </w:t>
      </w:r>
      <w:r w:rsidRPr="00B3588A">
        <w:rPr>
          <w:rFonts w:ascii="Arial" w:hAnsi="Arial" w:cs="Arial"/>
          <w:i/>
          <w:szCs w:val="24"/>
        </w:rPr>
        <w:t>Clinical chemistry, 55</w:t>
      </w:r>
      <w:r w:rsidRPr="00B3588A">
        <w:rPr>
          <w:rFonts w:ascii="Arial" w:hAnsi="Arial" w:cs="Arial"/>
          <w:szCs w:val="24"/>
        </w:rPr>
        <w:t xml:space="preserve">(11), 1910-1931. </w:t>
      </w:r>
    </w:p>
    <w:p w:rsidR="00CF13EB" w:rsidRPr="00B3588A" w:rsidRDefault="00CF13EB" w:rsidP="006057BE">
      <w:pPr>
        <w:pStyle w:val="EndNoteBibliography"/>
        <w:spacing w:after="0"/>
        <w:ind w:left="720" w:hanging="720"/>
        <w:rPr>
          <w:rFonts w:ascii="Arial" w:hAnsi="Arial" w:cs="Arial"/>
          <w:szCs w:val="24"/>
        </w:rPr>
      </w:pPr>
      <w:r w:rsidRPr="00D02100">
        <w:rPr>
          <w:rFonts w:ascii="Arial" w:hAnsi="Arial" w:cs="Arial"/>
          <w:szCs w:val="24"/>
        </w:rPr>
        <w:t xml:space="preserve">Chen, Q., Williams, S. Z., Liu, Y., Chihuri, S. T., &amp; Li, G. (2018). Multiple imputation of missing marijuana data in the Fatality Analysis Reporting System using a Bayesian multilevel model. </w:t>
      </w:r>
      <w:r w:rsidRPr="00D02100">
        <w:rPr>
          <w:rFonts w:ascii="Arial" w:hAnsi="Arial" w:cs="Arial"/>
          <w:i/>
          <w:szCs w:val="24"/>
        </w:rPr>
        <w:t>Accid Anal Prev, 120</w:t>
      </w:r>
      <w:r w:rsidRPr="00D02100">
        <w:rPr>
          <w:rFonts w:ascii="Arial" w:hAnsi="Arial" w:cs="Arial"/>
          <w:szCs w:val="24"/>
        </w:rPr>
        <w:t>, 262-269. doi:10.1016/j.aap.2018.08.021</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Chihuri, S., Li, G., &amp; Chen, Q. (2017). Interaction of marijuana and alcohol on fatal motor vehicle crash risk: a case-control study. </w:t>
      </w:r>
      <w:r w:rsidRPr="00B3588A">
        <w:rPr>
          <w:rFonts w:ascii="Arial" w:hAnsi="Arial" w:cs="Arial"/>
          <w:i/>
          <w:szCs w:val="24"/>
        </w:rPr>
        <w:t>Inj Epidemiol, 4</w:t>
      </w:r>
      <w:r w:rsidRPr="00B3588A">
        <w:rPr>
          <w:rFonts w:ascii="Arial" w:hAnsi="Arial" w:cs="Arial"/>
          <w:szCs w:val="24"/>
        </w:rPr>
        <w:t>(1), 8. doi:10.1186/s40621-017-0105-z</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Compton, R. (2017). </w:t>
      </w:r>
      <w:r w:rsidRPr="00B3588A">
        <w:rPr>
          <w:rFonts w:ascii="Arial" w:hAnsi="Arial" w:cs="Arial"/>
          <w:i/>
          <w:szCs w:val="24"/>
        </w:rPr>
        <w:t>Marijuana-Impaired Driving A Report to Congress</w:t>
      </w:r>
      <w:r w:rsidRPr="00B3588A">
        <w:rPr>
          <w:rFonts w:ascii="Arial" w:hAnsi="Arial" w:cs="Arial"/>
          <w:szCs w:val="24"/>
        </w:rPr>
        <w:t xml:space="preserve">. Retrieved from Washington, DC: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Davis, K. C., Allen, J., Duke, J., Nonnemaker, J., Bradfield, B., Farrelly, M. C., . . . Novak, S. (2016). Correlates of Marijuana Drugged Driving and Openness to Driving While High: Evidence from Colorado and Washington. </w:t>
      </w:r>
      <w:r w:rsidRPr="00B3588A">
        <w:rPr>
          <w:rFonts w:ascii="Arial" w:hAnsi="Arial" w:cs="Arial"/>
          <w:i/>
          <w:szCs w:val="24"/>
        </w:rPr>
        <w:t>PLoS One, 11</w:t>
      </w:r>
      <w:r w:rsidRPr="00B3588A">
        <w:rPr>
          <w:rFonts w:ascii="Arial" w:hAnsi="Arial" w:cs="Arial"/>
          <w:szCs w:val="24"/>
        </w:rPr>
        <w:t>(1), e0146853. doi:10.1371/journal.pone.0146853</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Department of Health and Environment, C. Adult marijuana use trends. </w:t>
      </w:r>
      <w:r w:rsidRPr="00B3588A">
        <w:rPr>
          <w:rFonts w:ascii="Arial" w:hAnsi="Arial" w:cs="Arial"/>
          <w:i/>
          <w:szCs w:val="24"/>
        </w:rPr>
        <w:t>Monitoring trends in adult marijuana use.</w:t>
      </w:r>
      <w:r w:rsidRPr="00B3588A">
        <w:rPr>
          <w:rFonts w:ascii="Arial" w:hAnsi="Arial" w:cs="Arial"/>
          <w:szCs w:val="24"/>
        </w:rPr>
        <w:t xml:space="preserve">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Department of Health and Human Services. (2015). </w:t>
      </w:r>
      <w:r w:rsidRPr="00B3588A">
        <w:rPr>
          <w:rFonts w:ascii="Arial" w:hAnsi="Arial" w:cs="Arial"/>
          <w:i/>
          <w:szCs w:val="24"/>
        </w:rPr>
        <w:t>Mandatory Guidelines for Federal Workplace Drug Testing Programs</w:t>
      </w:r>
      <w:r w:rsidRPr="00B3588A">
        <w:rPr>
          <w:rFonts w:ascii="Arial" w:hAnsi="Arial" w:cs="Arial"/>
          <w:szCs w:val="24"/>
        </w:rPr>
        <w:t xml:space="preserve">. Retrieved from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Dräger DrugTest® 5000: Analysis system for detecting drugs. (2018).   Retrieved from </w:t>
      </w:r>
      <w:hyperlink r:id="rId74" w:history="1">
        <w:r w:rsidRPr="00B3588A">
          <w:rPr>
            <w:rStyle w:val="Hyperlink"/>
            <w:rFonts w:ascii="Arial" w:hAnsi="Arial" w:cs="Arial"/>
            <w:szCs w:val="24"/>
          </w:rPr>
          <w:t>https://www.draeger.com/Library/Content/drugtest_5000_pi_9041006_en.pdf</w:t>
        </w:r>
      </w:hyperlink>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Drummer, O. H. (2010). Forensic toxicology. </w:t>
      </w:r>
      <w:r w:rsidRPr="00B3588A">
        <w:rPr>
          <w:rFonts w:ascii="Arial" w:hAnsi="Arial" w:cs="Arial"/>
          <w:i/>
          <w:szCs w:val="24"/>
        </w:rPr>
        <w:t>Exs, 100</w:t>
      </w:r>
      <w:r w:rsidRPr="00B3588A">
        <w:rPr>
          <w:rFonts w:ascii="Arial" w:hAnsi="Arial" w:cs="Arial"/>
          <w:szCs w:val="24"/>
        </w:rPr>
        <w:t xml:space="preserve">, 579-603.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Edwards, L. D., Smith, K. L., &amp; Savage, T. (2017). Drugged Driving in Wisconsin: Oral Fluid Versus Blood. </w:t>
      </w:r>
      <w:r w:rsidRPr="00B3588A">
        <w:rPr>
          <w:rFonts w:ascii="Arial" w:hAnsi="Arial" w:cs="Arial"/>
          <w:i/>
          <w:szCs w:val="24"/>
        </w:rPr>
        <w:t>J Anal Toxicol, 41</w:t>
      </w:r>
      <w:r w:rsidRPr="00B3588A">
        <w:rPr>
          <w:rFonts w:ascii="Arial" w:hAnsi="Arial" w:cs="Arial"/>
          <w:szCs w:val="24"/>
        </w:rPr>
        <w:t>(6), 523-529. doi:10.1093/jat/bkx051</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Gentili, S., Solimini, R., Tittarelli, R., Mannocchi, G., &amp; Busardo, F. P. (2016). A Study on the Reliability of an On-Site Oral Fluid Drug Test in a Recreational Context. </w:t>
      </w:r>
      <w:r w:rsidRPr="00B3588A">
        <w:rPr>
          <w:rFonts w:ascii="Arial" w:hAnsi="Arial" w:cs="Arial"/>
          <w:i/>
          <w:szCs w:val="24"/>
        </w:rPr>
        <w:t>J Anal Methods Chem, 2016</w:t>
      </w:r>
      <w:r w:rsidRPr="00B3588A">
        <w:rPr>
          <w:rFonts w:ascii="Arial" w:hAnsi="Arial" w:cs="Arial"/>
          <w:szCs w:val="24"/>
        </w:rPr>
        <w:t>, 1234581. doi:10.1155/2016/1234581</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Gentili, S., Solimini, R., Tittarelli, R., Mannocchi, G., &amp; Busardò, F. P. (2016). A Study on the Reliability of an On-Site Oral Fluid Drug Test in a Recreational Context. </w:t>
      </w:r>
      <w:r w:rsidRPr="00B3588A">
        <w:rPr>
          <w:rFonts w:ascii="Arial" w:hAnsi="Arial" w:cs="Arial"/>
          <w:i/>
          <w:szCs w:val="24"/>
        </w:rPr>
        <w:t>J Anal Methods Chem, 2016</w:t>
      </w:r>
      <w:r w:rsidRPr="00B3588A">
        <w:rPr>
          <w:rFonts w:ascii="Arial" w:hAnsi="Arial" w:cs="Arial"/>
          <w:szCs w:val="24"/>
        </w:rPr>
        <w:t>, 1234581. doi:10.1155/2016/1234581</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Goodwin, R. S., Darwin, W. D., Chiang, C. N., Shih, M., Li, S.-H., &amp; Huestis, M. A. (2008). Urinary elimination of 11-nor-9-carboxy-delta9-tetrahydrocannnabinol in cannabis users during continuously monitored abstinence. </w:t>
      </w:r>
      <w:r w:rsidRPr="00B3588A">
        <w:rPr>
          <w:rFonts w:ascii="Arial" w:hAnsi="Arial" w:cs="Arial"/>
          <w:i/>
          <w:szCs w:val="24"/>
        </w:rPr>
        <w:t>Journal of analytical toxicology, 32</w:t>
      </w:r>
      <w:r w:rsidRPr="00B3588A">
        <w:rPr>
          <w:rFonts w:ascii="Arial" w:hAnsi="Arial" w:cs="Arial"/>
          <w:szCs w:val="24"/>
        </w:rPr>
        <w:t xml:space="preserve">(8), 562-569.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Grondel, D., Hoff, S., &amp; Doane, D. (2018). </w:t>
      </w:r>
      <w:r w:rsidRPr="00B3588A">
        <w:rPr>
          <w:rFonts w:ascii="Arial" w:hAnsi="Arial" w:cs="Arial"/>
          <w:i/>
          <w:szCs w:val="24"/>
        </w:rPr>
        <w:t>Marijuana use, Alcohol Use, and riving in Washington State: Emerging Issues with Poly-Drug Use on Washington Roadways</w:t>
      </w:r>
      <w:r w:rsidRPr="00B3588A">
        <w:rPr>
          <w:rFonts w:ascii="Arial" w:hAnsi="Arial" w:cs="Arial"/>
          <w:szCs w:val="24"/>
        </w:rPr>
        <w:t xml:space="preserve">. Retrieved from </w:t>
      </w:r>
      <w:hyperlink r:id="rId75" w:history="1">
        <w:r w:rsidRPr="00B3588A">
          <w:rPr>
            <w:rStyle w:val="Hyperlink"/>
            <w:rFonts w:ascii="Arial" w:hAnsi="Arial" w:cs="Arial"/>
            <w:szCs w:val="24"/>
          </w:rPr>
          <w:t>http://wtsc.wa.gov/wp-content/uploads/dlm_uploads/2018/05/Marijuana-and-Alcohol-Involvement-in-Fatal-Crashes-in-WA_FINAL.pdf</w:t>
        </w:r>
      </w:hyperlink>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Grotenhermen, F. (2003). Pharmacokinetics and pharmacodynamics of cannabinoids. </w:t>
      </w:r>
      <w:r w:rsidRPr="00B3588A">
        <w:rPr>
          <w:rFonts w:ascii="Arial" w:hAnsi="Arial" w:cs="Arial"/>
          <w:i/>
          <w:szCs w:val="24"/>
        </w:rPr>
        <w:t>Clin Pharmacokinet, 42</w:t>
      </w:r>
      <w:r w:rsidRPr="00B3588A">
        <w:rPr>
          <w:rFonts w:ascii="Arial" w:hAnsi="Arial" w:cs="Arial"/>
          <w:szCs w:val="24"/>
        </w:rPr>
        <w:t>(4), 327-360. doi:10.2165/00003088-200342040-00003</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Gunasekaran, N., Long, L. E., Dawson, B. L., Hansen, G. H., Richardson, D. P., Li, K. M., . . . McGregor, I. S. (2009). Reintoxication: the release of fat-stored Δ(9)-tetrahydrocannabinol (THC) into blood is enhanced by food deprivation or ACTH exposure. </w:t>
      </w:r>
      <w:r w:rsidRPr="00B3588A">
        <w:rPr>
          <w:rFonts w:ascii="Arial" w:hAnsi="Arial" w:cs="Arial"/>
          <w:i/>
          <w:szCs w:val="24"/>
        </w:rPr>
        <w:t>British Journal of Pharmacology, 158</w:t>
      </w:r>
      <w:r w:rsidRPr="00B3588A">
        <w:rPr>
          <w:rFonts w:ascii="Arial" w:hAnsi="Arial" w:cs="Arial"/>
          <w:szCs w:val="24"/>
        </w:rPr>
        <w:t>(5), 1330-1337. doi:10.1111/j.1476-5381.2009.00399.x</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Hartman, R. L., Anizan, S., Jang, M., Brown, T. L., Yun, K. M., Gorelick, D. A., . . . Huestis, M. A. (2015). Cannabinoid disposition in oral fluid after controlled vaporizer administration with and without alcohol. </w:t>
      </w:r>
      <w:r w:rsidRPr="00B3588A">
        <w:rPr>
          <w:rFonts w:ascii="Arial" w:hAnsi="Arial" w:cs="Arial"/>
          <w:i/>
          <w:szCs w:val="24"/>
        </w:rPr>
        <w:t>Forensic Toxicology, 33</w:t>
      </w:r>
      <w:r w:rsidRPr="00B3588A">
        <w:rPr>
          <w:rFonts w:ascii="Arial" w:hAnsi="Arial" w:cs="Arial"/>
          <w:szCs w:val="24"/>
        </w:rPr>
        <w:t>(2), 260-278. doi:10.1007/s11419-015-0269-6</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Hartman, R. L., Brown, T. L., Milavetz, G., Spurgin, A., Gorelick, D. A., Gaffney, G., &amp; Huestis, M. A. (2016). Controlled vaporized cannabis, with and without alcohol: subjective effects and oral fluid-blood cannabinoid relationships. </w:t>
      </w:r>
      <w:r w:rsidRPr="00B3588A">
        <w:rPr>
          <w:rFonts w:ascii="Arial" w:hAnsi="Arial" w:cs="Arial"/>
          <w:i/>
          <w:szCs w:val="24"/>
        </w:rPr>
        <w:t>Drug Test Anal, 8</w:t>
      </w:r>
      <w:r w:rsidRPr="00B3588A">
        <w:rPr>
          <w:rFonts w:ascii="Arial" w:hAnsi="Arial" w:cs="Arial"/>
          <w:szCs w:val="24"/>
        </w:rPr>
        <w:t>(7), 690-701. doi:10.1002/dta.1839</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Hoffman, J. (2016). Study finds sharp increase in marijuana exposure among Colorado children.</w:t>
      </w:r>
      <w:r w:rsidRPr="00B3588A">
        <w:rPr>
          <w:rFonts w:ascii="Arial" w:hAnsi="Arial" w:cs="Arial"/>
          <w:i/>
          <w:szCs w:val="24"/>
        </w:rPr>
        <w:t xml:space="preserve"> The New York Times</w:t>
      </w:r>
      <w:r w:rsidRPr="00B3588A">
        <w:rPr>
          <w:rFonts w:ascii="Arial" w:hAnsi="Arial" w:cs="Arial"/>
          <w:szCs w:val="24"/>
        </w:rPr>
        <w:t xml:space="preserve">. Retrieved from </w:t>
      </w:r>
      <w:hyperlink r:id="rId76" w:history="1">
        <w:r w:rsidRPr="00B3588A">
          <w:rPr>
            <w:rStyle w:val="Hyperlink"/>
            <w:rFonts w:ascii="Arial" w:hAnsi="Arial" w:cs="Arial"/>
            <w:szCs w:val="24"/>
          </w:rPr>
          <w:t>https://www.nytimes.com/2016/07/26/health/marijuana-edibles-are-getting-into-colorado-childrens-hands-study-says.html</w:t>
        </w:r>
      </w:hyperlink>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Hollister, L. E., Gillespie, H. K., Ohlsson, A., Lindgren, J. E., Wahlen, A., &amp; Agurell, S. (1981). Do plasma concentrations of delta 9-tetrahydrocannabinol reflect the degree of intoxication? </w:t>
      </w:r>
      <w:r w:rsidRPr="00B3588A">
        <w:rPr>
          <w:rFonts w:ascii="Arial" w:hAnsi="Arial" w:cs="Arial"/>
          <w:i/>
          <w:szCs w:val="24"/>
        </w:rPr>
        <w:t>J Clin Pharmacol, 21</w:t>
      </w:r>
      <w:r w:rsidRPr="00B3588A">
        <w:rPr>
          <w:rFonts w:ascii="Arial" w:hAnsi="Arial" w:cs="Arial"/>
          <w:szCs w:val="24"/>
        </w:rPr>
        <w:t xml:space="preserve">(8-9 Suppl), 171s-177s.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Huestis, M. A. (2002). Cannabis (Marijuana) - Effects on Human Performance and Behavior. </w:t>
      </w:r>
      <w:r w:rsidRPr="00B3588A">
        <w:rPr>
          <w:rFonts w:ascii="Arial" w:hAnsi="Arial" w:cs="Arial"/>
          <w:i/>
          <w:szCs w:val="24"/>
        </w:rPr>
        <w:t>Forensic Sci Rev, 14</w:t>
      </w:r>
      <w:r w:rsidRPr="00B3588A">
        <w:rPr>
          <w:rFonts w:ascii="Arial" w:hAnsi="Arial" w:cs="Arial"/>
          <w:szCs w:val="24"/>
        </w:rPr>
        <w:t xml:space="preserve">(1-2), 15-60.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Huestis, M. A. (2007). Human Cannabinoid Pharmacokinetics. </w:t>
      </w:r>
      <w:r w:rsidRPr="00B3588A">
        <w:rPr>
          <w:rFonts w:ascii="Arial" w:hAnsi="Arial" w:cs="Arial"/>
          <w:i/>
          <w:szCs w:val="24"/>
        </w:rPr>
        <w:t>Chemistry &amp; biodiversity, 4</w:t>
      </w:r>
      <w:r w:rsidRPr="00B3588A">
        <w:rPr>
          <w:rFonts w:ascii="Arial" w:hAnsi="Arial" w:cs="Arial"/>
          <w:szCs w:val="24"/>
        </w:rPr>
        <w:t>(8), 1770-1804. doi:10.1002/cbdv.200790152</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Huestis, M. A., Milman, G., Mendu, D., Lee, D., Barnes, A. J., Schwope, D., . . . Desrosier, N. A. (2013). </w:t>
      </w:r>
      <w:r w:rsidRPr="00B3588A">
        <w:rPr>
          <w:rFonts w:ascii="Arial" w:hAnsi="Arial" w:cs="Arial"/>
          <w:i/>
          <w:szCs w:val="24"/>
        </w:rPr>
        <w:t>Evaluation the on-site Draeger DrugTest 5000 in occasional and chronic frequent smokers following controlled cannabis smoking</w:t>
      </w:r>
      <w:r w:rsidRPr="00B3588A">
        <w:rPr>
          <w:rFonts w:ascii="Arial" w:hAnsi="Arial" w:cs="Arial"/>
          <w:szCs w:val="24"/>
        </w:rPr>
        <w:t xml:space="preserve">. Retrieved from </w:t>
      </w:r>
      <w:hyperlink r:id="rId77" w:history="1">
        <w:r w:rsidRPr="00B3588A">
          <w:rPr>
            <w:rStyle w:val="Hyperlink"/>
            <w:rFonts w:ascii="Arial" w:hAnsi="Arial" w:cs="Arial"/>
            <w:szCs w:val="24"/>
          </w:rPr>
          <w:t>http://www.icadtsinternational.com/files/documents/2013_058.pdf</w:t>
        </w:r>
      </w:hyperlink>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Huestis, M. A., Milman, G., Mendu, D., Lee, D., Barnes, A. J., Schwope, D. M., . . . Desrosiers, N. A. (2013). </w:t>
      </w:r>
      <w:r w:rsidRPr="00B3588A">
        <w:rPr>
          <w:rFonts w:ascii="Arial" w:hAnsi="Arial" w:cs="Arial"/>
          <w:i/>
          <w:szCs w:val="24"/>
        </w:rPr>
        <w:t>Evaluation of the on-site Draeger DrugTest 5000 in occasional and chronic frequent smokers following controlled cannabis smoking.</w:t>
      </w:r>
      <w:r w:rsidRPr="00B3588A">
        <w:rPr>
          <w:rFonts w:ascii="Arial" w:hAnsi="Arial" w:cs="Arial"/>
          <w:szCs w:val="24"/>
        </w:rPr>
        <w:t xml:space="preserve"> Paper presented at the International Conference on Alcohol, Drugs and Traffic Safety (T2013), 20th, 2013, Brisbane, Queensland, Australia.</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Huestis, M. A., &amp; Smith, M. L. (2018). Cannabinoid Markers in Biological Fluids and Tissues: Revealing Intake. </w:t>
      </w:r>
      <w:r w:rsidRPr="00B3588A">
        <w:rPr>
          <w:rFonts w:ascii="Arial" w:hAnsi="Arial" w:cs="Arial"/>
          <w:i/>
          <w:szCs w:val="24"/>
        </w:rPr>
        <w:t>Trends Mol Med, 24</w:t>
      </w:r>
      <w:r w:rsidRPr="00B3588A">
        <w:rPr>
          <w:rFonts w:ascii="Arial" w:hAnsi="Arial" w:cs="Arial"/>
          <w:szCs w:val="24"/>
        </w:rPr>
        <w:t>(2), 156-172. doi:10.1016/j.molmed.2017.12.006</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Kim, S. Y., Kim, H., Park, Y., Lim, J., Kim, J., Koo, S. H., &amp; Kwon, G. C. (2017). Evaluation of an Automated Reader and Color Interpretation-Based Immunoassays for Multiplexed Drug-of-Abuse Testing in Urine. </w:t>
      </w:r>
      <w:r w:rsidRPr="00B3588A">
        <w:rPr>
          <w:rFonts w:ascii="Arial" w:hAnsi="Arial" w:cs="Arial"/>
          <w:i/>
          <w:szCs w:val="24"/>
        </w:rPr>
        <w:t>J Anal Toxicol, 41</w:t>
      </w:r>
      <w:r w:rsidRPr="00B3588A">
        <w:rPr>
          <w:rFonts w:ascii="Arial" w:hAnsi="Arial" w:cs="Arial"/>
          <w:szCs w:val="24"/>
        </w:rPr>
        <w:t>(5), 412-420. doi:10.1093/jat/bkx014</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Lee, D., Milman, G., Barnes, A. J., Goodwin, R. S., Hirvonen, J., &amp; Huestis, M. A. (2011). Oral fluid cannabinoids in chronic, daily cannabis smokers during sustained, monitored abstinence. </w:t>
      </w:r>
      <w:r w:rsidRPr="00B3588A">
        <w:rPr>
          <w:rFonts w:ascii="Arial" w:hAnsi="Arial" w:cs="Arial"/>
          <w:i/>
          <w:szCs w:val="24"/>
        </w:rPr>
        <w:t>Clinical chemistry, 57</w:t>
      </w:r>
      <w:r w:rsidRPr="00B3588A">
        <w:rPr>
          <w:rFonts w:ascii="Arial" w:hAnsi="Arial" w:cs="Arial"/>
          <w:szCs w:val="24"/>
        </w:rPr>
        <w:t xml:space="preserve">(8), 1127-1136.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Li, G., Chihuri, S., &amp; Brady, J. E. (2017). Role of alcohol and marijuana use in the initiation of fatal two-vehicle crashes. </w:t>
      </w:r>
      <w:r w:rsidRPr="00B3588A">
        <w:rPr>
          <w:rFonts w:ascii="Arial" w:hAnsi="Arial" w:cs="Arial"/>
          <w:i/>
          <w:szCs w:val="24"/>
        </w:rPr>
        <w:t>Annals of Epidemiology, 27</w:t>
      </w:r>
      <w:r w:rsidRPr="00B3588A">
        <w:rPr>
          <w:rFonts w:ascii="Arial" w:hAnsi="Arial" w:cs="Arial"/>
          <w:szCs w:val="24"/>
        </w:rPr>
        <w:t>(5), 342-347.e341. doi:</w:t>
      </w:r>
      <w:hyperlink r:id="rId78" w:history="1">
        <w:r w:rsidRPr="00B3588A">
          <w:rPr>
            <w:rStyle w:val="Hyperlink"/>
            <w:rFonts w:ascii="Arial" w:hAnsi="Arial" w:cs="Arial"/>
            <w:szCs w:val="24"/>
          </w:rPr>
          <w:t>https://doi.org/10.1016/j.annepidem.2017.05.003</w:t>
        </w:r>
      </w:hyperlink>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Li, K., Simons-Morton, B., Gee, B., &amp; Hingson, R. (2016). Marijuana-, alcohol-, and drug-impaired driving among emerging adults: Changes from high school to one-year post-high school. </w:t>
      </w:r>
      <w:r w:rsidRPr="00B3588A">
        <w:rPr>
          <w:rFonts w:ascii="Arial" w:hAnsi="Arial" w:cs="Arial"/>
          <w:i/>
          <w:szCs w:val="24"/>
        </w:rPr>
        <w:t>J Safety Res, 58</w:t>
      </w:r>
      <w:r w:rsidRPr="00B3588A">
        <w:rPr>
          <w:rFonts w:ascii="Arial" w:hAnsi="Arial" w:cs="Arial"/>
          <w:szCs w:val="24"/>
        </w:rPr>
        <w:t>, 15-20. doi:10.1016/j.jsr.2016.05.003</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Macdonald, S., Anglin-Bodrug, K., Mann, R. E., Erickson, P., Hathaway, A., Chipman, M., &amp; Rylett, M. (2003). Injury risk associated with cannabis and cocaine use. </w:t>
      </w:r>
      <w:r w:rsidRPr="00B3588A">
        <w:rPr>
          <w:rFonts w:ascii="Arial" w:hAnsi="Arial" w:cs="Arial"/>
          <w:i/>
          <w:szCs w:val="24"/>
        </w:rPr>
        <w:t>Drug Alcohol Depend, 72</w:t>
      </w:r>
      <w:r w:rsidRPr="00B3588A">
        <w:rPr>
          <w:rFonts w:ascii="Arial" w:hAnsi="Arial" w:cs="Arial"/>
          <w:szCs w:val="24"/>
        </w:rPr>
        <w:t xml:space="preserve">(2), 99-115.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Milburn, M. (2017). DRUID.   Retrieved from </w:t>
      </w:r>
      <w:hyperlink r:id="rId79" w:history="1">
        <w:r w:rsidRPr="00B3588A">
          <w:rPr>
            <w:rStyle w:val="Hyperlink"/>
            <w:rFonts w:ascii="Arial" w:hAnsi="Arial" w:cs="Arial"/>
            <w:szCs w:val="24"/>
          </w:rPr>
          <w:t>https://www.druidapp.com</w:t>
        </w:r>
      </w:hyperlink>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Moore, C., Coulter, C., Uges, D., Tuyay, J., Van der Linde, S., Van Leeuwen, A., . . . Orbita Jr, J. (2011). Cannabinoids in oral fluid following passive exposure to marijuana smoke. </w:t>
      </w:r>
      <w:r w:rsidRPr="00B3588A">
        <w:rPr>
          <w:rFonts w:ascii="Arial" w:hAnsi="Arial" w:cs="Arial"/>
          <w:i/>
          <w:szCs w:val="24"/>
        </w:rPr>
        <w:t>Forensic Science International, 212</w:t>
      </w:r>
      <w:r w:rsidRPr="00B3588A">
        <w:rPr>
          <w:rFonts w:ascii="Arial" w:hAnsi="Arial" w:cs="Arial"/>
          <w:szCs w:val="24"/>
        </w:rPr>
        <w:t xml:space="preserve">(1-3), 227-230.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National Highway Traffic Safety Administration. (2016). </w:t>
      </w:r>
      <w:r w:rsidRPr="00B3588A">
        <w:rPr>
          <w:rFonts w:ascii="Arial" w:hAnsi="Arial" w:cs="Arial"/>
          <w:i/>
          <w:szCs w:val="24"/>
        </w:rPr>
        <w:t>Fatality Analysis Reporting System (FARS) Analytical User's Manual 1974-2015</w:t>
      </w:r>
      <w:r w:rsidRPr="00B3588A">
        <w:rPr>
          <w:rFonts w:ascii="Arial" w:hAnsi="Arial" w:cs="Arial"/>
          <w:szCs w:val="24"/>
        </w:rPr>
        <w:t xml:space="preserve">. Retrieved from Washington, D.C.: </w:t>
      </w:r>
      <w:hyperlink r:id="rId80" w:history="1">
        <w:r w:rsidRPr="00B3588A">
          <w:rPr>
            <w:rStyle w:val="Hyperlink"/>
            <w:rFonts w:ascii="Arial" w:hAnsi="Arial" w:cs="Arial"/>
            <w:szCs w:val="24"/>
          </w:rPr>
          <w:t>http://www.nber.org/fars/ftp.nhtsa.dot.gov/fars/FARS-DOC/Analytical%20User%20Guide/USERGUIDE-2015.pdf</w:t>
        </w:r>
      </w:hyperlink>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Newmeyer, M. N., Swortwood, M. J., Andersson, M., Abulseoud, O. A., Scheidweiler, K. B., &amp; Huestis, M. A. (2017a). Cannabis Edibles: Blood and Oral Fluid Cannabinoid Pharmacokinetics and Evaluation of Oral Fluid Screening Devices for Predicting Delta9-Tetrahydrocannabinol in Blood and Oral Fluid following Cannabis Brownie Administration. </w:t>
      </w:r>
      <w:r w:rsidRPr="00B3588A">
        <w:rPr>
          <w:rFonts w:ascii="Arial" w:hAnsi="Arial" w:cs="Arial"/>
          <w:i/>
          <w:szCs w:val="24"/>
        </w:rPr>
        <w:t>Clin Chem, 63</w:t>
      </w:r>
      <w:r w:rsidRPr="00B3588A">
        <w:rPr>
          <w:rFonts w:ascii="Arial" w:hAnsi="Arial" w:cs="Arial"/>
          <w:szCs w:val="24"/>
        </w:rPr>
        <w:t>(3), 647-662. doi:10.1373/clinchem.2016.265371</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Newmeyer, M. N., Swortwood, M. J., Andersson, M., Abulseoud, O. A., Scheidweiler, K. B., &amp; Huestis, M. A. (2017b). Cannabis Edibles: Blood and Oral Fluid Cannabinoid Pharmacokinetics and Evaluation of Oral Fluid Screening Devices for Predicting Delta(9)-Tetrahydrocannabinol in Blood and Oral Fluid following Cannabis Brownie Administration. </w:t>
      </w:r>
      <w:r w:rsidRPr="00B3588A">
        <w:rPr>
          <w:rFonts w:ascii="Arial" w:hAnsi="Arial" w:cs="Arial"/>
          <w:i/>
          <w:szCs w:val="24"/>
        </w:rPr>
        <w:t>Clinical chemistry, 63</w:t>
      </w:r>
      <w:r w:rsidRPr="00B3588A">
        <w:rPr>
          <w:rFonts w:ascii="Arial" w:hAnsi="Arial" w:cs="Arial"/>
          <w:szCs w:val="24"/>
        </w:rPr>
        <w:t>(3), 647-662. doi:10.1373/clinchem.2016.265371</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Newmeyer, M. N., Swortwood, M. J., Barnes, A. J., Abulseoud, O. A., Scheidweiler, K. B., &amp; Huestis, M. A. (2016). Free and Glucuronide Whole Blood Cannabinoids' Pharmacokinetics after Controlled Smoked, Vaporized, and Oral Cannabis Administration in Frequent and Occasional Cannabis Users: Identification of Recent Cannabis Intake. </w:t>
      </w:r>
      <w:r w:rsidRPr="00B3588A">
        <w:rPr>
          <w:rFonts w:ascii="Arial" w:hAnsi="Arial" w:cs="Arial"/>
          <w:i/>
          <w:szCs w:val="24"/>
        </w:rPr>
        <w:t>Clin Chem, 62</w:t>
      </w:r>
      <w:r w:rsidRPr="00B3588A">
        <w:rPr>
          <w:rFonts w:ascii="Arial" w:hAnsi="Arial" w:cs="Arial"/>
          <w:szCs w:val="24"/>
        </w:rPr>
        <w:t>(12), 1579-1592. doi:10.1373/clinchem.2016.263475</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Quantisal™ Oral Fluid Collection Device. (2018).   Retrieved from </w:t>
      </w:r>
      <w:hyperlink r:id="rId81" w:history="1">
        <w:r w:rsidRPr="00B3588A">
          <w:rPr>
            <w:rStyle w:val="Hyperlink"/>
            <w:rFonts w:ascii="Arial" w:hAnsi="Arial" w:cs="Arial"/>
            <w:szCs w:val="24"/>
          </w:rPr>
          <w:t>https://www.alere.com/en/home/product-details/QuantisalOralFluidCollectionDevice-au.html</w:t>
        </w:r>
      </w:hyperlink>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Rocky Mountain High Intensity Drug Trafficking Area. (2015). The Legalization of Marijuana in Colorado: The Impact.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Rogeberg, O., &amp; Elvik, R. (2016). The effects of cannabis intoxication on motor vehicle collision revisited and revised. </w:t>
      </w:r>
      <w:r w:rsidRPr="00B3588A">
        <w:rPr>
          <w:rFonts w:ascii="Arial" w:hAnsi="Arial" w:cs="Arial"/>
          <w:i/>
          <w:szCs w:val="24"/>
        </w:rPr>
        <w:t>Addiction, 111</w:t>
      </w:r>
      <w:r w:rsidRPr="00B3588A">
        <w:rPr>
          <w:rFonts w:ascii="Arial" w:hAnsi="Arial" w:cs="Arial"/>
          <w:szCs w:val="24"/>
        </w:rPr>
        <w:t>(8), 1348-1359. doi:10.1111/add.13347</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Salomonsen-Sautel, S., Min, S. J., Sakai, J. T., Thurstone, C., &amp; Hopfer, C. (2014). Trends in fatal motor vehicle crashes before and after marijuana commercialization in Colorado. </w:t>
      </w:r>
      <w:r w:rsidRPr="00B3588A">
        <w:rPr>
          <w:rFonts w:ascii="Arial" w:hAnsi="Arial" w:cs="Arial"/>
          <w:i/>
          <w:szCs w:val="24"/>
        </w:rPr>
        <w:t>Drug Alcohol Depend, 140</w:t>
      </w:r>
      <w:r w:rsidRPr="00B3588A">
        <w:rPr>
          <w:rFonts w:ascii="Arial" w:hAnsi="Arial" w:cs="Arial"/>
          <w:szCs w:val="24"/>
        </w:rPr>
        <w:t>, 137-144. doi:10.1016/j.drugalcdep.2014.04.008</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Scherer, J. N., Fiorentin, T. R., Borille, B. T., Pasa, G., Sousa, T. R. V., von Diemen, L., . . . Pechansky, F. (2017). Reliability of point-of-collection testing devices for drugs of abuse in oral fluid: A systematic review and meta-analysis. </w:t>
      </w:r>
      <w:r w:rsidRPr="00B3588A">
        <w:rPr>
          <w:rFonts w:ascii="Arial" w:hAnsi="Arial" w:cs="Arial"/>
          <w:i/>
          <w:szCs w:val="24"/>
        </w:rPr>
        <w:t>Journal of Pharmaceutical and Biomedical Analysis, 143</w:t>
      </w:r>
      <w:r w:rsidRPr="00B3588A">
        <w:rPr>
          <w:rFonts w:ascii="Arial" w:hAnsi="Arial" w:cs="Arial"/>
          <w:szCs w:val="24"/>
        </w:rPr>
        <w:t>, 77-85. doi:10.1016/j.jpba.2017.05.021</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Subramanian, R. (2002). </w:t>
      </w:r>
      <w:r w:rsidRPr="00B3588A">
        <w:rPr>
          <w:rFonts w:ascii="Arial" w:hAnsi="Arial" w:cs="Arial"/>
          <w:i/>
          <w:szCs w:val="24"/>
        </w:rPr>
        <w:t>Transitioning to multiple imputation - A New method to estimate missing blood alcohol concentration (BAC) in FARS</w:t>
      </w:r>
      <w:r w:rsidRPr="00B3588A">
        <w:rPr>
          <w:rFonts w:ascii="Arial" w:hAnsi="Arial" w:cs="Arial"/>
          <w:szCs w:val="24"/>
        </w:rPr>
        <w:t xml:space="preserve">. Retrieved from Springfield, VA: </w:t>
      </w:r>
      <w:hyperlink r:id="rId82" w:history="1">
        <w:r w:rsidRPr="00B3588A">
          <w:rPr>
            <w:rStyle w:val="Hyperlink"/>
            <w:rFonts w:ascii="Arial" w:hAnsi="Arial" w:cs="Arial"/>
            <w:szCs w:val="24"/>
          </w:rPr>
          <w:t>https://crashstats.nhtsa.dot.gov/Api/Public/ViewPublication/809403</w:t>
        </w:r>
      </w:hyperlink>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Swortwood, M. J., Newmeyer, M. N., Abulseoud, O. A., Andersson, M., Barnes, A. J., Scheidweiler, K. B., &amp; Huestis, M. A. (2017). On-site oral fluid Delta(9)-tetrahydrocannabinol (THC) screening after controlled smoked, vaporized, and oral cannabis administration. </w:t>
      </w:r>
      <w:r w:rsidRPr="00B3588A">
        <w:rPr>
          <w:rFonts w:ascii="Arial" w:hAnsi="Arial" w:cs="Arial"/>
          <w:i/>
          <w:szCs w:val="24"/>
        </w:rPr>
        <w:t>Forensic Toxicology, 35</w:t>
      </w:r>
      <w:r w:rsidRPr="00B3588A">
        <w:rPr>
          <w:rFonts w:ascii="Arial" w:hAnsi="Arial" w:cs="Arial"/>
          <w:szCs w:val="24"/>
        </w:rPr>
        <w:t>(1), 133-145. doi:10.1007/s11419-016-0348-3</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Tefft, B. C., Arnold, L. S., &amp; Grabowski, J. G. (2016). Prevalence of Marijuana Involvement in Fatal Crashes: Washington, 2010–2014.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Verstraete, A., Knoche, A., Jantos, R., Skopp, G., Gjerde, H., Vindenes, V., . . . Lillsunde, P. (2011). Per se limits: methods of defining cut-off values for zero tolerance.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Wall, M. E., Sadler, B. M., Brine, D., Taylor, H., &amp; Perez-Reyes, M. (1983). Metabolism, disposition, and kinetics of delta-9-tetrahydrocannabinol in men and women. </w:t>
      </w:r>
      <w:r w:rsidRPr="00B3588A">
        <w:rPr>
          <w:rFonts w:ascii="Arial" w:hAnsi="Arial" w:cs="Arial"/>
          <w:i/>
          <w:szCs w:val="24"/>
        </w:rPr>
        <w:t>Clin Pharmacol Ther, 34</w:t>
      </w:r>
      <w:r w:rsidRPr="00B3588A">
        <w:rPr>
          <w:rFonts w:ascii="Arial" w:hAnsi="Arial" w:cs="Arial"/>
          <w:szCs w:val="24"/>
        </w:rPr>
        <w:t xml:space="preserve">(3), 352-363.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Walsh, J. M. (2008). New technology and new initiatives in US workplace testing. </w:t>
      </w:r>
      <w:r w:rsidRPr="00B3588A">
        <w:rPr>
          <w:rFonts w:ascii="Arial" w:hAnsi="Arial" w:cs="Arial"/>
          <w:i/>
          <w:szCs w:val="24"/>
        </w:rPr>
        <w:t>Forensic Science International, 174</w:t>
      </w:r>
      <w:r w:rsidRPr="00B3588A">
        <w:rPr>
          <w:rFonts w:ascii="Arial" w:hAnsi="Arial" w:cs="Arial"/>
          <w:szCs w:val="24"/>
        </w:rPr>
        <w:t>(2-3), 120-124. doi:10.1016/j.forsciint.2007.03.011</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Walsh, J. M., Verstraete, A. G., Huestis, M. A., &amp; Mørland, J. (2008). Guidelines for research on drugged driving. </w:t>
      </w:r>
      <w:r w:rsidRPr="00B3588A">
        <w:rPr>
          <w:rFonts w:ascii="Arial" w:hAnsi="Arial" w:cs="Arial"/>
          <w:i/>
          <w:szCs w:val="24"/>
        </w:rPr>
        <w:t>Addiction, 103</w:t>
      </w:r>
      <w:r w:rsidRPr="00B3588A">
        <w:rPr>
          <w:rFonts w:ascii="Arial" w:hAnsi="Arial" w:cs="Arial"/>
          <w:szCs w:val="24"/>
        </w:rPr>
        <w:t xml:space="preserve">(8), 1258-1268. </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Wang, G. S., Roosevelt, G., Le Lait, M. C., Martinez, E. M., Bucher-Bartelson, B., Bronstein, A. C., &amp; Heard, K. (2014). Association of unintentional pediatric exposures with decriminalization of marijuana in the United States. </w:t>
      </w:r>
      <w:r w:rsidRPr="00B3588A">
        <w:rPr>
          <w:rFonts w:ascii="Arial" w:hAnsi="Arial" w:cs="Arial"/>
          <w:i/>
          <w:szCs w:val="24"/>
        </w:rPr>
        <w:t>Ann Emerg Med, 63</w:t>
      </w:r>
      <w:r w:rsidRPr="00B3588A">
        <w:rPr>
          <w:rFonts w:ascii="Arial" w:hAnsi="Arial" w:cs="Arial"/>
          <w:szCs w:val="24"/>
        </w:rPr>
        <w:t>(6), 684-689. doi:10.1016/j.annemergmed.2014.01.017</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Westin, A. A., Mjønes, G., Burchardt, O., Fuskevåg, O. M., &amp; Slørdal, L. (2014). Can Physical Exercise or Food Deprivation Cause Release of Fat-Stored Cannabinoids? </w:t>
      </w:r>
      <w:r w:rsidRPr="00B3588A">
        <w:rPr>
          <w:rFonts w:ascii="Arial" w:hAnsi="Arial" w:cs="Arial"/>
          <w:i/>
          <w:szCs w:val="24"/>
        </w:rPr>
        <w:t>Basic &amp; Clinical Pharmacology &amp; Toxicology, 115</w:t>
      </w:r>
      <w:r w:rsidRPr="00B3588A">
        <w:rPr>
          <w:rFonts w:ascii="Arial" w:hAnsi="Arial" w:cs="Arial"/>
          <w:szCs w:val="24"/>
        </w:rPr>
        <w:t>(5), 467-471. doi:10.1111/bcpt.12235</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Whitehill, J. M., Rivara, F. P., &amp; Moreno, M. A. (2014). Marijuana-using drivers, alcohol-using drivers, and their passengers: prevalence and risk factors among underage college students. </w:t>
      </w:r>
      <w:r w:rsidRPr="00B3588A">
        <w:rPr>
          <w:rFonts w:ascii="Arial" w:hAnsi="Arial" w:cs="Arial"/>
          <w:i/>
          <w:szCs w:val="24"/>
        </w:rPr>
        <w:t>JAMA Pediatr, 168</w:t>
      </w:r>
      <w:r w:rsidRPr="00B3588A">
        <w:rPr>
          <w:rFonts w:ascii="Arial" w:hAnsi="Arial" w:cs="Arial"/>
          <w:szCs w:val="24"/>
        </w:rPr>
        <w:t>(7), 618-624. doi:10.1001/jamapediatrics.2013.5300</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Wong, A., Keats, K., Rooney, K., Hicks, C., Allsop, D. J., Arnold, J. C., &amp; McGregor, I. S. (2014). Fasting and exercise increase plasma cannabinoid levels in THC pre-treated rats: an examination of behavioural consequences. </w:t>
      </w:r>
      <w:r w:rsidRPr="00B3588A">
        <w:rPr>
          <w:rFonts w:ascii="Arial" w:hAnsi="Arial" w:cs="Arial"/>
          <w:i/>
          <w:szCs w:val="24"/>
        </w:rPr>
        <w:t>Psychopharmacology (Berl), 231</w:t>
      </w:r>
      <w:r w:rsidRPr="00B3588A">
        <w:rPr>
          <w:rFonts w:ascii="Arial" w:hAnsi="Arial" w:cs="Arial"/>
          <w:szCs w:val="24"/>
        </w:rPr>
        <w:t>(20), 3987-3996. doi:10.1007/s00213-014-3532-3</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Wong, A., Montebello, M. E., Norberg, M. M., Rooney, K., Lintzeris, N., Bruno, R., . . . McGregor, I. S. (2013). Exercise increases plasma THC concentrations in regular cannabis users. </w:t>
      </w:r>
      <w:r w:rsidRPr="00B3588A">
        <w:rPr>
          <w:rFonts w:ascii="Arial" w:hAnsi="Arial" w:cs="Arial"/>
          <w:i/>
          <w:szCs w:val="24"/>
        </w:rPr>
        <w:t>Drug Alcohol Depend, 133</w:t>
      </w:r>
      <w:r w:rsidRPr="00B3588A">
        <w:rPr>
          <w:rFonts w:ascii="Arial" w:hAnsi="Arial" w:cs="Arial"/>
          <w:szCs w:val="24"/>
        </w:rPr>
        <w:t>(2), 763-767. doi:10.1016/j.drugalcdep.2013.07.031</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Wood, E., Brooks-Russell, A., &amp; Drum, P. (2016). Delays in DUI blood testing: Impact on cannabis DUI assessments. </w:t>
      </w:r>
      <w:r w:rsidRPr="00B3588A">
        <w:rPr>
          <w:rFonts w:ascii="Arial" w:hAnsi="Arial" w:cs="Arial"/>
          <w:i/>
          <w:szCs w:val="24"/>
        </w:rPr>
        <w:t>Traffic Inj Prev, 17</w:t>
      </w:r>
      <w:r w:rsidRPr="00B3588A">
        <w:rPr>
          <w:rFonts w:ascii="Arial" w:hAnsi="Arial" w:cs="Arial"/>
          <w:szCs w:val="24"/>
        </w:rPr>
        <w:t>(2), 105-108. doi:10.1080/15389588.2015.1052421</w:t>
      </w:r>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World Health Organization. (2017). Adolescent Health.   Retrieved from </w:t>
      </w:r>
      <w:hyperlink r:id="rId83" w:history="1">
        <w:r w:rsidRPr="00B3588A">
          <w:rPr>
            <w:rStyle w:val="Hyperlink"/>
            <w:rFonts w:ascii="Arial" w:hAnsi="Arial" w:cs="Arial"/>
            <w:szCs w:val="24"/>
          </w:rPr>
          <w:t>http://www.who.int/topics/adolescent_health/en/</w:t>
        </w:r>
      </w:hyperlink>
    </w:p>
    <w:p w:rsidR="00CF13EB" w:rsidRPr="00B3588A" w:rsidRDefault="00CF13EB" w:rsidP="006057BE">
      <w:pPr>
        <w:pStyle w:val="EndNoteBibliography"/>
        <w:spacing w:after="0"/>
        <w:ind w:left="720" w:hanging="720"/>
        <w:rPr>
          <w:rFonts w:ascii="Arial" w:hAnsi="Arial" w:cs="Arial"/>
          <w:szCs w:val="24"/>
        </w:rPr>
      </w:pPr>
      <w:r w:rsidRPr="00B3588A">
        <w:rPr>
          <w:rFonts w:ascii="Arial" w:hAnsi="Arial" w:cs="Arial"/>
          <w:szCs w:val="24"/>
        </w:rPr>
        <w:t xml:space="preserve">Zou, G. (2004). A modified poisson regression approach to prospective studies with binary data. </w:t>
      </w:r>
      <w:r w:rsidRPr="00B3588A">
        <w:rPr>
          <w:rFonts w:ascii="Arial" w:hAnsi="Arial" w:cs="Arial"/>
          <w:i/>
          <w:szCs w:val="24"/>
        </w:rPr>
        <w:t>Am J Epidemiol, 159</w:t>
      </w:r>
      <w:r w:rsidRPr="00B3588A">
        <w:rPr>
          <w:rFonts w:ascii="Arial" w:hAnsi="Arial" w:cs="Arial"/>
          <w:szCs w:val="24"/>
        </w:rPr>
        <w:t xml:space="preserve">(7), 702-706. </w:t>
      </w:r>
    </w:p>
    <w:p w:rsidR="00CF13EB" w:rsidRPr="00151733" w:rsidRDefault="00CF13EB" w:rsidP="006057BE">
      <w:pPr>
        <w:spacing w:after="0" w:line="240" w:lineRule="auto"/>
        <w:rPr>
          <w:rFonts w:cs="Times New Roman"/>
        </w:rPr>
      </w:pPr>
      <w:r w:rsidRPr="00B3588A">
        <w:rPr>
          <w:rFonts w:ascii="Arial" w:hAnsi="Arial" w:cs="Arial"/>
          <w:szCs w:val="24"/>
        </w:rPr>
        <w:fldChar w:fldCharType="end"/>
      </w:r>
    </w:p>
    <w:p w:rsidR="00CF13EB" w:rsidRPr="00CF13EB" w:rsidRDefault="00CF13EB" w:rsidP="006057BE">
      <w:pPr>
        <w:tabs>
          <w:tab w:val="center" w:pos="4680"/>
          <w:tab w:val="right" w:pos="9360"/>
        </w:tabs>
        <w:spacing w:after="0" w:line="240" w:lineRule="auto"/>
        <w:rPr>
          <w:rFonts w:ascii="Arial" w:eastAsia="Calibri" w:hAnsi="Arial" w:cs="Times New Roman"/>
          <w:b/>
          <w:bCs/>
          <w:sz w:val="28"/>
          <w:szCs w:val="20"/>
        </w:rPr>
      </w:pPr>
    </w:p>
    <w:p w:rsidR="00CF13EB" w:rsidRPr="00CF13EB" w:rsidRDefault="00CF13EB" w:rsidP="006057BE">
      <w:pPr>
        <w:tabs>
          <w:tab w:val="center" w:pos="4680"/>
          <w:tab w:val="right" w:pos="9360"/>
        </w:tabs>
        <w:spacing w:after="0" w:line="240" w:lineRule="auto"/>
        <w:jc w:val="center"/>
        <w:rPr>
          <w:rFonts w:ascii="Arial" w:eastAsia="Calibri" w:hAnsi="Arial" w:cs="Times New Roman"/>
          <w:b/>
          <w:bCs/>
          <w:sz w:val="28"/>
          <w:szCs w:val="20"/>
        </w:rPr>
      </w:pPr>
    </w:p>
    <w:p w:rsidR="00EC25F0" w:rsidRPr="007C23AA" w:rsidRDefault="00EC25F0" w:rsidP="006057BE">
      <w:pPr>
        <w:pStyle w:val="Header"/>
        <w:jc w:val="center"/>
        <w:rPr>
          <w:sz w:val="28"/>
          <w:szCs w:val="28"/>
        </w:rPr>
      </w:pPr>
    </w:p>
    <w:p w:rsidR="007C23AA" w:rsidRDefault="007C23AA" w:rsidP="006057BE">
      <w:pPr>
        <w:tabs>
          <w:tab w:val="center" w:pos="4680"/>
          <w:tab w:val="right" w:pos="9360"/>
        </w:tabs>
        <w:spacing w:after="0" w:line="240" w:lineRule="auto"/>
        <w:jc w:val="center"/>
        <w:rPr>
          <w:rFonts w:ascii="Arial" w:eastAsia="Calibri" w:hAnsi="Arial" w:cs="Times New Roman"/>
          <w:b/>
          <w:bCs/>
          <w:sz w:val="28"/>
          <w:szCs w:val="28"/>
        </w:rPr>
      </w:pPr>
    </w:p>
    <w:p w:rsidR="007C23AA" w:rsidRDefault="007C23AA" w:rsidP="006057BE">
      <w:pPr>
        <w:tabs>
          <w:tab w:val="center" w:pos="4680"/>
          <w:tab w:val="right" w:pos="9360"/>
        </w:tabs>
        <w:spacing w:after="0" w:line="240" w:lineRule="auto"/>
        <w:jc w:val="center"/>
        <w:rPr>
          <w:rFonts w:ascii="Arial" w:eastAsia="Calibri" w:hAnsi="Arial" w:cs="Times New Roman"/>
          <w:b/>
          <w:bCs/>
          <w:sz w:val="28"/>
          <w:szCs w:val="28"/>
        </w:rPr>
      </w:pPr>
    </w:p>
    <w:p w:rsidR="007C23AA" w:rsidRDefault="007C23AA" w:rsidP="006057BE">
      <w:pPr>
        <w:tabs>
          <w:tab w:val="center" w:pos="4680"/>
          <w:tab w:val="right" w:pos="9360"/>
        </w:tabs>
        <w:spacing w:after="0" w:line="240" w:lineRule="auto"/>
        <w:jc w:val="center"/>
        <w:rPr>
          <w:rFonts w:ascii="Arial" w:eastAsia="Calibri" w:hAnsi="Arial" w:cs="Times New Roman"/>
          <w:b/>
          <w:bCs/>
          <w:sz w:val="28"/>
          <w:szCs w:val="28"/>
        </w:rPr>
      </w:pPr>
    </w:p>
    <w:p w:rsidR="007C23AA" w:rsidRDefault="007C23AA" w:rsidP="006057BE">
      <w:pPr>
        <w:tabs>
          <w:tab w:val="center" w:pos="4680"/>
          <w:tab w:val="right" w:pos="9360"/>
        </w:tabs>
        <w:spacing w:after="0" w:line="240" w:lineRule="auto"/>
        <w:jc w:val="center"/>
        <w:rPr>
          <w:rFonts w:ascii="Arial" w:eastAsia="Calibri" w:hAnsi="Arial" w:cs="Times New Roman"/>
          <w:b/>
          <w:bCs/>
          <w:sz w:val="28"/>
          <w:szCs w:val="28"/>
        </w:rPr>
      </w:pPr>
    </w:p>
    <w:p w:rsidR="007C23AA" w:rsidRDefault="007C23AA" w:rsidP="006057BE">
      <w:pPr>
        <w:tabs>
          <w:tab w:val="center" w:pos="4680"/>
          <w:tab w:val="right" w:pos="9360"/>
        </w:tabs>
        <w:spacing w:after="0" w:line="240" w:lineRule="auto"/>
        <w:jc w:val="center"/>
        <w:rPr>
          <w:rFonts w:ascii="Arial" w:eastAsia="Calibri" w:hAnsi="Arial" w:cs="Times New Roman"/>
          <w:b/>
          <w:bCs/>
          <w:sz w:val="28"/>
          <w:szCs w:val="28"/>
        </w:rPr>
      </w:pPr>
    </w:p>
    <w:p w:rsidR="007C23AA" w:rsidRDefault="007C23AA" w:rsidP="006057BE">
      <w:pPr>
        <w:tabs>
          <w:tab w:val="center" w:pos="4680"/>
          <w:tab w:val="right" w:pos="9360"/>
        </w:tabs>
        <w:spacing w:after="0" w:line="240" w:lineRule="auto"/>
        <w:jc w:val="center"/>
        <w:rPr>
          <w:rFonts w:ascii="Arial" w:eastAsia="Calibri" w:hAnsi="Arial" w:cs="Times New Roman"/>
          <w:b/>
          <w:bCs/>
          <w:sz w:val="28"/>
          <w:szCs w:val="28"/>
        </w:rPr>
      </w:pPr>
    </w:p>
    <w:p w:rsidR="005D7694" w:rsidRDefault="005D7694" w:rsidP="006057BE">
      <w:pPr>
        <w:tabs>
          <w:tab w:val="center" w:pos="4680"/>
          <w:tab w:val="right" w:pos="9360"/>
        </w:tabs>
        <w:spacing w:after="0" w:line="240" w:lineRule="auto"/>
        <w:jc w:val="center"/>
        <w:rPr>
          <w:rFonts w:ascii="Arial" w:eastAsia="Calibri" w:hAnsi="Arial" w:cs="Times New Roman"/>
          <w:b/>
          <w:bCs/>
          <w:sz w:val="28"/>
          <w:szCs w:val="28"/>
        </w:rPr>
      </w:pPr>
    </w:p>
    <w:p w:rsidR="005D7694" w:rsidRDefault="005D7694" w:rsidP="006057BE">
      <w:pPr>
        <w:tabs>
          <w:tab w:val="center" w:pos="4680"/>
          <w:tab w:val="right" w:pos="9360"/>
        </w:tabs>
        <w:spacing w:after="0" w:line="240" w:lineRule="auto"/>
        <w:jc w:val="center"/>
        <w:rPr>
          <w:rFonts w:ascii="Arial" w:eastAsia="Calibri" w:hAnsi="Arial" w:cs="Times New Roman"/>
          <w:b/>
          <w:bCs/>
          <w:sz w:val="28"/>
          <w:szCs w:val="28"/>
        </w:rPr>
      </w:pPr>
    </w:p>
    <w:p w:rsidR="005D7694" w:rsidRDefault="005D7694" w:rsidP="006057BE">
      <w:pPr>
        <w:tabs>
          <w:tab w:val="center" w:pos="4680"/>
          <w:tab w:val="right" w:pos="9360"/>
        </w:tabs>
        <w:spacing w:after="0" w:line="240" w:lineRule="auto"/>
        <w:jc w:val="center"/>
        <w:rPr>
          <w:rFonts w:ascii="Arial" w:eastAsia="Calibri" w:hAnsi="Arial" w:cs="Times New Roman"/>
          <w:b/>
          <w:bCs/>
          <w:sz w:val="28"/>
          <w:szCs w:val="28"/>
        </w:rPr>
      </w:pPr>
    </w:p>
    <w:p w:rsidR="005D7694" w:rsidRDefault="005D7694" w:rsidP="006057BE">
      <w:pPr>
        <w:tabs>
          <w:tab w:val="center" w:pos="4680"/>
          <w:tab w:val="right" w:pos="9360"/>
        </w:tabs>
        <w:spacing w:after="0" w:line="240" w:lineRule="auto"/>
        <w:jc w:val="center"/>
        <w:rPr>
          <w:rFonts w:ascii="Arial" w:eastAsia="Calibri" w:hAnsi="Arial" w:cs="Times New Roman"/>
          <w:b/>
          <w:bCs/>
          <w:sz w:val="28"/>
          <w:szCs w:val="28"/>
        </w:rPr>
      </w:pPr>
    </w:p>
    <w:p w:rsidR="005D7694" w:rsidRDefault="005D7694" w:rsidP="006057BE">
      <w:pPr>
        <w:tabs>
          <w:tab w:val="center" w:pos="4680"/>
          <w:tab w:val="right" w:pos="9360"/>
        </w:tabs>
        <w:spacing w:after="0" w:line="240" w:lineRule="auto"/>
        <w:jc w:val="center"/>
        <w:rPr>
          <w:rFonts w:ascii="Arial" w:eastAsia="Calibri" w:hAnsi="Arial" w:cs="Times New Roman"/>
          <w:b/>
          <w:bCs/>
          <w:sz w:val="28"/>
          <w:szCs w:val="28"/>
        </w:rPr>
      </w:pPr>
    </w:p>
    <w:p w:rsidR="005D7694" w:rsidRDefault="005D7694" w:rsidP="006057BE">
      <w:pPr>
        <w:tabs>
          <w:tab w:val="center" w:pos="4680"/>
          <w:tab w:val="right" w:pos="9360"/>
        </w:tabs>
        <w:spacing w:after="0" w:line="240" w:lineRule="auto"/>
        <w:jc w:val="center"/>
        <w:rPr>
          <w:rFonts w:ascii="Arial" w:eastAsia="Calibri" w:hAnsi="Arial" w:cs="Times New Roman"/>
          <w:b/>
          <w:bCs/>
          <w:sz w:val="28"/>
          <w:szCs w:val="28"/>
        </w:rPr>
      </w:pPr>
    </w:p>
    <w:p w:rsidR="005D7694" w:rsidRDefault="005D7694" w:rsidP="006057BE">
      <w:pPr>
        <w:tabs>
          <w:tab w:val="center" w:pos="4680"/>
          <w:tab w:val="right" w:pos="9360"/>
        </w:tabs>
        <w:spacing w:after="0" w:line="240" w:lineRule="auto"/>
        <w:jc w:val="center"/>
        <w:rPr>
          <w:rFonts w:ascii="Arial" w:eastAsia="Calibri" w:hAnsi="Arial" w:cs="Times New Roman"/>
          <w:b/>
          <w:bCs/>
          <w:sz w:val="28"/>
          <w:szCs w:val="28"/>
        </w:rPr>
      </w:pPr>
    </w:p>
    <w:p w:rsidR="005D7694" w:rsidRDefault="005D7694" w:rsidP="006057BE">
      <w:pPr>
        <w:tabs>
          <w:tab w:val="center" w:pos="4680"/>
          <w:tab w:val="right" w:pos="9360"/>
        </w:tabs>
        <w:spacing w:after="0" w:line="240" w:lineRule="auto"/>
        <w:jc w:val="center"/>
        <w:rPr>
          <w:rFonts w:ascii="Arial" w:eastAsia="Calibri" w:hAnsi="Arial" w:cs="Times New Roman"/>
          <w:b/>
          <w:bCs/>
          <w:sz w:val="28"/>
          <w:szCs w:val="28"/>
        </w:rPr>
      </w:pPr>
    </w:p>
    <w:p w:rsidR="005D7694" w:rsidRDefault="005D7694" w:rsidP="006057BE">
      <w:pPr>
        <w:tabs>
          <w:tab w:val="center" w:pos="4680"/>
          <w:tab w:val="right" w:pos="9360"/>
        </w:tabs>
        <w:spacing w:after="0" w:line="240" w:lineRule="auto"/>
        <w:jc w:val="center"/>
        <w:rPr>
          <w:rFonts w:ascii="Arial" w:eastAsia="Calibri" w:hAnsi="Arial" w:cs="Times New Roman"/>
          <w:b/>
          <w:bCs/>
          <w:sz w:val="28"/>
          <w:szCs w:val="28"/>
        </w:rPr>
      </w:pPr>
    </w:p>
    <w:p w:rsidR="007C23AA" w:rsidRPr="007C23AA" w:rsidRDefault="007C23AA" w:rsidP="00F950A2">
      <w:pPr>
        <w:pStyle w:val="Heading1"/>
        <w:rPr>
          <w:rFonts w:eastAsia="Calibri"/>
        </w:rPr>
      </w:pPr>
      <w:bookmarkStart w:id="541" w:name="_Toc12529148"/>
      <w:r w:rsidRPr="007C23AA">
        <w:rPr>
          <w:rFonts w:eastAsia="Calibri"/>
        </w:rPr>
        <w:t>Chapter 3: Marijuana-Related Health System Contacts in Massachusetts</w:t>
      </w:r>
      <w:bookmarkEnd w:id="541"/>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6057BE">
      <w:pPr>
        <w:pStyle w:val="Header"/>
        <w:jc w:val="center"/>
        <w:rPr>
          <w:sz w:val="28"/>
          <w:szCs w:val="28"/>
        </w:rPr>
      </w:pPr>
    </w:p>
    <w:p w:rsidR="007C23AA" w:rsidRDefault="007C23AA" w:rsidP="005F7A46">
      <w:pPr>
        <w:pStyle w:val="Heading2"/>
      </w:pPr>
      <w:bookmarkStart w:id="542" w:name="_Toc512861223"/>
      <w:bookmarkStart w:id="543" w:name="_Toc11766026"/>
      <w:bookmarkStart w:id="544" w:name="_Toc11766681"/>
      <w:bookmarkStart w:id="545" w:name="_Toc11917259"/>
      <w:bookmarkStart w:id="546" w:name="_Toc11921697"/>
      <w:bookmarkStart w:id="547" w:name="_Toc12520953"/>
      <w:bookmarkStart w:id="548" w:name="_Toc12521179"/>
      <w:bookmarkStart w:id="549" w:name="_Toc12529149"/>
      <w:r w:rsidRPr="009C44E6">
        <w:t>Introduction</w:t>
      </w:r>
      <w:bookmarkEnd w:id="542"/>
      <w:bookmarkEnd w:id="543"/>
      <w:bookmarkEnd w:id="544"/>
      <w:bookmarkEnd w:id="545"/>
      <w:bookmarkEnd w:id="546"/>
      <w:bookmarkEnd w:id="547"/>
      <w:bookmarkEnd w:id="548"/>
      <w:bookmarkEnd w:id="549"/>
    </w:p>
    <w:p w:rsidR="007C23AA" w:rsidRPr="007C23AA" w:rsidRDefault="007C23AA" w:rsidP="006057BE">
      <w:pPr>
        <w:pStyle w:val="BodyText"/>
        <w:spacing w:line="240" w:lineRule="auto"/>
      </w:pPr>
    </w:p>
    <w:p w:rsidR="007C23AA" w:rsidRPr="005A0614" w:rsidRDefault="007C23AA" w:rsidP="006057BE">
      <w:pPr>
        <w:spacing w:after="0" w:line="240" w:lineRule="auto"/>
        <w:rPr>
          <w:rFonts w:ascii="Arial" w:hAnsi="Arial" w:cs="Arial"/>
          <w:sz w:val="24"/>
          <w:szCs w:val="24"/>
        </w:rPr>
      </w:pPr>
      <w:r w:rsidRPr="005A0614">
        <w:rPr>
          <w:rFonts w:ascii="Arial" w:hAnsi="Arial" w:cs="Arial"/>
          <w:sz w:val="24"/>
          <w:szCs w:val="24"/>
        </w:rPr>
        <w:t xml:space="preserve">Problems related to marijuana use may lead users to require medical care. This care seeking includes incidents in which someone seeks treatment for a cannabis use disorder, or could be related to an acute injury (e.g. from a cannabis-involved motor vehicle crash) or episode of marijuana-related illness.  For this study, we brought together three sources of data to document the current several aspects of the current picture of health system contacts related to marijuana. Specifically, we sought to document the number and prevalence of (1) substance use treatment admissions for a primary diagnosis of cannabis use disorder; (2) emergency room and urgent care services due to marijuana, and (3) marijuana-related exposure calls received by the regional poison control center (PCC). </w:t>
      </w:r>
    </w:p>
    <w:p w:rsidR="007C23AA" w:rsidRPr="005A0614" w:rsidRDefault="007C23AA" w:rsidP="006057BE">
      <w:pPr>
        <w:spacing w:after="0" w:line="240" w:lineRule="auto"/>
        <w:rPr>
          <w:rFonts w:ascii="Arial" w:hAnsi="Arial" w:cs="Arial"/>
          <w:sz w:val="24"/>
          <w:szCs w:val="24"/>
        </w:rPr>
      </w:pPr>
    </w:p>
    <w:p w:rsidR="007C23AA" w:rsidRPr="005A0614" w:rsidRDefault="007C23AA" w:rsidP="006057BE">
      <w:pPr>
        <w:spacing w:after="0" w:line="240" w:lineRule="auto"/>
        <w:rPr>
          <w:rFonts w:ascii="Arial" w:hAnsi="Arial" w:cs="Arial"/>
          <w:sz w:val="24"/>
          <w:szCs w:val="24"/>
        </w:rPr>
      </w:pPr>
      <w:r w:rsidRPr="005A0614">
        <w:rPr>
          <w:rFonts w:ascii="Arial" w:hAnsi="Arial" w:cs="Arial"/>
          <w:sz w:val="24"/>
          <w:szCs w:val="24"/>
        </w:rPr>
        <w:t xml:space="preserve">Since historical data is not available on use of emergency room and urgent care services for marijuana, we sought to obtain a 2017 point estimate. For treatment admissions and cannabis exposures (including unintentional exposure among youth 0-9) through poison control calls will capture trends associated with regulations, legislation and cultural shifts. As marijuana legalization of marijuana for adult use is implemented, these are valuable indicator that can serve as a benchmark against which future policy changes change be compared. </w:t>
      </w:r>
    </w:p>
    <w:p w:rsidR="007C23AA" w:rsidRPr="009C44E6" w:rsidRDefault="007C23AA" w:rsidP="006057BE">
      <w:pPr>
        <w:spacing w:after="0" w:line="240" w:lineRule="auto"/>
        <w:rPr>
          <w:rFonts w:ascii="Arial" w:hAnsi="Arial" w:cs="Arial"/>
          <w:szCs w:val="24"/>
        </w:rPr>
      </w:pPr>
    </w:p>
    <w:p w:rsidR="007C23AA" w:rsidRDefault="007C23AA" w:rsidP="005F7A46">
      <w:pPr>
        <w:pStyle w:val="Heading2"/>
      </w:pPr>
      <w:bookmarkStart w:id="550" w:name="_Toc512861224"/>
      <w:bookmarkStart w:id="551" w:name="_Toc11766027"/>
      <w:bookmarkStart w:id="552" w:name="_Toc11766682"/>
      <w:bookmarkStart w:id="553" w:name="_Toc11917260"/>
      <w:bookmarkStart w:id="554" w:name="_Toc11921698"/>
      <w:bookmarkStart w:id="555" w:name="_Toc12520954"/>
      <w:bookmarkStart w:id="556" w:name="_Toc12521180"/>
      <w:bookmarkStart w:id="557" w:name="_Toc12529150"/>
      <w:r w:rsidRPr="009C44E6">
        <w:t>Methods</w:t>
      </w:r>
      <w:bookmarkEnd w:id="550"/>
      <w:bookmarkEnd w:id="551"/>
      <w:bookmarkEnd w:id="552"/>
      <w:bookmarkEnd w:id="553"/>
      <w:bookmarkEnd w:id="554"/>
      <w:bookmarkEnd w:id="555"/>
      <w:bookmarkEnd w:id="556"/>
      <w:bookmarkEnd w:id="557"/>
    </w:p>
    <w:p w:rsidR="007C23AA" w:rsidRPr="007C23AA" w:rsidRDefault="007C23AA" w:rsidP="006057BE">
      <w:pPr>
        <w:pStyle w:val="BodyText"/>
        <w:spacing w:line="240" w:lineRule="auto"/>
      </w:pPr>
    </w:p>
    <w:p w:rsidR="007C23AA" w:rsidRDefault="007C23AA" w:rsidP="00332358">
      <w:pPr>
        <w:pStyle w:val="Heading3"/>
      </w:pPr>
      <w:bookmarkStart w:id="558" w:name="_Toc512464662"/>
      <w:bookmarkStart w:id="559" w:name="_Toc512861225"/>
      <w:bookmarkStart w:id="560" w:name="_Toc11766028"/>
      <w:bookmarkStart w:id="561" w:name="_Toc11766683"/>
      <w:r>
        <w:t>Treatment Episode D</w:t>
      </w:r>
      <w:r w:rsidRPr="009C44E6">
        <w:t>ata</w:t>
      </w:r>
      <w:bookmarkEnd w:id="558"/>
      <w:bookmarkEnd w:id="559"/>
      <w:bookmarkEnd w:id="560"/>
      <w:bookmarkEnd w:id="561"/>
    </w:p>
    <w:p w:rsidR="007C23AA" w:rsidRPr="007C23AA" w:rsidRDefault="007C23AA" w:rsidP="006057BE">
      <w:pPr>
        <w:pStyle w:val="BodyText"/>
        <w:spacing w:line="240" w:lineRule="auto"/>
      </w:pPr>
    </w:p>
    <w:p w:rsidR="007C23AA" w:rsidRPr="005A0614" w:rsidRDefault="007C23AA" w:rsidP="006057BE">
      <w:pPr>
        <w:pStyle w:val="BodyText"/>
        <w:spacing w:line="240" w:lineRule="auto"/>
        <w:rPr>
          <w:sz w:val="24"/>
        </w:rPr>
      </w:pPr>
      <w:r w:rsidRPr="005A0614">
        <w:rPr>
          <w:sz w:val="24"/>
        </w:rPr>
        <w:t>The national Substance Use and Mental Health Services Administration (SAMHSA) collects and publishes annual data episodes of substance use treatment in each U.S. This data includes information on the raw number and population adjusted number of admissions to substance abuse treatment by primary substance of abuse and by year. We compiled the number of marijuana-related treatment episodes for 2004-2014, with 2014 being the most recent year of data available.  We also extracted information on alcohol, opioid, cocaine, and methamphetamine/amphetamine admissions for comparison purposes. We graphed the trend over time in population-adjusted admissions for marijuana, and the proportion of all admissions due to marijuana.</w:t>
      </w:r>
    </w:p>
    <w:p w:rsidR="007C23AA" w:rsidRPr="009C44E6" w:rsidRDefault="007C23AA" w:rsidP="006057BE">
      <w:pPr>
        <w:pStyle w:val="BodyText"/>
        <w:spacing w:line="240" w:lineRule="auto"/>
      </w:pPr>
    </w:p>
    <w:p w:rsidR="007C23AA" w:rsidRDefault="007C23AA" w:rsidP="00332358">
      <w:pPr>
        <w:pStyle w:val="Heading3"/>
      </w:pPr>
      <w:bookmarkStart w:id="562" w:name="_Toc512464663"/>
      <w:bookmarkStart w:id="563" w:name="_Toc512861226"/>
      <w:bookmarkStart w:id="564" w:name="_Toc11766029"/>
      <w:bookmarkStart w:id="565" w:name="_Toc11766684"/>
      <w:r>
        <w:t>Population Survey of Massachusetts A</w:t>
      </w:r>
      <w:r w:rsidRPr="009C44E6">
        <w:t>dults</w:t>
      </w:r>
      <w:bookmarkEnd w:id="562"/>
      <w:bookmarkEnd w:id="563"/>
      <w:bookmarkEnd w:id="564"/>
      <w:bookmarkEnd w:id="565"/>
    </w:p>
    <w:p w:rsidR="007C23AA" w:rsidRPr="007C23AA" w:rsidRDefault="007C23AA" w:rsidP="006057BE">
      <w:pPr>
        <w:pStyle w:val="BodyText"/>
        <w:spacing w:line="240" w:lineRule="auto"/>
      </w:pPr>
    </w:p>
    <w:p w:rsidR="007C23AA" w:rsidRPr="005A0614" w:rsidRDefault="007C23AA" w:rsidP="006057BE">
      <w:pPr>
        <w:spacing w:after="0" w:line="240" w:lineRule="auto"/>
        <w:rPr>
          <w:rFonts w:ascii="Arial" w:hAnsi="Arial" w:cs="Arial"/>
          <w:sz w:val="24"/>
          <w:szCs w:val="24"/>
        </w:rPr>
      </w:pPr>
      <w:r w:rsidRPr="005A0614">
        <w:rPr>
          <w:rFonts w:ascii="Arial" w:hAnsi="Arial" w:cs="Arial"/>
          <w:sz w:val="24"/>
          <w:szCs w:val="24"/>
        </w:rPr>
        <w:t>We analyzed the survey conducted as part of the MBHS included questions on seeking emergency or urgent care related to marijuana use. Briefly, we conducted a population-based, mail and Internet survey of Massachusetts residents age 18 years and older. This study was approved by the Institutional Review Board at the Massachusetts Department of Public Health. The survey instrument can be found in Appendix</w:t>
      </w:r>
      <w:r w:rsidR="00104C7B">
        <w:rPr>
          <w:rFonts w:ascii="Arial" w:hAnsi="Arial" w:cs="Arial"/>
          <w:sz w:val="24"/>
          <w:szCs w:val="24"/>
        </w:rPr>
        <w:t xml:space="preserve"> A</w:t>
      </w:r>
      <w:r w:rsidRPr="005A0614">
        <w:rPr>
          <w:rFonts w:ascii="Arial" w:hAnsi="Arial" w:cs="Arial"/>
          <w:sz w:val="24"/>
          <w:szCs w:val="24"/>
        </w:rPr>
        <w:t>.</w:t>
      </w:r>
    </w:p>
    <w:p w:rsidR="007C23AA" w:rsidRPr="005A0614" w:rsidRDefault="007C23AA" w:rsidP="006057BE">
      <w:pPr>
        <w:spacing w:after="0" w:line="240" w:lineRule="auto"/>
        <w:rPr>
          <w:rFonts w:ascii="Arial" w:hAnsi="Arial" w:cs="Arial"/>
          <w:sz w:val="24"/>
          <w:szCs w:val="24"/>
        </w:rPr>
      </w:pPr>
    </w:p>
    <w:p w:rsidR="007C23AA" w:rsidRPr="005A0614" w:rsidRDefault="007C23AA" w:rsidP="006057BE">
      <w:pPr>
        <w:spacing w:after="0" w:line="240" w:lineRule="auto"/>
        <w:rPr>
          <w:rFonts w:ascii="Arial" w:hAnsi="Arial" w:cs="Arial"/>
          <w:sz w:val="24"/>
          <w:szCs w:val="24"/>
        </w:rPr>
      </w:pPr>
      <w:r w:rsidRPr="005A0614">
        <w:rPr>
          <w:rFonts w:ascii="Arial" w:hAnsi="Arial" w:cs="Arial"/>
          <w:sz w:val="24"/>
          <w:szCs w:val="24"/>
        </w:rPr>
        <w:t xml:space="preserve">Details on the methods of survey design, data collection, measures, and statistical procedures, including survey weighting, can be found  in </w:t>
      </w:r>
      <w:r w:rsidR="0010613B">
        <w:rPr>
          <w:rFonts w:ascii="Arial" w:hAnsi="Arial" w:cs="Arial"/>
          <w:sz w:val="24"/>
          <w:szCs w:val="24"/>
        </w:rPr>
        <w:t>Task</w:t>
      </w:r>
      <w:r w:rsidRPr="005A0614">
        <w:rPr>
          <w:rFonts w:ascii="Arial" w:hAnsi="Arial" w:cs="Arial"/>
          <w:sz w:val="24"/>
          <w:szCs w:val="24"/>
        </w:rPr>
        <w:t xml:space="preserve"> 1, Chapter 2. In addition to the measures described therein, several questions were added to the survey for the purpose of addressing use of emergency room or urgent care services related to substance use. </w:t>
      </w:r>
    </w:p>
    <w:p w:rsidR="007C23AA" w:rsidRPr="009C44E6" w:rsidRDefault="007C23AA" w:rsidP="006057BE">
      <w:pPr>
        <w:spacing w:after="0" w:line="240" w:lineRule="auto"/>
        <w:rPr>
          <w:rFonts w:ascii="Arial" w:hAnsi="Arial" w:cs="Arial"/>
          <w:szCs w:val="24"/>
        </w:rPr>
      </w:pPr>
    </w:p>
    <w:p w:rsidR="007C23AA" w:rsidRDefault="007C23AA" w:rsidP="006057BE">
      <w:pPr>
        <w:spacing w:after="0" w:line="240" w:lineRule="auto"/>
        <w:rPr>
          <w:rFonts w:ascii="Arial" w:hAnsi="Arial" w:cs="Arial"/>
          <w:sz w:val="24"/>
          <w:szCs w:val="24"/>
        </w:rPr>
      </w:pPr>
      <w:r w:rsidRPr="005A0614">
        <w:rPr>
          <w:rFonts w:ascii="Arial" w:hAnsi="Arial" w:cs="Arial"/>
          <w:sz w:val="24"/>
          <w:szCs w:val="24"/>
        </w:rPr>
        <w:t xml:space="preserve">For individuals who reported yes to using a particular substance (alcohol, marijuana, or other substances) in the past 30 days, the survey asked if they had utilized emergency room or urgent care services in relation to that substance within the past year. </w:t>
      </w:r>
    </w:p>
    <w:p w:rsidR="005A0614" w:rsidRPr="005A0614" w:rsidRDefault="005A0614" w:rsidP="006057BE">
      <w:pPr>
        <w:spacing w:after="0" w:line="240" w:lineRule="auto"/>
        <w:rPr>
          <w:rFonts w:ascii="Arial" w:hAnsi="Arial" w:cs="Arial"/>
          <w:sz w:val="24"/>
          <w:szCs w:val="24"/>
        </w:rPr>
      </w:pPr>
    </w:p>
    <w:p w:rsidR="007C23AA" w:rsidRDefault="007C23AA" w:rsidP="00332358">
      <w:pPr>
        <w:pStyle w:val="Heading3"/>
      </w:pPr>
      <w:bookmarkStart w:id="566" w:name="_Toc512464664"/>
      <w:bookmarkStart w:id="567" w:name="_Toc512861227"/>
      <w:bookmarkStart w:id="568" w:name="_Toc11766030"/>
      <w:bookmarkStart w:id="569" w:name="_Toc11766685"/>
      <w:r>
        <w:t>Poison Control Center Exposure C</w:t>
      </w:r>
      <w:r w:rsidRPr="009C44E6">
        <w:t>alls</w:t>
      </w:r>
      <w:bookmarkEnd w:id="566"/>
      <w:bookmarkEnd w:id="567"/>
      <w:bookmarkEnd w:id="568"/>
      <w:bookmarkEnd w:id="569"/>
    </w:p>
    <w:p w:rsidR="007C23AA" w:rsidRPr="007C23AA" w:rsidRDefault="007C23AA" w:rsidP="006057BE">
      <w:pPr>
        <w:pStyle w:val="BodyText"/>
        <w:spacing w:line="240" w:lineRule="auto"/>
      </w:pPr>
    </w:p>
    <w:p w:rsidR="007C23AA" w:rsidRPr="005A0614" w:rsidRDefault="007C23AA" w:rsidP="006057BE">
      <w:pPr>
        <w:pStyle w:val="BodyText"/>
        <w:spacing w:line="240" w:lineRule="auto"/>
        <w:rPr>
          <w:sz w:val="24"/>
        </w:rPr>
      </w:pPr>
      <w:r w:rsidRPr="005A0614">
        <w:rPr>
          <w:sz w:val="24"/>
        </w:rPr>
        <w:t xml:space="preserve">It can be difficult to distinguish, from secondary data, the intentionality of an exposure. For example, if teenagers intentionally experiment with marijuana but have adverse reactions, they may call poison control claiming unintentional exposure. Therefore, prior studies have coded all exposures under the age of 9 years as unintentional. </w:t>
      </w:r>
    </w:p>
    <w:p w:rsidR="007C23AA" w:rsidRPr="005A0614" w:rsidRDefault="007C23AA" w:rsidP="006057BE">
      <w:pPr>
        <w:pStyle w:val="BodyText"/>
        <w:spacing w:line="240" w:lineRule="auto"/>
        <w:rPr>
          <w:sz w:val="24"/>
        </w:rPr>
      </w:pPr>
    </w:p>
    <w:p w:rsidR="007C23AA" w:rsidRPr="005A0614" w:rsidRDefault="007C23AA" w:rsidP="006057BE">
      <w:pPr>
        <w:pStyle w:val="BodyText"/>
        <w:spacing w:line="240" w:lineRule="auto"/>
        <w:rPr>
          <w:sz w:val="24"/>
        </w:rPr>
      </w:pPr>
      <w:r w:rsidRPr="005A0614">
        <w:rPr>
          <w:sz w:val="24"/>
        </w:rPr>
        <w:t xml:space="preserve">As restricting cases to children 9 years old and under has been utilized in previous studies to ensure the analysis is accurately assessing unintentional exposures and exclude adolescents, this study looked at this age range separately as well as examined cases in different age groups. Other age groups of interest revolved around youth and adolescents.  As adolescence varies by individual, sex and national differences, this analysis used age categories of 10-19 years, based on the World Health Organization identification as this time period as the general span of adolescents </w:t>
      </w:r>
      <w:r w:rsidRPr="005A0614">
        <w:rPr>
          <w:sz w:val="24"/>
        </w:rPr>
        <w:fldChar w:fldCharType="begin"/>
      </w:r>
      <w:r w:rsidRPr="005A0614">
        <w:rPr>
          <w:sz w:val="24"/>
        </w:rPr>
        <w:instrText xml:space="preserve"> ADDIN EN.CITE &lt;EndNote&gt;&lt;Cite&gt;&lt;Author&gt;World Health Organization&lt;/Author&gt;&lt;Year&gt;2017&lt;/Year&gt;&lt;RecNum&gt;1449&lt;/RecNum&gt;&lt;DisplayText&gt;(World Health Organization, 2017)&lt;/DisplayText&gt;&lt;record&gt;&lt;rec-number&gt;1449&lt;/rec-number&gt;&lt;foreign-keys&gt;&lt;key app="EN" db-id="d0tr9f9wrrzr9lef5rsvpsadtz2we0sa25tw" timestamp="1524967954"&gt;1449&lt;/key&gt;&lt;/foreign-keys&gt;&lt;ref-type name="Web Page"&gt;12&lt;/ref-type&gt;&lt;contributors&gt;&lt;authors&gt;&lt;author&gt;World Health Organization,,&lt;/author&gt;&lt;/authors&gt;&lt;/contributors&gt;&lt;titles&gt;&lt;title&gt;Adolescent Health&lt;/title&gt;&lt;/titles&gt;&lt;dates&gt;&lt;year&gt;2017&lt;/year&gt;&lt;/dates&gt;&lt;publisher&gt;WHO&lt;/publisher&gt;&lt;urls&gt;&lt;related-urls&gt;&lt;url&gt;http://www.who.int/topics/adolescent_health/en/&lt;/url&gt;&lt;/related-urls&gt;&lt;/urls&gt;&lt;/record&gt;&lt;/Cite&gt;&lt;/EndNote&gt;</w:instrText>
      </w:r>
      <w:r w:rsidRPr="005A0614">
        <w:rPr>
          <w:sz w:val="24"/>
        </w:rPr>
        <w:fldChar w:fldCharType="separate"/>
      </w:r>
      <w:r w:rsidRPr="005A0614">
        <w:rPr>
          <w:noProof/>
          <w:sz w:val="24"/>
        </w:rPr>
        <w:t>(World Health Organization, 2017)</w:t>
      </w:r>
      <w:r w:rsidRPr="005A0614">
        <w:rPr>
          <w:sz w:val="24"/>
        </w:rPr>
        <w:fldChar w:fldCharType="end"/>
      </w:r>
      <w:r w:rsidRPr="005A0614">
        <w:rPr>
          <w:sz w:val="24"/>
        </w:rPr>
        <w:t xml:space="preserve">. We also used a category for 20-24 years as this age span is described as late adolescence in the United States </w:t>
      </w:r>
      <w:r w:rsidRPr="005A0614">
        <w:rPr>
          <w:sz w:val="24"/>
        </w:rPr>
        <w:fldChar w:fldCharType="begin"/>
      </w:r>
      <w:r w:rsidRPr="005A0614">
        <w:rPr>
          <w:sz w:val="24"/>
        </w:rPr>
        <w:instrText xml:space="preserve"> ADDIN EN.CITE &lt;EndNote&gt;&lt;Cite&gt;&lt;Author&gt;Arnett&lt;/Author&gt;&lt;Year&gt;2004&lt;/Year&gt;&lt;RecNum&gt;357&lt;/RecNum&gt;&lt;DisplayText&gt;(Arnett &amp;amp; Tanner, 2004)&lt;/DisplayText&gt;&lt;record&gt;&lt;rec-number&gt;357&lt;/rec-number&gt;&lt;foreign-keys&gt;&lt;key app="EN" db-id="d0tr9f9wrrzr9lef5rsvpsadtz2we0sa25tw" timestamp="1522255360"&gt;357&lt;/key&gt;&lt;/foreign-keys&gt;&lt;ref-type name="Edited Book"&gt;28&lt;/ref-type&gt;&lt;contributors&gt;&lt;authors&gt;&lt;author&gt;Arnett, Jeffery J.&lt;/author&gt;&lt;author&gt;Tanner, Jennifer Lynn&lt;/author&gt;&lt;/authors&gt;&lt;/contributors&gt;&lt;titles&gt;&lt;title&gt;Emerging Adulthood: The Winding Road from the Late Teens through the Twenties&lt;/title&gt;&lt;/titles&gt;&lt;dates&gt;&lt;year&gt;2004&lt;/year&gt;&lt;/dates&gt;&lt;pub-location&gt;New York, NY&lt;/pub-location&gt;&lt;publisher&gt;Oxford University Press&lt;/publisher&gt;&lt;urls&gt;&lt;/urls&gt;&lt;/record&gt;&lt;/Cite&gt;&lt;/EndNote&gt;</w:instrText>
      </w:r>
      <w:r w:rsidRPr="005A0614">
        <w:rPr>
          <w:sz w:val="24"/>
        </w:rPr>
        <w:fldChar w:fldCharType="separate"/>
      </w:r>
      <w:r w:rsidRPr="005A0614">
        <w:rPr>
          <w:noProof/>
          <w:sz w:val="24"/>
        </w:rPr>
        <w:t>(Arnett &amp; Tanner, 2004)</w:t>
      </w:r>
      <w:r w:rsidRPr="005A0614">
        <w:rPr>
          <w:sz w:val="24"/>
        </w:rPr>
        <w:fldChar w:fldCharType="end"/>
      </w:r>
      <w:r w:rsidRPr="005A0614">
        <w:rPr>
          <w:sz w:val="24"/>
        </w:rPr>
        <w:t xml:space="preserve"> and utilized in similar studies in Colorado </w:t>
      </w:r>
      <w:r w:rsidRPr="005A0614">
        <w:rPr>
          <w:sz w:val="24"/>
        </w:rPr>
        <w:fldChar w:fldCharType="begin">
          <w:fldData xml:space="preserve">PEVuZE5vdGU+PENpdGU+PEF1dGhvcj5XYW5nPC9BdXRob3I+PFllYXI+MjAxNDwvWWVhcj48UmVj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=
</w:fldData>
        </w:fldChar>
      </w:r>
      <w:r w:rsidRPr="005A0614">
        <w:rPr>
          <w:sz w:val="24"/>
        </w:rPr>
        <w:instrText xml:space="preserve"> ADDIN EN.CITE </w:instrText>
      </w:r>
      <w:r w:rsidRPr="005A0614">
        <w:rPr>
          <w:sz w:val="24"/>
        </w:rPr>
        <w:fldChar w:fldCharType="begin">
          <w:fldData xml:space="preserve">PEVuZE5vdGU+PENpdGU+PEF1dGhvcj5XYW5nPC9BdXRob3I+PFllYXI+MjAxNDwvWWVhcj48UmVj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=
</w:fldData>
        </w:fldChar>
      </w:r>
      <w:r w:rsidRPr="005A0614">
        <w:rPr>
          <w:sz w:val="24"/>
        </w:rPr>
        <w:instrText xml:space="preserve"> ADDIN EN.CITE.DATA </w:instrText>
      </w:r>
      <w:r w:rsidRPr="005A0614">
        <w:rPr>
          <w:sz w:val="24"/>
        </w:rPr>
      </w:r>
      <w:r w:rsidRPr="005A0614">
        <w:rPr>
          <w:sz w:val="24"/>
        </w:rPr>
        <w:fldChar w:fldCharType="end"/>
      </w:r>
      <w:r w:rsidRPr="005A0614">
        <w:rPr>
          <w:sz w:val="24"/>
        </w:rPr>
      </w:r>
      <w:r w:rsidRPr="005A0614">
        <w:rPr>
          <w:sz w:val="24"/>
        </w:rPr>
        <w:fldChar w:fldCharType="separate"/>
      </w:r>
      <w:r w:rsidRPr="005A0614">
        <w:rPr>
          <w:noProof/>
          <w:sz w:val="24"/>
        </w:rPr>
        <w:t>(Wang et al., 2014)</w:t>
      </w:r>
      <w:r w:rsidRPr="005A0614">
        <w:rPr>
          <w:sz w:val="24"/>
        </w:rPr>
        <w:fldChar w:fldCharType="end"/>
      </w:r>
      <w:r w:rsidRPr="005A0614">
        <w:rPr>
          <w:sz w:val="24"/>
        </w:rPr>
        <w:t xml:space="preserve">. </w:t>
      </w:r>
    </w:p>
    <w:p w:rsidR="007C23AA" w:rsidRPr="005A0614" w:rsidRDefault="007C23AA" w:rsidP="006057BE">
      <w:pPr>
        <w:pStyle w:val="BodyText"/>
        <w:spacing w:line="240" w:lineRule="auto"/>
        <w:rPr>
          <w:sz w:val="24"/>
        </w:rPr>
      </w:pPr>
    </w:p>
    <w:p w:rsidR="007C23AA" w:rsidRPr="005A0614" w:rsidRDefault="007C23AA" w:rsidP="006057BE">
      <w:pPr>
        <w:pStyle w:val="BodyText"/>
        <w:spacing w:line="240" w:lineRule="auto"/>
        <w:rPr>
          <w:sz w:val="24"/>
        </w:rPr>
      </w:pPr>
      <w:r w:rsidRPr="005A0614">
        <w:rPr>
          <w:sz w:val="24"/>
        </w:rPr>
        <w:t>Unknown age includes teen, unknown adult, unknown 20’s and unknown.  Adults 30 and over with decade specification but no specific age they were assigned the median of their decade, e.g. 50’s was assigned 55.  A listing of marijuana-involved exposure calls and aggregate numbers of all PCC exposure calls by age group and by year was provided by the PCC for calls originating from within Massachusetts. We excluded calls from Rhode Island.</w:t>
      </w:r>
    </w:p>
    <w:p w:rsidR="007C23AA" w:rsidRPr="005A0614" w:rsidRDefault="007C23AA" w:rsidP="006057BE">
      <w:pPr>
        <w:pStyle w:val="BodyText"/>
        <w:spacing w:line="240" w:lineRule="auto"/>
        <w:rPr>
          <w:sz w:val="24"/>
        </w:rPr>
      </w:pPr>
    </w:p>
    <w:p w:rsidR="007C23AA" w:rsidRPr="005A0614" w:rsidRDefault="007C23AA" w:rsidP="006057BE">
      <w:pPr>
        <w:pStyle w:val="BodyText"/>
        <w:spacing w:line="240" w:lineRule="auto"/>
        <w:rPr>
          <w:sz w:val="24"/>
        </w:rPr>
      </w:pPr>
      <w:r w:rsidRPr="005A0614">
        <w:rPr>
          <w:sz w:val="24"/>
        </w:rPr>
        <w:t xml:space="preserve">We included the following product codes: 310124 Marijuana: Concentrated Extract (Including Oils and Tinctures); 083000 Marijuana: Dried Plant; 310121 Marijuana: Edible Preparation, 310122 Marijuana: Oral Capsule or Pill Preparation, 310126 Marijuana: Other or Unknown Preparation, 200618 Marijuana: Pharmaceutical Preparation, 310125 Marijuana: Topical Preparation, 310123 Marijuana: Undried Plant, 310096 eCigarettes: Marijuana Device Flavor Unknown, 310034 eCigarettes: Marijuana Device With Added Flavors, 310033 eCigarettes: Marijuana Device Without Added Flavors, 310097 eCigarettes: Marijuana Liquid Flavor Unknown, 310036 eCigarettes: Marijuana Liquid With Added Flavors, 310035 eCigarettes: Marijuana Liquid Without Added Flavors. There were five cases exposed to two marijuana codes: one exposure always being dried plant there was 1 synthetic, 2 edibles, 1 concentrate, and 1 other/unknown.  These were recoded as 2 marijuana codes.  No combination of marijuana preparations exceeded two preparations, for example dried plant and edible.  For calls involving multiple substances, we did not have the information on what other substances were involved, for example acetometaphin.  </w:t>
      </w:r>
    </w:p>
    <w:p w:rsidR="007C23AA" w:rsidRPr="005A0614" w:rsidRDefault="007C23AA" w:rsidP="006057BE">
      <w:pPr>
        <w:pStyle w:val="BodyText"/>
        <w:spacing w:line="240" w:lineRule="auto"/>
        <w:rPr>
          <w:sz w:val="24"/>
        </w:rPr>
      </w:pPr>
      <w:r w:rsidRPr="005A0614">
        <w:rPr>
          <w:sz w:val="24"/>
        </w:rPr>
        <w:t xml:space="preserve">To explore population fluctuations that could influence prevalence, we examined the percent change in the MA population in 2007, 2010, and 2016 within age categories, using census data.  If the change was less than 10%, we used 2010 census data to calculate calls per 100,000 people.  There was a greater than 10% change in 25-34, 35-44, 60-64, and 65-74 year age groups, but when collapsed into adults 25 and older, there was no significant change. We, therefore, used 2010 census data as the denominator for population prevalence rates. </w:t>
      </w:r>
    </w:p>
    <w:p w:rsidR="007C23AA" w:rsidRPr="005A0614" w:rsidRDefault="007C23AA" w:rsidP="006057BE">
      <w:pPr>
        <w:pStyle w:val="BodyText"/>
        <w:spacing w:line="240" w:lineRule="auto"/>
        <w:rPr>
          <w:sz w:val="24"/>
        </w:rPr>
      </w:pPr>
      <w:r w:rsidRPr="005A0614">
        <w:rPr>
          <w:sz w:val="24"/>
        </w:rPr>
        <w:t xml:space="preserve">We graphed trend lines for the percentage of all PCC calls due to marijuana exposure, and graphed the number of exposure calls due to various preparations of marijuana. Medical marijuana became legal in Massachusetts in late 2012, so we examined whether the proportion of all PCC calls due to marijuana was statistically significantly different before this change (2007-2012) versus after (2013-2016). Chi-squared tests or Fisher’s exact tests were used for those analyses. All analyses were stratified by age group.  </w:t>
      </w:r>
    </w:p>
    <w:p w:rsidR="005D7694" w:rsidRDefault="005D7694" w:rsidP="00F950A2">
      <w:pPr>
        <w:pStyle w:val="BodyText"/>
      </w:pPr>
      <w:bookmarkStart w:id="570" w:name="_Toc512861228"/>
    </w:p>
    <w:p w:rsidR="007C23AA" w:rsidRDefault="007C23AA" w:rsidP="005F7A46">
      <w:pPr>
        <w:pStyle w:val="Heading2"/>
      </w:pPr>
      <w:bookmarkStart w:id="571" w:name="_Toc11766031"/>
      <w:bookmarkStart w:id="572" w:name="_Toc11766686"/>
      <w:bookmarkStart w:id="573" w:name="_Toc11917261"/>
      <w:bookmarkStart w:id="574" w:name="_Toc11921699"/>
      <w:bookmarkStart w:id="575" w:name="_Toc12520955"/>
      <w:bookmarkStart w:id="576" w:name="_Toc12521181"/>
      <w:bookmarkStart w:id="577" w:name="_Toc12529151"/>
      <w:r w:rsidRPr="009C44E6">
        <w:t>Results</w:t>
      </w:r>
      <w:bookmarkEnd w:id="570"/>
      <w:bookmarkEnd w:id="571"/>
      <w:bookmarkEnd w:id="572"/>
      <w:bookmarkEnd w:id="573"/>
      <w:bookmarkEnd w:id="574"/>
      <w:bookmarkEnd w:id="575"/>
      <w:bookmarkEnd w:id="576"/>
      <w:bookmarkEnd w:id="577"/>
    </w:p>
    <w:p w:rsidR="007C23AA" w:rsidRPr="007C23AA" w:rsidRDefault="007C23AA" w:rsidP="006057BE">
      <w:pPr>
        <w:pStyle w:val="BodyText"/>
        <w:spacing w:line="240" w:lineRule="auto"/>
      </w:pPr>
    </w:p>
    <w:p w:rsidR="007C23AA" w:rsidRDefault="007C23AA" w:rsidP="00332358">
      <w:pPr>
        <w:pStyle w:val="Heading3"/>
      </w:pPr>
      <w:bookmarkStart w:id="578" w:name="_Toc512464666"/>
      <w:bookmarkStart w:id="579" w:name="_Toc512861229"/>
      <w:bookmarkStart w:id="580" w:name="_Toc11766032"/>
      <w:bookmarkStart w:id="581" w:name="_Toc11766687"/>
      <w:bookmarkStart w:id="582" w:name="_Toc510123326"/>
      <w:r>
        <w:t>Episodes of Marijuana-Related Substance Use T</w:t>
      </w:r>
      <w:r w:rsidRPr="009C44E6">
        <w:t>reatment</w:t>
      </w:r>
      <w:bookmarkEnd w:id="578"/>
      <w:bookmarkEnd w:id="579"/>
      <w:bookmarkEnd w:id="580"/>
      <w:bookmarkEnd w:id="581"/>
    </w:p>
    <w:p w:rsidR="007C23AA" w:rsidRPr="007C23AA" w:rsidRDefault="007C23AA" w:rsidP="006057BE">
      <w:pPr>
        <w:pStyle w:val="BodyText"/>
        <w:spacing w:line="240" w:lineRule="auto"/>
      </w:pPr>
    </w:p>
    <w:p w:rsidR="005A0614" w:rsidRPr="005A0614" w:rsidRDefault="007C23AA" w:rsidP="005A0614">
      <w:pPr>
        <w:spacing w:after="0" w:line="240" w:lineRule="auto"/>
        <w:rPr>
          <w:rFonts w:ascii="Arial" w:hAnsi="Arial" w:cs="Arial"/>
          <w:sz w:val="24"/>
          <w:szCs w:val="24"/>
        </w:rPr>
      </w:pPr>
      <w:r w:rsidRPr="005A0614">
        <w:rPr>
          <w:rFonts w:ascii="Arial" w:hAnsi="Arial" w:cs="Arial"/>
          <w:sz w:val="24"/>
          <w:szCs w:val="24"/>
        </w:rPr>
        <w:t>As shown in Table 1, the number of admissions to substance use treatment for marijuana was 2652 in 2014. This represents an increase from 2012 and 2013 levels, but a decrease from the historic levels in the 2004-2010.</w:t>
      </w:r>
      <w:r w:rsidR="005A0614">
        <w:rPr>
          <w:rFonts w:ascii="Arial" w:hAnsi="Arial" w:cs="Arial"/>
          <w:sz w:val="24"/>
          <w:szCs w:val="24"/>
        </w:rPr>
        <w:t xml:space="preserve"> </w:t>
      </w:r>
      <w:r w:rsidR="005A0614" w:rsidRPr="005A0614">
        <w:rPr>
          <w:rFonts w:ascii="Arial" w:hAnsi="Arial" w:cs="Arial"/>
          <w:sz w:val="24"/>
          <w:szCs w:val="24"/>
        </w:rPr>
        <w:t>The prevalence of marijuana-related admissions to treatment was 45 per 100,000 in 2014. This was consistent in the last few years, and a decline from peak levels in 2006-2005 (Figure 1).</w:t>
      </w:r>
    </w:p>
    <w:p w:rsidR="007C23AA" w:rsidRDefault="007C23AA" w:rsidP="006057BE">
      <w:pPr>
        <w:spacing w:after="0" w:line="240" w:lineRule="auto"/>
        <w:rPr>
          <w:rFonts w:ascii="Arial" w:hAnsi="Arial" w:cs="Arial"/>
          <w:szCs w:val="24"/>
        </w:rPr>
      </w:pPr>
    </w:p>
    <w:p w:rsidR="007C23AA" w:rsidRDefault="007C23AA" w:rsidP="006057BE">
      <w:pPr>
        <w:pStyle w:val="Caption"/>
        <w:spacing w:after="0"/>
        <w:jc w:val="both"/>
        <w:rPr>
          <w:rFonts w:ascii="Arial" w:hAnsi="Arial" w:cs="Arial"/>
          <w:b/>
          <w:szCs w:val="24"/>
        </w:rPr>
      </w:pPr>
      <w:r w:rsidRPr="009C44E6">
        <w:rPr>
          <w:rFonts w:ascii="Arial" w:hAnsi="Arial" w:cs="Arial"/>
          <w:b/>
          <w:szCs w:val="24"/>
        </w:rPr>
        <w:t xml:space="preserve">Table </w:t>
      </w:r>
      <w:r w:rsidRPr="009C44E6">
        <w:rPr>
          <w:rFonts w:ascii="Arial" w:hAnsi="Arial" w:cs="Arial"/>
          <w:b/>
          <w:szCs w:val="24"/>
        </w:rPr>
        <w:fldChar w:fldCharType="begin"/>
      </w:r>
      <w:r w:rsidRPr="009C44E6">
        <w:rPr>
          <w:rFonts w:ascii="Arial" w:hAnsi="Arial" w:cs="Arial"/>
          <w:b/>
          <w:szCs w:val="24"/>
        </w:rPr>
        <w:instrText xml:space="preserve"> SEQ Table \* ARABIC </w:instrText>
      </w:r>
      <w:r w:rsidRPr="009C44E6">
        <w:rPr>
          <w:rFonts w:ascii="Arial" w:hAnsi="Arial" w:cs="Arial"/>
          <w:b/>
          <w:szCs w:val="24"/>
        </w:rPr>
        <w:fldChar w:fldCharType="separate"/>
      </w:r>
      <w:r w:rsidR="00ED455B">
        <w:rPr>
          <w:rFonts w:ascii="Arial" w:hAnsi="Arial" w:cs="Arial"/>
          <w:b/>
          <w:noProof/>
          <w:szCs w:val="24"/>
        </w:rPr>
        <w:t>1</w:t>
      </w:r>
      <w:r w:rsidRPr="009C44E6">
        <w:rPr>
          <w:rFonts w:ascii="Arial" w:hAnsi="Arial" w:cs="Arial"/>
          <w:b/>
          <w:noProof/>
          <w:szCs w:val="24"/>
        </w:rPr>
        <w:fldChar w:fldCharType="end"/>
      </w:r>
      <w:r w:rsidRPr="009C44E6">
        <w:rPr>
          <w:rFonts w:ascii="Arial" w:hAnsi="Arial" w:cs="Arial"/>
          <w:b/>
          <w:noProof/>
          <w:szCs w:val="24"/>
        </w:rPr>
        <w:t>.</w:t>
      </w:r>
      <w:r>
        <w:rPr>
          <w:rFonts w:ascii="Arial" w:hAnsi="Arial" w:cs="Arial"/>
          <w:b/>
          <w:szCs w:val="24"/>
        </w:rPr>
        <w:t xml:space="preserve"> </w:t>
      </w:r>
      <w:r w:rsidRPr="008644EC">
        <w:rPr>
          <w:rFonts w:ascii="Arial" w:hAnsi="Arial" w:cs="Arial"/>
          <w:b/>
          <w:szCs w:val="24"/>
        </w:rPr>
        <w:t>Number of Substance Abuse Treatment Admissions in Massachusetts by Primary Sub-Substance of Abuse, Age 12+, 2004-2014</w:t>
      </w:r>
    </w:p>
    <w:p w:rsidR="007C23AA" w:rsidRDefault="007C23AA" w:rsidP="006057BE">
      <w:pPr>
        <w:spacing w:after="0" w:line="240" w:lineRule="auto"/>
        <w:rPr>
          <w:rFonts w:ascii="Arial" w:hAnsi="Arial" w:cs="Arial"/>
          <w:szCs w:val="24"/>
        </w:rPr>
      </w:pPr>
    </w:p>
    <w:tbl>
      <w:tblPr>
        <w:tblpPr w:leftFromText="180" w:rightFromText="180" w:vertAnchor="text" w:horzAnchor="margin" w:tblpY="103"/>
        <w:tblW w:w="9736" w:type="dxa"/>
        <w:tblLook w:val="04A0" w:firstRow="1" w:lastRow="0" w:firstColumn="1" w:lastColumn="0" w:noHBand="0" w:noVBand="1"/>
        <w:tblCaption w:val="Number of Substance Abuse Treatment Admissions in Massachusetts by Primary Sub-Substance of Abuse, Age 12+, 2004-2014"/>
      </w:tblPr>
      <w:tblGrid>
        <w:gridCol w:w="1228"/>
        <w:gridCol w:w="773"/>
        <w:gridCol w:w="773"/>
        <w:gridCol w:w="773"/>
        <w:gridCol w:w="773"/>
        <w:gridCol w:w="773"/>
        <w:gridCol w:w="773"/>
        <w:gridCol w:w="773"/>
        <w:gridCol w:w="773"/>
        <w:gridCol w:w="773"/>
        <w:gridCol w:w="773"/>
        <w:gridCol w:w="778"/>
      </w:tblGrid>
      <w:tr w:rsidR="007C23AA" w:rsidRPr="009C44E6" w:rsidTr="007C23AA">
        <w:trPr>
          <w:trHeight w:val="305"/>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6057BE">
            <w:pPr>
              <w:spacing w:after="0" w:line="240" w:lineRule="auto"/>
              <w:rPr>
                <w:rFonts w:ascii="Arial" w:eastAsia="Times New Roman" w:hAnsi="Arial" w:cs="Arial"/>
                <w:sz w:val="20"/>
                <w:szCs w:val="20"/>
              </w:rPr>
            </w:pPr>
          </w:p>
        </w:tc>
        <w:tc>
          <w:tcPr>
            <w:tcW w:w="850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6057BE">
            <w:pPr>
              <w:spacing w:after="0" w:line="240" w:lineRule="auto"/>
              <w:jc w:val="center"/>
              <w:rPr>
                <w:rFonts w:ascii="Arial" w:eastAsia="Times New Roman" w:hAnsi="Arial" w:cs="Arial"/>
                <w:b/>
                <w:bCs/>
                <w:sz w:val="20"/>
                <w:szCs w:val="20"/>
              </w:rPr>
            </w:pPr>
            <w:r w:rsidRPr="006245AE">
              <w:rPr>
                <w:rFonts w:ascii="Arial" w:eastAsia="Times New Roman" w:hAnsi="Arial" w:cs="Arial"/>
                <w:b/>
                <w:bCs/>
                <w:sz w:val="20"/>
                <w:szCs w:val="20"/>
              </w:rPr>
              <w:t>Year</w:t>
            </w:r>
          </w:p>
        </w:tc>
      </w:tr>
      <w:tr w:rsidR="007C23AA" w:rsidRPr="009C44E6" w:rsidTr="007C23AA">
        <w:trPr>
          <w:trHeight w:val="305"/>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3AA" w:rsidRPr="006245AE" w:rsidRDefault="007C23AA" w:rsidP="006057BE">
            <w:pPr>
              <w:spacing w:after="0" w:line="240" w:lineRule="auto"/>
              <w:rPr>
                <w:rFonts w:ascii="Arial" w:eastAsia="Times New Roman" w:hAnsi="Arial" w:cs="Arial"/>
                <w:b/>
                <w:bCs/>
                <w:sz w:val="20"/>
                <w:szCs w:val="20"/>
              </w:rPr>
            </w:pPr>
            <w:r w:rsidRPr="006245AE">
              <w:rPr>
                <w:rFonts w:ascii="Arial" w:eastAsia="Times New Roman" w:hAnsi="Arial" w:cs="Arial"/>
                <w:b/>
                <w:bCs/>
                <w:sz w:val="20"/>
                <w:szCs w:val="20"/>
              </w:rPr>
              <w:t xml:space="preserve">Primary Substance </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b/>
                <w:bCs/>
                <w:sz w:val="20"/>
                <w:szCs w:val="20"/>
              </w:rPr>
            </w:pPr>
            <w:r w:rsidRPr="006245AE">
              <w:rPr>
                <w:rFonts w:ascii="Arial" w:eastAsia="Times New Roman" w:hAnsi="Arial" w:cs="Arial"/>
                <w:b/>
                <w:bCs/>
                <w:sz w:val="20"/>
                <w:szCs w:val="20"/>
              </w:rPr>
              <w:t>2004</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b/>
                <w:bCs/>
                <w:sz w:val="20"/>
                <w:szCs w:val="20"/>
              </w:rPr>
            </w:pPr>
            <w:r w:rsidRPr="006245AE">
              <w:rPr>
                <w:rFonts w:ascii="Arial" w:eastAsia="Times New Roman" w:hAnsi="Arial" w:cs="Arial"/>
                <w:b/>
                <w:bCs/>
                <w:sz w:val="20"/>
                <w:szCs w:val="20"/>
              </w:rPr>
              <w:t>2005</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b/>
                <w:bCs/>
                <w:sz w:val="20"/>
                <w:szCs w:val="20"/>
              </w:rPr>
            </w:pPr>
            <w:r w:rsidRPr="006245AE">
              <w:rPr>
                <w:rFonts w:ascii="Arial" w:eastAsia="Times New Roman" w:hAnsi="Arial" w:cs="Arial"/>
                <w:b/>
                <w:bCs/>
                <w:sz w:val="20"/>
                <w:szCs w:val="20"/>
              </w:rPr>
              <w:t>2006</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b/>
                <w:bCs/>
                <w:sz w:val="20"/>
                <w:szCs w:val="20"/>
              </w:rPr>
            </w:pPr>
            <w:r w:rsidRPr="006245AE">
              <w:rPr>
                <w:rFonts w:ascii="Arial" w:eastAsia="Times New Roman" w:hAnsi="Arial" w:cs="Arial"/>
                <w:b/>
                <w:bCs/>
                <w:sz w:val="20"/>
                <w:szCs w:val="20"/>
              </w:rPr>
              <w:t>2007</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b/>
                <w:bCs/>
                <w:sz w:val="20"/>
                <w:szCs w:val="20"/>
              </w:rPr>
            </w:pPr>
            <w:r w:rsidRPr="006245AE">
              <w:rPr>
                <w:rFonts w:ascii="Arial" w:eastAsia="Times New Roman" w:hAnsi="Arial" w:cs="Arial"/>
                <w:b/>
                <w:bCs/>
                <w:sz w:val="20"/>
                <w:szCs w:val="20"/>
              </w:rPr>
              <w:t>2008</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b/>
                <w:bCs/>
                <w:sz w:val="20"/>
                <w:szCs w:val="20"/>
              </w:rPr>
            </w:pPr>
            <w:r w:rsidRPr="006245AE">
              <w:rPr>
                <w:rFonts w:ascii="Arial" w:eastAsia="Times New Roman" w:hAnsi="Arial" w:cs="Arial"/>
                <w:b/>
                <w:bCs/>
                <w:sz w:val="20"/>
                <w:szCs w:val="20"/>
              </w:rPr>
              <w:t>2009</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b/>
                <w:bCs/>
                <w:sz w:val="20"/>
                <w:szCs w:val="20"/>
              </w:rPr>
            </w:pPr>
            <w:r w:rsidRPr="006245AE">
              <w:rPr>
                <w:rFonts w:ascii="Arial" w:eastAsia="Times New Roman" w:hAnsi="Arial" w:cs="Arial"/>
                <w:b/>
                <w:bCs/>
                <w:sz w:val="20"/>
                <w:szCs w:val="20"/>
              </w:rPr>
              <w:t>2010</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b/>
                <w:bCs/>
                <w:sz w:val="20"/>
                <w:szCs w:val="20"/>
              </w:rPr>
            </w:pPr>
            <w:r w:rsidRPr="006245AE">
              <w:rPr>
                <w:rFonts w:ascii="Arial" w:eastAsia="Times New Roman" w:hAnsi="Arial" w:cs="Arial"/>
                <w:b/>
                <w:bCs/>
                <w:sz w:val="20"/>
                <w:szCs w:val="20"/>
              </w:rPr>
              <w:t>2011</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b/>
                <w:bCs/>
                <w:sz w:val="20"/>
                <w:szCs w:val="20"/>
              </w:rPr>
            </w:pPr>
            <w:r w:rsidRPr="006245AE">
              <w:rPr>
                <w:rFonts w:ascii="Arial" w:eastAsia="Times New Roman" w:hAnsi="Arial" w:cs="Arial"/>
                <w:b/>
                <w:bCs/>
                <w:sz w:val="20"/>
                <w:szCs w:val="20"/>
              </w:rPr>
              <w:t>2012</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b/>
                <w:bCs/>
                <w:sz w:val="20"/>
                <w:szCs w:val="20"/>
              </w:rPr>
            </w:pPr>
            <w:r w:rsidRPr="006245AE">
              <w:rPr>
                <w:rFonts w:ascii="Arial" w:eastAsia="Times New Roman" w:hAnsi="Arial" w:cs="Arial"/>
                <w:b/>
                <w:bCs/>
                <w:sz w:val="20"/>
                <w:szCs w:val="20"/>
              </w:rPr>
              <w:t>2013</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b/>
                <w:bCs/>
                <w:sz w:val="20"/>
                <w:szCs w:val="20"/>
              </w:rPr>
            </w:pPr>
            <w:r w:rsidRPr="006245AE">
              <w:rPr>
                <w:rFonts w:ascii="Arial" w:eastAsia="Times New Roman" w:hAnsi="Arial" w:cs="Arial"/>
                <w:b/>
                <w:bCs/>
                <w:sz w:val="20"/>
                <w:szCs w:val="20"/>
              </w:rPr>
              <w:t>2014</w:t>
            </w:r>
          </w:p>
        </w:tc>
      </w:tr>
      <w:tr w:rsidR="007C23AA" w:rsidRPr="009C44E6" w:rsidTr="007C23AA">
        <w:trPr>
          <w:trHeight w:val="305"/>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6057BE">
            <w:pPr>
              <w:spacing w:after="0" w:line="240" w:lineRule="auto"/>
              <w:rPr>
                <w:rFonts w:ascii="Arial" w:eastAsia="Times New Roman" w:hAnsi="Arial" w:cs="Arial"/>
                <w:sz w:val="20"/>
                <w:szCs w:val="20"/>
              </w:rPr>
            </w:pPr>
            <w:r w:rsidRPr="006245AE">
              <w:rPr>
                <w:rFonts w:ascii="Arial" w:eastAsia="Times New Roman" w:hAnsi="Arial" w:cs="Arial"/>
                <w:sz w:val="20"/>
                <w:szCs w:val="20"/>
              </w:rPr>
              <w:t>marijuana</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3144</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3372</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4957</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4360</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3362</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3073</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3157</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2614</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2501</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2357</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2652</w:t>
            </w:r>
          </w:p>
        </w:tc>
      </w:tr>
      <w:tr w:rsidR="007C23AA" w:rsidRPr="009C44E6" w:rsidTr="007C23AA">
        <w:trPr>
          <w:trHeight w:val="305"/>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6057BE">
            <w:pPr>
              <w:spacing w:after="0" w:line="240" w:lineRule="auto"/>
              <w:rPr>
                <w:rFonts w:ascii="Arial" w:eastAsia="Times New Roman" w:hAnsi="Arial" w:cs="Arial"/>
                <w:sz w:val="20"/>
                <w:szCs w:val="20"/>
              </w:rPr>
            </w:pPr>
            <w:r w:rsidRPr="006245AE">
              <w:rPr>
                <w:rFonts w:ascii="Arial" w:eastAsia="Times New Roman" w:hAnsi="Arial" w:cs="Arial"/>
                <w:sz w:val="20"/>
                <w:szCs w:val="20"/>
              </w:rPr>
              <w:t>alcohol</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20421</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20734</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37337</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36570</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32435</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32153</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31299</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28587</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27678</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26786</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27619</w:t>
            </w:r>
          </w:p>
        </w:tc>
      </w:tr>
      <w:tr w:rsidR="007C23AA" w:rsidRPr="009C44E6" w:rsidTr="007C23AA">
        <w:trPr>
          <w:trHeight w:val="305"/>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6057BE">
            <w:pPr>
              <w:spacing w:after="0" w:line="240" w:lineRule="auto"/>
              <w:rPr>
                <w:rFonts w:ascii="Arial" w:eastAsia="Times New Roman" w:hAnsi="Arial" w:cs="Arial"/>
                <w:sz w:val="20"/>
                <w:szCs w:val="20"/>
              </w:rPr>
            </w:pPr>
            <w:r w:rsidRPr="006245AE">
              <w:rPr>
                <w:rFonts w:ascii="Arial" w:eastAsia="Times New Roman" w:hAnsi="Arial" w:cs="Arial"/>
                <w:sz w:val="20"/>
                <w:szCs w:val="20"/>
              </w:rPr>
              <w:t>opioids</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29086</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28509</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41097</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42014</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39568</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41700</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40306</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41723</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46200</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50482</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50116</w:t>
            </w:r>
          </w:p>
        </w:tc>
      </w:tr>
      <w:tr w:rsidR="007C23AA" w:rsidRPr="009C44E6" w:rsidTr="007C23AA">
        <w:trPr>
          <w:trHeight w:val="305"/>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6057BE">
            <w:pPr>
              <w:spacing w:after="0" w:line="240" w:lineRule="auto"/>
              <w:rPr>
                <w:rFonts w:ascii="Arial" w:eastAsia="Times New Roman" w:hAnsi="Arial" w:cs="Arial"/>
                <w:sz w:val="20"/>
                <w:szCs w:val="20"/>
              </w:rPr>
            </w:pPr>
            <w:r w:rsidRPr="006245AE">
              <w:rPr>
                <w:rFonts w:ascii="Arial" w:eastAsia="Times New Roman" w:hAnsi="Arial" w:cs="Arial"/>
                <w:sz w:val="20"/>
                <w:szCs w:val="20"/>
              </w:rPr>
              <w:t>cocaine</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3643</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4223</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7446</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6597</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4828</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4066</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3519</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3036</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2758</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2461</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2319</w:t>
            </w:r>
          </w:p>
        </w:tc>
      </w:tr>
      <w:tr w:rsidR="007C23AA" w:rsidRPr="009C44E6" w:rsidTr="007C23AA">
        <w:trPr>
          <w:trHeight w:val="305"/>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6057BE">
            <w:pPr>
              <w:spacing w:after="0" w:line="240" w:lineRule="auto"/>
              <w:rPr>
                <w:rFonts w:ascii="Arial" w:eastAsia="Times New Roman" w:hAnsi="Arial" w:cs="Arial"/>
                <w:sz w:val="20"/>
                <w:szCs w:val="20"/>
              </w:rPr>
            </w:pPr>
            <w:r w:rsidRPr="006245AE">
              <w:rPr>
                <w:rFonts w:ascii="Arial" w:eastAsia="Times New Roman" w:hAnsi="Arial" w:cs="Arial"/>
                <w:sz w:val="20"/>
                <w:szCs w:val="20"/>
              </w:rPr>
              <w:t>meth/amp</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119</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152</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190</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163</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94</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70</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126</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90</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115</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160</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182</w:t>
            </w:r>
          </w:p>
        </w:tc>
      </w:tr>
      <w:tr w:rsidR="007C23AA" w:rsidRPr="009C44E6" w:rsidTr="007C23AA">
        <w:trPr>
          <w:trHeight w:val="305"/>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6057BE">
            <w:pPr>
              <w:spacing w:after="0" w:line="240" w:lineRule="auto"/>
              <w:rPr>
                <w:rFonts w:ascii="Arial" w:eastAsia="Times New Roman" w:hAnsi="Arial" w:cs="Arial"/>
                <w:b/>
                <w:bCs/>
                <w:sz w:val="20"/>
                <w:szCs w:val="20"/>
              </w:rPr>
            </w:pPr>
            <w:r w:rsidRPr="006245AE">
              <w:rPr>
                <w:rFonts w:ascii="Arial" w:eastAsia="Times New Roman" w:hAnsi="Arial" w:cs="Arial"/>
                <w:b/>
                <w:bCs/>
                <w:sz w:val="20"/>
                <w:szCs w:val="20"/>
              </w:rPr>
              <w:t xml:space="preserve">Total </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53269</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53618</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86070</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85344</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76925</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77989</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75250</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73436</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76751</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79889</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23AA" w:rsidRPr="006245AE" w:rsidRDefault="007C23AA" w:rsidP="00015C58">
            <w:pPr>
              <w:spacing w:after="0" w:line="240" w:lineRule="auto"/>
              <w:jc w:val="center"/>
              <w:rPr>
                <w:rFonts w:ascii="Arial" w:eastAsia="Times New Roman" w:hAnsi="Arial" w:cs="Arial"/>
                <w:sz w:val="20"/>
                <w:szCs w:val="20"/>
              </w:rPr>
            </w:pPr>
            <w:r w:rsidRPr="006245AE">
              <w:rPr>
                <w:rFonts w:ascii="Arial" w:eastAsia="Times New Roman" w:hAnsi="Arial" w:cs="Arial"/>
                <w:sz w:val="20"/>
                <w:szCs w:val="20"/>
              </w:rPr>
              <w:t>80236</w:t>
            </w:r>
          </w:p>
        </w:tc>
      </w:tr>
      <w:tr w:rsidR="007C23AA" w:rsidRPr="009C44E6" w:rsidTr="007C23AA">
        <w:trPr>
          <w:trHeight w:val="305"/>
        </w:trPr>
        <w:tc>
          <w:tcPr>
            <w:tcW w:w="9736" w:type="dxa"/>
            <w:gridSpan w:val="12"/>
            <w:tcBorders>
              <w:top w:val="single" w:sz="4" w:space="0" w:color="auto"/>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Note: other substances of abuse are not included in this table. *meth/amp=methamphetamine/amphetamine.</w:t>
            </w:r>
          </w:p>
        </w:tc>
      </w:tr>
    </w:tbl>
    <w:p w:rsidR="007C23AA" w:rsidRDefault="007C23AA" w:rsidP="006057BE">
      <w:pPr>
        <w:spacing w:after="0" w:line="240" w:lineRule="auto"/>
        <w:rPr>
          <w:rFonts w:ascii="Arial" w:hAnsi="Arial" w:cs="Arial"/>
          <w:szCs w:val="24"/>
        </w:rPr>
      </w:pPr>
    </w:p>
    <w:p w:rsidR="007C23AA" w:rsidRPr="005A0614" w:rsidRDefault="007C23AA" w:rsidP="006057BE">
      <w:pPr>
        <w:spacing w:after="0" w:line="240" w:lineRule="auto"/>
        <w:rPr>
          <w:rFonts w:ascii="Arial" w:hAnsi="Arial" w:cs="Arial"/>
          <w:i/>
          <w:noProof/>
          <w:szCs w:val="24"/>
        </w:rPr>
        <w:sectPr w:rsidR="007C23AA" w:rsidRPr="005A0614" w:rsidSect="00B505DE">
          <w:headerReference w:type="default" r:id="rId84"/>
          <w:headerReference w:type="first" r:id="rId85"/>
          <w:footerReference w:type="first" r:id="rId86"/>
          <w:pgSz w:w="12240" w:h="15840"/>
          <w:pgMar w:top="1440" w:right="1440" w:bottom="1440" w:left="1440" w:header="720" w:footer="720" w:gutter="0"/>
          <w:cols w:space="720"/>
          <w:docGrid w:linePitch="360"/>
        </w:sectPr>
      </w:pPr>
    </w:p>
    <w:p w:rsidR="005A0614" w:rsidRDefault="005A0614" w:rsidP="005A0614">
      <w:pPr>
        <w:spacing w:after="0" w:line="240" w:lineRule="auto"/>
        <w:rPr>
          <w:rFonts w:ascii="Arial" w:hAnsi="Arial" w:cs="Arial"/>
          <w:i/>
          <w:noProof/>
          <w:szCs w:val="24"/>
        </w:rPr>
      </w:pPr>
      <w:r>
        <w:rPr>
          <w:rFonts w:ascii="Arial" w:hAnsi="Arial" w:cs="Arial"/>
          <w:i/>
          <w:noProof/>
          <w:szCs w:val="24"/>
        </w:rPr>
        <w:drawing>
          <wp:inline distT="0" distB="0" distL="0" distR="0" wp14:anchorId="4D64B7EB" wp14:editId="2BF09BF2">
            <wp:extent cx="4859020" cy="2651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9020" cy="2651760"/>
                    </a:xfrm>
                    <a:prstGeom prst="rect">
                      <a:avLst/>
                    </a:prstGeom>
                    <a:noFill/>
                  </pic:spPr>
                </pic:pic>
              </a:graphicData>
            </a:graphic>
          </wp:inline>
        </w:drawing>
      </w:r>
    </w:p>
    <w:p w:rsidR="005A0614" w:rsidRDefault="005A0614" w:rsidP="005A0614">
      <w:pPr>
        <w:spacing w:after="0" w:line="240" w:lineRule="auto"/>
        <w:rPr>
          <w:rFonts w:ascii="Arial" w:hAnsi="Arial" w:cs="Arial"/>
          <w:i/>
          <w:noProof/>
          <w:szCs w:val="24"/>
        </w:rPr>
      </w:pPr>
    </w:p>
    <w:p w:rsidR="005A0614" w:rsidRPr="005A0614" w:rsidRDefault="005A0614" w:rsidP="005A0614">
      <w:pPr>
        <w:spacing w:after="0" w:line="240" w:lineRule="auto"/>
        <w:rPr>
          <w:rFonts w:ascii="Arial" w:hAnsi="Arial" w:cs="Arial"/>
          <w:b/>
          <w:noProof/>
          <w:szCs w:val="24"/>
        </w:rPr>
      </w:pPr>
      <w:r w:rsidRPr="005A0614">
        <w:rPr>
          <w:rFonts w:ascii="Arial" w:hAnsi="Arial" w:cs="Arial"/>
          <w:b/>
          <w:noProof/>
          <w:szCs w:val="24"/>
        </w:rPr>
        <w:t>Figure 1. Massachusetts Admissions to Substance Use Treatment with Marijuana as Primary Substance of Abuse, Age 12+, 2004-2014</w:t>
      </w:r>
    </w:p>
    <w:p w:rsidR="005A0614" w:rsidRDefault="005A0614" w:rsidP="006057BE">
      <w:pPr>
        <w:pStyle w:val="BodyText"/>
        <w:spacing w:line="240" w:lineRule="auto"/>
      </w:pPr>
    </w:p>
    <w:p w:rsidR="007C23AA" w:rsidRPr="009C44E6" w:rsidRDefault="007C23AA" w:rsidP="006057BE">
      <w:pPr>
        <w:pStyle w:val="BodyText"/>
        <w:spacing w:line="240" w:lineRule="auto"/>
      </w:pPr>
      <w:r w:rsidRPr="009C44E6">
        <w:t xml:space="preserve">As shown in Figure 2, the proportion of substance abuse treatment admissions due to marijuana use has remained at less than 5% of all admissions. However, it is important to note that in the midst of the opioid epidemic, which has taxed the capacity of the treatment system, the proportion of admissions due to all other substances would inherently be reduced. </w:t>
      </w:r>
    </w:p>
    <w:p w:rsidR="007C23AA" w:rsidRPr="009C44E6" w:rsidRDefault="007C23AA" w:rsidP="006057BE">
      <w:pPr>
        <w:pStyle w:val="BodyText"/>
        <w:spacing w:line="240" w:lineRule="auto"/>
      </w:pPr>
    </w:p>
    <w:p w:rsidR="007C23AA" w:rsidRPr="009C44E6" w:rsidRDefault="00484177" w:rsidP="006057BE">
      <w:pPr>
        <w:spacing w:after="0" w:line="240" w:lineRule="auto"/>
        <w:rPr>
          <w:rFonts w:ascii="Arial" w:hAnsi="Arial" w:cs="Arial"/>
          <w:i/>
          <w:szCs w:val="24"/>
        </w:rPr>
      </w:pPr>
      <w:r>
        <w:rPr>
          <w:rFonts w:ascii="Arial" w:hAnsi="Arial" w:cs="Arial"/>
          <w:i/>
          <w:noProof/>
          <w:szCs w:val="24"/>
        </w:rPr>
        <w:drawing>
          <wp:inline distT="0" distB="0" distL="0" distR="0" wp14:anchorId="489B6A21" wp14:editId="0D435E51">
            <wp:extent cx="5486400" cy="3593135"/>
            <wp:effectExtent l="0" t="0" r="0" b="7620"/>
            <wp:docPr id="30" name="Picture 30" descr="The figure shows that admissions due to abuse of marijuana has remained lower than opioids, alcohol, and &quot;other&quot; from 2004 to 2014. " title="Proportion of Substance Abuse Treatment Admissions by Primary Substance of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90158" cy="3595596"/>
                    </a:xfrm>
                    <a:prstGeom prst="rect">
                      <a:avLst/>
                    </a:prstGeom>
                    <a:noFill/>
                  </pic:spPr>
                </pic:pic>
              </a:graphicData>
            </a:graphic>
          </wp:inline>
        </w:drawing>
      </w:r>
    </w:p>
    <w:p w:rsidR="007C23AA" w:rsidRDefault="007C23AA" w:rsidP="006057BE">
      <w:pPr>
        <w:pStyle w:val="Caption"/>
        <w:spacing w:after="0"/>
        <w:rPr>
          <w:rFonts w:ascii="Arial" w:hAnsi="Arial" w:cs="Arial"/>
          <w:b/>
          <w:szCs w:val="24"/>
        </w:rPr>
      </w:pPr>
    </w:p>
    <w:p w:rsidR="007C23AA" w:rsidRDefault="007C23AA" w:rsidP="006057BE">
      <w:pPr>
        <w:pStyle w:val="Caption"/>
        <w:spacing w:after="0"/>
        <w:rPr>
          <w:rFonts w:ascii="Arial" w:hAnsi="Arial" w:cs="Arial"/>
          <w:b/>
          <w:szCs w:val="24"/>
        </w:rPr>
      </w:pPr>
      <w:r w:rsidRPr="009C44E6">
        <w:rPr>
          <w:rFonts w:ascii="Arial" w:hAnsi="Arial" w:cs="Arial"/>
          <w:b/>
          <w:szCs w:val="24"/>
        </w:rPr>
        <w:t>Figure 2.</w:t>
      </w:r>
      <w:r>
        <w:rPr>
          <w:rFonts w:ascii="Arial" w:hAnsi="Arial" w:cs="Arial"/>
          <w:szCs w:val="24"/>
        </w:rPr>
        <w:t xml:space="preserve"> </w:t>
      </w:r>
      <w:r w:rsidRPr="00976026">
        <w:rPr>
          <w:rFonts w:ascii="Arial" w:hAnsi="Arial" w:cs="Arial"/>
          <w:b/>
          <w:szCs w:val="24"/>
        </w:rPr>
        <w:t>Proportion of Substance Abuse Treatment Admissions by Primary Substance of Abuse, 2004-2014</w:t>
      </w:r>
    </w:p>
    <w:p w:rsidR="007C23AA" w:rsidRDefault="007C23AA" w:rsidP="00332358">
      <w:pPr>
        <w:pStyle w:val="Heading3"/>
      </w:pPr>
      <w:bookmarkStart w:id="583" w:name="_Toc512464667"/>
      <w:bookmarkStart w:id="584" w:name="_Toc512861230"/>
      <w:bookmarkStart w:id="585" w:name="_Toc11766033"/>
      <w:bookmarkStart w:id="586" w:name="_Toc11766688"/>
      <w:r>
        <w:t>Substance Use-Related Emergency C</w:t>
      </w:r>
      <w:r w:rsidRPr="009C44E6">
        <w:t>are</w:t>
      </w:r>
      <w:bookmarkEnd w:id="582"/>
      <w:bookmarkEnd w:id="583"/>
      <w:bookmarkEnd w:id="584"/>
      <w:bookmarkEnd w:id="585"/>
      <w:bookmarkEnd w:id="586"/>
    </w:p>
    <w:p w:rsidR="007C23AA" w:rsidRPr="007C23AA" w:rsidRDefault="007C23AA" w:rsidP="006057BE">
      <w:pPr>
        <w:pStyle w:val="BodyText"/>
        <w:spacing w:line="240" w:lineRule="auto"/>
      </w:pPr>
    </w:p>
    <w:p w:rsidR="007C23AA" w:rsidRPr="00D31875" w:rsidRDefault="007C23AA" w:rsidP="006057BE">
      <w:pPr>
        <w:pStyle w:val="BodyText"/>
        <w:spacing w:line="240" w:lineRule="auto"/>
        <w:rPr>
          <w:sz w:val="24"/>
        </w:rPr>
      </w:pPr>
      <w:r w:rsidRPr="00D31875">
        <w:rPr>
          <w:sz w:val="24"/>
        </w:rPr>
        <w:t xml:space="preserve">Among those who used marijuana in the past 30 days, no respondents reported marijuana-related use of emergency room or urgent care services in the prior year. Nearly 70% of Massachusetts adults used alcohol in the past 30 days. Among this group, 1.7% reported use of emergency use of healthcare due to alcohol in the past year. Additionally, 4.1% of the population reported past 30-day use of other substances (e.g. cocaine, opioids, etc.); 4.7% of these individuals sought emergency care related to their substance use, although we note that this estimate is based on fewer than five individuals in the sample and should be interpreted with caution. </w:t>
      </w:r>
    </w:p>
    <w:p w:rsidR="007C23AA" w:rsidRPr="009C44E6" w:rsidRDefault="007C23AA" w:rsidP="006057BE">
      <w:pPr>
        <w:pStyle w:val="BodyText"/>
        <w:spacing w:line="240" w:lineRule="auto"/>
      </w:pPr>
    </w:p>
    <w:p w:rsidR="007C23AA" w:rsidRDefault="007C23AA" w:rsidP="00332358">
      <w:pPr>
        <w:pStyle w:val="Heading3"/>
      </w:pPr>
      <w:bookmarkStart w:id="587" w:name="_Toc512464668"/>
      <w:bookmarkStart w:id="588" w:name="_Toc512861231"/>
      <w:bookmarkStart w:id="589" w:name="_Toc11766034"/>
      <w:bookmarkStart w:id="590" w:name="_Toc11766689"/>
      <w:r>
        <w:t>Marijuana-Related Exposure Calls to the Poison Control C</w:t>
      </w:r>
      <w:r w:rsidRPr="009C44E6">
        <w:t>enter</w:t>
      </w:r>
      <w:bookmarkEnd w:id="587"/>
      <w:bookmarkEnd w:id="588"/>
      <w:bookmarkEnd w:id="589"/>
      <w:bookmarkEnd w:id="590"/>
    </w:p>
    <w:p w:rsidR="007C23AA" w:rsidRPr="007C23AA" w:rsidRDefault="007C23AA" w:rsidP="006057BE">
      <w:pPr>
        <w:pStyle w:val="BodyText"/>
        <w:spacing w:line="240" w:lineRule="auto"/>
      </w:pPr>
    </w:p>
    <w:p w:rsidR="007C23AA" w:rsidRPr="00D31875" w:rsidRDefault="007C23AA" w:rsidP="006057BE">
      <w:pPr>
        <w:pStyle w:val="BodyText"/>
        <w:spacing w:line="240" w:lineRule="auto"/>
        <w:rPr>
          <w:sz w:val="24"/>
        </w:rPr>
      </w:pPr>
      <w:r w:rsidRPr="00D31875">
        <w:rPr>
          <w:sz w:val="24"/>
        </w:rPr>
        <w:t>During the 10-year study period (2007-2016) there were 641 calls to the PCC that included marijuana exposure (Table 2) with an upward trend over time (Figure 3).  The overall period prevalence from 2007-2016 was 9.4 per 100,000 population.  In 2016, there were 78 calls to the PCC with marijuana exposure. Six of these calls pertained to marijuana exposure in youth age 0-9 years, 33 among youth 10-19 years, 12 among young adults age 20-24 years, and 27 among individuals age 25 years and older.  These numbers correspond to a prevalence of 0.79 per 100,000 among children age 0-9 years was; 3.8 among 10-19 year olds, 2.5 among 20-24, and 0.6 per 100,000 among those over age 25 years.</w:t>
      </w:r>
    </w:p>
    <w:p w:rsidR="007C23AA" w:rsidRPr="00D31875" w:rsidRDefault="007C23AA" w:rsidP="006057BE">
      <w:pPr>
        <w:pStyle w:val="BodyText"/>
        <w:spacing w:line="240" w:lineRule="auto"/>
        <w:rPr>
          <w:sz w:val="24"/>
        </w:rPr>
      </w:pPr>
    </w:p>
    <w:p w:rsidR="007C23AA" w:rsidRPr="00D31875" w:rsidRDefault="007C23AA" w:rsidP="006057BE">
      <w:pPr>
        <w:spacing w:after="0" w:line="240" w:lineRule="auto"/>
        <w:rPr>
          <w:rFonts w:ascii="Arial" w:hAnsi="Arial" w:cs="Arial"/>
          <w:noProof/>
          <w:sz w:val="24"/>
          <w:szCs w:val="24"/>
        </w:rPr>
      </w:pPr>
      <w:r w:rsidRPr="00D31875">
        <w:rPr>
          <w:rFonts w:ascii="Arial" w:hAnsi="Arial" w:cs="Arial"/>
          <w:sz w:val="24"/>
        </w:rPr>
        <w:t>For youth under age 18, the proportion of all PCC calls that were due to marijuana, by age group, is shown in Figure 3. The proportion was highest for youth between 10-19 years. Although the magnitude is small, with the highest proportion being under 0.5% (among 10-17 year olds), this is concerning, since the youngest children 0-9 years are being impacted at increasingly levels, presumably through unintentional exposure (Figure 3). We also observed increasing proportions of calls due to marijuana for adults (Figure 4).</w:t>
      </w:r>
      <w:r w:rsidRPr="00D31875">
        <w:rPr>
          <w:rFonts w:ascii="Arial" w:hAnsi="Arial" w:cs="Arial"/>
          <w:noProof/>
          <w:sz w:val="24"/>
          <w:szCs w:val="24"/>
        </w:rPr>
        <w:t xml:space="preserve"> </w:t>
      </w:r>
    </w:p>
    <w:p w:rsidR="007C23AA" w:rsidRDefault="007C23AA" w:rsidP="006057BE">
      <w:pPr>
        <w:spacing w:after="0" w:line="240" w:lineRule="auto"/>
        <w:rPr>
          <w:rFonts w:ascii="Arial" w:hAnsi="Arial" w:cs="Arial"/>
          <w:noProof/>
          <w:szCs w:val="24"/>
        </w:rPr>
      </w:pPr>
    </w:p>
    <w:p w:rsidR="007C23AA" w:rsidRDefault="007C23AA" w:rsidP="006057BE">
      <w:pPr>
        <w:spacing w:after="0" w:line="240" w:lineRule="auto"/>
        <w:rPr>
          <w:rFonts w:ascii="Arial" w:hAnsi="Arial" w:cs="Arial"/>
          <w:noProof/>
          <w:szCs w:val="24"/>
        </w:rPr>
      </w:pPr>
    </w:p>
    <w:p w:rsidR="007C23AA" w:rsidRDefault="007C23AA" w:rsidP="006057BE">
      <w:pPr>
        <w:pStyle w:val="Caption"/>
        <w:spacing w:after="0"/>
        <w:rPr>
          <w:rFonts w:ascii="Arial" w:hAnsi="Arial" w:cs="Arial"/>
          <w:b/>
          <w:szCs w:val="24"/>
        </w:rPr>
      </w:pPr>
    </w:p>
    <w:p w:rsidR="007C23AA" w:rsidRDefault="00484177" w:rsidP="006057BE">
      <w:pPr>
        <w:pStyle w:val="Caption"/>
        <w:spacing w:after="0"/>
        <w:rPr>
          <w:rFonts w:ascii="Arial" w:hAnsi="Arial" w:cs="Arial"/>
          <w:b/>
          <w:szCs w:val="24"/>
        </w:rPr>
      </w:pPr>
      <w:r>
        <w:rPr>
          <w:rFonts w:ascii="Arial" w:hAnsi="Arial" w:cs="Arial"/>
          <w:b/>
          <w:noProof/>
          <w:szCs w:val="24"/>
        </w:rPr>
        <w:drawing>
          <wp:inline distT="0" distB="0" distL="0" distR="0" wp14:anchorId="408822F9" wp14:editId="41B283B2">
            <wp:extent cx="5395595" cy="3048000"/>
            <wp:effectExtent l="0" t="0" r="0" b="0"/>
            <wp:docPr id="31" name="Picture 31" descr="The figure shows the proportion of poison control center calls due to marijuana for youth younger than 18 from 2004 through 2016. The proportion was highest for youth between 10 and 17 years old. " title="Proportion of PCC Calls due to Mari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5595" cy="3048000"/>
                    </a:xfrm>
                    <a:prstGeom prst="rect">
                      <a:avLst/>
                    </a:prstGeom>
                    <a:noFill/>
                  </pic:spPr>
                </pic:pic>
              </a:graphicData>
            </a:graphic>
          </wp:inline>
        </w:drawing>
      </w:r>
    </w:p>
    <w:p w:rsidR="007C23AA" w:rsidRDefault="007C23AA" w:rsidP="006057BE">
      <w:pPr>
        <w:pStyle w:val="Caption"/>
        <w:spacing w:after="0"/>
        <w:rPr>
          <w:rFonts w:ascii="Arial" w:hAnsi="Arial" w:cs="Arial"/>
          <w:b/>
          <w:szCs w:val="24"/>
        </w:rPr>
      </w:pPr>
    </w:p>
    <w:p w:rsidR="007C23AA" w:rsidRPr="00A3309E" w:rsidRDefault="007C23AA" w:rsidP="00A3309E">
      <w:pPr>
        <w:pStyle w:val="Caption"/>
        <w:spacing w:after="0"/>
        <w:rPr>
          <w:rFonts w:ascii="Arial" w:hAnsi="Arial" w:cs="Arial"/>
          <w:b/>
          <w:szCs w:val="24"/>
        </w:rPr>
      </w:pPr>
      <w:r w:rsidRPr="009C44E6">
        <w:rPr>
          <w:rFonts w:ascii="Arial" w:hAnsi="Arial" w:cs="Arial"/>
          <w:b/>
          <w:szCs w:val="24"/>
        </w:rPr>
        <w:t xml:space="preserve">Figure </w:t>
      </w:r>
      <w:r w:rsidRPr="009B40B8">
        <w:rPr>
          <w:rFonts w:ascii="Arial" w:hAnsi="Arial" w:cs="Arial"/>
          <w:b/>
          <w:szCs w:val="24"/>
        </w:rPr>
        <w:t>3</w:t>
      </w:r>
      <w:r w:rsidRPr="009B40B8">
        <w:rPr>
          <w:rFonts w:ascii="Arial" w:hAnsi="Arial" w:cs="Arial"/>
          <w:b/>
          <w:noProof/>
          <w:szCs w:val="24"/>
        </w:rPr>
        <w:t>.</w:t>
      </w:r>
      <w:r>
        <w:rPr>
          <w:rFonts w:ascii="Arial" w:hAnsi="Arial" w:cs="Arial"/>
          <w:b/>
          <w:szCs w:val="24"/>
        </w:rPr>
        <w:t xml:space="preserve"> Proportion of MA Poison Control Calls due to Marijuana, Youth Age 0-17, 3-Year Moving A</w:t>
      </w:r>
      <w:r w:rsidRPr="009B40B8">
        <w:rPr>
          <w:rFonts w:ascii="Arial" w:hAnsi="Arial" w:cs="Arial"/>
          <w:b/>
          <w:szCs w:val="24"/>
        </w:rPr>
        <w:t>verage, and 2004-2016</w:t>
      </w:r>
    </w:p>
    <w:p w:rsidR="007C23AA" w:rsidRDefault="007C23AA" w:rsidP="006057BE">
      <w:pPr>
        <w:pStyle w:val="Caption"/>
        <w:spacing w:after="0"/>
        <w:rPr>
          <w:rFonts w:ascii="Arial" w:hAnsi="Arial" w:cs="Arial"/>
          <w:b/>
          <w:szCs w:val="24"/>
        </w:rPr>
      </w:pPr>
      <w:r w:rsidRPr="00976026">
        <w:rPr>
          <w:rFonts w:ascii="Arial" w:hAnsi="Arial" w:cs="Arial"/>
          <w:b/>
          <w:szCs w:val="24"/>
        </w:rPr>
        <w:t xml:space="preserve"> </w:t>
      </w:r>
    </w:p>
    <w:p w:rsidR="007C23AA" w:rsidRDefault="00484177" w:rsidP="006057BE">
      <w:pPr>
        <w:pStyle w:val="Caption"/>
        <w:spacing w:after="0"/>
        <w:rPr>
          <w:rFonts w:ascii="Arial" w:hAnsi="Arial" w:cs="Arial"/>
          <w:b/>
          <w:szCs w:val="24"/>
        </w:rPr>
      </w:pPr>
      <w:r>
        <w:rPr>
          <w:rFonts w:ascii="Arial" w:hAnsi="Arial" w:cs="Arial"/>
          <w:b/>
          <w:noProof/>
          <w:szCs w:val="24"/>
        </w:rPr>
        <w:drawing>
          <wp:inline distT="0" distB="0" distL="0" distR="0" wp14:anchorId="78732A50" wp14:editId="752B396B">
            <wp:extent cx="5767070" cy="2828925"/>
            <wp:effectExtent l="0" t="0" r="5080" b="9525"/>
            <wp:docPr id="32" name="Picture 32" descr="The figure is similar to the previous one; however, it depicts data for adult age 18 and older. The graph compares age groups 18 to 24, 25 to 39, 40 to 69, and 70 and older." title="PCC Calls for Adults 18 Years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7070" cy="2828925"/>
                    </a:xfrm>
                    <a:prstGeom prst="rect">
                      <a:avLst/>
                    </a:prstGeom>
                    <a:noFill/>
                  </pic:spPr>
                </pic:pic>
              </a:graphicData>
            </a:graphic>
          </wp:inline>
        </w:drawing>
      </w:r>
    </w:p>
    <w:p w:rsidR="007C23AA" w:rsidRDefault="007C23AA" w:rsidP="006057BE">
      <w:pPr>
        <w:pStyle w:val="Caption"/>
        <w:spacing w:after="0"/>
        <w:rPr>
          <w:rFonts w:ascii="Arial" w:hAnsi="Arial" w:cs="Arial"/>
          <w:b/>
          <w:szCs w:val="24"/>
        </w:rPr>
      </w:pPr>
    </w:p>
    <w:p w:rsidR="00026674" w:rsidRDefault="007C23AA" w:rsidP="00026674">
      <w:pPr>
        <w:pStyle w:val="Caption"/>
        <w:spacing w:after="0"/>
        <w:rPr>
          <w:rFonts w:ascii="Arial" w:hAnsi="Arial" w:cs="Arial"/>
          <w:b/>
          <w:szCs w:val="24"/>
        </w:rPr>
      </w:pPr>
      <w:r>
        <w:rPr>
          <w:rFonts w:ascii="Arial" w:hAnsi="Arial" w:cs="Arial"/>
          <w:b/>
          <w:szCs w:val="24"/>
        </w:rPr>
        <w:t>Figure 4. Proportion of MA Poison Control Calls Related to Marijuana Exposure, Adults 18+ Years, 3-Year Moving A</w:t>
      </w:r>
      <w:r w:rsidRPr="0071276C">
        <w:rPr>
          <w:rFonts w:ascii="Arial" w:hAnsi="Arial" w:cs="Arial"/>
          <w:b/>
          <w:szCs w:val="24"/>
        </w:rPr>
        <w:t>verage, 2004-2016</w:t>
      </w:r>
    </w:p>
    <w:p w:rsidR="00026674" w:rsidRPr="00026674" w:rsidRDefault="00026674" w:rsidP="00026674">
      <w:pPr>
        <w:spacing w:after="0" w:line="240" w:lineRule="auto"/>
      </w:pPr>
    </w:p>
    <w:p w:rsidR="00EA0AC1" w:rsidRDefault="00EA0AC1" w:rsidP="00026674">
      <w:pPr>
        <w:pStyle w:val="Caption"/>
        <w:spacing w:after="0"/>
        <w:rPr>
          <w:rFonts w:ascii="Arial" w:hAnsi="Arial" w:cs="Arial"/>
          <w:b/>
          <w:szCs w:val="24"/>
        </w:rPr>
      </w:pPr>
    </w:p>
    <w:p w:rsidR="00D31875" w:rsidRPr="00D31875" w:rsidRDefault="00D31875" w:rsidP="00D31875"/>
    <w:p w:rsidR="00EA0AC1" w:rsidRDefault="00EA0AC1" w:rsidP="00026674">
      <w:pPr>
        <w:pStyle w:val="Caption"/>
        <w:spacing w:after="0"/>
        <w:rPr>
          <w:rFonts w:ascii="Arial" w:hAnsi="Arial" w:cs="Arial"/>
          <w:b/>
          <w:szCs w:val="24"/>
        </w:rPr>
      </w:pPr>
    </w:p>
    <w:p w:rsidR="00EA0AC1" w:rsidRDefault="00EA0AC1" w:rsidP="00026674">
      <w:pPr>
        <w:pStyle w:val="Caption"/>
        <w:spacing w:after="0"/>
        <w:rPr>
          <w:rFonts w:ascii="Arial" w:hAnsi="Arial" w:cs="Arial"/>
          <w:b/>
          <w:szCs w:val="24"/>
        </w:rPr>
      </w:pPr>
    </w:p>
    <w:p w:rsidR="007C23AA" w:rsidRDefault="007C23AA" w:rsidP="00026674">
      <w:pPr>
        <w:pStyle w:val="Caption"/>
        <w:spacing w:after="0"/>
        <w:rPr>
          <w:rFonts w:ascii="Arial" w:hAnsi="Arial" w:cs="Arial"/>
          <w:b/>
          <w:szCs w:val="24"/>
        </w:rPr>
      </w:pPr>
      <w:r w:rsidRPr="009C44E6">
        <w:rPr>
          <w:rFonts w:ascii="Arial" w:hAnsi="Arial" w:cs="Arial"/>
          <w:b/>
          <w:szCs w:val="24"/>
        </w:rPr>
        <w:t>Table 2</w:t>
      </w:r>
      <w:r w:rsidRPr="009C44E6">
        <w:rPr>
          <w:rFonts w:ascii="Arial" w:hAnsi="Arial" w:cs="Arial"/>
          <w:b/>
          <w:noProof/>
          <w:szCs w:val="24"/>
        </w:rPr>
        <w:t>.</w:t>
      </w:r>
      <w:r w:rsidRPr="009C44E6">
        <w:rPr>
          <w:rFonts w:ascii="Arial" w:hAnsi="Arial" w:cs="Arial"/>
          <w:b/>
          <w:szCs w:val="24"/>
        </w:rPr>
        <w:t xml:space="preserve"> </w:t>
      </w:r>
      <w:r>
        <w:rPr>
          <w:rFonts w:ascii="Arial" w:hAnsi="Arial" w:cs="Arial"/>
          <w:b/>
          <w:szCs w:val="24"/>
        </w:rPr>
        <w:t>Demographics and Medical O</w:t>
      </w:r>
      <w:r w:rsidRPr="004E4117">
        <w:rPr>
          <w:rFonts w:ascii="Arial" w:hAnsi="Arial" w:cs="Arial"/>
          <w:b/>
          <w:szCs w:val="24"/>
        </w:rPr>
        <w:t>utcomes of</w:t>
      </w:r>
      <w:r>
        <w:rPr>
          <w:rFonts w:ascii="Arial" w:hAnsi="Arial" w:cs="Arial"/>
          <w:b/>
          <w:szCs w:val="24"/>
        </w:rPr>
        <w:t xml:space="preserve"> Cannabis-Involved E</w:t>
      </w:r>
      <w:r w:rsidRPr="004E4117">
        <w:rPr>
          <w:rFonts w:ascii="Arial" w:hAnsi="Arial" w:cs="Arial"/>
          <w:b/>
          <w:szCs w:val="24"/>
        </w:rPr>
        <w:t>xposure</w:t>
      </w:r>
      <w:r>
        <w:rPr>
          <w:rFonts w:ascii="Arial" w:hAnsi="Arial" w:cs="Arial"/>
          <w:b/>
          <w:szCs w:val="24"/>
        </w:rPr>
        <w:t xml:space="preserve"> C</w:t>
      </w:r>
      <w:r w:rsidRPr="004E4117">
        <w:rPr>
          <w:rFonts w:ascii="Arial" w:hAnsi="Arial" w:cs="Arial"/>
          <w:b/>
          <w:szCs w:val="24"/>
        </w:rPr>
        <w:t>alls to the Poison Control Center, Massachusetts, 2007-2016</w:t>
      </w:r>
      <w:r w:rsidRPr="009C44E6">
        <w:rPr>
          <w:rFonts w:ascii="Arial" w:hAnsi="Arial" w:cs="Arial"/>
          <w:b/>
          <w:szCs w:val="24"/>
        </w:rPr>
        <w:t xml:space="preserve"> </w:t>
      </w:r>
    </w:p>
    <w:p w:rsidR="007C23AA" w:rsidRPr="007C23AA" w:rsidRDefault="007C23AA" w:rsidP="006057BE">
      <w:pPr>
        <w:spacing w:after="0" w:line="240" w:lineRule="auto"/>
      </w:pPr>
    </w:p>
    <w:tbl>
      <w:tblPr>
        <w:tblpPr w:leftFromText="180" w:rightFromText="180" w:vertAnchor="page" w:horzAnchor="margin" w:tblpY="2266"/>
        <w:tblW w:w="9576" w:type="dxa"/>
        <w:tblLook w:val="04A0" w:firstRow="1" w:lastRow="0" w:firstColumn="1" w:lastColumn="0" w:noHBand="0" w:noVBand="1"/>
        <w:tblCaption w:val="Demographics and Medical Outcomes of Cannabis-Involved Exposure Calls to the Poison Control Center, Massachusetts, 2007-2016 "/>
      </w:tblPr>
      <w:tblGrid>
        <w:gridCol w:w="638"/>
        <w:gridCol w:w="98"/>
        <w:gridCol w:w="3403"/>
        <w:gridCol w:w="1549"/>
        <w:gridCol w:w="1147"/>
        <w:gridCol w:w="283"/>
        <w:gridCol w:w="1099"/>
        <w:gridCol w:w="914"/>
        <w:gridCol w:w="438"/>
        <w:gridCol w:w="7"/>
      </w:tblGrid>
      <w:tr w:rsidR="00D31875" w:rsidRPr="009C44E6" w:rsidTr="00D31875">
        <w:trPr>
          <w:trHeight w:val="300"/>
        </w:trPr>
        <w:tc>
          <w:tcPr>
            <w:tcW w:w="73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bookmarkStart w:id="591" w:name="_Ref510387843"/>
          </w:p>
        </w:tc>
        <w:tc>
          <w:tcPr>
            <w:tcW w:w="3403" w:type="dxa"/>
            <w:tcBorders>
              <w:top w:val="single" w:sz="4" w:space="0" w:color="auto"/>
              <w:left w:val="nil"/>
              <w:bottom w:val="single" w:sz="4" w:space="0" w:color="auto"/>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 </w:t>
            </w:r>
          </w:p>
        </w:tc>
        <w:tc>
          <w:tcPr>
            <w:tcW w:w="1549" w:type="dxa"/>
            <w:tcBorders>
              <w:top w:val="single" w:sz="4" w:space="0" w:color="auto"/>
              <w:left w:val="nil"/>
              <w:bottom w:val="single" w:sz="4" w:space="0" w:color="auto"/>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b/>
                <w:bCs/>
                <w:sz w:val="20"/>
                <w:szCs w:val="20"/>
              </w:rPr>
            </w:pPr>
            <w:r w:rsidRPr="00C3368F">
              <w:rPr>
                <w:rFonts w:ascii="Arial" w:eastAsia="Times New Roman" w:hAnsi="Arial" w:cs="Arial"/>
                <w:b/>
                <w:bCs/>
                <w:sz w:val="20"/>
                <w:szCs w:val="20"/>
              </w:rPr>
              <w:t>Frequency</w:t>
            </w:r>
          </w:p>
        </w:tc>
        <w:tc>
          <w:tcPr>
            <w:tcW w:w="1147" w:type="dxa"/>
            <w:tcBorders>
              <w:top w:val="single" w:sz="4" w:space="0" w:color="auto"/>
              <w:left w:val="nil"/>
              <w:bottom w:val="single" w:sz="4" w:space="0" w:color="auto"/>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b/>
                <w:bCs/>
                <w:sz w:val="20"/>
                <w:szCs w:val="20"/>
              </w:rPr>
            </w:pPr>
            <w:r w:rsidRPr="00C3368F">
              <w:rPr>
                <w:rFonts w:ascii="Arial" w:eastAsia="Times New Roman" w:hAnsi="Arial" w:cs="Arial"/>
                <w:b/>
                <w:bCs/>
                <w:sz w:val="20"/>
                <w:szCs w:val="20"/>
              </w:rPr>
              <w:t>Percent</w:t>
            </w:r>
          </w:p>
        </w:tc>
        <w:tc>
          <w:tcPr>
            <w:tcW w:w="283" w:type="dxa"/>
            <w:tcBorders>
              <w:top w:val="single" w:sz="4" w:space="0" w:color="auto"/>
              <w:left w:val="nil"/>
              <w:bottom w:val="single" w:sz="4" w:space="0" w:color="auto"/>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 </w:t>
            </w:r>
          </w:p>
        </w:tc>
        <w:tc>
          <w:tcPr>
            <w:tcW w:w="1099" w:type="dxa"/>
            <w:tcBorders>
              <w:top w:val="single" w:sz="4" w:space="0" w:color="auto"/>
              <w:left w:val="nil"/>
              <w:bottom w:val="single" w:sz="4" w:space="0" w:color="auto"/>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 </w:t>
            </w:r>
          </w:p>
        </w:tc>
        <w:tc>
          <w:tcPr>
            <w:tcW w:w="914" w:type="dxa"/>
            <w:tcBorders>
              <w:top w:val="single" w:sz="4" w:space="0" w:color="auto"/>
              <w:left w:val="nil"/>
              <w:bottom w:val="single" w:sz="4" w:space="0" w:color="auto"/>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 </w:t>
            </w:r>
          </w:p>
        </w:tc>
        <w:tc>
          <w:tcPr>
            <w:tcW w:w="445" w:type="dxa"/>
            <w:gridSpan w:val="2"/>
            <w:tcBorders>
              <w:top w:val="single" w:sz="4" w:space="0" w:color="auto"/>
              <w:left w:val="nil"/>
              <w:bottom w:val="single" w:sz="4" w:space="0" w:color="auto"/>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736" w:type="dxa"/>
            <w:gridSpan w:val="2"/>
            <w:tcBorders>
              <w:top w:val="single" w:sz="4" w:space="0" w:color="auto"/>
              <w:left w:val="single" w:sz="4" w:space="0" w:color="auto"/>
              <w:right w:val="nil"/>
            </w:tcBorders>
            <w:shd w:val="clear" w:color="auto" w:fill="auto"/>
            <w:noWrap/>
            <w:vAlign w:val="center"/>
            <w:hideMark/>
          </w:tcPr>
          <w:p w:rsidR="00D31875" w:rsidRPr="009C44E6" w:rsidRDefault="00D31875" w:rsidP="00D31875">
            <w:pPr>
              <w:spacing w:after="0" w:line="240" w:lineRule="auto"/>
              <w:rPr>
                <w:rFonts w:ascii="Arial" w:eastAsia="Times New Roman" w:hAnsi="Arial" w:cs="Arial"/>
                <w:b/>
                <w:bCs/>
                <w:szCs w:val="24"/>
              </w:rPr>
            </w:pPr>
            <w:r w:rsidRPr="009C44E6">
              <w:rPr>
                <w:rFonts w:ascii="Arial" w:eastAsia="Times New Roman" w:hAnsi="Arial" w:cs="Arial"/>
                <w:b/>
                <w:bCs/>
                <w:szCs w:val="24"/>
              </w:rPr>
              <w:t>Sex</w:t>
            </w:r>
          </w:p>
        </w:tc>
        <w:tc>
          <w:tcPr>
            <w:tcW w:w="3403" w:type="dxa"/>
            <w:tcBorders>
              <w:top w:val="single" w:sz="4" w:space="0" w:color="auto"/>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b/>
                <w:bCs/>
                <w:sz w:val="20"/>
                <w:szCs w:val="20"/>
              </w:rPr>
            </w:pPr>
          </w:p>
        </w:tc>
        <w:tc>
          <w:tcPr>
            <w:tcW w:w="1549" w:type="dxa"/>
            <w:tcBorders>
              <w:top w:val="single" w:sz="4" w:space="0" w:color="auto"/>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1147" w:type="dxa"/>
            <w:tcBorders>
              <w:top w:val="single" w:sz="4" w:space="0" w:color="auto"/>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283" w:type="dxa"/>
            <w:tcBorders>
              <w:top w:val="single" w:sz="4" w:space="0" w:color="auto"/>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1099" w:type="dxa"/>
            <w:tcBorders>
              <w:top w:val="single" w:sz="4" w:space="0" w:color="auto"/>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single" w:sz="4" w:space="0" w:color="auto"/>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single" w:sz="4" w:space="0" w:color="auto"/>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736" w:type="dxa"/>
            <w:gridSpan w:val="2"/>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403"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Female</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253</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39.47</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736" w:type="dxa"/>
            <w:gridSpan w:val="2"/>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403"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Male</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388</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60.53</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736" w:type="dxa"/>
            <w:gridSpan w:val="2"/>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403"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Total</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641</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100</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4139" w:type="dxa"/>
            <w:gridSpan w:val="3"/>
            <w:tcBorders>
              <w:top w:val="nil"/>
              <w:left w:val="single" w:sz="4" w:space="0" w:color="auto"/>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b/>
                <w:bCs/>
                <w:sz w:val="20"/>
                <w:szCs w:val="20"/>
              </w:rPr>
            </w:pPr>
            <w:r w:rsidRPr="00C3368F">
              <w:rPr>
                <w:rFonts w:ascii="Arial" w:eastAsia="Times New Roman" w:hAnsi="Arial" w:cs="Arial"/>
                <w:b/>
                <w:bCs/>
                <w:sz w:val="20"/>
                <w:szCs w:val="20"/>
              </w:rPr>
              <w:t>Age</w:t>
            </w:r>
          </w:p>
        </w:tc>
        <w:tc>
          <w:tcPr>
            <w:tcW w:w="1549"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b/>
                <w:bCs/>
                <w:sz w:val="20"/>
                <w:szCs w:val="20"/>
              </w:rPr>
            </w:pPr>
          </w:p>
        </w:tc>
        <w:tc>
          <w:tcPr>
            <w:tcW w:w="1147"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638" w:type="dxa"/>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501" w:type="dxa"/>
            <w:gridSpan w:val="2"/>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 xml:space="preserve">0-9 years </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27</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4.21</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638" w:type="dxa"/>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501" w:type="dxa"/>
            <w:gridSpan w:val="2"/>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10-19 years</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257</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40.09</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638" w:type="dxa"/>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501" w:type="dxa"/>
            <w:gridSpan w:val="2"/>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20-24</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121</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18.88</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638" w:type="dxa"/>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501" w:type="dxa"/>
            <w:gridSpan w:val="2"/>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 xml:space="preserve">25-29  </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50</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7.8</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638" w:type="dxa"/>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501" w:type="dxa"/>
            <w:gridSpan w:val="2"/>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30’s</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79</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12.32</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638" w:type="dxa"/>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501" w:type="dxa"/>
            <w:gridSpan w:val="2"/>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 xml:space="preserve">40’s  </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53</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8.27</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638" w:type="dxa"/>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501" w:type="dxa"/>
            <w:gridSpan w:val="2"/>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50’s</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22</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3.43</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638" w:type="dxa"/>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501" w:type="dxa"/>
            <w:gridSpan w:val="2"/>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 xml:space="preserve">60’s   </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6</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0.94</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638" w:type="dxa"/>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501" w:type="dxa"/>
            <w:gridSpan w:val="2"/>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70’s+</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3</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0.47</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638" w:type="dxa"/>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501" w:type="dxa"/>
            <w:gridSpan w:val="2"/>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Unknown</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23</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3.59</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638" w:type="dxa"/>
            <w:tcBorders>
              <w:top w:val="nil"/>
              <w:left w:val="single" w:sz="4" w:space="0" w:color="auto"/>
              <w:bottom w:val="nil"/>
              <w:right w:val="nil"/>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3501" w:type="dxa"/>
            <w:gridSpan w:val="2"/>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Total</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641</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100</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gridAfter w:val="1"/>
          <w:wAfter w:w="7" w:type="dxa"/>
          <w:trHeight w:val="375"/>
        </w:trPr>
        <w:tc>
          <w:tcPr>
            <w:tcW w:w="4139" w:type="dxa"/>
            <w:gridSpan w:val="3"/>
            <w:tcBorders>
              <w:top w:val="nil"/>
              <w:left w:val="single" w:sz="4" w:space="0" w:color="auto"/>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b/>
                <w:bCs/>
                <w:sz w:val="20"/>
                <w:szCs w:val="20"/>
              </w:rPr>
            </w:pPr>
            <w:r w:rsidRPr="00C3368F">
              <w:rPr>
                <w:rFonts w:ascii="Arial" w:eastAsia="Times New Roman" w:hAnsi="Arial" w:cs="Arial"/>
                <w:b/>
                <w:bCs/>
                <w:sz w:val="20"/>
                <w:szCs w:val="20"/>
              </w:rPr>
              <w:t>Medical Outcome</w:t>
            </w:r>
          </w:p>
        </w:tc>
        <w:tc>
          <w:tcPr>
            <w:tcW w:w="1549"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b/>
                <w:bCs/>
                <w:sz w:val="20"/>
                <w:szCs w:val="20"/>
              </w:rPr>
            </w:pPr>
          </w:p>
        </w:tc>
        <w:tc>
          <w:tcPr>
            <w:tcW w:w="1147"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2451" w:type="dxa"/>
            <w:gridSpan w:val="3"/>
            <w:tcBorders>
              <w:top w:val="nil"/>
              <w:left w:val="nil"/>
              <w:bottom w:val="nil"/>
              <w:right w:val="single" w:sz="4" w:space="0" w:color="auto"/>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b/>
                <w:bCs/>
                <w:sz w:val="20"/>
                <w:szCs w:val="20"/>
              </w:rPr>
            </w:pPr>
            <w:r w:rsidRPr="00C3368F">
              <w:rPr>
                <w:rFonts w:ascii="Arial" w:eastAsia="Times New Roman" w:hAnsi="Arial" w:cs="Arial"/>
                <w:b/>
                <w:bCs/>
                <w:sz w:val="20"/>
                <w:szCs w:val="20"/>
              </w:rPr>
              <w:t xml:space="preserve"> No. Calls with One Code</w:t>
            </w:r>
            <w:r w:rsidRPr="00C3368F">
              <w:rPr>
                <w:rFonts w:ascii="Arial" w:eastAsia="Times New Roman" w:hAnsi="Arial" w:cs="Arial"/>
                <w:b/>
                <w:bCs/>
                <w:sz w:val="20"/>
                <w:szCs w:val="20"/>
                <w:vertAlign w:val="superscript"/>
              </w:rPr>
              <w:t>ŧ</w:t>
            </w:r>
          </w:p>
        </w:tc>
      </w:tr>
      <w:tr w:rsidR="00D31875" w:rsidRPr="009C44E6" w:rsidTr="00D31875">
        <w:trPr>
          <w:trHeight w:val="300"/>
        </w:trPr>
        <w:tc>
          <w:tcPr>
            <w:tcW w:w="4139" w:type="dxa"/>
            <w:gridSpan w:val="3"/>
            <w:tcBorders>
              <w:top w:val="nil"/>
              <w:left w:val="single" w:sz="4" w:space="0" w:color="auto"/>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Death</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3</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0.47</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0 (0%)</w:t>
            </w: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4139" w:type="dxa"/>
            <w:gridSpan w:val="3"/>
            <w:tcBorders>
              <w:top w:val="nil"/>
              <w:left w:val="single" w:sz="4" w:space="0" w:color="auto"/>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major effect</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56</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8.74</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3 (5.4%)</w:t>
            </w: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4139" w:type="dxa"/>
            <w:gridSpan w:val="3"/>
            <w:tcBorders>
              <w:top w:val="nil"/>
              <w:left w:val="single" w:sz="4" w:space="0" w:color="auto"/>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minor effect</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143</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22.31</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31 (22%)</w:t>
            </w: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4139" w:type="dxa"/>
            <w:gridSpan w:val="3"/>
            <w:tcBorders>
              <w:top w:val="nil"/>
              <w:left w:val="single" w:sz="4" w:space="0" w:color="auto"/>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moderate effect</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277</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43.21</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53 (19%)</w:t>
            </w: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4139" w:type="dxa"/>
            <w:gridSpan w:val="3"/>
            <w:tcBorders>
              <w:top w:val="nil"/>
              <w:left w:val="single" w:sz="4" w:space="0" w:color="auto"/>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no effect</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36</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5.62</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9 (25%)</w:t>
            </w: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4139" w:type="dxa"/>
            <w:gridSpan w:val="3"/>
            <w:tcBorders>
              <w:top w:val="nil"/>
              <w:left w:val="single" w:sz="4" w:space="0" w:color="auto"/>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not followed, minimal effects possible</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29</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4.52</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14 (48%)</w:t>
            </w: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4139" w:type="dxa"/>
            <w:gridSpan w:val="3"/>
            <w:tcBorders>
              <w:top w:val="nil"/>
              <w:left w:val="single" w:sz="4" w:space="0" w:color="auto"/>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not followed, non-toxic</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4</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0.62</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4 (100%)</w:t>
            </w: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4139" w:type="dxa"/>
            <w:gridSpan w:val="3"/>
            <w:tcBorders>
              <w:top w:val="nil"/>
              <w:left w:val="single" w:sz="4" w:space="0" w:color="auto"/>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unable to follow, judged potentially toxic</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87</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13.57</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55 (63%)</w:t>
            </w: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4139" w:type="dxa"/>
            <w:gridSpan w:val="3"/>
            <w:tcBorders>
              <w:top w:val="nil"/>
              <w:left w:val="single" w:sz="4" w:space="0" w:color="auto"/>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 xml:space="preserve">unrelated effect, exposure probably </w:t>
            </w:r>
          </w:p>
        </w:tc>
        <w:tc>
          <w:tcPr>
            <w:tcW w:w="1549"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1147"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4139" w:type="dxa"/>
            <w:gridSpan w:val="3"/>
            <w:tcBorders>
              <w:top w:val="nil"/>
              <w:left w:val="single" w:sz="4" w:space="0" w:color="auto"/>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 xml:space="preserve">      not responsible for effects</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6</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0.94</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jc w:val="right"/>
              <w:rPr>
                <w:rFonts w:ascii="Arial" w:eastAsia="Times New Roman" w:hAnsi="Arial" w:cs="Arial"/>
                <w:sz w:val="20"/>
                <w:szCs w:val="20"/>
              </w:rPr>
            </w:pPr>
          </w:p>
        </w:tc>
        <w:tc>
          <w:tcPr>
            <w:tcW w:w="109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3(50%)</w:t>
            </w: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trHeight w:val="300"/>
        </w:trPr>
        <w:tc>
          <w:tcPr>
            <w:tcW w:w="4139" w:type="dxa"/>
            <w:gridSpan w:val="3"/>
            <w:tcBorders>
              <w:top w:val="nil"/>
              <w:left w:val="single" w:sz="4" w:space="0" w:color="auto"/>
              <w:bottom w:val="nil"/>
              <w:right w:val="nil"/>
            </w:tcBorders>
            <w:shd w:val="clear" w:color="auto" w:fill="auto"/>
            <w:noWrap/>
            <w:vAlign w:val="center"/>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Total</w:t>
            </w:r>
          </w:p>
        </w:tc>
        <w:tc>
          <w:tcPr>
            <w:tcW w:w="1549"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641</w:t>
            </w:r>
          </w:p>
        </w:tc>
        <w:tc>
          <w:tcPr>
            <w:tcW w:w="1147" w:type="dxa"/>
            <w:tcBorders>
              <w:top w:val="nil"/>
              <w:left w:val="nil"/>
              <w:bottom w:val="nil"/>
              <w:right w:val="nil"/>
            </w:tcBorders>
            <w:shd w:val="clear" w:color="auto" w:fill="auto"/>
            <w:noWrap/>
            <w:vAlign w:val="center"/>
            <w:hideMark/>
          </w:tcPr>
          <w:p w:rsidR="00D31875" w:rsidRPr="00C3368F" w:rsidRDefault="00D31875" w:rsidP="00D31875">
            <w:pPr>
              <w:spacing w:after="0" w:line="240" w:lineRule="auto"/>
              <w:jc w:val="right"/>
              <w:rPr>
                <w:rFonts w:ascii="Arial" w:eastAsia="Times New Roman" w:hAnsi="Arial" w:cs="Arial"/>
                <w:sz w:val="20"/>
                <w:szCs w:val="20"/>
              </w:rPr>
            </w:pPr>
            <w:r w:rsidRPr="00C3368F">
              <w:rPr>
                <w:rFonts w:ascii="Arial" w:eastAsia="Times New Roman" w:hAnsi="Arial" w:cs="Arial"/>
                <w:sz w:val="20"/>
                <w:szCs w:val="20"/>
              </w:rPr>
              <w:t>100</w:t>
            </w:r>
          </w:p>
        </w:tc>
        <w:tc>
          <w:tcPr>
            <w:tcW w:w="283"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 </w:t>
            </w:r>
          </w:p>
        </w:tc>
        <w:tc>
          <w:tcPr>
            <w:tcW w:w="1099"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p>
        </w:tc>
        <w:tc>
          <w:tcPr>
            <w:tcW w:w="914" w:type="dxa"/>
            <w:tcBorders>
              <w:top w:val="nil"/>
              <w:left w:val="nil"/>
              <w:bottom w:val="nil"/>
              <w:right w:val="nil"/>
            </w:tcBorders>
            <w:shd w:val="clear" w:color="auto" w:fill="auto"/>
            <w:noWrap/>
            <w:vAlign w:val="bottom"/>
            <w:hideMark/>
          </w:tcPr>
          <w:p w:rsidR="00D31875" w:rsidRPr="00C3368F" w:rsidRDefault="00D31875" w:rsidP="00D31875">
            <w:pPr>
              <w:spacing w:after="0" w:line="240" w:lineRule="auto"/>
              <w:rPr>
                <w:rFonts w:ascii="Arial" w:eastAsia="Times New Roman" w:hAnsi="Arial" w:cs="Arial"/>
                <w:sz w:val="20"/>
                <w:szCs w:val="20"/>
              </w:rPr>
            </w:pPr>
            <w:r w:rsidRPr="00C3368F">
              <w:rPr>
                <w:rFonts w:ascii="Arial" w:eastAsia="Times New Roman" w:hAnsi="Arial" w:cs="Arial"/>
                <w:sz w:val="20"/>
                <w:szCs w:val="20"/>
              </w:rPr>
              <w:t> </w:t>
            </w:r>
          </w:p>
        </w:tc>
        <w:tc>
          <w:tcPr>
            <w:tcW w:w="445" w:type="dxa"/>
            <w:gridSpan w:val="2"/>
            <w:tcBorders>
              <w:top w:val="nil"/>
              <w:left w:val="nil"/>
              <w:bottom w:val="nil"/>
              <w:right w:val="single" w:sz="4" w:space="0" w:color="auto"/>
            </w:tcBorders>
            <w:shd w:val="clear" w:color="auto" w:fill="auto"/>
            <w:noWrap/>
            <w:vAlign w:val="bottom"/>
            <w:hideMark/>
          </w:tcPr>
          <w:p w:rsidR="00D31875" w:rsidRPr="009C44E6" w:rsidRDefault="00D31875" w:rsidP="00D31875">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D31875">
        <w:trPr>
          <w:gridAfter w:val="1"/>
          <w:wAfter w:w="7" w:type="dxa"/>
          <w:trHeight w:val="80"/>
        </w:trPr>
        <w:tc>
          <w:tcPr>
            <w:tcW w:w="9569" w:type="dxa"/>
            <w:gridSpan w:val="9"/>
            <w:tcBorders>
              <w:top w:val="nil"/>
              <w:left w:val="single" w:sz="4" w:space="0" w:color="auto"/>
              <w:bottom w:val="single" w:sz="4" w:space="0" w:color="auto"/>
              <w:right w:val="single" w:sz="4" w:space="0" w:color="auto"/>
            </w:tcBorders>
            <w:shd w:val="clear" w:color="auto" w:fill="auto"/>
            <w:noWrap/>
            <w:vAlign w:val="center"/>
          </w:tcPr>
          <w:p w:rsidR="00D31875" w:rsidRPr="00C3368F" w:rsidRDefault="00D31875" w:rsidP="00D31875">
            <w:pPr>
              <w:pStyle w:val="BodyText"/>
              <w:spacing w:line="240" w:lineRule="auto"/>
            </w:pPr>
          </w:p>
        </w:tc>
      </w:tr>
      <w:bookmarkEnd w:id="591"/>
    </w:tbl>
    <w:p w:rsidR="00D31875" w:rsidRPr="00D31875" w:rsidRDefault="00D31875" w:rsidP="006057BE">
      <w:pPr>
        <w:spacing w:after="0" w:line="240" w:lineRule="auto"/>
        <w:rPr>
          <w:rFonts w:ascii="Arial" w:hAnsi="Arial" w:cs="Arial"/>
          <w:szCs w:val="24"/>
        </w:rPr>
      </w:pPr>
    </w:p>
    <w:p w:rsidR="007C23AA" w:rsidRPr="00D31875" w:rsidRDefault="007C23AA" w:rsidP="006057BE">
      <w:pPr>
        <w:spacing w:after="0" w:line="240" w:lineRule="auto"/>
        <w:rPr>
          <w:rFonts w:ascii="Arial" w:hAnsi="Arial" w:cs="Arial"/>
          <w:szCs w:val="24"/>
        </w:rPr>
      </w:pPr>
      <w:r w:rsidRPr="00D31875">
        <w:rPr>
          <w:rFonts w:ascii="Arial" w:hAnsi="Arial" w:cs="Arial"/>
          <w:szCs w:val="24"/>
        </w:rPr>
        <w:t>One substance was a non-synthetic preparation of Marijuana; Proportion in parentheses represents the proportion of all cannabis-involved calls within each medical outcome that were</w:t>
      </w:r>
    </w:p>
    <w:p w:rsidR="007C23AA" w:rsidRPr="00D31875" w:rsidRDefault="007C23AA" w:rsidP="006057BE">
      <w:pPr>
        <w:spacing w:after="0" w:line="240" w:lineRule="auto"/>
        <w:rPr>
          <w:rFonts w:ascii="Arial" w:hAnsi="Arial" w:cs="Arial"/>
          <w:szCs w:val="24"/>
        </w:rPr>
      </w:pPr>
      <w:r w:rsidRPr="00D31875">
        <w:rPr>
          <w:rFonts w:ascii="Arial" w:hAnsi="Arial" w:cs="Arial"/>
          <w:szCs w:val="24"/>
        </w:rPr>
        <w:t>due to only one cannabis code.</w:t>
      </w:r>
    </w:p>
    <w:p w:rsidR="00EA0AC1" w:rsidRDefault="00EA0AC1" w:rsidP="006057BE">
      <w:pPr>
        <w:spacing w:after="0" w:line="240" w:lineRule="auto"/>
        <w:rPr>
          <w:rFonts w:ascii="Arial" w:hAnsi="Arial" w:cs="Arial"/>
          <w:szCs w:val="24"/>
        </w:rPr>
      </w:pPr>
    </w:p>
    <w:p w:rsidR="007C23AA" w:rsidRPr="00D31875" w:rsidRDefault="007C23AA" w:rsidP="006057BE">
      <w:pPr>
        <w:spacing w:after="0" w:line="240" w:lineRule="auto"/>
        <w:rPr>
          <w:rFonts w:ascii="Arial" w:hAnsi="Arial" w:cs="Arial"/>
          <w:sz w:val="24"/>
          <w:szCs w:val="24"/>
        </w:rPr>
      </w:pPr>
      <w:r w:rsidRPr="00D31875">
        <w:rPr>
          <w:rFonts w:ascii="Arial" w:hAnsi="Arial" w:cs="Arial"/>
          <w:sz w:val="24"/>
          <w:szCs w:val="24"/>
        </w:rPr>
        <w:t xml:space="preserve">Table 2 shows the medical outcomes reported by PCC professionals. Not surprisingly, there was a higher proportion of calls involving a death or major effect for calls involving multiple substances (as many as 14 involved) compared to calls involving only one cannabis code. The multi-substance calls included substances that were not marijuana.  </w:t>
      </w:r>
    </w:p>
    <w:p w:rsidR="007C23AA" w:rsidRPr="00D31875" w:rsidRDefault="007C23AA" w:rsidP="006057BE">
      <w:pPr>
        <w:spacing w:after="0" w:line="240" w:lineRule="auto"/>
        <w:rPr>
          <w:rFonts w:ascii="Arial" w:hAnsi="Arial" w:cs="Arial"/>
          <w:sz w:val="24"/>
          <w:szCs w:val="24"/>
        </w:rPr>
      </w:pPr>
      <w:r w:rsidRPr="00D31875">
        <w:rPr>
          <w:rFonts w:ascii="Arial" w:hAnsi="Arial" w:cs="Arial"/>
          <w:sz w:val="24"/>
        </w:rPr>
        <w:t>We examined whether there was an increase in the proportion of PCC calls due to marijuana after medical marijuana was legalized in Massachusetts versus before. Results from chi-squared and Fisher’s exact tests indicated that although the percentages are small, there was a higher proportion of PCC calls due to marijuana exposure in 2013-2016 compared to 2007-2012 for children age 0-5 years (p=0.001), children 6-9 years (p=0.017) and youth age 10-20 (p=0.001). See Table 3.</w:t>
      </w:r>
    </w:p>
    <w:p w:rsidR="007C23AA" w:rsidRPr="00D31875" w:rsidRDefault="007C23AA" w:rsidP="006057BE">
      <w:pPr>
        <w:pStyle w:val="BodyText"/>
        <w:spacing w:line="240" w:lineRule="auto"/>
        <w:rPr>
          <w:rFonts w:cs="Arial"/>
          <w:sz w:val="24"/>
        </w:rPr>
      </w:pPr>
    </w:p>
    <w:p w:rsidR="007C23AA" w:rsidRPr="00D31875" w:rsidRDefault="007C23AA" w:rsidP="006057BE">
      <w:pPr>
        <w:pStyle w:val="BodyText"/>
        <w:spacing w:line="240" w:lineRule="auto"/>
        <w:rPr>
          <w:rFonts w:cs="Arial"/>
          <w:sz w:val="24"/>
        </w:rPr>
      </w:pPr>
      <w:r w:rsidRPr="00D31875">
        <w:rPr>
          <w:rFonts w:cs="Arial"/>
          <w:sz w:val="24"/>
        </w:rPr>
        <w:t>When examining the different marijuana product codes involved in calls to the PCC, we found that over time and across age groups, most calls involved dried marijuana plant. The next most common preparation involved was edible preparations, more frequently seen after 2012 (Figures 5-7).</w:t>
      </w:r>
    </w:p>
    <w:p w:rsidR="007C23AA" w:rsidRPr="00D31875" w:rsidRDefault="007C23AA" w:rsidP="006057BE">
      <w:pPr>
        <w:pStyle w:val="BodyText"/>
        <w:spacing w:line="240" w:lineRule="auto"/>
        <w:rPr>
          <w:rFonts w:cs="Arial"/>
          <w:sz w:val="24"/>
        </w:rPr>
      </w:pPr>
    </w:p>
    <w:p w:rsidR="007C23AA" w:rsidRPr="00D31875" w:rsidRDefault="007C23AA" w:rsidP="006057BE">
      <w:pPr>
        <w:pStyle w:val="BodyText"/>
        <w:spacing w:line="240" w:lineRule="auto"/>
        <w:rPr>
          <w:rFonts w:cs="Arial"/>
          <w:sz w:val="24"/>
        </w:rPr>
      </w:pPr>
    </w:p>
    <w:p w:rsidR="007C23AA" w:rsidRPr="007C23AA" w:rsidRDefault="007C23AA" w:rsidP="006057BE">
      <w:pPr>
        <w:pStyle w:val="BodyText"/>
        <w:spacing w:line="240" w:lineRule="auto"/>
        <w:rPr>
          <w:b/>
        </w:rPr>
        <w:sectPr w:rsidR="007C23AA" w:rsidRPr="007C23AA" w:rsidSect="00465399">
          <w:pgSz w:w="12240" w:h="15840"/>
          <w:pgMar w:top="1440" w:right="1440" w:bottom="1440" w:left="1440" w:header="720" w:footer="720" w:gutter="0"/>
          <w:cols w:space="720"/>
          <w:docGrid w:linePitch="360"/>
        </w:sectPr>
      </w:pPr>
    </w:p>
    <w:p w:rsidR="007C23AA" w:rsidRPr="00D31875" w:rsidRDefault="007C23AA" w:rsidP="006057BE">
      <w:pPr>
        <w:pStyle w:val="BodyText"/>
        <w:spacing w:line="240" w:lineRule="auto"/>
        <w:rPr>
          <w:b/>
          <w:sz w:val="24"/>
        </w:rPr>
      </w:pPr>
      <w:r w:rsidRPr="00D31875">
        <w:rPr>
          <w:b/>
          <w:sz w:val="24"/>
        </w:rPr>
        <w:t>Table 3. Differences in Proportions of Marijuana-Related Poison Control Center Calls, Pre- versus Post-2012</w:t>
      </w:r>
    </w:p>
    <w:tbl>
      <w:tblPr>
        <w:tblpPr w:leftFromText="180" w:rightFromText="180" w:vertAnchor="text" w:horzAnchor="margin" w:tblpXSpec="center" w:tblpY="329"/>
        <w:tblW w:w="9090" w:type="dxa"/>
        <w:tblLook w:val="04A0" w:firstRow="1" w:lastRow="0" w:firstColumn="1" w:lastColumn="0" w:noHBand="0" w:noVBand="1"/>
        <w:tblCaption w:val="Differences in Proportions of Marijuana-Related Poison Control Center Calls, Pre- versus Post-2012"/>
      </w:tblPr>
      <w:tblGrid>
        <w:gridCol w:w="952"/>
        <w:gridCol w:w="2121"/>
        <w:gridCol w:w="977"/>
        <w:gridCol w:w="1091"/>
        <w:gridCol w:w="992"/>
        <w:gridCol w:w="1012"/>
        <w:gridCol w:w="1012"/>
        <w:gridCol w:w="990"/>
      </w:tblGrid>
      <w:tr w:rsidR="007C23AA" w:rsidRPr="009C44E6" w:rsidTr="007C23AA">
        <w:trPr>
          <w:trHeight w:val="260"/>
        </w:trPr>
        <w:tc>
          <w:tcPr>
            <w:tcW w:w="3073" w:type="dxa"/>
            <w:gridSpan w:val="2"/>
            <w:tcBorders>
              <w:top w:val="single" w:sz="4" w:space="0" w:color="auto"/>
              <w:left w:val="single" w:sz="4" w:space="0" w:color="auto"/>
              <w:bottom w:val="single" w:sz="4" w:space="0" w:color="auto"/>
              <w:right w:val="nil"/>
            </w:tcBorders>
            <w:shd w:val="clear" w:color="000000" w:fill="F2F2F2"/>
            <w:noWrap/>
            <w:vAlign w:val="center"/>
            <w:hideMark/>
          </w:tcPr>
          <w:p w:rsidR="007C23AA" w:rsidRPr="009C44E6" w:rsidRDefault="007C23AA" w:rsidP="006057BE">
            <w:pPr>
              <w:spacing w:after="0" w:line="240" w:lineRule="auto"/>
              <w:rPr>
                <w:rFonts w:ascii="Arial" w:eastAsia="Times New Roman" w:hAnsi="Arial" w:cs="Arial"/>
                <w:b/>
                <w:bCs/>
                <w:szCs w:val="24"/>
              </w:rPr>
            </w:pPr>
            <w:bookmarkStart w:id="592" w:name="RANGE!A1"/>
            <w:bookmarkStart w:id="593" w:name="OLE_LINK2" w:colFirst="0" w:colLast="0"/>
            <w:r w:rsidRPr="009C44E6">
              <w:rPr>
                <w:rFonts w:ascii="Arial" w:eastAsia="Courier New" w:hAnsi="Arial" w:cs="Arial"/>
                <w:b/>
                <w:bCs/>
                <w:szCs w:val="24"/>
              </w:rPr>
              <w:t>Ages 0-5</w:t>
            </w:r>
            <w:bookmarkEnd w:id="592"/>
          </w:p>
        </w:tc>
        <w:tc>
          <w:tcPr>
            <w:tcW w:w="977"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1091"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992"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1012"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955"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p>
        </w:tc>
        <w:tc>
          <w:tcPr>
            <w:tcW w:w="990" w:type="dxa"/>
            <w:tcBorders>
              <w:top w:val="single" w:sz="4" w:space="0" w:color="auto"/>
              <w:left w:val="nil"/>
              <w:bottom w:val="single" w:sz="4" w:space="0" w:color="auto"/>
              <w:right w:val="single" w:sz="4" w:space="0" w:color="auto"/>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p>
        </w:tc>
      </w:tr>
      <w:tr w:rsidR="007C23AA" w:rsidRPr="009C44E6" w:rsidTr="007C23AA">
        <w:trPr>
          <w:trHeight w:val="260"/>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p>
        </w:tc>
        <w:tc>
          <w:tcPr>
            <w:tcW w:w="2068" w:type="dxa"/>
            <w:gridSpan w:val="2"/>
            <w:tcBorders>
              <w:top w:val="single" w:sz="4" w:space="0" w:color="auto"/>
              <w:left w:val="nil"/>
              <w:bottom w:val="single" w:sz="4" w:space="0" w:color="auto"/>
              <w:right w:val="nil"/>
            </w:tcBorders>
            <w:shd w:val="clear" w:color="auto" w:fill="auto"/>
            <w:noWrap/>
            <w:vAlign w:val="bottom"/>
            <w:hideMark/>
          </w:tcPr>
          <w:p w:rsidR="007C23AA" w:rsidRPr="009C44E6" w:rsidRDefault="007C23AA" w:rsidP="006057BE">
            <w:pPr>
              <w:spacing w:after="0" w:line="240" w:lineRule="auto"/>
              <w:jc w:val="center"/>
              <w:rPr>
                <w:rFonts w:ascii="Arial" w:eastAsia="Times New Roman" w:hAnsi="Arial" w:cs="Arial"/>
                <w:b/>
                <w:bCs/>
                <w:szCs w:val="24"/>
              </w:rPr>
            </w:pPr>
            <w:r w:rsidRPr="009C44E6">
              <w:rPr>
                <w:rFonts w:ascii="Arial" w:eastAsia="Times New Roman" w:hAnsi="Arial" w:cs="Arial"/>
                <w:b/>
                <w:bCs/>
                <w:szCs w:val="24"/>
              </w:rPr>
              <w:t xml:space="preserve">2007-2012 </w:t>
            </w:r>
          </w:p>
        </w:tc>
        <w:tc>
          <w:tcPr>
            <w:tcW w:w="2004" w:type="dxa"/>
            <w:gridSpan w:val="2"/>
            <w:tcBorders>
              <w:top w:val="single" w:sz="4" w:space="0" w:color="auto"/>
              <w:left w:val="nil"/>
              <w:bottom w:val="single" w:sz="4" w:space="0" w:color="auto"/>
              <w:right w:val="nil"/>
            </w:tcBorders>
            <w:shd w:val="clear" w:color="auto" w:fill="auto"/>
            <w:noWrap/>
            <w:vAlign w:val="bottom"/>
            <w:hideMark/>
          </w:tcPr>
          <w:p w:rsidR="007C23AA" w:rsidRPr="009C44E6" w:rsidRDefault="007C23AA" w:rsidP="006057BE">
            <w:pPr>
              <w:spacing w:after="0" w:line="240" w:lineRule="auto"/>
              <w:jc w:val="center"/>
              <w:rPr>
                <w:rFonts w:ascii="Arial" w:eastAsia="Times New Roman" w:hAnsi="Arial" w:cs="Arial"/>
                <w:b/>
                <w:bCs/>
                <w:szCs w:val="24"/>
              </w:rPr>
            </w:pPr>
            <w:r w:rsidRPr="009C44E6">
              <w:rPr>
                <w:rFonts w:ascii="Arial" w:eastAsia="Times New Roman" w:hAnsi="Arial" w:cs="Arial"/>
                <w:b/>
                <w:bCs/>
                <w:szCs w:val="24"/>
              </w:rPr>
              <w:t xml:space="preserve">   2013-2016</w:t>
            </w:r>
          </w:p>
        </w:tc>
        <w:tc>
          <w:tcPr>
            <w:tcW w:w="955" w:type="dxa"/>
            <w:tcBorders>
              <w:top w:val="nil"/>
              <w:left w:val="nil"/>
              <w:bottom w:val="single" w:sz="4" w:space="0" w:color="auto"/>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b/>
                <w:bCs/>
                <w:szCs w:val="24"/>
              </w:rPr>
            </w:pPr>
            <w:r w:rsidRPr="009C44E6">
              <w:rPr>
                <w:rFonts w:ascii="Arial" w:eastAsia="Times New Roman" w:hAnsi="Arial" w:cs="Arial"/>
                <w:b/>
                <w:bCs/>
                <w:szCs w:val="24"/>
              </w:rPr>
              <w:t xml:space="preserve">total </w:t>
            </w:r>
          </w:p>
        </w:tc>
        <w:tc>
          <w:tcPr>
            <w:tcW w:w="990"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b/>
                <w:bCs/>
                <w:szCs w:val="24"/>
              </w:rPr>
            </w:pPr>
          </w:p>
        </w:tc>
      </w:tr>
      <w:tr w:rsidR="007C23AA" w:rsidRPr="009C44E6" w:rsidTr="007C23AA">
        <w:trPr>
          <w:trHeight w:val="215"/>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p>
        </w:tc>
        <w:tc>
          <w:tcPr>
            <w:tcW w:w="977"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n</w:t>
            </w:r>
          </w:p>
        </w:tc>
        <w:tc>
          <w:tcPr>
            <w:tcW w:w="109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w:t>
            </w:r>
          </w:p>
        </w:tc>
        <w:tc>
          <w:tcPr>
            <w:tcW w:w="99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n</w:t>
            </w:r>
          </w:p>
        </w:tc>
        <w:tc>
          <w:tcPr>
            <w:tcW w:w="101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w:t>
            </w:r>
          </w:p>
        </w:tc>
        <w:tc>
          <w:tcPr>
            <w:tcW w:w="955"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n</w:t>
            </w:r>
          </w:p>
        </w:tc>
        <w:tc>
          <w:tcPr>
            <w:tcW w:w="990" w:type="dxa"/>
            <w:tcBorders>
              <w:top w:val="nil"/>
              <w:left w:val="nil"/>
              <w:bottom w:val="nil"/>
              <w:right w:val="single" w:sz="4" w:space="0" w:color="auto"/>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p-value</w:t>
            </w:r>
          </w:p>
        </w:tc>
      </w:tr>
      <w:tr w:rsidR="007C23AA" w:rsidRPr="009C44E6" w:rsidTr="007C23AA">
        <w:trPr>
          <w:trHeight w:val="198"/>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bookmarkStart w:id="594" w:name="OLE_LINK1" w:colFirst="1" w:colLast="1"/>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Courier New" w:hAnsi="Arial" w:cs="Arial"/>
                <w:szCs w:val="24"/>
              </w:rPr>
              <w:t xml:space="preserve">Marijuana calls </w:t>
            </w:r>
          </w:p>
        </w:tc>
        <w:tc>
          <w:tcPr>
            <w:tcW w:w="977"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7</w:t>
            </w:r>
          </w:p>
        </w:tc>
        <w:tc>
          <w:tcPr>
            <w:tcW w:w="109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0.008</w:t>
            </w:r>
          </w:p>
        </w:tc>
        <w:tc>
          <w:tcPr>
            <w:tcW w:w="99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16</w:t>
            </w:r>
          </w:p>
        </w:tc>
        <w:tc>
          <w:tcPr>
            <w:tcW w:w="101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0.035</w:t>
            </w:r>
          </w:p>
        </w:tc>
        <w:tc>
          <w:tcPr>
            <w:tcW w:w="955"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23</w:t>
            </w:r>
          </w:p>
        </w:tc>
        <w:tc>
          <w:tcPr>
            <w:tcW w:w="990" w:type="dxa"/>
            <w:tcBorders>
              <w:top w:val="nil"/>
              <w:left w:val="nil"/>
              <w:bottom w:val="nil"/>
              <w:right w:val="single" w:sz="4" w:space="0" w:color="auto"/>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0.001</w:t>
            </w:r>
          </w:p>
        </w:tc>
      </w:tr>
      <w:tr w:rsidR="007C23AA" w:rsidRPr="009C44E6" w:rsidTr="007C23AA">
        <w:trPr>
          <w:trHeight w:val="225"/>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Courier New" w:hAnsi="Arial" w:cs="Arial"/>
                <w:szCs w:val="24"/>
              </w:rPr>
              <w:t xml:space="preserve">Non-marijuana calls </w:t>
            </w:r>
          </w:p>
        </w:tc>
        <w:tc>
          <w:tcPr>
            <w:tcW w:w="977"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84,441</w:t>
            </w:r>
          </w:p>
        </w:tc>
        <w:tc>
          <w:tcPr>
            <w:tcW w:w="109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99.992</w:t>
            </w:r>
          </w:p>
        </w:tc>
        <w:tc>
          <w:tcPr>
            <w:tcW w:w="99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46,305</w:t>
            </w:r>
          </w:p>
        </w:tc>
        <w:tc>
          <w:tcPr>
            <w:tcW w:w="101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99.965</w:t>
            </w:r>
          </w:p>
        </w:tc>
        <w:tc>
          <w:tcPr>
            <w:tcW w:w="955"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130,846</w:t>
            </w:r>
          </w:p>
        </w:tc>
        <w:tc>
          <w:tcPr>
            <w:tcW w:w="990" w:type="dxa"/>
            <w:tcBorders>
              <w:top w:val="nil"/>
              <w:left w:val="nil"/>
              <w:bottom w:val="nil"/>
              <w:right w:val="single" w:sz="4" w:space="0" w:color="auto"/>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7C23AA" w:rsidRPr="009C44E6" w:rsidTr="007C23AA">
        <w:trPr>
          <w:trHeight w:val="180"/>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Total calls</w:t>
            </w:r>
          </w:p>
        </w:tc>
        <w:tc>
          <w:tcPr>
            <w:tcW w:w="977"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84,448</w:t>
            </w:r>
          </w:p>
        </w:tc>
        <w:tc>
          <w:tcPr>
            <w:tcW w:w="109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100.000</w:t>
            </w:r>
          </w:p>
        </w:tc>
        <w:tc>
          <w:tcPr>
            <w:tcW w:w="99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46,321</w:t>
            </w:r>
          </w:p>
        </w:tc>
        <w:tc>
          <w:tcPr>
            <w:tcW w:w="101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100.000</w:t>
            </w:r>
          </w:p>
        </w:tc>
        <w:tc>
          <w:tcPr>
            <w:tcW w:w="955"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130869</w:t>
            </w:r>
          </w:p>
        </w:tc>
        <w:tc>
          <w:tcPr>
            <w:tcW w:w="990" w:type="dxa"/>
            <w:tcBorders>
              <w:top w:val="nil"/>
              <w:left w:val="nil"/>
              <w:bottom w:val="nil"/>
              <w:right w:val="single" w:sz="4" w:space="0" w:color="auto"/>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7C23AA" w:rsidRPr="009C44E6" w:rsidTr="007C23AA">
        <w:trPr>
          <w:trHeight w:val="227"/>
        </w:trPr>
        <w:tc>
          <w:tcPr>
            <w:tcW w:w="3073" w:type="dxa"/>
            <w:gridSpan w:val="2"/>
            <w:tcBorders>
              <w:top w:val="single" w:sz="4" w:space="0" w:color="auto"/>
              <w:left w:val="single" w:sz="4" w:space="0" w:color="auto"/>
              <w:bottom w:val="single" w:sz="4" w:space="0" w:color="auto"/>
              <w:right w:val="nil"/>
            </w:tcBorders>
            <w:shd w:val="clear" w:color="000000" w:fill="F2F2F2"/>
            <w:noWrap/>
            <w:vAlign w:val="center"/>
            <w:hideMark/>
          </w:tcPr>
          <w:p w:rsidR="007C23AA" w:rsidRPr="009C44E6" w:rsidRDefault="007C23AA" w:rsidP="006057BE">
            <w:pPr>
              <w:spacing w:after="0" w:line="240" w:lineRule="auto"/>
              <w:rPr>
                <w:rFonts w:ascii="Arial" w:eastAsia="Times New Roman" w:hAnsi="Arial" w:cs="Arial"/>
                <w:b/>
                <w:bCs/>
                <w:szCs w:val="24"/>
              </w:rPr>
            </w:pPr>
            <w:r w:rsidRPr="009C44E6">
              <w:rPr>
                <w:rFonts w:ascii="Arial" w:eastAsia="Courier New" w:hAnsi="Arial" w:cs="Arial"/>
                <w:b/>
                <w:bCs/>
                <w:szCs w:val="24"/>
              </w:rPr>
              <w:t>Ages 6-9</w:t>
            </w:r>
          </w:p>
        </w:tc>
        <w:tc>
          <w:tcPr>
            <w:tcW w:w="977"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1091"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992"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1012"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955"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990" w:type="dxa"/>
            <w:tcBorders>
              <w:top w:val="single" w:sz="4" w:space="0" w:color="auto"/>
              <w:left w:val="nil"/>
              <w:bottom w:val="single" w:sz="4" w:space="0" w:color="auto"/>
              <w:right w:val="single" w:sz="4" w:space="0" w:color="auto"/>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7C23AA" w:rsidRPr="009C44E6" w:rsidTr="007C23AA">
        <w:trPr>
          <w:trHeight w:val="188"/>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p>
        </w:tc>
        <w:tc>
          <w:tcPr>
            <w:tcW w:w="2068" w:type="dxa"/>
            <w:gridSpan w:val="2"/>
            <w:tcBorders>
              <w:top w:val="single" w:sz="4" w:space="0" w:color="auto"/>
              <w:left w:val="nil"/>
              <w:bottom w:val="single" w:sz="4" w:space="0" w:color="auto"/>
              <w:right w:val="nil"/>
            </w:tcBorders>
            <w:shd w:val="clear" w:color="auto" w:fill="auto"/>
            <w:noWrap/>
            <w:vAlign w:val="bottom"/>
            <w:hideMark/>
          </w:tcPr>
          <w:p w:rsidR="007C23AA" w:rsidRPr="009C44E6" w:rsidRDefault="007C23AA" w:rsidP="006057BE">
            <w:pPr>
              <w:spacing w:after="0" w:line="240" w:lineRule="auto"/>
              <w:jc w:val="center"/>
              <w:rPr>
                <w:rFonts w:ascii="Arial" w:eastAsia="Times New Roman" w:hAnsi="Arial" w:cs="Arial"/>
                <w:b/>
                <w:bCs/>
                <w:szCs w:val="24"/>
              </w:rPr>
            </w:pPr>
            <w:r w:rsidRPr="009C44E6">
              <w:rPr>
                <w:rFonts w:ascii="Arial" w:eastAsia="Times New Roman" w:hAnsi="Arial" w:cs="Arial"/>
                <w:b/>
                <w:bCs/>
                <w:szCs w:val="24"/>
              </w:rPr>
              <w:t xml:space="preserve">2007-2012 </w:t>
            </w:r>
          </w:p>
        </w:tc>
        <w:tc>
          <w:tcPr>
            <w:tcW w:w="2004" w:type="dxa"/>
            <w:gridSpan w:val="2"/>
            <w:tcBorders>
              <w:top w:val="single" w:sz="4" w:space="0" w:color="auto"/>
              <w:left w:val="nil"/>
              <w:bottom w:val="single" w:sz="4" w:space="0" w:color="auto"/>
              <w:right w:val="nil"/>
            </w:tcBorders>
            <w:shd w:val="clear" w:color="auto" w:fill="auto"/>
            <w:noWrap/>
            <w:vAlign w:val="bottom"/>
            <w:hideMark/>
          </w:tcPr>
          <w:p w:rsidR="007C23AA" w:rsidRPr="009C44E6" w:rsidRDefault="007C23AA" w:rsidP="006057BE">
            <w:pPr>
              <w:spacing w:after="0" w:line="240" w:lineRule="auto"/>
              <w:jc w:val="center"/>
              <w:rPr>
                <w:rFonts w:ascii="Arial" w:eastAsia="Times New Roman" w:hAnsi="Arial" w:cs="Arial"/>
                <w:b/>
                <w:bCs/>
                <w:szCs w:val="24"/>
              </w:rPr>
            </w:pPr>
            <w:r w:rsidRPr="009C44E6">
              <w:rPr>
                <w:rFonts w:ascii="Arial" w:eastAsia="Times New Roman" w:hAnsi="Arial" w:cs="Arial"/>
                <w:b/>
                <w:bCs/>
                <w:szCs w:val="24"/>
              </w:rPr>
              <w:t xml:space="preserve">   2013-2016</w:t>
            </w:r>
          </w:p>
        </w:tc>
        <w:tc>
          <w:tcPr>
            <w:tcW w:w="955" w:type="dxa"/>
            <w:tcBorders>
              <w:top w:val="nil"/>
              <w:left w:val="nil"/>
              <w:bottom w:val="single" w:sz="4" w:space="0" w:color="auto"/>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b/>
                <w:bCs/>
                <w:szCs w:val="24"/>
              </w:rPr>
            </w:pPr>
            <w:r w:rsidRPr="009C44E6">
              <w:rPr>
                <w:rFonts w:ascii="Arial" w:eastAsia="Times New Roman" w:hAnsi="Arial" w:cs="Arial"/>
                <w:b/>
                <w:bCs/>
                <w:szCs w:val="24"/>
              </w:rPr>
              <w:t>total</w:t>
            </w:r>
          </w:p>
        </w:tc>
        <w:tc>
          <w:tcPr>
            <w:tcW w:w="990"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b/>
                <w:bCs/>
                <w:szCs w:val="24"/>
              </w:rPr>
            </w:pPr>
          </w:p>
        </w:tc>
      </w:tr>
      <w:tr w:rsidR="007C23AA" w:rsidRPr="009C44E6" w:rsidTr="007C23AA">
        <w:trPr>
          <w:trHeight w:val="260"/>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p>
        </w:tc>
        <w:tc>
          <w:tcPr>
            <w:tcW w:w="977"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n</w:t>
            </w:r>
          </w:p>
        </w:tc>
        <w:tc>
          <w:tcPr>
            <w:tcW w:w="109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w:t>
            </w:r>
          </w:p>
        </w:tc>
        <w:tc>
          <w:tcPr>
            <w:tcW w:w="99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n</w:t>
            </w:r>
          </w:p>
        </w:tc>
        <w:tc>
          <w:tcPr>
            <w:tcW w:w="101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w:t>
            </w:r>
          </w:p>
        </w:tc>
        <w:tc>
          <w:tcPr>
            <w:tcW w:w="955"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n</w:t>
            </w:r>
          </w:p>
        </w:tc>
        <w:tc>
          <w:tcPr>
            <w:tcW w:w="990" w:type="dxa"/>
            <w:tcBorders>
              <w:top w:val="nil"/>
              <w:left w:val="nil"/>
              <w:bottom w:val="nil"/>
              <w:right w:val="single" w:sz="4" w:space="0" w:color="auto"/>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p-value</w:t>
            </w:r>
          </w:p>
        </w:tc>
      </w:tr>
      <w:tr w:rsidR="007C23AA" w:rsidRPr="009C44E6" w:rsidTr="007C23AA">
        <w:trPr>
          <w:trHeight w:val="270"/>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Courier New" w:hAnsi="Arial" w:cs="Arial"/>
                <w:szCs w:val="24"/>
              </w:rPr>
              <w:t xml:space="preserve">Marijuana calls </w:t>
            </w:r>
          </w:p>
        </w:tc>
        <w:tc>
          <w:tcPr>
            <w:tcW w:w="977"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0</w:t>
            </w:r>
          </w:p>
        </w:tc>
        <w:tc>
          <w:tcPr>
            <w:tcW w:w="109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0.000</w:t>
            </w:r>
          </w:p>
        </w:tc>
        <w:tc>
          <w:tcPr>
            <w:tcW w:w="99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4</w:t>
            </w:r>
          </w:p>
        </w:tc>
        <w:tc>
          <w:tcPr>
            <w:tcW w:w="101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0.043</w:t>
            </w:r>
          </w:p>
        </w:tc>
        <w:tc>
          <w:tcPr>
            <w:tcW w:w="955"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4</w:t>
            </w:r>
          </w:p>
        </w:tc>
        <w:tc>
          <w:tcPr>
            <w:tcW w:w="990" w:type="dxa"/>
            <w:tcBorders>
              <w:top w:val="nil"/>
              <w:left w:val="nil"/>
              <w:bottom w:val="nil"/>
              <w:right w:val="single" w:sz="4" w:space="0" w:color="auto"/>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0.017</w:t>
            </w:r>
          </w:p>
        </w:tc>
      </w:tr>
      <w:tr w:rsidR="007C23AA" w:rsidRPr="009C44E6" w:rsidTr="007C23AA">
        <w:trPr>
          <w:trHeight w:val="180"/>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Courier New" w:hAnsi="Arial" w:cs="Arial"/>
                <w:szCs w:val="24"/>
              </w:rPr>
              <w:t xml:space="preserve">Non-Marijuana calls    </w:t>
            </w:r>
          </w:p>
        </w:tc>
        <w:tc>
          <w:tcPr>
            <w:tcW w:w="977"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16,431</w:t>
            </w:r>
          </w:p>
        </w:tc>
        <w:tc>
          <w:tcPr>
            <w:tcW w:w="109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100.000</w:t>
            </w:r>
          </w:p>
        </w:tc>
        <w:tc>
          <w:tcPr>
            <w:tcW w:w="99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9,388</w:t>
            </w:r>
          </w:p>
        </w:tc>
        <w:tc>
          <w:tcPr>
            <w:tcW w:w="101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99.957</w:t>
            </w:r>
          </w:p>
        </w:tc>
        <w:tc>
          <w:tcPr>
            <w:tcW w:w="955"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25,919</w:t>
            </w:r>
          </w:p>
        </w:tc>
        <w:tc>
          <w:tcPr>
            <w:tcW w:w="990" w:type="dxa"/>
            <w:tcBorders>
              <w:top w:val="nil"/>
              <w:left w:val="nil"/>
              <w:bottom w:val="nil"/>
              <w:right w:val="single" w:sz="4" w:space="0" w:color="auto"/>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7C23AA" w:rsidRPr="009C44E6" w:rsidTr="007C23AA">
        <w:trPr>
          <w:trHeight w:val="225"/>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Total calls</w:t>
            </w:r>
          </w:p>
        </w:tc>
        <w:tc>
          <w:tcPr>
            <w:tcW w:w="977"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16431</w:t>
            </w:r>
          </w:p>
        </w:tc>
        <w:tc>
          <w:tcPr>
            <w:tcW w:w="109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100.000</w:t>
            </w:r>
          </w:p>
        </w:tc>
        <w:tc>
          <w:tcPr>
            <w:tcW w:w="99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9392</w:t>
            </w:r>
          </w:p>
        </w:tc>
        <w:tc>
          <w:tcPr>
            <w:tcW w:w="101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100.000</w:t>
            </w:r>
          </w:p>
        </w:tc>
        <w:tc>
          <w:tcPr>
            <w:tcW w:w="955"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25923</w:t>
            </w:r>
          </w:p>
        </w:tc>
        <w:tc>
          <w:tcPr>
            <w:tcW w:w="990" w:type="dxa"/>
            <w:tcBorders>
              <w:top w:val="nil"/>
              <w:left w:val="nil"/>
              <w:bottom w:val="nil"/>
              <w:right w:val="single" w:sz="4" w:space="0" w:color="auto"/>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7C23AA" w:rsidRPr="009C44E6" w:rsidTr="007C23AA">
        <w:trPr>
          <w:trHeight w:val="218"/>
        </w:trPr>
        <w:tc>
          <w:tcPr>
            <w:tcW w:w="3073" w:type="dxa"/>
            <w:gridSpan w:val="2"/>
            <w:tcBorders>
              <w:top w:val="single" w:sz="4" w:space="0" w:color="auto"/>
              <w:left w:val="single" w:sz="4" w:space="0" w:color="auto"/>
              <w:bottom w:val="single" w:sz="4" w:space="0" w:color="auto"/>
              <w:right w:val="nil"/>
            </w:tcBorders>
            <w:shd w:val="clear" w:color="000000" w:fill="F2F2F2"/>
            <w:noWrap/>
            <w:vAlign w:val="center"/>
            <w:hideMark/>
          </w:tcPr>
          <w:p w:rsidR="007C23AA" w:rsidRPr="009C44E6" w:rsidRDefault="007C23AA" w:rsidP="006057BE">
            <w:pPr>
              <w:spacing w:after="0" w:line="240" w:lineRule="auto"/>
              <w:rPr>
                <w:rFonts w:ascii="Arial" w:eastAsia="Times New Roman" w:hAnsi="Arial" w:cs="Arial"/>
                <w:b/>
                <w:bCs/>
                <w:szCs w:val="24"/>
              </w:rPr>
            </w:pPr>
            <w:r w:rsidRPr="009C44E6">
              <w:rPr>
                <w:rFonts w:ascii="Arial" w:eastAsia="Courier New" w:hAnsi="Arial" w:cs="Arial"/>
                <w:b/>
                <w:bCs/>
                <w:szCs w:val="24"/>
              </w:rPr>
              <w:t>Ages 10-20</w:t>
            </w:r>
          </w:p>
        </w:tc>
        <w:tc>
          <w:tcPr>
            <w:tcW w:w="977" w:type="dxa"/>
            <w:tcBorders>
              <w:top w:val="single" w:sz="4" w:space="0" w:color="auto"/>
              <w:left w:val="nil"/>
              <w:bottom w:val="single" w:sz="4" w:space="0" w:color="auto"/>
              <w:right w:val="nil"/>
            </w:tcBorders>
            <w:shd w:val="clear" w:color="000000" w:fill="F2F2F2"/>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1091" w:type="dxa"/>
            <w:tcBorders>
              <w:top w:val="single" w:sz="4" w:space="0" w:color="auto"/>
              <w:left w:val="nil"/>
              <w:bottom w:val="single" w:sz="4" w:space="0" w:color="auto"/>
              <w:right w:val="nil"/>
            </w:tcBorders>
            <w:shd w:val="clear" w:color="000000" w:fill="F2F2F2"/>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992" w:type="dxa"/>
            <w:tcBorders>
              <w:top w:val="single" w:sz="4" w:space="0" w:color="auto"/>
              <w:left w:val="nil"/>
              <w:bottom w:val="single" w:sz="4" w:space="0" w:color="auto"/>
              <w:right w:val="nil"/>
            </w:tcBorders>
            <w:shd w:val="clear" w:color="000000" w:fill="F2F2F2"/>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1012" w:type="dxa"/>
            <w:tcBorders>
              <w:top w:val="single" w:sz="4" w:space="0" w:color="auto"/>
              <w:left w:val="nil"/>
              <w:bottom w:val="single" w:sz="4" w:space="0" w:color="auto"/>
              <w:right w:val="nil"/>
            </w:tcBorders>
            <w:shd w:val="clear" w:color="000000" w:fill="F2F2F2"/>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955"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990" w:type="dxa"/>
            <w:tcBorders>
              <w:top w:val="single" w:sz="4" w:space="0" w:color="auto"/>
              <w:left w:val="nil"/>
              <w:bottom w:val="single" w:sz="4" w:space="0" w:color="auto"/>
              <w:right w:val="single" w:sz="4" w:space="0" w:color="auto"/>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7C23AA" w:rsidRPr="009C44E6" w:rsidTr="007C23AA">
        <w:trPr>
          <w:trHeight w:val="215"/>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p>
        </w:tc>
        <w:tc>
          <w:tcPr>
            <w:tcW w:w="2068" w:type="dxa"/>
            <w:gridSpan w:val="2"/>
            <w:tcBorders>
              <w:top w:val="single" w:sz="4" w:space="0" w:color="auto"/>
              <w:left w:val="nil"/>
              <w:bottom w:val="single" w:sz="4" w:space="0" w:color="auto"/>
              <w:right w:val="nil"/>
            </w:tcBorders>
            <w:shd w:val="clear" w:color="auto" w:fill="auto"/>
            <w:noWrap/>
            <w:vAlign w:val="bottom"/>
            <w:hideMark/>
          </w:tcPr>
          <w:p w:rsidR="007C23AA" w:rsidRPr="009C44E6" w:rsidRDefault="007C23AA" w:rsidP="006057BE">
            <w:pPr>
              <w:spacing w:after="0" w:line="240" w:lineRule="auto"/>
              <w:jc w:val="center"/>
              <w:rPr>
                <w:rFonts w:ascii="Arial" w:eastAsia="Times New Roman" w:hAnsi="Arial" w:cs="Arial"/>
                <w:b/>
                <w:bCs/>
                <w:szCs w:val="24"/>
              </w:rPr>
            </w:pPr>
            <w:r w:rsidRPr="009C44E6">
              <w:rPr>
                <w:rFonts w:ascii="Arial" w:eastAsia="Times New Roman" w:hAnsi="Arial" w:cs="Arial"/>
                <w:b/>
                <w:bCs/>
                <w:szCs w:val="24"/>
              </w:rPr>
              <w:t xml:space="preserve">2007-2012 </w:t>
            </w:r>
          </w:p>
        </w:tc>
        <w:tc>
          <w:tcPr>
            <w:tcW w:w="2004" w:type="dxa"/>
            <w:gridSpan w:val="2"/>
            <w:tcBorders>
              <w:top w:val="single" w:sz="4" w:space="0" w:color="auto"/>
              <w:left w:val="nil"/>
              <w:bottom w:val="single" w:sz="4" w:space="0" w:color="auto"/>
              <w:right w:val="nil"/>
            </w:tcBorders>
            <w:shd w:val="clear" w:color="auto" w:fill="auto"/>
            <w:noWrap/>
            <w:vAlign w:val="bottom"/>
            <w:hideMark/>
          </w:tcPr>
          <w:p w:rsidR="007C23AA" w:rsidRPr="009C44E6" w:rsidRDefault="007C23AA" w:rsidP="006057BE">
            <w:pPr>
              <w:spacing w:after="0" w:line="240" w:lineRule="auto"/>
              <w:jc w:val="center"/>
              <w:rPr>
                <w:rFonts w:ascii="Arial" w:eastAsia="Times New Roman" w:hAnsi="Arial" w:cs="Arial"/>
                <w:b/>
                <w:bCs/>
                <w:szCs w:val="24"/>
              </w:rPr>
            </w:pPr>
            <w:r w:rsidRPr="009C44E6">
              <w:rPr>
                <w:rFonts w:ascii="Arial" w:eastAsia="Times New Roman" w:hAnsi="Arial" w:cs="Arial"/>
                <w:b/>
                <w:bCs/>
                <w:szCs w:val="24"/>
              </w:rPr>
              <w:t xml:space="preserve">   2013-2016</w:t>
            </w:r>
          </w:p>
        </w:tc>
        <w:tc>
          <w:tcPr>
            <w:tcW w:w="955" w:type="dxa"/>
            <w:tcBorders>
              <w:top w:val="nil"/>
              <w:left w:val="nil"/>
              <w:bottom w:val="single" w:sz="4" w:space="0" w:color="auto"/>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b/>
                <w:bCs/>
                <w:szCs w:val="24"/>
              </w:rPr>
            </w:pPr>
            <w:r w:rsidRPr="009C44E6">
              <w:rPr>
                <w:rFonts w:ascii="Arial" w:eastAsia="Times New Roman" w:hAnsi="Arial" w:cs="Arial"/>
                <w:b/>
                <w:bCs/>
                <w:szCs w:val="24"/>
              </w:rPr>
              <w:t xml:space="preserve">total </w:t>
            </w:r>
          </w:p>
        </w:tc>
        <w:tc>
          <w:tcPr>
            <w:tcW w:w="990" w:type="dxa"/>
            <w:tcBorders>
              <w:top w:val="nil"/>
              <w:left w:val="nil"/>
              <w:bottom w:val="nil"/>
              <w:right w:val="single" w:sz="4" w:space="0" w:color="auto"/>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7C23AA" w:rsidRPr="009C44E6" w:rsidTr="007C23AA">
        <w:trPr>
          <w:trHeight w:val="242"/>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p>
        </w:tc>
        <w:tc>
          <w:tcPr>
            <w:tcW w:w="977"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n</w:t>
            </w:r>
          </w:p>
        </w:tc>
        <w:tc>
          <w:tcPr>
            <w:tcW w:w="109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w:t>
            </w:r>
          </w:p>
        </w:tc>
        <w:tc>
          <w:tcPr>
            <w:tcW w:w="99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n</w:t>
            </w:r>
          </w:p>
        </w:tc>
        <w:tc>
          <w:tcPr>
            <w:tcW w:w="101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w:t>
            </w:r>
          </w:p>
        </w:tc>
        <w:tc>
          <w:tcPr>
            <w:tcW w:w="955"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n</w:t>
            </w:r>
          </w:p>
        </w:tc>
        <w:tc>
          <w:tcPr>
            <w:tcW w:w="990" w:type="dxa"/>
            <w:tcBorders>
              <w:top w:val="nil"/>
              <w:left w:val="nil"/>
              <w:bottom w:val="nil"/>
              <w:right w:val="single" w:sz="4" w:space="0" w:color="auto"/>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p-value</w:t>
            </w:r>
          </w:p>
        </w:tc>
      </w:tr>
      <w:tr w:rsidR="007C23AA" w:rsidRPr="009C44E6" w:rsidTr="007C23AA">
        <w:trPr>
          <w:trHeight w:val="270"/>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Courier New" w:hAnsi="Arial" w:cs="Arial"/>
                <w:szCs w:val="24"/>
              </w:rPr>
              <w:t xml:space="preserve">Marijuana calls </w:t>
            </w:r>
          </w:p>
        </w:tc>
        <w:tc>
          <w:tcPr>
            <w:tcW w:w="977"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155</w:t>
            </w:r>
          </w:p>
        </w:tc>
        <w:tc>
          <w:tcPr>
            <w:tcW w:w="109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0.291</w:t>
            </w:r>
          </w:p>
        </w:tc>
        <w:tc>
          <w:tcPr>
            <w:tcW w:w="99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129</w:t>
            </w:r>
          </w:p>
        </w:tc>
        <w:tc>
          <w:tcPr>
            <w:tcW w:w="101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0.439</w:t>
            </w:r>
          </w:p>
        </w:tc>
        <w:tc>
          <w:tcPr>
            <w:tcW w:w="955"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284</w:t>
            </w:r>
          </w:p>
        </w:tc>
        <w:tc>
          <w:tcPr>
            <w:tcW w:w="990" w:type="dxa"/>
            <w:tcBorders>
              <w:top w:val="nil"/>
              <w:left w:val="nil"/>
              <w:bottom w:val="nil"/>
              <w:right w:val="single" w:sz="4" w:space="0" w:color="auto"/>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0.001</w:t>
            </w:r>
          </w:p>
        </w:tc>
      </w:tr>
      <w:tr w:rsidR="007C23AA" w:rsidRPr="009C44E6" w:rsidTr="007C23AA">
        <w:trPr>
          <w:trHeight w:val="180"/>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Courier New" w:hAnsi="Arial" w:cs="Arial"/>
                <w:szCs w:val="24"/>
              </w:rPr>
              <w:t xml:space="preserve">Non-Marijuana calls        </w:t>
            </w:r>
          </w:p>
        </w:tc>
        <w:tc>
          <w:tcPr>
            <w:tcW w:w="977"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53,286</w:t>
            </w:r>
          </w:p>
        </w:tc>
        <w:tc>
          <w:tcPr>
            <w:tcW w:w="109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99.709</w:t>
            </w:r>
          </w:p>
        </w:tc>
        <w:tc>
          <w:tcPr>
            <w:tcW w:w="99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29,288</w:t>
            </w:r>
          </w:p>
        </w:tc>
        <w:tc>
          <w:tcPr>
            <w:tcW w:w="101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99.561</w:t>
            </w:r>
          </w:p>
        </w:tc>
        <w:tc>
          <w:tcPr>
            <w:tcW w:w="955"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82,574</w:t>
            </w:r>
          </w:p>
        </w:tc>
        <w:tc>
          <w:tcPr>
            <w:tcW w:w="990" w:type="dxa"/>
            <w:tcBorders>
              <w:top w:val="nil"/>
              <w:left w:val="nil"/>
              <w:bottom w:val="nil"/>
              <w:right w:val="single" w:sz="4" w:space="0" w:color="auto"/>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7C23AA" w:rsidRPr="009C44E6" w:rsidTr="007C23AA">
        <w:trPr>
          <w:trHeight w:val="225"/>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Total calls</w:t>
            </w:r>
          </w:p>
        </w:tc>
        <w:tc>
          <w:tcPr>
            <w:tcW w:w="977"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53441</w:t>
            </w:r>
          </w:p>
        </w:tc>
        <w:tc>
          <w:tcPr>
            <w:tcW w:w="109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100.000</w:t>
            </w:r>
          </w:p>
        </w:tc>
        <w:tc>
          <w:tcPr>
            <w:tcW w:w="99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29417</w:t>
            </w:r>
          </w:p>
        </w:tc>
        <w:tc>
          <w:tcPr>
            <w:tcW w:w="101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100.000</w:t>
            </w:r>
          </w:p>
        </w:tc>
        <w:tc>
          <w:tcPr>
            <w:tcW w:w="955"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Courier New" w:hAnsi="Arial" w:cs="Arial"/>
                <w:szCs w:val="24"/>
              </w:rPr>
              <w:t>82858</w:t>
            </w:r>
          </w:p>
        </w:tc>
        <w:tc>
          <w:tcPr>
            <w:tcW w:w="990" w:type="dxa"/>
            <w:tcBorders>
              <w:top w:val="nil"/>
              <w:left w:val="nil"/>
              <w:bottom w:val="nil"/>
              <w:right w:val="single" w:sz="4" w:space="0" w:color="auto"/>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7C23AA" w:rsidRPr="009C44E6" w:rsidTr="007C23AA">
        <w:trPr>
          <w:trHeight w:val="215"/>
        </w:trPr>
        <w:tc>
          <w:tcPr>
            <w:tcW w:w="3073" w:type="dxa"/>
            <w:gridSpan w:val="2"/>
            <w:tcBorders>
              <w:top w:val="single" w:sz="4" w:space="0" w:color="auto"/>
              <w:left w:val="single" w:sz="4" w:space="0" w:color="auto"/>
              <w:bottom w:val="single" w:sz="4" w:space="0" w:color="auto"/>
              <w:right w:val="nil"/>
            </w:tcBorders>
            <w:shd w:val="clear" w:color="000000" w:fill="F2F2F2"/>
            <w:noWrap/>
            <w:vAlign w:val="center"/>
            <w:hideMark/>
          </w:tcPr>
          <w:p w:rsidR="007C23AA" w:rsidRPr="009C44E6" w:rsidRDefault="007C23AA" w:rsidP="006057BE">
            <w:pPr>
              <w:spacing w:after="0" w:line="240" w:lineRule="auto"/>
              <w:rPr>
                <w:rFonts w:ascii="Arial" w:eastAsia="Times New Roman" w:hAnsi="Arial" w:cs="Arial"/>
                <w:b/>
                <w:bCs/>
                <w:szCs w:val="24"/>
              </w:rPr>
            </w:pPr>
            <w:r w:rsidRPr="009C44E6">
              <w:rPr>
                <w:rFonts w:ascii="Arial" w:eastAsia="Courier New" w:hAnsi="Arial" w:cs="Arial"/>
                <w:b/>
                <w:bCs/>
                <w:szCs w:val="24"/>
              </w:rPr>
              <w:t>Ages 21+</w:t>
            </w:r>
          </w:p>
        </w:tc>
        <w:tc>
          <w:tcPr>
            <w:tcW w:w="977"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1091"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p>
        </w:tc>
        <w:tc>
          <w:tcPr>
            <w:tcW w:w="992"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1012" w:type="dxa"/>
            <w:tcBorders>
              <w:top w:val="single" w:sz="4" w:space="0" w:color="auto"/>
              <w:left w:val="nil"/>
              <w:bottom w:val="single" w:sz="4" w:space="0" w:color="auto"/>
              <w:right w:val="nil"/>
            </w:tcBorders>
            <w:shd w:val="clear" w:color="000000" w:fill="F2F2F2"/>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955" w:type="dxa"/>
            <w:tcBorders>
              <w:top w:val="single" w:sz="4" w:space="0" w:color="auto"/>
              <w:left w:val="nil"/>
              <w:bottom w:val="single" w:sz="4" w:space="0" w:color="auto"/>
              <w:right w:val="nil"/>
            </w:tcBorders>
            <w:shd w:val="clear" w:color="000000" w:fill="F2F2F2"/>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990" w:type="dxa"/>
            <w:tcBorders>
              <w:top w:val="single" w:sz="4" w:space="0" w:color="auto"/>
              <w:left w:val="nil"/>
              <w:bottom w:val="single" w:sz="4" w:space="0" w:color="auto"/>
              <w:right w:val="single" w:sz="4" w:space="0" w:color="auto"/>
            </w:tcBorders>
            <w:shd w:val="clear" w:color="000000" w:fill="F2F2F2"/>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7C23AA" w:rsidRPr="009C44E6" w:rsidTr="007C23AA">
        <w:trPr>
          <w:trHeight w:val="245"/>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p>
        </w:tc>
        <w:tc>
          <w:tcPr>
            <w:tcW w:w="2068" w:type="dxa"/>
            <w:gridSpan w:val="2"/>
            <w:tcBorders>
              <w:top w:val="single" w:sz="4" w:space="0" w:color="auto"/>
              <w:left w:val="nil"/>
              <w:bottom w:val="single" w:sz="4" w:space="0" w:color="auto"/>
              <w:right w:val="nil"/>
            </w:tcBorders>
            <w:shd w:val="clear" w:color="auto" w:fill="auto"/>
            <w:noWrap/>
            <w:vAlign w:val="bottom"/>
            <w:hideMark/>
          </w:tcPr>
          <w:p w:rsidR="007C23AA" w:rsidRPr="009C44E6" w:rsidRDefault="007C23AA" w:rsidP="006057BE">
            <w:pPr>
              <w:spacing w:after="0" w:line="240" w:lineRule="auto"/>
              <w:jc w:val="center"/>
              <w:rPr>
                <w:rFonts w:ascii="Arial" w:eastAsia="Times New Roman" w:hAnsi="Arial" w:cs="Arial"/>
                <w:b/>
                <w:bCs/>
                <w:szCs w:val="24"/>
              </w:rPr>
            </w:pPr>
            <w:r w:rsidRPr="009C44E6">
              <w:rPr>
                <w:rFonts w:ascii="Arial" w:eastAsia="Times New Roman" w:hAnsi="Arial" w:cs="Arial"/>
                <w:b/>
                <w:bCs/>
                <w:szCs w:val="24"/>
              </w:rPr>
              <w:t xml:space="preserve">2007-2012 </w:t>
            </w:r>
          </w:p>
        </w:tc>
        <w:tc>
          <w:tcPr>
            <w:tcW w:w="2004" w:type="dxa"/>
            <w:gridSpan w:val="2"/>
            <w:tcBorders>
              <w:top w:val="single" w:sz="4" w:space="0" w:color="auto"/>
              <w:left w:val="nil"/>
              <w:bottom w:val="single" w:sz="4" w:space="0" w:color="auto"/>
              <w:right w:val="nil"/>
            </w:tcBorders>
            <w:shd w:val="clear" w:color="auto" w:fill="auto"/>
            <w:noWrap/>
            <w:vAlign w:val="bottom"/>
            <w:hideMark/>
          </w:tcPr>
          <w:p w:rsidR="007C23AA" w:rsidRPr="009C44E6" w:rsidRDefault="007C23AA" w:rsidP="006057BE">
            <w:pPr>
              <w:spacing w:after="0" w:line="240" w:lineRule="auto"/>
              <w:jc w:val="center"/>
              <w:rPr>
                <w:rFonts w:ascii="Arial" w:eastAsia="Times New Roman" w:hAnsi="Arial" w:cs="Arial"/>
                <w:b/>
                <w:bCs/>
                <w:szCs w:val="24"/>
              </w:rPr>
            </w:pPr>
            <w:r w:rsidRPr="009C44E6">
              <w:rPr>
                <w:rFonts w:ascii="Arial" w:eastAsia="Times New Roman" w:hAnsi="Arial" w:cs="Arial"/>
                <w:b/>
                <w:bCs/>
                <w:szCs w:val="24"/>
              </w:rPr>
              <w:t xml:space="preserve">   2013-2016</w:t>
            </w:r>
          </w:p>
        </w:tc>
        <w:tc>
          <w:tcPr>
            <w:tcW w:w="955" w:type="dxa"/>
            <w:tcBorders>
              <w:top w:val="nil"/>
              <w:left w:val="nil"/>
              <w:bottom w:val="single" w:sz="4" w:space="0" w:color="auto"/>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b/>
                <w:bCs/>
                <w:szCs w:val="24"/>
              </w:rPr>
            </w:pPr>
            <w:r w:rsidRPr="009C44E6">
              <w:rPr>
                <w:rFonts w:ascii="Arial" w:eastAsia="Times New Roman" w:hAnsi="Arial" w:cs="Arial"/>
                <w:b/>
                <w:bCs/>
                <w:szCs w:val="24"/>
              </w:rPr>
              <w:t xml:space="preserve">total </w:t>
            </w:r>
          </w:p>
        </w:tc>
        <w:tc>
          <w:tcPr>
            <w:tcW w:w="990"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b/>
                <w:bCs/>
                <w:szCs w:val="24"/>
              </w:rPr>
            </w:pPr>
          </w:p>
        </w:tc>
      </w:tr>
      <w:tr w:rsidR="007C23AA" w:rsidRPr="009C44E6" w:rsidTr="007C23AA">
        <w:trPr>
          <w:trHeight w:val="263"/>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p>
        </w:tc>
        <w:tc>
          <w:tcPr>
            <w:tcW w:w="977"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n</w:t>
            </w:r>
          </w:p>
        </w:tc>
        <w:tc>
          <w:tcPr>
            <w:tcW w:w="109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w:t>
            </w:r>
          </w:p>
        </w:tc>
        <w:tc>
          <w:tcPr>
            <w:tcW w:w="99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n</w:t>
            </w:r>
          </w:p>
        </w:tc>
        <w:tc>
          <w:tcPr>
            <w:tcW w:w="101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w:t>
            </w:r>
          </w:p>
        </w:tc>
        <w:tc>
          <w:tcPr>
            <w:tcW w:w="955"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n</w:t>
            </w:r>
          </w:p>
        </w:tc>
        <w:tc>
          <w:tcPr>
            <w:tcW w:w="990" w:type="dxa"/>
            <w:tcBorders>
              <w:top w:val="nil"/>
              <w:left w:val="nil"/>
              <w:bottom w:val="nil"/>
              <w:right w:val="single" w:sz="4" w:space="0" w:color="auto"/>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p-value</w:t>
            </w:r>
          </w:p>
        </w:tc>
      </w:tr>
      <w:tr w:rsidR="007C23AA" w:rsidRPr="009C44E6" w:rsidTr="007C23AA">
        <w:trPr>
          <w:trHeight w:val="165"/>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Courier New" w:hAnsi="Arial" w:cs="Arial"/>
                <w:szCs w:val="24"/>
              </w:rPr>
              <w:t xml:space="preserve">Marijuana calls </w:t>
            </w:r>
          </w:p>
        </w:tc>
        <w:tc>
          <w:tcPr>
            <w:tcW w:w="977"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197</w:t>
            </w:r>
          </w:p>
        </w:tc>
        <w:tc>
          <w:tcPr>
            <w:tcW w:w="109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0.332</w:t>
            </w:r>
          </w:p>
        </w:tc>
        <w:tc>
          <w:tcPr>
            <w:tcW w:w="99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110</w:t>
            </w:r>
          </w:p>
        </w:tc>
        <w:tc>
          <w:tcPr>
            <w:tcW w:w="101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0.278</w:t>
            </w:r>
          </w:p>
        </w:tc>
        <w:tc>
          <w:tcPr>
            <w:tcW w:w="955"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307</w:t>
            </w:r>
          </w:p>
        </w:tc>
        <w:tc>
          <w:tcPr>
            <w:tcW w:w="990" w:type="dxa"/>
            <w:tcBorders>
              <w:top w:val="nil"/>
              <w:left w:val="nil"/>
              <w:bottom w:val="nil"/>
              <w:right w:val="single" w:sz="4" w:space="0" w:color="auto"/>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0.145</w:t>
            </w:r>
          </w:p>
        </w:tc>
      </w:tr>
      <w:tr w:rsidR="007C23AA" w:rsidRPr="009C44E6" w:rsidTr="007C23AA">
        <w:trPr>
          <w:trHeight w:val="210"/>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Courier New" w:hAnsi="Arial" w:cs="Arial"/>
                <w:szCs w:val="24"/>
              </w:rPr>
              <w:t xml:space="preserve">Non-Marijuana calls    </w:t>
            </w:r>
          </w:p>
        </w:tc>
        <w:tc>
          <w:tcPr>
            <w:tcW w:w="977"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59,107</w:t>
            </w:r>
          </w:p>
        </w:tc>
        <w:tc>
          <w:tcPr>
            <w:tcW w:w="1091"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99.668</w:t>
            </w:r>
          </w:p>
        </w:tc>
        <w:tc>
          <w:tcPr>
            <w:tcW w:w="99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39,450</w:t>
            </w:r>
          </w:p>
        </w:tc>
        <w:tc>
          <w:tcPr>
            <w:tcW w:w="1012"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99.722</w:t>
            </w:r>
          </w:p>
        </w:tc>
        <w:tc>
          <w:tcPr>
            <w:tcW w:w="955"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98,557</w:t>
            </w:r>
          </w:p>
        </w:tc>
        <w:tc>
          <w:tcPr>
            <w:tcW w:w="990" w:type="dxa"/>
            <w:tcBorders>
              <w:top w:val="nil"/>
              <w:left w:val="nil"/>
              <w:bottom w:val="nil"/>
              <w:right w:val="single" w:sz="4" w:space="0" w:color="auto"/>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7C23AA" w:rsidRPr="009C44E6" w:rsidTr="00D31875">
        <w:trPr>
          <w:trHeight w:val="165"/>
        </w:trPr>
        <w:tc>
          <w:tcPr>
            <w:tcW w:w="952" w:type="dxa"/>
            <w:tcBorders>
              <w:top w:val="nil"/>
              <w:left w:val="single" w:sz="4" w:space="0" w:color="auto"/>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c>
          <w:tcPr>
            <w:tcW w:w="212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Total calls</w:t>
            </w:r>
          </w:p>
        </w:tc>
        <w:tc>
          <w:tcPr>
            <w:tcW w:w="977"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59304</w:t>
            </w:r>
          </w:p>
        </w:tc>
        <w:tc>
          <w:tcPr>
            <w:tcW w:w="1091"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100.000</w:t>
            </w:r>
          </w:p>
        </w:tc>
        <w:tc>
          <w:tcPr>
            <w:tcW w:w="99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39560</w:t>
            </w:r>
          </w:p>
        </w:tc>
        <w:tc>
          <w:tcPr>
            <w:tcW w:w="1012" w:type="dxa"/>
            <w:tcBorders>
              <w:top w:val="nil"/>
              <w:left w:val="nil"/>
              <w:bottom w:val="nil"/>
              <w:right w:val="nil"/>
            </w:tcBorders>
            <w:shd w:val="clear" w:color="auto" w:fill="auto"/>
            <w:noWrap/>
            <w:vAlign w:val="bottom"/>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Times New Roman" w:hAnsi="Arial" w:cs="Arial"/>
                <w:szCs w:val="24"/>
              </w:rPr>
              <w:t>100.000</w:t>
            </w:r>
          </w:p>
        </w:tc>
        <w:tc>
          <w:tcPr>
            <w:tcW w:w="955" w:type="dxa"/>
            <w:tcBorders>
              <w:top w:val="nil"/>
              <w:left w:val="nil"/>
              <w:bottom w:val="nil"/>
              <w:right w:val="nil"/>
            </w:tcBorders>
            <w:shd w:val="clear" w:color="auto" w:fill="auto"/>
            <w:noWrap/>
            <w:vAlign w:val="center"/>
            <w:hideMark/>
          </w:tcPr>
          <w:p w:rsidR="007C23AA" w:rsidRPr="009C44E6" w:rsidRDefault="007C23AA" w:rsidP="006057BE">
            <w:pPr>
              <w:spacing w:after="0" w:line="240" w:lineRule="auto"/>
              <w:jc w:val="right"/>
              <w:rPr>
                <w:rFonts w:ascii="Arial" w:eastAsia="Times New Roman" w:hAnsi="Arial" w:cs="Arial"/>
                <w:szCs w:val="24"/>
              </w:rPr>
            </w:pPr>
            <w:r w:rsidRPr="009C44E6">
              <w:rPr>
                <w:rFonts w:ascii="Arial" w:eastAsia="Courier New" w:hAnsi="Arial" w:cs="Arial"/>
                <w:szCs w:val="24"/>
              </w:rPr>
              <w:t>98864</w:t>
            </w:r>
          </w:p>
        </w:tc>
        <w:tc>
          <w:tcPr>
            <w:tcW w:w="990" w:type="dxa"/>
            <w:tcBorders>
              <w:top w:val="nil"/>
              <w:left w:val="nil"/>
              <w:bottom w:val="nil"/>
              <w:right w:val="single" w:sz="4" w:space="0" w:color="auto"/>
            </w:tcBorders>
            <w:shd w:val="clear" w:color="auto" w:fill="auto"/>
            <w:noWrap/>
            <w:vAlign w:val="center"/>
            <w:hideMark/>
          </w:tcPr>
          <w:p w:rsidR="007C23AA" w:rsidRPr="009C44E6" w:rsidRDefault="007C23AA" w:rsidP="006057BE">
            <w:pPr>
              <w:spacing w:after="0" w:line="240" w:lineRule="auto"/>
              <w:rPr>
                <w:rFonts w:ascii="Arial" w:eastAsia="Times New Roman" w:hAnsi="Arial" w:cs="Arial"/>
                <w:szCs w:val="24"/>
              </w:rPr>
            </w:pPr>
            <w:r w:rsidRPr="009C44E6">
              <w:rPr>
                <w:rFonts w:ascii="Arial" w:eastAsia="Times New Roman" w:hAnsi="Arial" w:cs="Arial"/>
                <w:szCs w:val="24"/>
              </w:rPr>
              <w:t> </w:t>
            </w:r>
          </w:p>
        </w:tc>
      </w:tr>
      <w:tr w:rsidR="00D31875" w:rsidRPr="009C44E6" w:rsidTr="007C23AA">
        <w:trPr>
          <w:trHeight w:val="165"/>
        </w:trPr>
        <w:tc>
          <w:tcPr>
            <w:tcW w:w="952" w:type="dxa"/>
            <w:tcBorders>
              <w:top w:val="nil"/>
              <w:left w:val="single" w:sz="4" w:space="0" w:color="auto"/>
              <w:bottom w:val="single" w:sz="4" w:space="0" w:color="auto"/>
              <w:right w:val="nil"/>
            </w:tcBorders>
            <w:shd w:val="clear" w:color="auto" w:fill="auto"/>
            <w:noWrap/>
            <w:vAlign w:val="bottom"/>
          </w:tcPr>
          <w:p w:rsidR="00D31875" w:rsidRPr="009C44E6" w:rsidRDefault="00D31875" w:rsidP="006057BE">
            <w:pPr>
              <w:spacing w:after="0" w:line="240" w:lineRule="auto"/>
              <w:rPr>
                <w:rFonts w:ascii="Arial" w:eastAsia="Times New Roman" w:hAnsi="Arial" w:cs="Arial"/>
                <w:szCs w:val="24"/>
              </w:rPr>
            </w:pPr>
          </w:p>
        </w:tc>
        <w:tc>
          <w:tcPr>
            <w:tcW w:w="2121" w:type="dxa"/>
            <w:tcBorders>
              <w:top w:val="nil"/>
              <w:left w:val="nil"/>
              <w:bottom w:val="single" w:sz="4" w:space="0" w:color="auto"/>
              <w:right w:val="nil"/>
            </w:tcBorders>
            <w:shd w:val="clear" w:color="auto" w:fill="auto"/>
            <w:noWrap/>
            <w:vAlign w:val="bottom"/>
          </w:tcPr>
          <w:p w:rsidR="00D31875" w:rsidRPr="009C44E6" w:rsidRDefault="00D31875" w:rsidP="006057BE">
            <w:pPr>
              <w:spacing w:after="0" w:line="240" w:lineRule="auto"/>
              <w:rPr>
                <w:rFonts w:ascii="Arial" w:eastAsia="Times New Roman" w:hAnsi="Arial" w:cs="Arial"/>
                <w:szCs w:val="24"/>
              </w:rPr>
            </w:pPr>
          </w:p>
        </w:tc>
        <w:tc>
          <w:tcPr>
            <w:tcW w:w="977" w:type="dxa"/>
            <w:tcBorders>
              <w:top w:val="nil"/>
              <w:left w:val="nil"/>
              <w:bottom w:val="single" w:sz="4" w:space="0" w:color="auto"/>
              <w:right w:val="nil"/>
            </w:tcBorders>
            <w:shd w:val="clear" w:color="auto" w:fill="auto"/>
            <w:noWrap/>
            <w:vAlign w:val="bottom"/>
          </w:tcPr>
          <w:p w:rsidR="00D31875" w:rsidRPr="009C44E6" w:rsidRDefault="00D31875" w:rsidP="006057BE">
            <w:pPr>
              <w:spacing w:after="0" w:line="240" w:lineRule="auto"/>
              <w:jc w:val="right"/>
              <w:rPr>
                <w:rFonts w:ascii="Arial" w:eastAsia="Times New Roman" w:hAnsi="Arial" w:cs="Arial"/>
                <w:szCs w:val="24"/>
              </w:rPr>
            </w:pPr>
          </w:p>
        </w:tc>
        <w:tc>
          <w:tcPr>
            <w:tcW w:w="1091" w:type="dxa"/>
            <w:tcBorders>
              <w:top w:val="nil"/>
              <w:left w:val="nil"/>
              <w:bottom w:val="single" w:sz="4" w:space="0" w:color="auto"/>
              <w:right w:val="nil"/>
            </w:tcBorders>
            <w:shd w:val="clear" w:color="auto" w:fill="auto"/>
            <w:noWrap/>
            <w:vAlign w:val="bottom"/>
          </w:tcPr>
          <w:p w:rsidR="00D31875" w:rsidRPr="009C44E6" w:rsidRDefault="00D31875" w:rsidP="006057BE">
            <w:pPr>
              <w:spacing w:after="0" w:line="240" w:lineRule="auto"/>
              <w:jc w:val="right"/>
              <w:rPr>
                <w:rFonts w:ascii="Arial" w:eastAsia="Times New Roman" w:hAnsi="Arial" w:cs="Arial"/>
                <w:szCs w:val="24"/>
              </w:rPr>
            </w:pPr>
          </w:p>
        </w:tc>
        <w:tc>
          <w:tcPr>
            <w:tcW w:w="992" w:type="dxa"/>
            <w:tcBorders>
              <w:top w:val="nil"/>
              <w:left w:val="nil"/>
              <w:bottom w:val="single" w:sz="4" w:space="0" w:color="auto"/>
              <w:right w:val="nil"/>
            </w:tcBorders>
            <w:shd w:val="clear" w:color="auto" w:fill="auto"/>
            <w:noWrap/>
            <w:vAlign w:val="bottom"/>
          </w:tcPr>
          <w:p w:rsidR="00D31875" w:rsidRPr="009C44E6" w:rsidRDefault="00D31875" w:rsidP="006057BE">
            <w:pPr>
              <w:spacing w:after="0" w:line="240" w:lineRule="auto"/>
              <w:jc w:val="right"/>
              <w:rPr>
                <w:rFonts w:ascii="Arial" w:eastAsia="Times New Roman" w:hAnsi="Arial" w:cs="Arial"/>
                <w:szCs w:val="24"/>
              </w:rPr>
            </w:pPr>
          </w:p>
        </w:tc>
        <w:tc>
          <w:tcPr>
            <w:tcW w:w="1012" w:type="dxa"/>
            <w:tcBorders>
              <w:top w:val="nil"/>
              <w:left w:val="nil"/>
              <w:bottom w:val="single" w:sz="4" w:space="0" w:color="auto"/>
              <w:right w:val="nil"/>
            </w:tcBorders>
            <w:shd w:val="clear" w:color="auto" w:fill="auto"/>
            <w:noWrap/>
            <w:vAlign w:val="bottom"/>
          </w:tcPr>
          <w:p w:rsidR="00D31875" w:rsidRPr="009C44E6" w:rsidRDefault="00D31875" w:rsidP="006057BE">
            <w:pPr>
              <w:spacing w:after="0" w:line="240" w:lineRule="auto"/>
              <w:jc w:val="right"/>
              <w:rPr>
                <w:rFonts w:ascii="Arial" w:eastAsia="Times New Roman" w:hAnsi="Arial" w:cs="Arial"/>
                <w:szCs w:val="24"/>
              </w:rPr>
            </w:pPr>
          </w:p>
        </w:tc>
        <w:tc>
          <w:tcPr>
            <w:tcW w:w="955" w:type="dxa"/>
            <w:tcBorders>
              <w:top w:val="nil"/>
              <w:left w:val="nil"/>
              <w:bottom w:val="single" w:sz="4" w:space="0" w:color="auto"/>
              <w:right w:val="nil"/>
            </w:tcBorders>
            <w:shd w:val="clear" w:color="auto" w:fill="auto"/>
            <w:noWrap/>
            <w:vAlign w:val="center"/>
          </w:tcPr>
          <w:p w:rsidR="00D31875" w:rsidRPr="009C44E6" w:rsidRDefault="00D31875" w:rsidP="006057BE">
            <w:pPr>
              <w:spacing w:after="0" w:line="240" w:lineRule="auto"/>
              <w:jc w:val="right"/>
              <w:rPr>
                <w:rFonts w:ascii="Arial" w:eastAsia="Courier New" w:hAnsi="Arial" w:cs="Arial"/>
                <w:szCs w:val="24"/>
              </w:rPr>
            </w:pPr>
          </w:p>
        </w:tc>
        <w:tc>
          <w:tcPr>
            <w:tcW w:w="990" w:type="dxa"/>
            <w:tcBorders>
              <w:top w:val="nil"/>
              <w:left w:val="nil"/>
              <w:bottom w:val="single" w:sz="4" w:space="0" w:color="auto"/>
              <w:right w:val="single" w:sz="4" w:space="0" w:color="auto"/>
            </w:tcBorders>
            <w:shd w:val="clear" w:color="auto" w:fill="auto"/>
            <w:noWrap/>
            <w:vAlign w:val="center"/>
          </w:tcPr>
          <w:p w:rsidR="00D31875" w:rsidRPr="009C44E6" w:rsidRDefault="00D31875" w:rsidP="006057BE">
            <w:pPr>
              <w:spacing w:after="0" w:line="240" w:lineRule="auto"/>
              <w:rPr>
                <w:rFonts w:ascii="Arial" w:eastAsia="Times New Roman" w:hAnsi="Arial" w:cs="Arial"/>
                <w:szCs w:val="24"/>
              </w:rPr>
            </w:pPr>
          </w:p>
        </w:tc>
      </w:tr>
    </w:tbl>
    <w:bookmarkEnd w:id="593"/>
    <w:bookmarkEnd w:id="594"/>
    <w:p w:rsidR="00D31875" w:rsidRDefault="007C23AA" w:rsidP="006057BE">
      <w:pPr>
        <w:pStyle w:val="BodyText"/>
        <w:spacing w:line="240" w:lineRule="auto"/>
      </w:pPr>
      <w:r w:rsidRPr="009C44E6">
        <w:rPr>
          <w:noProof/>
        </w:rPr>
        <w:drawing>
          <wp:inline distT="0" distB="0" distL="0" distR="0" wp14:anchorId="6BB2EBE0" wp14:editId="4A0FEF01">
            <wp:extent cx="4248150" cy="2931813"/>
            <wp:effectExtent l="0" t="0" r="0" b="1905"/>
            <wp:docPr id="67" name="Picture 67" descr="The figure shows data related to the frequency of poison control center reports of pediatric marijuana exposure according to product code for the years 2007 through 2016.  Ages considered in the analysis were 0 - 9 years old. Codes include concentrated marijuana extract, edible preparations, undried plant, dried plant, capsule or pill, pharmaceutical preparation, and &quot;other&quot; or &quot;unknown&quot;. Of the years noted, 2014 had the highest frequency of such exposures for this age group. " title="Frequency of Poison Control Center Reported Marijuana Exposures by Product Code, 2007-2016, Age 0-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product code 2007-2016.png"/>
                    <pic:cNvPicPr/>
                  </pic:nvPicPr>
                  <pic:blipFill>
                    <a:blip r:embed="rId91">
                      <a:extLst>
                        <a:ext uri="{28A0092B-C50C-407E-A947-70E740481C1C}">
                          <a14:useLocalDpi xmlns:a14="http://schemas.microsoft.com/office/drawing/2010/main" val="0"/>
                        </a:ext>
                      </a:extLst>
                    </a:blip>
                    <a:stretch>
                      <a:fillRect/>
                    </a:stretch>
                  </pic:blipFill>
                  <pic:spPr>
                    <a:xfrm>
                      <a:off x="0" y="0"/>
                      <a:ext cx="4248150" cy="2931813"/>
                    </a:xfrm>
                    <a:prstGeom prst="rect">
                      <a:avLst/>
                    </a:prstGeom>
                  </pic:spPr>
                </pic:pic>
              </a:graphicData>
            </a:graphic>
          </wp:inline>
        </w:drawing>
      </w:r>
    </w:p>
    <w:p w:rsidR="00015C58" w:rsidRPr="009C44E6" w:rsidRDefault="00015C58" w:rsidP="006057BE">
      <w:pPr>
        <w:pStyle w:val="BodyText"/>
        <w:spacing w:line="240" w:lineRule="auto"/>
      </w:pPr>
    </w:p>
    <w:p w:rsidR="007C23AA" w:rsidRDefault="007C23AA" w:rsidP="006057BE">
      <w:pPr>
        <w:pStyle w:val="Caption"/>
        <w:spacing w:after="0"/>
        <w:rPr>
          <w:rFonts w:ascii="Arial" w:hAnsi="Arial" w:cs="Arial"/>
          <w:b/>
          <w:noProof/>
          <w:szCs w:val="24"/>
        </w:rPr>
      </w:pPr>
      <w:bookmarkStart w:id="595" w:name="_Ref510382079"/>
      <w:r w:rsidRPr="009C44E6">
        <w:rPr>
          <w:rFonts w:ascii="Arial" w:hAnsi="Arial" w:cs="Arial"/>
          <w:b/>
          <w:szCs w:val="24"/>
        </w:rPr>
        <w:t xml:space="preserve">Figure </w:t>
      </w:r>
      <w:bookmarkEnd w:id="595"/>
      <w:r w:rsidRPr="009C44E6">
        <w:rPr>
          <w:rFonts w:ascii="Arial" w:hAnsi="Arial" w:cs="Arial"/>
          <w:b/>
          <w:szCs w:val="24"/>
        </w:rPr>
        <w:t>5.</w:t>
      </w:r>
      <w:r w:rsidRPr="009C44E6">
        <w:rPr>
          <w:rFonts w:ascii="Arial" w:hAnsi="Arial" w:cs="Arial"/>
          <w:noProof/>
          <w:szCs w:val="24"/>
        </w:rPr>
        <w:t xml:space="preserve"> </w:t>
      </w:r>
      <w:r>
        <w:rPr>
          <w:rFonts w:ascii="Arial" w:hAnsi="Arial" w:cs="Arial"/>
          <w:b/>
          <w:noProof/>
          <w:szCs w:val="24"/>
        </w:rPr>
        <w:t>Frequency of Poison Control Center Reported Marijuana Exposures by P</w:t>
      </w:r>
      <w:r w:rsidRPr="00DE7BE7">
        <w:rPr>
          <w:rFonts w:ascii="Arial" w:hAnsi="Arial" w:cs="Arial"/>
          <w:b/>
          <w:noProof/>
          <w:szCs w:val="24"/>
        </w:rPr>
        <w:t>roduc</w:t>
      </w:r>
      <w:r>
        <w:rPr>
          <w:rFonts w:ascii="Arial" w:hAnsi="Arial" w:cs="Arial"/>
          <w:b/>
          <w:noProof/>
          <w:szCs w:val="24"/>
        </w:rPr>
        <w:t>t Code, 2007-2016, Age 0-9 Y</w:t>
      </w:r>
      <w:r w:rsidRPr="00DE7BE7">
        <w:rPr>
          <w:rFonts w:ascii="Arial" w:hAnsi="Arial" w:cs="Arial"/>
          <w:b/>
          <w:noProof/>
          <w:szCs w:val="24"/>
        </w:rPr>
        <w:t>ears</w:t>
      </w:r>
    </w:p>
    <w:p w:rsidR="000D35DC" w:rsidRPr="000D35DC" w:rsidRDefault="000D35DC" w:rsidP="006057BE">
      <w:pPr>
        <w:spacing w:after="0" w:line="240" w:lineRule="auto"/>
      </w:pPr>
    </w:p>
    <w:p w:rsidR="007C23AA" w:rsidRPr="009C44E6" w:rsidRDefault="007C23AA" w:rsidP="006057BE">
      <w:pPr>
        <w:pStyle w:val="BodyText"/>
        <w:spacing w:line="240" w:lineRule="auto"/>
      </w:pPr>
      <w:r w:rsidRPr="009C44E6">
        <w:rPr>
          <w:noProof/>
        </w:rPr>
        <w:drawing>
          <wp:anchor distT="0" distB="0" distL="114300" distR="114300" simplePos="0" relativeHeight="251663360" behindDoc="0" locked="0" layoutInCell="1" allowOverlap="1" wp14:anchorId="6050D227" wp14:editId="179B0560">
            <wp:simplePos x="0" y="0"/>
            <wp:positionH relativeFrom="column">
              <wp:posOffset>0</wp:posOffset>
            </wp:positionH>
            <wp:positionV relativeFrom="paragraph">
              <wp:posOffset>78740</wp:posOffset>
            </wp:positionV>
            <wp:extent cx="4495800" cy="3265170"/>
            <wp:effectExtent l="0" t="0" r="0" b="0"/>
            <wp:wrapSquare wrapText="bothSides"/>
            <wp:docPr id="68" name="Picture 68" descr="The figure shows data related to the frequency of poison control center reports of marijuana exposure according to product code for the years 2007 through 2016.  Ages considered in the analysis were 10 through 20 years old. Codes include dried plant, marijuana device, concentrated extract, edible, oral capsule or pill, pharmaceutical preparation, &quot;other&quot; or &quot;unknown&quot;, and a combination of two of these marijuana codes. Of the years noted, 2013 had the highest frequency of such exposures for this age group. " title="Frequency of Poison Control Center Reported Marijuana Exposures by Product Code, 2007-2016, Age 10-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product code 2007-2016.png"/>
                    <pic:cNvPicPr/>
                  </pic:nvPicPr>
                  <pic:blipFill>
                    <a:blip r:embed="rId92">
                      <a:extLst>
                        <a:ext uri="{28A0092B-C50C-407E-A947-70E740481C1C}">
                          <a14:useLocalDpi xmlns:a14="http://schemas.microsoft.com/office/drawing/2010/main" val="0"/>
                        </a:ext>
                      </a:extLst>
                    </a:blip>
                    <a:stretch>
                      <a:fillRect/>
                    </a:stretch>
                  </pic:blipFill>
                  <pic:spPr>
                    <a:xfrm>
                      <a:off x="0" y="0"/>
                      <a:ext cx="4495800" cy="3265170"/>
                    </a:xfrm>
                    <a:prstGeom prst="rect">
                      <a:avLst/>
                    </a:prstGeom>
                  </pic:spPr>
                </pic:pic>
              </a:graphicData>
            </a:graphic>
            <wp14:sizeRelH relativeFrom="margin">
              <wp14:pctWidth>0</wp14:pctWidth>
            </wp14:sizeRelH>
            <wp14:sizeRelV relativeFrom="margin">
              <wp14:pctHeight>0</wp14:pctHeight>
            </wp14:sizeRelV>
          </wp:anchor>
        </w:drawing>
      </w:r>
      <w:r w:rsidRPr="009C44E6">
        <w:br/>
      </w:r>
    </w:p>
    <w:p w:rsidR="007C23AA" w:rsidRPr="009C44E6" w:rsidRDefault="007C23AA" w:rsidP="006057BE">
      <w:pPr>
        <w:pStyle w:val="BodyText"/>
        <w:spacing w:line="240" w:lineRule="auto"/>
        <w:rPr>
          <w:noProof/>
        </w:rPr>
      </w:pPr>
    </w:p>
    <w:p w:rsidR="007C23AA" w:rsidRPr="009C44E6" w:rsidRDefault="007C23AA" w:rsidP="006057BE">
      <w:pPr>
        <w:pStyle w:val="BodyText"/>
        <w:spacing w:line="240" w:lineRule="auto"/>
        <w:rPr>
          <w:noProof/>
        </w:rPr>
      </w:pPr>
    </w:p>
    <w:p w:rsidR="007C23AA" w:rsidRPr="009C44E6" w:rsidRDefault="007C23AA" w:rsidP="006057BE">
      <w:pPr>
        <w:pStyle w:val="BodyText"/>
        <w:spacing w:line="240" w:lineRule="auto"/>
        <w:rPr>
          <w:noProof/>
        </w:rPr>
      </w:pPr>
    </w:p>
    <w:p w:rsidR="007C23AA" w:rsidRPr="009C44E6" w:rsidRDefault="007C23AA" w:rsidP="006057BE">
      <w:pPr>
        <w:pStyle w:val="BodyText"/>
        <w:spacing w:line="240" w:lineRule="auto"/>
        <w:rPr>
          <w:noProof/>
        </w:rPr>
      </w:pPr>
    </w:p>
    <w:p w:rsidR="007C23AA" w:rsidRPr="009C44E6" w:rsidRDefault="007C23AA" w:rsidP="006057BE">
      <w:pPr>
        <w:pStyle w:val="BodyText"/>
        <w:spacing w:line="240" w:lineRule="auto"/>
        <w:rPr>
          <w:noProof/>
        </w:rPr>
      </w:pPr>
    </w:p>
    <w:p w:rsidR="007C23AA" w:rsidRPr="009C44E6" w:rsidRDefault="007C23AA" w:rsidP="006057BE">
      <w:pPr>
        <w:pStyle w:val="BodyText"/>
        <w:spacing w:line="240" w:lineRule="auto"/>
        <w:rPr>
          <w:noProof/>
        </w:rPr>
      </w:pPr>
    </w:p>
    <w:p w:rsidR="007C23AA" w:rsidRPr="009C44E6" w:rsidRDefault="007C23AA" w:rsidP="006057BE">
      <w:pPr>
        <w:pStyle w:val="BodyText"/>
        <w:spacing w:line="240" w:lineRule="auto"/>
        <w:rPr>
          <w:noProof/>
        </w:rPr>
      </w:pPr>
    </w:p>
    <w:p w:rsidR="007C23AA" w:rsidRPr="009C44E6" w:rsidRDefault="007C23AA" w:rsidP="006057BE">
      <w:pPr>
        <w:pStyle w:val="BodyText"/>
        <w:spacing w:line="240" w:lineRule="auto"/>
        <w:rPr>
          <w:noProof/>
        </w:rPr>
      </w:pPr>
    </w:p>
    <w:p w:rsidR="000D35DC" w:rsidRDefault="000D35DC" w:rsidP="006057BE">
      <w:pPr>
        <w:spacing w:after="0" w:line="240" w:lineRule="auto"/>
        <w:rPr>
          <w:rFonts w:ascii="Arial" w:hAnsi="Arial" w:cs="Arial"/>
          <w:b/>
          <w:noProof/>
          <w:szCs w:val="24"/>
        </w:rPr>
      </w:pPr>
    </w:p>
    <w:p w:rsidR="000D35DC" w:rsidRDefault="000D35DC" w:rsidP="006057BE">
      <w:pPr>
        <w:spacing w:after="0" w:line="240" w:lineRule="auto"/>
        <w:rPr>
          <w:rFonts w:ascii="Arial" w:hAnsi="Arial" w:cs="Arial"/>
          <w:b/>
          <w:noProof/>
          <w:szCs w:val="24"/>
        </w:rPr>
      </w:pPr>
    </w:p>
    <w:p w:rsidR="000D35DC" w:rsidRDefault="000D35DC" w:rsidP="006057BE">
      <w:pPr>
        <w:spacing w:after="0" w:line="240" w:lineRule="auto"/>
        <w:rPr>
          <w:rFonts w:ascii="Arial" w:hAnsi="Arial" w:cs="Arial"/>
          <w:b/>
          <w:noProof/>
          <w:szCs w:val="24"/>
        </w:rPr>
      </w:pPr>
    </w:p>
    <w:p w:rsidR="000D35DC" w:rsidRDefault="000D35DC" w:rsidP="006057BE">
      <w:pPr>
        <w:spacing w:after="0" w:line="240" w:lineRule="auto"/>
        <w:rPr>
          <w:rFonts w:ascii="Arial" w:hAnsi="Arial" w:cs="Arial"/>
          <w:b/>
          <w:noProof/>
          <w:szCs w:val="24"/>
        </w:rPr>
      </w:pPr>
    </w:p>
    <w:p w:rsidR="000D35DC" w:rsidRDefault="000D35DC" w:rsidP="006057BE">
      <w:pPr>
        <w:spacing w:after="0" w:line="240" w:lineRule="auto"/>
        <w:rPr>
          <w:rFonts w:ascii="Arial" w:hAnsi="Arial" w:cs="Arial"/>
          <w:b/>
          <w:noProof/>
          <w:szCs w:val="24"/>
        </w:rPr>
      </w:pPr>
    </w:p>
    <w:p w:rsidR="000D35DC" w:rsidRDefault="000D35DC" w:rsidP="006057BE">
      <w:pPr>
        <w:spacing w:after="0" w:line="240" w:lineRule="auto"/>
        <w:rPr>
          <w:rFonts w:ascii="Arial" w:hAnsi="Arial" w:cs="Arial"/>
          <w:b/>
          <w:noProof/>
          <w:szCs w:val="24"/>
        </w:rPr>
      </w:pPr>
    </w:p>
    <w:p w:rsidR="000D35DC" w:rsidRDefault="000D35DC" w:rsidP="006057BE">
      <w:pPr>
        <w:spacing w:after="0" w:line="240" w:lineRule="auto"/>
        <w:rPr>
          <w:rFonts w:ascii="Arial" w:hAnsi="Arial" w:cs="Arial"/>
          <w:b/>
          <w:noProof/>
          <w:szCs w:val="24"/>
        </w:rPr>
      </w:pPr>
    </w:p>
    <w:p w:rsidR="000D35DC" w:rsidRDefault="000D35DC" w:rsidP="006057BE">
      <w:pPr>
        <w:spacing w:after="0" w:line="240" w:lineRule="auto"/>
        <w:rPr>
          <w:rFonts w:ascii="Arial" w:hAnsi="Arial" w:cs="Arial"/>
          <w:b/>
          <w:noProof/>
          <w:szCs w:val="24"/>
        </w:rPr>
      </w:pPr>
    </w:p>
    <w:p w:rsidR="000D35DC" w:rsidRDefault="000D35DC" w:rsidP="006057BE">
      <w:pPr>
        <w:spacing w:after="0" w:line="240" w:lineRule="auto"/>
        <w:rPr>
          <w:rFonts w:ascii="Arial" w:hAnsi="Arial" w:cs="Arial"/>
          <w:b/>
          <w:noProof/>
          <w:szCs w:val="24"/>
        </w:rPr>
      </w:pPr>
    </w:p>
    <w:p w:rsidR="000D35DC" w:rsidRDefault="000D35DC" w:rsidP="006057BE">
      <w:pPr>
        <w:spacing w:after="0" w:line="240" w:lineRule="auto"/>
        <w:rPr>
          <w:rFonts w:ascii="Arial" w:hAnsi="Arial" w:cs="Arial"/>
          <w:b/>
          <w:noProof/>
          <w:szCs w:val="24"/>
        </w:rPr>
      </w:pPr>
    </w:p>
    <w:p w:rsidR="000D35DC" w:rsidRDefault="000D35DC" w:rsidP="006057BE">
      <w:pPr>
        <w:spacing w:after="0" w:line="240" w:lineRule="auto"/>
        <w:rPr>
          <w:rFonts w:ascii="Arial" w:hAnsi="Arial" w:cs="Arial"/>
          <w:b/>
          <w:noProof/>
          <w:szCs w:val="24"/>
        </w:rPr>
      </w:pPr>
    </w:p>
    <w:p w:rsidR="000D35DC" w:rsidRDefault="000D35DC" w:rsidP="006057BE">
      <w:pPr>
        <w:spacing w:after="0" w:line="240" w:lineRule="auto"/>
        <w:rPr>
          <w:rFonts w:ascii="Arial" w:hAnsi="Arial" w:cs="Arial"/>
          <w:b/>
          <w:noProof/>
          <w:szCs w:val="24"/>
        </w:rPr>
      </w:pPr>
    </w:p>
    <w:p w:rsidR="007C23AA" w:rsidRPr="000A2C7D" w:rsidRDefault="007C23AA" w:rsidP="006057BE">
      <w:pPr>
        <w:spacing w:after="0" w:line="240" w:lineRule="auto"/>
        <w:rPr>
          <w:rFonts w:ascii="Arial" w:eastAsia="Times New Roman" w:hAnsi="Arial" w:cs="Arial"/>
          <w:b/>
          <w:szCs w:val="24"/>
        </w:rPr>
      </w:pPr>
      <w:r w:rsidRPr="00AD3482">
        <w:rPr>
          <w:rFonts w:ascii="Arial" w:hAnsi="Arial" w:cs="Arial"/>
          <w:b/>
          <w:noProof/>
          <w:szCs w:val="24"/>
        </w:rPr>
        <w:t xml:space="preserve">Figure 6. </w:t>
      </w:r>
      <w:r w:rsidRPr="00AD3482">
        <w:rPr>
          <w:rFonts w:ascii="Arial" w:eastAsia="Times New Roman" w:hAnsi="Arial" w:cs="Arial"/>
          <w:b/>
          <w:szCs w:val="24"/>
        </w:rPr>
        <w:t xml:space="preserve">Frequency of Poison Control Center Reported Marijuana Exposures by Product </w:t>
      </w:r>
      <w:r w:rsidRPr="000A2C7D">
        <w:rPr>
          <w:rFonts w:ascii="Arial" w:eastAsia="Times New Roman" w:hAnsi="Arial" w:cs="Arial"/>
          <w:b/>
          <w:szCs w:val="24"/>
        </w:rPr>
        <w:t>Code, 2007-2016, Age 10-20 Years</w:t>
      </w:r>
    </w:p>
    <w:p w:rsidR="007C23AA" w:rsidRPr="009C44E6" w:rsidRDefault="007C23AA" w:rsidP="006057BE">
      <w:pPr>
        <w:spacing w:after="0" w:line="240" w:lineRule="auto"/>
        <w:rPr>
          <w:rFonts w:ascii="Arial" w:eastAsia="Times New Roman" w:hAnsi="Arial" w:cs="Arial"/>
          <w:szCs w:val="24"/>
        </w:rPr>
      </w:pPr>
    </w:p>
    <w:p w:rsidR="007C23AA" w:rsidRDefault="007C23AA" w:rsidP="006057BE">
      <w:pPr>
        <w:pStyle w:val="BodyText"/>
        <w:spacing w:line="240" w:lineRule="auto"/>
        <w:rPr>
          <w:noProof/>
        </w:rPr>
      </w:pPr>
      <w:r w:rsidRPr="009C44E6">
        <w:rPr>
          <w:noProof/>
        </w:rPr>
        <w:drawing>
          <wp:inline distT="0" distB="0" distL="0" distR="0" wp14:anchorId="3129FA3C" wp14:editId="327198C7">
            <wp:extent cx="4686300" cy="3404520"/>
            <wp:effectExtent l="0" t="0" r="0" b="5715"/>
            <wp:docPr id="69" name="Picture 69" descr="The figure shows data related to the frequency of poison control center reports of marijuana exposure according to product code for the years 2007 through 2016.  Ages considered in the analysis were 21 years and older. Codes include dried plant, concentrated extract, edible, pharmaceutical preparation, &quot;other&quot; or &quot;unknown&quot;, and a combination of two of these marijuana codes. Of the years noted, 2007 had the highest frequency of such exposures for this age group. " title="Frequency of Poison Control Center Reported Marijuana Exposures by Product Code, 2007-2016, Age 21 Years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93">
                      <a:extLst>
                        <a:ext uri="{28A0092B-C50C-407E-A947-70E740481C1C}">
                          <a14:useLocalDpi xmlns:a14="http://schemas.microsoft.com/office/drawing/2010/main" val="0"/>
                        </a:ext>
                      </a:extLst>
                    </a:blip>
                    <a:stretch>
                      <a:fillRect/>
                    </a:stretch>
                  </pic:blipFill>
                  <pic:spPr>
                    <a:xfrm>
                      <a:off x="0" y="0"/>
                      <a:ext cx="4692763" cy="3409215"/>
                    </a:xfrm>
                    <a:prstGeom prst="rect">
                      <a:avLst/>
                    </a:prstGeom>
                  </pic:spPr>
                </pic:pic>
              </a:graphicData>
            </a:graphic>
          </wp:inline>
        </w:drawing>
      </w:r>
    </w:p>
    <w:p w:rsidR="00015C58" w:rsidRPr="009C44E6" w:rsidRDefault="00015C58" w:rsidP="006057BE">
      <w:pPr>
        <w:pStyle w:val="BodyText"/>
        <w:spacing w:line="240" w:lineRule="auto"/>
        <w:rPr>
          <w:noProof/>
        </w:rPr>
      </w:pPr>
    </w:p>
    <w:p w:rsidR="007C23AA" w:rsidRPr="000A2C7D" w:rsidRDefault="007C23AA" w:rsidP="006057BE">
      <w:pPr>
        <w:pStyle w:val="Caption"/>
        <w:spacing w:after="0"/>
        <w:rPr>
          <w:rFonts w:ascii="Arial" w:hAnsi="Arial" w:cs="Arial"/>
          <w:b/>
          <w:szCs w:val="24"/>
        </w:rPr>
      </w:pPr>
      <w:r w:rsidRPr="000A2C7D">
        <w:rPr>
          <w:rFonts w:ascii="Arial" w:hAnsi="Arial" w:cs="Arial"/>
          <w:b/>
          <w:szCs w:val="24"/>
        </w:rPr>
        <w:t>Figure 7</w:t>
      </w:r>
      <w:r w:rsidRPr="000A2C7D">
        <w:rPr>
          <w:rFonts w:ascii="Arial" w:hAnsi="Arial" w:cs="Arial"/>
          <w:b/>
          <w:noProof/>
          <w:szCs w:val="24"/>
        </w:rPr>
        <w:t>. Frequency of Poison Control Center Reported Marijuana Exposures by Product Code, 2007-2016, Age 21 Years and Older</w:t>
      </w:r>
    </w:p>
    <w:p w:rsidR="007C23AA" w:rsidRDefault="007C23AA" w:rsidP="006057BE">
      <w:pPr>
        <w:pStyle w:val="BodyText"/>
        <w:spacing w:line="240" w:lineRule="auto"/>
      </w:pPr>
      <w:bookmarkStart w:id="596" w:name="_Toc512861232"/>
    </w:p>
    <w:p w:rsidR="007C23AA" w:rsidRDefault="007C23AA" w:rsidP="005F7A46">
      <w:pPr>
        <w:pStyle w:val="Heading2"/>
      </w:pPr>
      <w:bookmarkStart w:id="597" w:name="_Toc11766035"/>
      <w:bookmarkStart w:id="598" w:name="_Toc11766690"/>
      <w:bookmarkStart w:id="599" w:name="_Toc11917262"/>
      <w:bookmarkStart w:id="600" w:name="_Toc11921700"/>
      <w:bookmarkStart w:id="601" w:name="_Toc12520956"/>
      <w:bookmarkStart w:id="602" w:name="_Toc12521182"/>
      <w:bookmarkStart w:id="603" w:name="_Toc12529152"/>
      <w:r w:rsidRPr="009C44E6">
        <w:t>Discussion</w:t>
      </w:r>
      <w:bookmarkEnd w:id="596"/>
      <w:bookmarkEnd w:id="597"/>
      <w:bookmarkEnd w:id="598"/>
      <w:bookmarkEnd w:id="599"/>
      <w:bookmarkEnd w:id="600"/>
      <w:bookmarkEnd w:id="601"/>
      <w:bookmarkEnd w:id="602"/>
      <w:bookmarkEnd w:id="603"/>
    </w:p>
    <w:p w:rsidR="006F5E7B" w:rsidRPr="006F5E7B" w:rsidRDefault="006F5E7B" w:rsidP="006057BE">
      <w:pPr>
        <w:pStyle w:val="BodyText"/>
        <w:spacing w:line="240" w:lineRule="auto"/>
      </w:pPr>
    </w:p>
    <w:p w:rsidR="007C23AA" w:rsidRPr="00062261" w:rsidRDefault="007C23AA" w:rsidP="006057BE">
      <w:pPr>
        <w:spacing w:after="0" w:line="240" w:lineRule="auto"/>
        <w:rPr>
          <w:rFonts w:ascii="Arial" w:eastAsia="Times New Roman" w:hAnsi="Arial" w:cs="Arial"/>
          <w:sz w:val="24"/>
          <w:szCs w:val="24"/>
        </w:rPr>
      </w:pPr>
      <w:r w:rsidRPr="00062261">
        <w:rPr>
          <w:rFonts w:ascii="Arial" w:hAnsi="Arial" w:cs="Arial"/>
          <w:sz w:val="24"/>
          <w:szCs w:val="24"/>
        </w:rPr>
        <w:t xml:space="preserve">In MA from 2005-2016, the period prevalence was 3.5 per 100,000 in children age 0-9 years. A study of Colorado between 2005 and 2011 found cases of children under the age of 9 who had Poison control calls for marijuana related exposures was 6.6 per 100,000; this was compared to generally less than 2 calls per 100,000 in states without similar marijuana legislation </w:t>
      </w:r>
      <w:r w:rsidRPr="00062261">
        <w:rPr>
          <w:rFonts w:ascii="Arial" w:hAnsi="Arial" w:cs="Arial"/>
          <w:sz w:val="24"/>
          <w:szCs w:val="24"/>
        </w:rPr>
        <w:fldChar w:fldCharType="begin">
          <w:fldData xml:space="preserve">PEVuZE5vdGU+PENpdGU+PEF1dGhvcj5XYW5nPC9BdXRob3I+PFllYXI+MjAxNDwvWWVhcj48UmVj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=
</w:fldData>
        </w:fldChar>
      </w:r>
      <w:r w:rsidRPr="00062261">
        <w:rPr>
          <w:rFonts w:ascii="Arial" w:hAnsi="Arial" w:cs="Arial"/>
          <w:sz w:val="24"/>
          <w:szCs w:val="24"/>
        </w:rPr>
        <w:instrText xml:space="preserve"> ADDIN EN.CITE </w:instrText>
      </w:r>
      <w:r w:rsidRPr="00062261">
        <w:rPr>
          <w:rFonts w:ascii="Arial" w:hAnsi="Arial" w:cs="Arial"/>
          <w:sz w:val="24"/>
          <w:szCs w:val="24"/>
        </w:rPr>
        <w:fldChar w:fldCharType="begin">
          <w:fldData xml:space="preserve">PEVuZE5vdGU+PENpdGU+PEF1dGhvcj5XYW5nPC9BdXRob3I+PFllYXI+MjAxNDwvWWVhcj48UmVj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=
</w:fldData>
        </w:fldChar>
      </w:r>
      <w:r w:rsidRPr="00062261">
        <w:rPr>
          <w:rFonts w:ascii="Arial" w:hAnsi="Arial" w:cs="Arial"/>
          <w:sz w:val="24"/>
          <w:szCs w:val="24"/>
        </w:rPr>
        <w:instrText xml:space="preserve"> ADDIN EN.CITE.DATA </w:instrText>
      </w:r>
      <w:r w:rsidRPr="00062261">
        <w:rPr>
          <w:rFonts w:ascii="Arial" w:hAnsi="Arial" w:cs="Arial"/>
          <w:sz w:val="24"/>
          <w:szCs w:val="24"/>
        </w:rPr>
      </w:r>
      <w:r w:rsidRPr="00062261">
        <w:rPr>
          <w:rFonts w:ascii="Arial" w:hAnsi="Arial" w:cs="Arial"/>
          <w:sz w:val="24"/>
          <w:szCs w:val="24"/>
        </w:rPr>
        <w:fldChar w:fldCharType="end"/>
      </w:r>
      <w:r w:rsidRPr="00062261">
        <w:rPr>
          <w:rFonts w:ascii="Arial" w:hAnsi="Arial" w:cs="Arial"/>
          <w:sz w:val="24"/>
          <w:szCs w:val="24"/>
        </w:rPr>
      </w:r>
      <w:r w:rsidRPr="00062261">
        <w:rPr>
          <w:rFonts w:ascii="Arial" w:hAnsi="Arial" w:cs="Arial"/>
          <w:sz w:val="24"/>
          <w:szCs w:val="24"/>
        </w:rPr>
        <w:fldChar w:fldCharType="separate"/>
      </w:r>
      <w:r w:rsidRPr="00062261">
        <w:rPr>
          <w:rFonts w:ascii="Arial" w:hAnsi="Arial" w:cs="Arial"/>
          <w:noProof/>
          <w:sz w:val="24"/>
          <w:szCs w:val="24"/>
        </w:rPr>
        <w:t>(Wang et al., 2014)</w:t>
      </w:r>
      <w:r w:rsidRPr="00062261">
        <w:rPr>
          <w:rFonts w:ascii="Arial" w:hAnsi="Arial" w:cs="Arial"/>
          <w:sz w:val="24"/>
          <w:szCs w:val="24"/>
        </w:rPr>
        <w:fldChar w:fldCharType="end"/>
      </w:r>
      <w:r w:rsidRPr="00062261">
        <w:rPr>
          <w:rFonts w:ascii="Arial" w:hAnsi="Arial" w:cs="Arial"/>
          <w:sz w:val="24"/>
          <w:szCs w:val="24"/>
        </w:rPr>
        <w:t xml:space="preserve">. That study raised discussions about whether the finding of increased prevalence in a state with medical marijuana at the time was due to increased exposure or less stigma among parents or caregivers calling to report such an exposure </w:t>
      </w:r>
      <w:r w:rsidRPr="00062261">
        <w:rPr>
          <w:rFonts w:ascii="Arial" w:hAnsi="Arial" w:cs="Arial"/>
          <w:sz w:val="24"/>
          <w:szCs w:val="24"/>
        </w:rPr>
        <w:fldChar w:fldCharType="begin"/>
      </w:r>
      <w:r w:rsidRPr="00062261">
        <w:rPr>
          <w:rFonts w:ascii="Arial" w:hAnsi="Arial" w:cs="Arial"/>
          <w:sz w:val="24"/>
          <w:szCs w:val="24"/>
        </w:rPr>
        <w:instrText xml:space="preserve"> ADDIN EN.CITE &lt;EndNote&gt;&lt;Cite&gt;&lt;Author&gt;Hoffman&lt;/Author&gt;&lt;Year&gt;2016&lt;/Year&gt;&lt;RecNum&gt;1448&lt;/RecNum&gt;&lt;DisplayText&gt;(Hoffman, 2016)&lt;/DisplayText&gt;&lt;record&gt;&lt;rec-number&gt;1448&lt;/rec-number&gt;&lt;foreign-keys&gt;&lt;key app="EN" db-id="d0tr9f9wrrzr9lef5rsvpsadtz2we0sa25tw" timestamp="1524948943"&gt;1448&lt;/key&gt;&lt;/foreign-keys&gt;&lt;ref-type name="Newspaper Article"&gt;23&lt;/ref-type&gt;&lt;contributors&gt;&lt;authors&gt;&lt;author&gt;Hoffman, J.&lt;/author&gt;&lt;/authors&gt;&lt;/contributors&gt;&lt;titles&gt;&lt;title&gt;Study finds sharp increase in marijuana exposure among Colorado children.&lt;/title&gt;&lt;secondary-title&gt;The New York Times&lt;/secondary-title&gt;&lt;/titles&gt;&lt;dates&gt;&lt;year&gt;2016&lt;/year&gt;&lt;/dates&gt;&lt;pub-location&gt;New York&lt;/pub-location&gt;&lt;publisher&gt;The New York Times Company&lt;/publisher&gt;&lt;urls&gt;&lt;related-urls&gt;&lt;url&gt;https://www.nytimes.com/2016/07/26/health/marijuana-edibles-are-getting-into-colorado-childrens-hands-study-says.html&lt;/url&gt;&lt;/related-urls&gt;&lt;/urls&gt;&lt;/record&gt;&lt;/Cite&gt;&lt;/EndNote&gt;</w:instrText>
      </w:r>
      <w:r w:rsidRPr="00062261">
        <w:rPr>
          <w:rFonts w:ascii="Arial" w:hAnsi="Arial" w:cs="Arial"/>
          <w:sz w:val="24"/>
          <w:szCs w:val="24"/>
        </w:rPr>
        <w:fldChar w:fldCharType="separate"/>
      </w:r>
      <w:r w:rsidRPr="00062261">
        <w:rPr>
          <w:rFonts w:ascii="Arial" w:hAnsi="Arial" w:cs="Arial"/>
          <w:noProof/>
          <w:sz w:val="24"/>
          <w:szCs w:val="24"/>
        </w:rPr>
        <w:t>(Hoffman, 2016)</w:t>
      </w:r>
      <w:r w:rsidRPr="00062261">
        <w:rPr>
          <w:rFonts w:ascii="Arial" w:hAnsi="Arial" w:cs="Arial"/>
          <w:sz w:val="24"/>
          <w:szCs w:val="24"/>
        </w:rPr>
        <w:fldChar w:fldCharType="end"/>
      </w:r>
      <w:r w:rsidRPr="00062261">
        <w:rPr>
          <w:rFonts w:ascii="Arial" w:hAnsi="Arial" w:cs="Arial"/>
          <w:sz w:val="24"/>
          <w:szCs w:val="24"/>
        </w:rPr>
        <w:t xml:space="preserve">.  Our data indicated that there was a statistically significant increase in the proportion of calls to the PCC that were related to marijuana after medical marijuana was legalized in Massachusetts. </w:t>
      </w:r>
    </w:p>
    <w:p w:rsidR="007C23AA" w:rsidRPr="00062261" w:rsidRDefault="007C23AA" w:rsidP="006057BE">
      <w:pPr>
        <w:spacing w:after="0" w:line="240" w:lineRule="auto"/>
        <w:rPr>
          <w:rFonts w:ascii="Arial" w:hAnsi="Arial" w:cs="Arial"/>
          <w:sz w:val="24"/>
          <w:szCs w:val="24"/>
        </w:rPr>
      </w:pPr>
    </w:p>
    <w:p w:rsidR="007C23AA" w:rsidRPr="00062261" w:rsidRDefault="007C23AA" w:rsidP="006057BE">
      <w:pPr>
        <w:spacing w:after="0" w:line="240" w:lineRule="auto"/>
        <w:rPr>
          <w:rFonts w:ascii="Arial" w:hAnsi="Arial" w:cs="Arial"/>
          <w:sz w:val="24"/>
          <w:szCs w:val="24"/>
        </w:rPr>
      </w:pPr>
      <w:r w:rsidRPr="00062261">
        <w:rPr>
          <w:rFonts w:ascii="Arial" w:hAnsi="Arial" w:cs="Arial"/>
          <w:sz w:val="24"/>
          <w:szCs w:val="24"/>
        </w:rPr>
        <w:t xml:space="preserve">Children age 0-9 years accounted for less than 5% of the calls to the PCC due to marijuana exposure during the study period, whereas youth aged 10-19 years accounted for 40% of marijuana-related calls. </w:t>
      </w:r>
    </w:p>
    <w:p w:rsidR="007C23AA" w:rsidRDefault="007C23AA" w:rsidP="006057BE">
      <w:pPr>
        <w:suppressLineNumbers/>
        <w:spacing w:after="0" w:line="240" w:lineRule="auto"/>
        <w:rPr>
          <w:rFonts w:ascii="Arial" w:hAnsi="Arial" w:cs="Arial"/>
          <w:szCs w:val="24"/>
        </w:rPr>
      </w:pPr>
    </w:p>
    <w:p w:rsidR="007C23AA" w:rsidRDefault="007C23AA" w:rsidP="006057BE">
      <w:pPr>
        <w:suppressLineNumbers/>
        <w:spacing w:after="0" w:line="240" w:lineRule="auto"/>
        <w:rPr>
          <w:rFonts w:ascii="Arial" w:hAnsi="Arial" w:cs="Arial"/>
          <w:szCs w:val="24"/>
        </w:rPr>
      </w:pPr>
    </w:p>
    <w:p w:rsidR="007C23AA" w:rsidRDefault="007C23AA" w:rsidP="006057BE">
      <w:pPr>
        <w:suppressLineNumbers/>
        <w:spacing w:after="0" w:line="240" w:lineRule="auto"/>
        <w:rPr>
          <w:rFonts w:ascii="Arial" w:hAnsi="Arial" w:cs="Arial"/>
          <w:szCs w:val="24"/>
        </w:rPr>
      </w:pPr>
    </w:p>
    <w:p w:rsidR="007C23AA" w:rsidRPr="009C44E6" w:rsidRDefault="007C23AA" w:rsidP="006057BE">
      <w:pPr>
        <w:suppressLineNumbers/>
        <w:spacing w:after="0" w:line="240" w:lineRule="auto"/>
        <w:rPr>
          <w:rFonts w:ascii="Arial" w:hAnsi="Arial" w:cs="Arial"/>
          <w:szCs w:val="24"/>
        </w:rPr>
      </w:pPr>
    </w:p>
    <w:p w:rsidR="007C23AA" w:rsidRPr="009C44E6" w:rsidRDefault="007C23AA" w:rsidP="006057BE">
      <w:pPr>
        <w:suppressLineNumbers/>
        <w:spacing w:after="0" w:line="240" w:lineRule="auto"/>
        <w:rPr>
          <w:rFonts w:ascii="Arial" w:hAnsi="Arial" w:cs="Arial"/>
          <w:szCs w:val="24"/>
        </w:rPr>
      </w:pPr>
    </w:p>
    <w:p w:rsidR="007C23AA" w:rsidRDefault="007C23AA" w:rsidP="006057BE">
      <w:pPr>
        <w:suppressLineNumbers/>
        <w:spacing w:after="0" w:line="240" w:lineRule="auto"/>
        <w:rPr>
          <w:rFonts w:ascii="Arial" w:hAnsi="Arial" w:cs="Arial"/>
          <w:szCs w:val="24"/>
        </w:rPr>
      </w:pPr>
    </w:p>
    <w:p w:rsidR="007C23AA" w:rsidRDefault="007C23AA" w:rsidP="006057BE">
      <w:pPr>
        <w:suppressLineNumbers/>
        <w:spacing w:after="0" w:line="240" w:lineRule="auto"/>
        <w:rPr>
          <w:rFonts w:ascii="Arial" w:hAnsi="Arial" w:cs="Arial"/>
          <w:szCs w:val="24"/>
        </w:rPr>
      </w:pPr>
    </w:p>
    <w:p w:rsidR="007C23AA" w:rsidRDefault="007C23AA" w:rsidP="006057BE">
      <w:pPr>
        <w:suppressLineNumbers/>
        <w:spacing w:after="0" w:line="240" w:lineRule="auto"/>
        <w:rPr>
          <w:rFonts w:ascii="Arial" w:hAnsi="Arial" w:cs="Arial"/>
          <w:szCs w:val="24"/>
        </w:rPr>
      </w:pPr>
    </w:p>
    <w:p w:rsidR="007C23AA" w:rsidRDefault="007C23AA" w:rsidP="005F7A46">
      <w:pPr>
        <w:pStyle w:val="Heading2"/>
      </w:pPr>
      <w:bookmarkStart w:id="604" w:name="_Toc11766036"/>
      <w:bookmarkStart w:id="605" w:name="_Toc11766691"/>
      <w:bookmarkStart w:id="606" w:name="_Toc11917263"/>
      <w:bookmarkStart w:id="607" w:name="_Toc11921701"/>
      <w:bookmarkStart w:id="608" w:name="_Toc12520957"/>
      <w:bookmarkStart w:id="609" w:name="_Toc12521183"/>
      <w:bookmarkStart w:id="610" w:name="_Toc12529153"/>
      <w:r w:rsidRPr="009C44E6">
        <w:t>References</w:t>
      </w:r>
      <w:bookmarkEnd w:id="604"/>
      <w:bookmarkEnd w:id="605"/>
      <w:bookmarkEnd w:id="606"/>
      <w:bookmarkEnd w:id="607"/>
      <w:bookmarkEnd w:id="608"/>
      <w:bookmarkEnd w:id="609"/>
      <w:bookmarkEnd w:id="610"/>
    </w:p>
    <w:p w:rsidR="000D35DC" w:rsidRPr="000D35DC" w:rsidRDefault="000D35DC" w:rsidP="006057BE">
      <w:pPr>
        <w:pStyle w:val="BodyText"/>
        <w:spacing w:line="240" w:lineRule="auto"/>
      </w:pP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fldChar w:fldCharType="begin"/>
      </w:r>
      <w:r w:rsidRPr="009C44E6">
        <w:rPr>
          <w:rFonts w:ascii="Arial" w:hAnsi="Arial" w:cs="Arial"/>
          <w:szCs w:val="24"/>
        </w:rPr>
        <w:instrText xml:space="preserve"> ADDIN EN.REFLIST </w:instrText>
      </w:r>
      <w:r w:rsidRPr="009C44E6">
        <w:rPr>
          <w:rFonts w:ascii="Arial" w:hAnsi="Arial" w:cs="Arial"/>
          <w:szCs w:val="24"/>
        </w:rPr>
        <w:fldChar w:fldCharType="separate"/>
      </w:r>
      <w:r w:rsidRPr="009C44E6">
        <w:rPr>
          <w:rFonts w:ascii="Arial" w:hAnsi="Arial" w:cs="Arial"/>
          <w:szCs w:val="24"/>
        </w:rPr>
        <w:t xml:space="preserve">Alcohol and Drug Abuse Institute. (2013). What is Cannabis?   Retrieved from </w:t>
      </w:r>
      <w:hyperlink r:id="rId94" w:history="1">
        <w:r w:rsidRPr="009C44E6">
          <w:rPr>
            <w:rStyle w:val="Hyperlink"/>
            <w:rFonts w:ascii="Arial" w:hAnsi="Arial" w:cs="Arial"/>
            <w:szCs w:val="24"/>
          </w:rPr>
          <w:t>http://learnaboutmarijuanawa.org/factsheets/whatiscannabis.htm</w:t>
        </w:r>
      </w:hyperlink>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Alere DDS®2 Mobile Test System: Rapid Screening for Drugs of Abuse in Oral Fluid. (2018).   Retrieved from </w:t>
      </w:r>
      <w:hyperlink r:id="rId95" w:history="1">
        <w:r w:rsidRPr="009C44E6">
          <w:rPr>
            <w:rStyle w:val="Hyperlink"/>
            <w:rFonts w:ascii="Arial" w:hAnsi="Arial" w:cs="Arial"/>
            <w:szCs w:val="24"/>
          </w:rPr>
          <w:t>https://www.alere.com/en/home/product-details/dds2-mobile-test-system.html#</w:t>
        </w:r>
      </w:hyperlink>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Allen, K. R. (2011). Screening for drugs of abuse: which matrix, oral fluid or urine? </w:t>
      </w:r>
      <w:r w:rsidRPr="009C44E6">
        <w:rPr>
          <w:rFonts w:ascii="Arial" w:hAnsi="Arial" w:cs="Arial"/>
          <w:i/>
          <w:szCs w:val="24"/>
        </w:rPr>
        <w:t>Annals of Clinical Biochemistry, 48</w:t>
      </w:r>
      <w:r w:rsidRPr="009C44E6">
        <w:rPr>
          <w:rFonts w:ascii="Arial" w:hAnsi="Arial" w:cs="Arial"/>
          <w:szCs w:val="24"/>
        </w:rPr>
        <w:t xml:space="preserve">(6), 531-541.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Arnett, J. J., &amp; Tanner, J. L. (Eds.). (2004). </w:t>
      </w:r>
      <w:r w:rsidRPr="009C44E6">
        <w:rPr>
          <w:rFonts w:ascii="Arial" w:hAnsi="Arial" w:cs="Arial"/>
          <w:i/>
          <w:szCs w:val="24"/>
        </w:rPr>
        <w:t>Emerging Adulthood: The Winding Road from the Late Teens through the Twenties</w:t>
      </w:r>
      <w:r w:rsidRPr="009C44E6">
        <w:rPr>
          <w:rFonts w:ascii="Arial" w:hAnsi="Arial" w:cs="Arial"/>
          <w:szCs w:val="24"/>
        </w:rPr>
        <w:t>. New York, NY: Oxford University Press.</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Arria, A. M., Caldeira, K. M., Vincent, K. B., Garnier-Dykstra, L. M., &amp; O'Grady, K. E. (2011). Substance-related traffic-risk behaviors among college students. </w:t>
      </w:r>
      <w:r w:rsidRPr="009C44E6">
        <w:rPr>
          <w:rFonts w:ascii="Arial" w:hAnsi="Arial" w:cs="Arial"/>
          <w:i/>
          <w:szCs w:val="24"/>
        </w:rPr>
        <w:t>Drug Alcohol Depend, 118</w:t>
      </w:r>
      <w:r w:rsidRPr="009C44E6">
        <w:rPr>
          <w:rFonts w:ascii="Arial" w:hAnsi="Arial" w:cs="Arial"/>
          <w:szCs w:val="24"/>
        </w:rPr>
        <w:t>(2-3), 306-312. doi:10.1016/j.drugalcdep.2011.04.012</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Asbridge, M., Hayden, J. A., &amp; Cartwright, J. L. (2012). Acute cannabis consumption and motor vehicle collision risk: systematic review of observational studies and meta-analysis. </w:t>
      </w:r>
      <w:r w:rsidRPr="009C44E6">
        <w:rPr>
          <w:rFonts w:ascii="Arial" w:hAnsi="Arial" w:cs="Arial"/>
          <w:i/>
          <w:szCs w:val="24"/>
        </w:rPr>
        <w:t>BMJ, 344</w:t>
      </w:r>
      <w:r w:rsidRPr="009C44E6">
        <w:rPr>
          <w:rFonts w:ascii="Arial" w:hAnsi="Arial" w:cs="Arial"/>
          <w:szCs w:val="24"/>
        </w:rPr>
        <w:t xml:space="preserve">, e536.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Banta-Green, C., Rowhani-Rahbar, A., Ebel, B. E., Andris, L. M., &amp; Qiu, Q. (2016). Cannabis Use among Drivers Suspected of Driving Under the Influence or Involved in Collisions: Analyses of Washington State Patrol Data.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Berning, A., &amp; Smither, D. (2014). </w:t>
      </w:r>
      <w:r w:rsidRPr="009C44E6">
        <w:rPr>
          <w:rFonts w:ascii="Arial" w:hAnsi="Arial" w:cs="Arial"/>
          <w:i/>
          <w:szCs w:val="24"/>
        </w:rPr>
        <w:t>Understanding the Limitations of Drug Test Information, Reporting, and Testing Practices in Fatal Crashes</w:t>
      </w:r>
      <w:r w:rsidRPr="009C44E6">
        <w:rPr>
          <w:rFonts w:ascii="Arial" w:hAnsi="Arial" w:cs="Arial"/>
          <w:szCs w:val="24"/>
        </w:rPr>
        <w:t xml:space="preserve">. Washington, D.C.: U. S. D. o. Transportation. Retrieved from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Blencowe, T., Pehrsson, A., &amp; Lillsunde, P. (2010). </w:t>
      </w:r>
      <w:r w:rsidRPr="009C44E6">
        <w:rPr>
          <w:rFonts w:ascii="Arial" w:hAnsi="Arial" w:cs="Arial"/>
          <w:i/>
          <w:szCs w:val="24"/>
        </w:rPr>
        <w:t>Analytical evaluation of oral fluid screening devices and preceding selection procedures</w:t>
      </w:r>
      <w:r w:rsidRPr="009C44E6">
        <w:rPr>
          <w:rFonts w:ascii="Arial" w:hAnsi="Arial" w:cs="Arial"/>
          <w:szCs w:val="24"/>
        </w:rPr>
        <w:t xml:space="preserve">. A. a. M. Driving Under the Influence of Drugs. Retrieved from </w:t>
      </w:r>
      <w:hyperlink r:id="rId96" w:history="1">
        <w:r w:rsidRPr="009C44E6">
          <w:rPr>
            <w:rStyle w:val="Hyperlink"/>
            <w:rFonts w:ascii="Arial" w:hAnsi="Arial" w:cs="Arial"/>
            <w:szCs w:val="24"/>
          </w:rPr>
          <w:t>https://www.bast.de/Druid/EN/deliverales-list/downloads/Deliverable_3_2_2.pdf?__blob=publicationFile&amp;v=1</w:t>
        </w:r>
      </w:hyperlink>
      <w:r w:rsidRPr="009C44E6">
        <w:rPr>
          <w:rFonts w:ascii="Arial" w:hAnsi="Arial" w:cs="Arial"/>
          <w:szCs w:val="24"/>
        </w:rPr>
        <w:t>.</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Bondallaz, P., Favrat, B., Chtioui, H., Fornari, E., Maeder, P., &amp; Giroud, C. (2016). Cannabis and its effects on driving skills. </w:t>
      </w:r>
      <w:r w:rsidRPr="009C44E6">
        <w:rPr>
          <w:rFonts w:ascii="Arial" w:hAnsi="Arial" w:cs="Arial"/>
          <w:i/>
          <w:szCs w:val="24"/>
        </w:rPr>
        <w:t>Forensic Sci Int, 268</w:t>
      </w:r>
      <w:r w:rsidRPr="009C44E6">
        <w:rPr>
          <w:rFonts w:ascii="Arial" w:hAnsi="Arial" w:cs="Arial"/>
          <w:szCs w:val="24"/>
        </w:rPr>
        <w:t>, 92-102. doi:</w:t>
      </w:r>
      <w:hyperlink r:id="rId97" w:history="1">
        <w:r w:rsidRPr="009C44E6">
          <w:rPr>
            <w:rStyle w:val="Hyperlink"/>
            <w:rFonts w:ascii="Arial" w:hAnsi="Arial" w:cs="Arial"/>
            <w:szCs w:val="24"/>
          </w:rPr>
          <w:t>https://doi.org/10.1016/j.forsciint.2016.09.007</w:t>
        </w:r>
      </w:hyperlink>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Bosker, W. M., &amp; Huestis, M. A. (2009). Oral fluid testing for drugs of abuse. </w:t>
      </w:r>
      <w:r w:rsidRPr="009C44E6">
        <w:rPr>
          <w:rFonts w:ascii="Arial" w:hAnsi="Arial" w:cs="Arial"/>
          <w:i/>
          <w:szCs w:val="24"/>
        </w:rPr>
        <w:t>Clin Chem, 55</w:t>
      </w:r>
      <w:r w:rsidRPr="009C44E6">
        <w:rPr>
          <w:rFonts w:ascii="Arial" w:hAnsi="Arial" w:cs="Arial"/>
          <w:szCs w:val="24"/>
        </w:rPr>
        <w:t xml:space="preserve">(11), 1910-1931.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Chihuri, S., Li, G., &amp; Chen, Q. (2017). Interaction of marijuana and alcohol on fatal motor vehicle crash risk: a case-control study. </w:t>
      </w:r>
      <w:r w:rsidRPr="009C44E6">
        <w:rPr>
          <w:rFonts w:ascii="Arial" w:hAnsi="Arial" w:cs="Arial"/>
          <w:i/>
          <w:szCs w:val="24"/>
        </w:rPr>
        <w:t>Inj Epidemiol, 4</w:t>
      </w:r>
      <w:r w:rsidRPr="009C44E6">
        <w:rPr>
          <w:rFonts w:ascii="Arial" w:hAnsi="Arial" w:cs="Arial"/>
          <w:szCs w:val="24"/>
        </w:rPr>
        <w:t>(1), 8. doi:10.1186/s40621-017-0105-z</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Compton, R. (2017). </w:t>
      </w:r>
      <w:r w:rsidRPr="009C44E6">
        <w:rPr>
          <w:rFonts w:ascii="Arial" w:hAnsi="Arial" w:cs="Arial"/>
          <w:i/>
          <w:szCs w:val="24"/>
        </w:rPr>
        <w:t>Marijuana-Impaired Driving A Report to Congress</w:t>
      </w:r>
      <w:r w:rsidRPr="009C44E6">
        <w:rPr>
          <w:rFonts w:ascii="Arial" w:hAnsi="Arial" w:cs="Arial"/>
          <w:szCs w:val="24"/>
        </w:rPr>
        <w:t xml:space="preserve">. Washington, DC. Retrieved from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Davis, K. C., Allen, J., Duke, J., Nonnemaker, J., Bradfield, B., Farrelly, M. C., . . . Novak, S. (2016). Correlates of Marijuana Drugged Driving and Openness to Driving While High: Evidence from Colorado and Washington. </w:t>
      </w:r>
      <w:r w:rsidRPr="009C44E6">
        <w:rPr>
          <w:rFonts w:ascii="Arial" w:hAnsi="Arial" w:cs="Arial"/>
          <w:i/>
          <w:szCs w:val="24"/>
        </w:rPr>
        <w:t>PLoS One, 11</w:t>
      </w:r>
      <w:r w:rsidRPr="009C44E6">
        <w:rPr>
          <w:rFonts w:ascii="Arial" w:hAnsi="Arial" w:cs="Arial"/>
          <w:szCs w:val="24"/>
        </w:rPr>
        <w:t>(1), e0146853. doi:10.1371/journal.pone.0146853</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Department of Health and Environment, C. Adult marijuana use trends. </w:t>
      </w:r>
      <w:r w:rsidRPr="009C44E6">
        <w:rPr>
          <w:rFonts w:ascii="Arial" w:hAnsi="Arial" w:cs="Arial"/>
          <w:i/>
          <w:szCs w:val="24"/>
        </w:rPr>
        <w:t>Monitoring trends in adult marijuana use.</w:t>
      </w:r>
      <w:r w:rsidRPr="009C44E6">
        <w:rPr>
          <w:rFonts w:ascii="Arial" w:hAnsi="Arial" w:cs="Arial"/>
          <w:szCs w:val="24"/>
        </w:rPr>
        <w:t xml:space="preserve">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Department of Health and Human Services. (2015). </w:t>
      </w:r>
      <w:r w:rsidRPr="009C44E6">
        <w:rPr>
          <w:rFonts w:ascii="Arial" w:hAnsi="Arial" w:cs="Arial"/>
          <w:i/>
          <w:szCs w:val="24"/>
        </w:rPr>
        <w:t>Mandatory Guidelines for Federal Workplace Drug Testing Programs</w:t>
      </w:r>
      <w:r w:rsidRPr="009C44E6">
        <w:rPr>
          <w:rFonts w:ascii="Arial" w:hAnsi="Arial" w:cs="Arial"/>
          <w:szCs w:val="24"/>
        </w:rPr>
        <w:t xml:space="preserve">. Retrieved from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Dräger DrugTest® 5000: Analysis system for detecting drugs. (2018).   Retrieved from </w:t>
      </w:r>
      <w:hyperlink r:id="rId98" w:history="1">
        <w:r w:rsidRPr="009C44E6">
          <w:rPr>
            <w:rStyle w:val="Hyperlink"/>
            <w:rFonts w:ascii="Arial" w:hAnsi="Arial" w:cs="Arial"/>
            <w:szCs w:val="24"/>
          </w:rPr>
          <w:t>https://www.draeger.com/Library/Content/drugtest_5000_pi_9041006_en.pdf</w:t>
        </w:r>
      </w:hyperlink>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Drummer, O. H. (2010). Forensic toxicology. </w:t>
      </w:r>
      <w:r w:rsidRPr="009C44E6">
        <w:rPr>
          <w:rFonts w:ascii="Arial" w:hAnsi="Arial" w:cs="Arial"/>
          <w:i/>
          <w:szCs w:val="24"/>
        </w:rPr>
        <w:t>Exs, 100</w:t>
      </w:r>
      <w:r w:rsidRPr="009C44E6">
        <w:rPr>
          <w:rFonts w:ascii="Arial" w:hAnsi="Arial" w:cs="Arial"/>
          <w:szCs w:val="24"/>
        </w:rPr>
        <w:t xml:space="preserve">, 579-603.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Edwards, L. D., Smith, K. L., &amp; Savage, T. (2017). Drugged Driving in Wisconsin: Oral Fluid Versus Blood. </w:t>
      </w:r>
      <w:r w:rsidRPr="009C44E6">
        <w:rPr>
          <w:rFonts w:ascii="Arial" w:hAnsi="Arial" w:cs="Arial"/>
          <w:i/>
          <w:szCs w:val="24"/>
        </w:rPr>
        <w:t>J Anal Toxicol, 41</w:t>
      </w:r>
      <w:r w:rsidRPr="009C44E6">
        <w:rPr>
          <w:rFonts w:ascii="Arial" w:hAnsi="Arial" w:cs="Arial"/>
          <w:szCs w:val="24"/>
        </w:rPr>
        <w:t>(6), 523-529. doi:10.1093/jat/bkx051</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Gentili, S., Solimini, R., Tittarelli, R., Mannocchi, G., &amp; Busardo, F. P. (2016). A Study on the Reliability of an On-Site Oral Fluid Drug Test in a Recreational Context. </w:t>
      </w:r>
      <w:r w:rsidRPr="009C44E6">
        <w:rPr>
          <w:rFonts w:ascii="Arial" w:hAnsi="Arial" w:cs="Arial"/>
          <w:i/>
          <w:szCs w:val="24"/>
        </w:rPr>
        <w:t>J Anal Methods Chem, 2016</w:t>
      </w:r>
      <w:r w:rsidRPr="009C44E6">
        <w:rPr>
          <w:rFonts w:ascii="Arial" w:hAnsi="Arial" w:cs="Arial"/>
          <w:szCs w:val="24"/>
        </w:rPr>
        <w:t>, 1234581. doi:10.1155/2016/1234581</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Gentili, S., Solimini, R., Tittarelli, R., Mannocchi, G., &amp; Busardò, F. P. (2016). A Study on the Reliability of an On-Site Oral Fluid Drug Test in a Recreational Context. </w:t>
      </w:r>
      <w:r w:rsidRPr="009C44E6">
        <w:rPr>
          <w:rFonts w:ascii="Arial" w:hAnsi="Arial" w:cs="Arial"/>
          <w:i/>
          <w:szCs w:val="24"/>
        </w:rPr>
        <w:t>J Anal Methods Chem, 2016</w:t>
      </w:r>
      <w:r w:rsidRPr="009C44E6">
        <w:rPr>
          <w:rFonts w:ascii="Arial" w:hAnsi="Arial" w:cs="Arial"/>
          <w:szCs w:val="24"/>
        </w:rPr>
        <w:t>, 1234581. doi:10.1155/2016/1234581</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Grotenhermen, F. (2003). Pharmacokinetics and pharmacodynamics of cannabinoids. </w:t>
      </w:r>
      <w:r w:rsidRPr="009C44E6">
        <w:rPr>
          <w:rFonts w:ascii="Arial" w:hAnsi="Arial" w:cs="Arial"/>
          <w:i/>
          <w:szCs w:val="24"/>
        </w:rPr>
        <w:t>Clin Pharmacokinet, 42</w:t>
      </w:r>
      <w:r w:rsidRPr="009C44E6">
        <w:rPr>
          <w:rFonts w:ascii="Arial" w:hAnsi="Arial" w:cs="Arial"/>
          <w:szCs w:val="24"/>
        </w:rPr>
        <w:t>(4), 327-360. doi:10.2165/00003088-200342040-00003</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Gunasekaran, N., Long, L. E., Dawson, B. L., Hansen, G. H., Richardson, D. P., Li, K. M., . . . McGregor, I. S. (2009). Reintoxication: the release of fat-stored Δ(9)-tetrahydrocannabinol (THC) into blood is enhanced by food deprivation or ACTH exposure. </w:t>
      </w:r>
      <w:r w:rsidRPr="009C44E6">
        <w:rPr>
          <w:rFonts w:ascii="Arial" w:hAnsi="Arial" w:cs="Arial"/>
          <w:i/>
          <w:szCs w:val="24"/>
        </w:rPr>
        <w:t>British Journal of Pharmacology, 158</w:t>
      </w:r>
      <w:r w:rsidRPr="009C44E6">
        <w:rPr>
          <w:rFonts w:ascii="Arial" w:hAnsi="Arial" w:cs="Arial"/>
          <w:szCs w:val="24"/>
        </w:rPr>
        <w:t>(5), 1330-1337. doi:10.1111/j.1476-5381.2009.00399.x</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Hartman, R. L., Anizan, S., Jang, M., Brown, T. L., Yun, K. M., Gorelick, D. A., . . . Huestis, M. A. (2015). Cannabinoid disposition in oral fluid after controlled vaporizer administration with and without alcohol. </w:t>
      </w:r>
      <w:r w:rsidRPr="009C44E6">
        <w:rPr>
          <w:rFonts w:ascii="Arial" w:hAnsi="Arial" w:cs="Arial"/>
          <w:i/>
          <w:szCs w:val="24"/>
        </w:rPr>
        <w:t>Forensic Toxicology, 33</w:t>
      </w:r>
      <w:r w:rsidRPr="009C44E6">
        <w:rPr>
          <w:rFonts w:ascii="Arial" w:hAnsi="Arial" w:cs="Arial"/>
          <w:szCs w:val="24"/>
        </w:rPr>
        <w:t>(2), 260-278. doi:10.1007/s11419-015-0269-6</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Hartman, R. L., Brown, T. L., Milavetz, G., Spurgin, A., Gorelick, D. A., Gaffney, G., &amp; Huestis, M. A. (2016). Controlled vaporized cannabis, with and without alcohol: subjective effects and oral fluid-blood cannabinoid relationships. </w:t>
      </w:r>
      <w:r w:rsidRPr="009C44E6">
        <w:rPr>
          <w:rFonts w:ascii="Arial" w:hAnsi="Arial" w:cs="Arial"/>
          <w:i/>
          <w:szCs w:val="24"/>
        </w:rPr>
        <w:t>Drug Test Anal, 8</w:t>
      </w:r>
      <w:r w:rsidRPr="009C44E6">
        <w:rPr>
          <w:rFonts w:ascii="Arial" w:hAnsi="Arial" w:cs="Arial"/>
          <w:szCs w:val="24"/>
        </w:rPr>
        <w:t>(7), 690-701. doi:10.1002/dta.1839</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Hoffman, J. (2016). Study finds sharp increase in marijuana exposure among Colorado children.</w:t>
      </w:r>
      <w:r w:rsidRPr="009C44E6">
        <w:rPr>
          <w:rFonts w:ascii="Arial" w:hAnsi="Arial" w:cs="Arial"/>
          <w:i/>
          <w:szCs w:val="24"/>
        </w:rPr>
        <w:t xml:space="preserve"> The New York Times</w:t>
      </w:r>
      <w:r w:rsidRPr="009C44E6">
        <w:rPr>
          <w:rFonts w:ascii="Arial" w:hAnsi="Arial" w:cs="Arial"/>
          <w:szCs w:val="24"/>
        </w:rPr>
        <w:t xml:space="preserve">. Retrieved from </w:t>
      </w:r>
      <w:hyperlink r:id="rId99" w:history="1">
        <w:r w:rsidRPr="009C44E6">
          <w:rPr>
            <w:rStyle w:val="Hyperlink"/>
            <w:rFonts w:ascii="Arial" w:hAnsi="Arial" w:cs="Arial"/>
            <w:szCs w:val="24"/>
          </w:rPr>
          <w:t>https://www.nytimes.com/2016/07/26/health/marijuana-edibles-are-getting-into-colorado-childrens-hands-study-says.html</w:t>
        </w:r>
      </w:hyperlink>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Hollister, L. E., Gillespie, H. K., Ohlsson, A., Lindgren, J. E., Wahlen, A., &amp; Agurell, S. (1981). Do plasma concentrations of delta 9-tetrahydrocannabinol reflect the degree of intoxication? </w:t>
      </w:r>
      <w:r w:rsidRPr="009C44E6">
        <w:rPr>
          <w:rFonts w:ascii="Arial" w:hAnsi="Arial" w:cs="Arial"/>
          <w:i/>
          <w:szCs w:val="24"/>
        </w:rPr>
        <w:t>J Clin Pharmacol, 21</w:t>
      </w:r>
      <w:r w:rsidRPr="009C44E6">
        <w:rPr>
          <w:rFonts w:ascii="Arial" w:hAnsi="Arial" w:cs="Arial"/>
          <w:szCs w:val="24"/>
        </w:rPr>
        <w:t xml:space="preserve">(8-9 Suppl), 171s-177s.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Huestis, M. A. (2002). Cannabis (Marijuana) - Effects on Human Performance and Behavior. </w:t>
      </w:r>
      <w:r w:rsidRPr="009C44E6">
        <w:rPr>
          <w:rFonts w:ascii="Arial" w:hAnsi="Arial" w:cs="Arial"/>
          <w:i/>
          <w:szCs w:val="24"/>
        </w:rPr>
        <w:t>Forensic Sci Rev, 14</w:t>
      </w:r>
      <w:r w:rsidRPr="009C44E6">
        <w:rPr>
          <w:rFonts w:ascii="Arial" w:hAnsi="Arial" w:cs="Arial"/>
          <w:szCs w:val="24"/>
        </w:rPr>
        <w:t xml:space="preserve">(1-2), 15-60.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Huestis, M. A. (2007). Human Cannabinoid Pharmacokinetics. </w:t>
      </w:r>
      <w:r w:rsidRPr="009C44E6">
        <w:rPr>
          <w:rFonts w:ascii="Arial" w:hAnsi="Arial" w:cs="Arial"/>
          <w:i/>
          <w:szCs w:val="24"/>
        </w:rPr>
        <w:t>Chemistry &amp; biodiversity, 4</w:t>
      </w:r>
      <w:r w:rsidRPr="009C44E6">
        <w:rPr>
          <w:rFonts w:ascii="Arial" w:hAnsi="Arial" w:cs="Arial"/>
          <w:szCs w:val="24"/>
        </w:rPr>
        <w:t>(8), 1770-1804. doi:10.1002/cbdv.200790152</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Huestis, M. A., Milman, G., Mendu, D., Lee, D., Barnes, A. J., Schwope, D., . . . Desrosier, N. A. (2013). </w:t>
      </w:r>
      <w:r w:rsidRPr="009C44E6">
        <w:rPr>
          <w:rFonts w:ascii="Arial" w:hAnsi="Arial" w:cs="Arial"/>
          <w:i/>
          <w:szCs w:val="24"/>
        </w:rPr>
        <w:t>Evaluation the on-site Draeger DrugTest 5000 in occasional and chronic frequent smokers following controlled cannabis smoking</w:t>
      </w:r>
      <w:r w:rsidRPr="009C44E6">
        <w:rPr>
          <w:rFonts w:ascii="Arial" w:hAnsi="Arial" w:cs="Arial"/>
          <w:szCs w:val="24"/>
        </w:rPr>
        <w:t xml:space="preserve">. Retrieved from </w:t>
      </w:r>
      <w:hyperlink r:id="rId100" w:history="1">
        <w:r w:rsidRPr="009C44E6">
          <w:rPr>
            <w:rStyle w:val="Hyperlink"/>
            <w:rFonts w:ascii="Arial" w:hAnsi="Arial" w:cs="Arial"/>
            <w:szCs w:val="24"/>
          </w:rPr>
          <w:t>http://www.icadtsinternational.com/files/documents/2013_058.pdf</w:t>
        </w:r>
      </w:hyperlink>
      <w:r w:rsidRPr="009C44E6">
        <w:rPr>
          <w:rFonts w:ascii="Arial" w:hAnsi="Arial" w:cs="Arial"/>
          <w:szCs w:val="24"/>
        </w:rPr>
        <w:t>.</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Huestis, M. A., Milman, G., Mendu, D., Lee, D., Barnes, A. J., Schwope, D. M., . . . Desrosiers, N. A. (2013). </w:t>
      </w:r>
      <w:r w:rsidRPr="009C44E6">
        <w:rPr>
          <w:rFonts w:ascii="Arial" w:hAnsi="Arial" w:cs="Arial"/>
          <w:i/>
          <w:szCs w:val="24"/>
        </w:rPr>
        <w:t>Evaluation of the on-site Draeger DrugTest 5000 in occasional and chronic frequent smokers following controlled cannabis smoking.</w:t>
      </w:r>
      <w:r w:rsidRPr="009C44E6">
        <w:rPr>
          <w:rFonts w:ascii="Arial" w:hAnsi="Arial" w:cs="Arial"/>
          <w:szCs w:val="24"/>
        </w:rPr>
        <w:t xml:space="preserve"> Paper presented at the International Conference on Alcohol, Drugs and Traffic Safety (T2013), 20th, 2013, Brisbane, Queensland, Australia.</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Huestis, M. A., &amp; Smith, M. L. (2018). Cannabinoid Markers in Biological Fluids and Tissues: Revealing Intake. </w:t>
      </w:r>
      <w:r w:rsidRPr="009C44E6">
        <w:rPr>
          <w:rFonts w:ascii="Arial" w:hAnsi="Arial" w:cs="Arial"/>
          <w:i/>
          <w:szCs w:val="24"/>
        </w:rPr>
        <w:t>Trends Mol Med, 24</w:t>
      </w:r>
      <w:r w:rsidRPr="009C44E6">
        <w:rPr>
          <w:rFonts w:ascii="Arial" w:hAnsi="Arial" w:cs="Arial"/>
          <w:szCs w:val="24"/>
        </w:rPr>
        <w:t>(2), 156-172. doi:10.1016/j.molmed.2017.12.006</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Kim, S. Y., Kim, H., Park, Y., Lim, J., Kim, J., Koo, S. H., &amp; Kwon, G. C. (2017). Evaluation of an Automated Reader and Color Interpretation-Based Immunoassays for Multiplexed Drug-of-Abuse Testing in Urine. </w:t>
      </w:r>
      <w:r w:rsidRPr="009C44E6">
        <w:rPr>
          <w:rFonts w:ascii="Arial" w:hAnsi="Arial" w:cs="Arial"/>
          <w:i/>
          <w:szCs w:val="24"/>
        </w:rPr>
        <w:t>J Anal Toxicol, 41</w:t>
      </w:r>
      <w:r w:rsidRPr="009C44E6">
        <w:rPr>
          <w:rFonts w:ascii="Arial" w:hAnsi="Arial" w:cs="Arial"/>
          <w:szCs w:val="24"/>
        </w:rPr>
        <w:t>(5), 412-420. doi:10.1093/jat/bkx014</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Lee, D., Milman, G., Barnes, A. J., Goodwin, R. S., Hirvonen, J., &amp; Huestis, M. A. (2011). Oral fluid cannabinoids in chronic, daily cannabis smokers during sustained, monitored abstinence. </w:t>
      </w:r>
      <w:r w:rsidRPr="009C44E6">
        <w:rPr>
          <w:rFonts w:ascii="Arial" w:hAnsi="Arial" w:cs="Arial"/>
          <w:i/>
          <w:szCs w:val="24"/>
        </w:rPr>
        <w:t>Clin Chem, 57</w:t>
      </w:r>
      <w:r w:rsidRPr="009C44E6">
        <w:rPr>
          <w:rFonts w:ascii="Arial" w:hAnsi="Arial" w:cs="Arial"/>
          <w:szCs w:val="24"/>
        </w:rPr>
        <w:t xml:space="preserve">(8), 1127-1136.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Li, G., Chihuri, S., &amp; Brady, J. E. (2017). Role of alcohol and marijuana use in the initiation of fatal two-vehicle crashes. </w:t>
      </w:r>
      <w:r w:rsidRPr="009C44E6">
        <w:rPr>
          <w:rFonts w:ascii="Arial" w:hAnsi="Arial" w:cs="Arial"/>
          <w:i/>
          <w:szCs w:val="24"/>
        </w:rPr>
        <w:t>Annals of Epidemiology, 27</w:t>
      </w:r>
      <w:r w:rsidRPr="009C44E6">
        <w:rPr>
          <w:rFonts w:ascii="Arial" w:hAnsi="Arial" w:cs="Arial"/>
          <w:szCs w:val="24"/>
        </w:rPr>
        <w:t>(5), 342-347.e341. doi:</w:t>
      </w:r>
      <w:hyperlink r:id="rId101" w:history="1">
        <w:r w:rsidRPr="009C44E6">
          <w:rPr>
            <w:rStyle w:val="Hyperlink"/>
            <w:rFonts w:ascii="Arial" w:hAnsi="Arial" w:cs="Arial"/>
            <w:szCs w:val="24"/>
          </w:rPr>
          <w:t>https://doi.org/10.1016/j.annepidem.2017.05.003</w:t>
        </w:r>
      </w:hyperlink>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Li, K., Simons-Morton, B., Gee, B., &amp; Hingson, R. (2016). Marijuana-, alcohol-, and drug-impaired driving among emerging adults: Changes from high school to one-year post-high school. </w:t>
      </w:r>
      <w:r w:rsidRPr="009C44E6">
        <w:rPr>
          <w:rFonts w:ascii="Arial" w:hAnsi="Arial" w:cs="Arial"/>
          <w:i/>
          <w:szCs w:val="24"/>
        </w:rPr>
        <w:t>J Safety Res, 58</w:t>
      </w:r>
      <w:r w:rsidRPr="009C44E6">
        <w:rPr>
          <w:rFonts w:ascii="Arial" w:hAnsi="Arial" w:cs="Arial"/>
          <w:szCs w:val="24"/>
        </w:rPr>
        <w:t>, 15-20. doi:10.1016/j.jsr.2016.05.003</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Macdonald, S., Anglin-Bodrug, K., Mann, R. E., Erickson, P., Hathaway, A., Chipman, M., &amp; Rylett, M. (2003). Injury risk associated with cannabis and cocaine use. </w:t>
      </w:r>
      <w:r w:rsidRPr="009C44E6">
        <w:rPr>
          <w:rFonts w:ascii="Arial" w:hAnsi="Arial" w:cs="Arial"/>
          <w:i/>
          <w:szCs w:val="24"/>
        </w:rPr>
        <w:t>Drug Alcohol Depend, 72</w:t>
      </w:r>
      <w:r w:rsidRPr="009C44E6">
        <w:rPr>
          <w:rFonts w:ascii="Arial" w:hAnsi="Arial" w:cs="Arial"/>
          <w:szCs w:val="24"/>
        </w:rPr>
        <w:t xml:space="preserve">(2), 99-115.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Milburn, M. (2017). DRUID.   Retrieved from </w:t>
      </w:r>
      <w:hyperlink r:id="rId102" w:history="1">
        <w:r w:rsidRPr="009C44E6">
          <w:rPr>
            <w:rStyle w:val="Hyperlink"/>
            <w:rFonts w:ascii="Arial" w:hAnsi="Arial" w:cs="Arial"/>
            <w:szCs w:val="24"/>
          </w:rPr>
          <w:t>https://www.druidapp.com</w:t>
        </w:r>
      </w:hyperlink>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Moore, C., Coulter, C., Uges, D., Tuyay, J., Van der Linde, S., Van Leeuwen, A., . . . Orbita Jr, J. (2011). Cannabinoids in oral fluid following passive exposure to marijuana smoke. </w:t>
      </w:r>
      <w:r w:rsidRPr="009C44E6">
        <w:rPr>
          <w:rFonts w:ascii="Arial" w:hAnsi="Arial" w:cs="Arial"/>
          <w:i/>
          <w:szCs w:val="24"/>
        </w:rPr>
        <w:t>Forensic Sci Int, 212</w:t>
      </w:r>
      <w:r w:rsidRPr="009C44E6">
        <w:rPr>
          <w:rFonts w:ascii="Arial" w:hAnsi="Arial" w:cs="Arial"/>
          <w:szCs w:val="24"/>
        </w:rPr>
        <w:t xml:space="preserve">(1-3), 227-230.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National Highway Traffic Safety Administration. (2016a). </w:t>
      </w:r>
      <w:r w:rsidRPr="009C44E6">
        <w:rPr>
          <w:rFonts w:ascii="Arial" w:hAnsi="Arial" w:cs="Arial"/>
          <w:i/>
          <w:szCs w:val="24"/>
        </w:rPr>
        <w:t>2016 FARS/CRSS Coding and Validation Manual</w:t>
      </w:r>
      <w:r w:rsidRPr="009C44E6">
        <w:rPr>
          <w:rFonts w:ascii="Arial" w:hAnsi="Arial" w:cs="Arial"/>
          <w:szCs w:val="24"/>
        </w:rPr>
        <w:t xml:space="preserve">. Washington, D.C: National Highway Traffic Safety Administration. Retrieved from </w:t>
      </w:r>
      <w:hyperlink r:id="rId103" w:history="1">
        <w:r w:rsidRPr="009C44E6">
          <w:rPr>
            <w:rStyle w:val="Hyperlink"/>
            <w:rFonts w:ascii="Arial" w:hAnsi="Arial" w:cs="Arial"/>
            <w:szCs w:val="24"/>
          </w:rPr>
          <w:t>https://crashstats.nhtsa.dot.gov/Api/Public/Publication/812449</w:t>
        </w:r>
      </w:hyperlink>
      <w:r w:rsidRPr="009C44E6">
        <w:rPr>
          <w:rFonts w:ascii="Arial" w:hAnsi="Arial" w:cs="Arial"/>
          <w:szCs w:val="24"/>
        </w:rPr>
        <w:t>.</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National Highway Traffic Safety Administration. (2016b). </w:t>
      </w:r>
      <w:r w:rsidRPr="009C44E6">
        <w:rPr>
          <w:rFonts w:ascii="Arial" w:hAnsi="Arial" w:cs="Arial"/>
          <w:i/>
          <w:szCs w:val="24"/>
        </w:rPr>
        <w:t>Fatality Analysis Reporting System (FARS) Analytical User's Manual 1974-2015</w:t>
      </w:r>
      <w:r w:rsidRPr="009C44E6">
        <w:rPr>
          <w:rFonts w:ascii="Arial" w:hAnsi="Arial" w:cs="Arial"/>
          <w:szCs w:val="24"/>
        </w:rPr>
        <w:t xml:space="preserve">. Washington, D.C.: U. S. D. o. Transportation. Retrieved from </w:t>
      </w:r>
      <w:hyperlink r:id="rId104" w:history="1">
        <w:r w:rsidRPr="009C44E6">
          <w:rPr>
            <w:rStyle w:val="Hyperlink"/>
            <w:rFonts w:ascii="Arial" w:hAnsi="Arial" w:cs="Arial"/>
            <w:szCs w:val="24"/>
          </w:rPr>
          <w:t>http://www.nber.org/fars/ftp.nhtsa.dot.gov/fars/FARS-DOC/Analytical%20User%20Guide/USERGUIDE-2015.pdf</w:t>
        </w:r>
      </w:hyperlink>
      <w:r w:rsidRPr="009C44E6">
        <w:rPr>
          <w:rFonts w:ascii="Arial" w:hAnsi="Arial" w:cs="Arial"/>
          <w:szCs w:val="24"/>
        </w:rPr>
        <w:t>.</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Newmeyer, M. N., Swortwood, M. J., Andersson, M., Abulseoud, O. A., Scheidweiler, K. B., &amp; Huestis, M. A. (2017a). Cannabis Edibles: Blood and Oral Fluid Cannabinoid Pharmacokinetics and Evaluation of Oral Fluid Screening Devices for Predicting Delta9-Tetrahydrocannabinol in Blood and Oral Fluid following Cannabis Brownie Administration. </w:t>
      </w:r>
      <w:r w:rsidRPr="009C44E6">
        <w:rPr>
          <w:rFonts w:ascii="Arial" w:hAnsi="Arial" w:cs="Arial"/>
          <w:i/>
          <w:szCs w:val="24"/>
        </w:rPr>
        <w:t>Clin Chem, 63</w:t>
      </w:r>
      <w:r w:rsidRPr="009C44E6">
        <w:rPr>
          <w:rFonts w:ascii="Arial" w:hAnsi="Arial" w:cs="Arial"/>
          <w:szCs w:val="24"/>
        </w:rPr>
        <w:t>(3), 647-662. doi:10.1373/clinchem.2016.265371</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Newmeyer, M. N., Swortwood, M. J., Andersson, M., Abulseoud, O. A., Scheidweiler, K. B., &amp; Huestis, M. A. (2017b). Cannabis Edibles: Blood and Oral Fluid Cannabinoid Pharmacokinetics and Evaluation of Oral Fluid Screening Devices for Predicting Delta(9)-Tetrahydrocannabinol in Blood and Oral Fluid following Cannabis Brownie Administration. </w:t>
      </w:r>
      <w:r w:rsidRPr="009C44E6">
        <w:rPr>
          <w:rFonts w:ascii="Arial" w:hAnsi="Arial" w:cs="Arial"/>
          <w:i/>
          <w:szCs w:val="24"/>
        </w:rPr>
        <w:t>Clin Chem, 63</w:t>
      </w:r>
      <w:r w:rsidRPr="009C44E6">
        <w:rPr>
          <w:rFonts w:ascii="Arial" w:hAnsi="Arial" w:cs="Arial"/>
          <w:szCs w:val="24"/>
        </w:rPr>
        <w:t>(3), 647-662. doi:10.1373/clinchem.2016.265371</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Newmeyer, M. N., Swortwood, M. J., Barnes, A. J., Abulseoud, O. A., Scheidweiler, K. B., &amp; Huestis, M. A. (2016). Free and Glucuronide Whole Blood Cannabinoids' Pharmacokinetics after Controlled Smoked, Vaporized, and Oral Cannabis Administration in Frequent and Occasional Cannabis Users: Identification of Recent Cannabis Intake. </w:t>
      </w:r>
      <w:r w:rsidRPr="009C44E6">
        <w:rPr>
          <w:rFonts w:ascii="Arial" w:hAnsi="Arial" w:cs="Arial"/>
          <w:i/>
          <w:szCs w:val="24"/>
        </w:rPr>
        <w:t>Clin Chem, 62</w:t>
      </w:r>
      <w:r w:rsidRPr="009C44E6">
        <w:rPr>
          <w:rFonts w:ascii="Arial" w:hAnsi="Arial" w:cs="Arial"/>
          <w:szCs w:val="24"/>
        </w:rPr>
        <w:t>(12), 1579-1592. doi:10.1373/clinchem.2016.263475</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Quantisal™ Oral Fluid Collection Device. (2018).   Retrieved from </w:t>
      </w:r>
      <w:hyperlink r:id="rId105" w:history="1">
        <w:r w:rsidRPr="009C44E6">
          <w:rPr>
            <w:rStyle w:val="Hyperlink"/>
            <w:rFonts w:ascii="Arial" w:hAnsi="Arial" w:cs="Arial"/>
            <w:szCs w:val="24"/>
          </w:rPr>
          <w:t>https://www.alere.com/en/home/product-details/QuantisalOralFluidCollectionDevice-au.html</w:t>
        </w:r>
      </w:hyperlink>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Rocky Mountain High Intensity Drug Trafficking Area. (2015). The Legalization of Marijuana in Colorado: The Impact.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Rogeberg, O., &amp; Elvik, R. (2016). The effects of cannabis intoxication on motor vehicle collision revisited and revised. </w:t>
      </w:r>
      <w:r w:rsidRPr="009C44E6">
        <w:rPr>
          <w:rFonts w:ascii="Arial" w:hAnsi="Arial" w:cs="Arial"/>
          <w:i/>
          <w:szCs w:val="24"/>
        </w:rPr>
        <w:t>Addiction, 111</w:t>
      </w:r>
      <w:r w:rsidRPr="009C44E6">
        <w:rPr>
          <w:rFonts w:ascii="Arial" w:hAnsi="Arial" w:cs="Arial"/>
          <w:szCs w:val="24"/>
        </w:rPr>
        <w:t>(8), 1348-1359. doi:10.1111/add.13347</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Salomonsen-Sautel, S., Min, S. J., Sakai, J. T., Thurstone, C., &amp; Hopfer, C. (2014). Trends in fatal motor vehicle crashes before and after marijuana commercialization in Colorado. </w:t>
      </w:r>
      <w:r w:rsidRPr="009C44E6">
        <w:rPr>
          <w:rFonts w:ascii="Arial" w:hAnsi="Arial" w:cs="Arial"/>
          <w:i/>
          <w:szCs w:val="24"/>
        </w:rPr>
        <w:t>Drug Alcohol Depend, 140</w:t>
      </w:r>
      <w:r w:rsidRPr="009C44E6">
        <w:rPr>
          <w:rFonts w:ascii="Arial" w:hAnsi="Arial" w:cs="Arial"/>
          <w:szCs w:val="24"/>
        </w:rPr>
        <w:t>, 137-144. doi:10.1016/j.drugalcdep.2014.04.008</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Scherer, J. N., Fiorentin, T. R., Borille, B. T., Pasa, G., Sousa, T. R. V., von Diemen, L., . . . Pechansky, F. (2017). Reliability of point-of-collection testing devices for drugs of abuse in oral fluid: A systematic review and meta-analysis. </w:t>
      </w:r>
      <w:r w:rsidRPr="009C44E6">
        <w:rPr>
          <w:rFonts w:ascii="Arial" w:hAnsi="Arial" w:cs="Arial"/>
          <w:i/>
          <w:szCs w:val="24"/>
        </w:rPr>
        <w:t>Journal of Pharmaceutical and Biomedical Analysis, 143</w:t>
      </w:r>
      <w:r w:rsidRPr="009C44E6">
        <w:rPr>
          <w:rFonts w:ascii="Arial" w:hAnsi="Arial" w:cs="Arial"/>
          <w:szCs w:val="24"/>
        </w:rPr>
        <w:t>, 77-85. doi:10.1016/j.jpba.2017.05.021</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Subramanian, R. (2002). </w:t>
      </w:r>
      <w:r w:rsidRPr="009C44E6">
        <w:rPr>
          <w:rFonts w:ascii="Arial" w:hAnsi="Arial" w:cs="Arial"/>
          <w:i/>
          <w:szCs w:val="24"/>
        </w:rPr>
        <w:t>Transitioning to multiple imputation - A New method to estimate missing blood alcohol concentration (BAC) in FARS</w:t>
      </w:r>
      <w:r w:rsidRPr="009C44E6">
        <w:rPr>
          <w:rFonts w:ascii="Arial" w:hAnsi="Arial" w:cs="Arial"/>
          <w:szCs w:val="24"/>
        </w:rPr>
        <w:t xml:space="preserve">. Springfield, VA: National Center for Statistics and Analysis. Retrieved from </w:t>
      </w:r>
      <w:hyperlink r:id="rId106" w:history="1">
        <w:r w:rsidRPr="009C44E6">
          <w:rPr>
            <w:rStyle w:val="Hyperlink"/>
            <w:rFonts w:ascii="Arial" w:hAnsi="Arial" w:cs="Arial"/>
            <w:szCs w:val="24"/>
          </w:rPr>
          <w:t>https://crashstats.nhtsa.dot.gov/Api/Public/ViewPublication/809403</w:t>
        </w:r>
      </w:hyperlink>
      <w:r w:rsidRPr="009C44E6">
        <w:rPr>
          <w:rFonts w:ascii="Arial" w:hAnsi="Arial" w:cs="Arial"/>
          <w:szCs w:val="24"/>
        </w:rPr>
        <w:t>.</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Swortwood, M. J., Newmeyer, M. N., Abulseoud, O. A., Andersson, M., Barnes, A. J., Scheidweiler, K. B., &amp; Huestis, M. A. (2017). On-site oral fluid Delta(9)-tetrahydrocannabinol (THC) screening after controlled smoked, vaporized, and oral cannabis administration. </w:t>
      </w:r>
      <w:r w:rsidRPr="009C44E6">
        <w:rPr>
          <w:rFonts w:ascii="Arial" w:hAnsi="Arial" w:cs="Arial"/>
          <w:i/>
          <w:szCs w:val="24"/>
        </w:rPr>
        <w:t>Forensic Toxicology, 35</w:t>
      </w:r>
      <w:r w:rsidRPr="009C44E6">
        <w:rPr>
          <w:rFonts w:ascii="Arial" w:hAnsi="Arial" w:cs="Arial"/>
          <w:szCs w:val="24"/>
        </w:rPr>
        <w:t>(1), 133-145. doi:10.1007/s11419-016-0348-3</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Tefft, B. C., Arnold, L. S., &amp; Grabowski, J. G. (2016). Prevalence of Marijuana Involvement in Fatal Crashes: Washington, 2010–2014.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Verstraete, A., Knoche, A., Jantos, R., Skopp, G., Gjerde, H., Vindenes, V., . . . Lillsunde, P. (2011). Per se limits: methods of defining cut-off values for zero tolerance.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Wall, M. E., Sadler, B. M., Brine, D., Taylor, H., &amp; Perez-Reyes, M. (1983). Metabolism, disposition, and kinetics of delta-9-tetrahydrocannabinol in men and women. </w:t>
      </w:r>
      <w:r w:rsidRPr="009C44E6">
        <w:rPr>
          <w:rFonts w:ascii="Arial" w:hAnsi="Arial" w:cs="Arial"/>
          <w:i/>
          <w:szCs w:val="24"/>
        </w:rPr>
        <w:t>Clin Pharmacol Ther, 34</w:t>
      </w:r>
      <w:r w:rsidRPr="009C44E6">
        <w:rPr>
          <w:rFonts w:ascii="Arial" w:hAnsi="Arial" w:cs="Arial"/>
          <w:szCs w:val="24"/>
        </w:rPr>
        <w:t xml:space="preserve">(3), 352-363.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Walsh, J. M. (2008). New technology and new initiatives in US workplace testing. </w:t>
      </w:r>
      <w:r w:rsidRPr="009C44E6">
        <w:rPr>
          <w:rFonts w:ascii="Arial" w:hAnsi="Arial" w:cs="Arial"/>
          <w:i/>
          <w:szCs w:val="24"/>
        </w:rPr>
        <w:t>Forensic Sci Int, 174</w:t>
      </w:r>
      <w:r w:rsidRPr="009C44E6">
        <w:rPr>
          <w:rFonts w:ascii="Arial" w:hAnsi="Arial" w:cs="Arial"/>
          <w:szCs w:val="24"/>
        </w:rPr>
        <w:t>(2-3), 120-124. doi:10.1016/j.forsciint.2007.03.011</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Walsh, J. M., Verstraete, A. G., Huestis, M. A., &amp; Mørland, J. (2008). Guidelines for research on drugged driving. </w:t>
      </w:r>
      <w:r w:rsidRPr="009C44E6">
        <w:rPr>
          <w:rFonts w:ascii="Arial" w:hAnsi="Arial" w:cs="Arial"/>
          <w:i/>
          <w:szCs w:val="24"/>
        </w:rPr>
        <w:t>Addiction, 103</w:t>
      </w:r>
      <w:r w:rsidRPr="009C44E6">
        <w:rPr>
          <w:rFonts w:ascii="Arial" w:hAnsi="Arial" w:cs="Arial"/>
          <w:szCs w:val="24"/>
        </w:rPr>
        <w:t xml:space="preserve">(8), 1258-1268. </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Wang, G. S., Roosevelt, G., Le Lait, M. C., Martinez, E. M., Bucher-Bartelson, B., Bronstein, A. C., &amp; Heard, K. (2014). Association of unintentional pediatric exposures with decriminalization of marijuana in the United States. </w:t>
      </w:r>
      <w:r w:rsidRPr="009C44E6">
        <w:rPr>
          <w:rFonts w:ascii="Arial" w:hAnsi="Arial" w:cs="Arial"/>
          <w:i/>
          <w:szCs w:val="24"/>
        </w:rPr>
        <w:t>Ann Emerg Med, 63</w:t>
      </w:r>
      <w:r w:rsidRPr="009C44E6">
        <w:rPr>
          <w:rFonts w:ascii="Arial" w:hAnsi="Arial" w:cs="Arial"/>
          <w:szCs w:val="24"/>
        </w:rPr>
        <w:t>(6), 684-689. doi:10.1016/j.annemergmed.2014.01.017</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Westin, A. A., Mjønes, G., Burchardt, O., Fuskevåg, O. M., &amp; Slørdal, L. (2014). Can Physical Exercise or Food Deprivation Cause Release of Fat-Stored Cannabinoids? </w:t>
      </w:r>
      <w:r w:rsidRPr="009C44E6">
        <w:rPr>
          <w:rFonts w:ascii="Arial" w:hAnsi="Arial" w:cs="Arial"/>
          <w:i/>
          <w:szCs w:val="24"/>
        </w:rPr>
        <w:t>Basic &amp; Clinical Pharmacology &amp; Toxicology, 115</w:t>
      </w:r>
      <w:r w:rsidRPr="009C44E6">
        <w:rPr>
          <w:rFonts w:ascii="Arial" w:hAnsi="Arial" w:cs="Arial"/>
          <w:szCs w:val="24"/>
        </w:rPr>
        <w:t>(5), 467-471. doi:10.1111/bcpt.12235</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Whitehill, J. M., Rivara, F. P., &amp; Moreno, M. A. (2014). Marijuana-using drivers, alcohol-using drivers, and their passengers: prevalence and risk factors among underage college students. </w:t>
      </w:r>
      <w:r w:rsidRPr="009C44E6">
        <w:rPr>
          <w:rFonts w:ascii="Arial" w:hAnsi="Arial" w:cs="Arial"/>
          <w:i/>
          <w:szCs w:val="24"/>
        </w:rPr>
        <w:t>JAMA Pediatr, 168</w:t>
      </w:r>
      <w:r w:rsidRPr="009C44E6">
        <w:rPr>
          <w:rFonts w:ascii="Arial" w:hAnsi="Arial" w:cs="Arial"/>
          <w:szCs w:val="24"/>
        </w:rPr>
        <w:t>(7), 618-624. doi:10.1001/jamapediatrics.2013.5300</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Wong, A., Keats, K., Rooney, K., Hicks, C., Allsop, D. J., Arnold, J. C., &amp; McGregor, I. S. (2014). Fasting and exercise increase plasma cannabinoid levels in THC pre-treated rats: an examination of behavioural consequences. </w:t>
      </w:r>
      <w:r w:rsidRPr="009C44E6">
        <w:rPr>
          <w:rFonts w:ascii="Arial" w:hAnsi="Arial" w:cs="Arial"/>
          <w:i/>
          <w:szCs w:val="24"/>
        </w:rPr>
        <w:t>Psychopharmacology (Berl), 231</w:t>
      </w:r>
      <w:r w:rsidRPr="009C44E6">
        <w:rPr>
          <w:rFonts w:ascii="Arial" w:hAnsi="Arial" w:cs="Arial"/>
          <w:szCs w:val="24"/>
        </w:rPr>
        <w:t>(20), 3987-3996. doi:10.1007/s00213-014-3532-3</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Wong, A., Montebello, M. E., Norberg, M. M., Rooney, K., Lintzeris, N., Bruno, R., . . . McGregor, I. S. (2013). Exercise increases plasma THC concentrations in regular cannabis users. </w:t>
      </w:r>
      <w:r w:rsidRPr="009C44E6">
        <w:rPr>
          <w:rFonts w:ascii="Arial" w:hAnsi="Arial" w:cs="Arial"/>
          <w:i/>
          <w:szCs w:val="24"/>
        </w:rPr>
        <w:t>Drug Alcohol Depend, 133</w:t>
      </w:r>
      <w:r w:rsidRPr="009C44E6">
        <w:rPr>
          <w:rFonts w:ascii="Arial" w:hAnsi="Arial" w:cs="Arial"/>
          <w:szCs w:val="24"/>
        </w:rPr>
        <w:t>(2), 763-767. doi:10.1016/j.drugalcdep.2013.07.031</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Wood, E., Brooks-Russell, A., &amp; Drum, P. (2016). Delays in DUI blood testing: Impact on cannabis DUI assessments. </w:t>
      </w:r>
      <w:r w:rsidRPr="009C44E6">
        <w:rPr>
          <w:rFonts w:ascii="Arial" w:hAnsi="Arial" w:cs="Arial"/>
          <w:i/>
          <w:szCs w:val="24"/>
        </w:rPr>
        <w:t>Traffic Inj Prev, 17</w:t>
      </w:r>
      <w:r w:rsidRPr="009C44E6">
        <w:rPr>
          <w:rFonts w:ascii="Arial" w:hAnsi="Arial" w:cs="Arial"/>
          <w:szCs w:val="24"/>
        </w:rPr>
        <w:t>(2), 105-108. doi:10.1080/15389588.2015.1052421</w:t>
      </w:r>
    </w:p>
    <w:p w:rsidR="007C23AA" w:rsidRPr="009C44E6" w:rsidRDefault="007C23AA" w:rsidP="006057BE">
      <w:pPr>
        <w:pStyle w:val="EndNoteBibliography"/>
        <w:spacing w:after="0"/>
        <w:ind w:left="720" w:hanging="720"/>
        <w:rPr>
          <w:rFonts w:ascii="Arial" w:hAnsi="Arial" w:cs="Arial"/>
          <w:szCs w:val="24"/>
        </w:rPr>
      </w:pPr>
      <w:r w:rsidRPr="009C44E6">
        <w:rPr>
          <w:rFonts w:ascii="Arial" w:hAnsi="Arial" w:cs="Arial"/>
          <w:szCs w:val="24"/>
        </w:rPr>
        <w:t xml:space="preserve">World Health Organization. (2017). Adolescent Health.   Retrieved from </w:t>
      </w:r>
      <w:hyperlink r:id="rId107" w:history="1">
        <w:r w:rsidRPr="009C44E6">
          <w:rPr>
            <w:rStyle w:val="Hyperlink"/>
            <w:rFonts w:ascii="Arial" w:hAnsi="Arial" w:cs="Arial"/>
            <w:szCs w:val="24"/>
          </w:rPr>
          <w:t>http://www.who.int/topics/adolescent_health/en/</w:t>
        </w:r>
      </w:hyperlink>
    </w:p>
    <w:p w:rsidR="007C23AA" w:rsidRPr="007C23AA" w:rsidRDefault="007C23AA" w:rsidP="006057BE">
      <w:pPr>
        <w:pStyle w:val="Header"/>
        <w:rPr>
          <w:sz w:val="28"/>
          <w:szCs w:val="28"/>
        </w:rPr>
      </w:pPr>
      <w:r w:rsidRPr="009C44E6">
        <w:rPr>
          <w:rFonts w:ascii="Arial" w:hAnsi="Arial" w:cs="Arial"/>
          <w:szCs w:val="24"/>
        </w:rPr>
        <w:t xml:space="preserve">Zou, G. (2004). A modified poisson regression approach to prospective studies with binary data. </w:t>
      </w:r>
      <w:r w:rsidRPr="009C44E6">
        <w:rPr>
          <w:rFonts w:ascii="Arial" w:hAnsi="Arial" w:cs="Arial"/>
          <w:i/>
          <w:szCs w:val="24"/>
        </w:rPr>
        <w:t>Am J Epidemiol, 159</w:t>
      </w:r>
      <w:r w:rsidRPr="009C44E6">
        <w:rPr>
          <w:rFonts w:ascii="Arial" w:hAnsi="Arial" w:cs="Arial"/>
          <w:szCs w:val="24"/>
        </w:rPr>
        <w:t xml:space="preserve">(7), 702-706. </w:t>
      </w:r>
      <w:r w:rsidRPr="009C44E6">
        <w:rPr>
          <w:rFonts w:ascii="Arial" w:hAnsi="Arial" w:cs="Arial"/>
          <w:szCs w:val="24"/>
        </w:rPr>
        <w:fldChar w:fldCharType="end"/>
      </w:r>
    </w:p>
    <w:p w:rsidR="006F5E7B" w:rsidRDefault="006F5E7B" w:rsidP="006057BE">
      <w:pPr>
        <w:spacing w:after="0" w:line="240" w:lineRule="auto"/>
        <w:jc w:val="center"/>
        <w:rPr>
          <w:rFonts w:ascii="Arial" w:hAnsi="Arial" w:cs="Arial"/>
          <w:sz w:val="28"/>
          <w:szCs w:val="28"/>
        </w:rPr>
      </w:pPr>
    </w:p>
    <w:p w:rsidR="006F5E7B" w:rsidRDefault="006F5E7B" w:rsidP="006057BE">
      <w:pPr>
        <w:spacing w:after="0" w:line="240" w:lineRule="auto"/>
        <w:jc w:val="center"/>
        <w:rPr>
          <w:rFonts w:ascii="Arial" w:hAnsi="Arial" w:cs="Arial"/>
          <w:sz w:val="28"/>
          <w:szCs w:val="28"/>
        </w:rPr>
      </w:pPr>
    </w:p>
    <w:p w:rsidR="006F5E7B" w:rsidRDefault="006F5E7B" w:rsidP="006057BE">
      <w:pPr>
        <w:spacing w:after="0" w:line="240" w:lineRule="auto"/>
        <w:jc w:val="center"/>
        <w:rPr>
          <w:rFonts w:ascii="Arial" w:hAnsi="Arial" w:cs="Arial"/>
          <w:sz w:val="28"/>
          <w:szCs w:val="28"/>
        </w:rPr>
      </w:pPr>
    </w:p>
    <w:p w:rsidR="006F5E7B" w:rsidRDefault="006F5E7B" w:rsidP="006057BE">
      <w:pPr>
        <w:spacing w:after="0" w:line="240" w:lineRule="auto"/>
        <w:jc w:val="center"/>
        <w:rPr>
          <w:rFonts w:ascii="Arial" w:hAnsi="Arial" w:cs="Arial"/>
          <w:sz w:val="28"/>
          <w:szCs w:val="28"/>
        </w:rPr>
      </w:pPr>
    </w:p>
    <w:p w:rsidR="006F5E7B" w:rsidRDefault="006F5E7B" w:rsidP="006057BE">
      <w:pPr>
        <w:spacing w:after="0" w:line="240" w:lineRule="auto"/>
        <w:jc w:val="center"/>
        <w:rPr>
          <w:rFonts w:ascii="Arial" w:hAnsi="Arial" w:cs="Arial"/>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057BE" w:rsidRDefault="006057BE" w:rsidP="006057BE">
      <w:pPr>
        <w:spacing w:after="0" w:line="240" w:lineRule="auto"/>
        <w:jc w:val="center"/>
        <w:rPr>
          <w:rFonts w:ascii="Arial" w:hAnsi="Arial" w:cs="Arial"/>
          <w:b/>
          <w:sz w:val="28"/>
          <w:szCs w:val="28"/>
        </w:rPr>
      </w:pPr>
    </w:p>
    <w:p w:rsidR="005D7694" w:rsidRDefault="005D7694" w:rsidP="006057BE">
      <w:pPr>
        <w:spacing w:after="0" w:line="240" w:lineRule="auto"/>
        <w:jc w:val="center"/>
        <w:rPr>
          <w:rFonts w:ascii="Arial" w:hAnsi="Arial" w:cs="Arial"/>
          <w:b/>
          <w:sz w:val="28"/>
          <w:szCs w:val="28"/>
        </w:rPr>
      </w:pPr>
    </w:p>
    <w:p w:rsidR="005D7694" w:rsidRDefault="005D7694" w:rsidP="006057BE">
      <w:pPr>
        <w:spacing w:after="0" w:line="240" w:lineRule="auto"/>
        <w:jc w:val="center"/>
        <w:rPr>
          <w:rFonts w:ascii="Arial" w:hAnsi="Arial" w:cs="Arial"/>
          <w:b/>
          <w:sz w:val="28"/>
          <w:szCs w:val="28"/>
        </w:rPr>
      </w:pPr>
    </w:p>
    <w:p w:rsidR="005D7694" w:rsidRDefault="005D7694" w:rsidP="006057BE">
      <w:pPr>
        <w:spacing w:after="0" w:line="240" w:lineRule="auto"/>
        <w:jc w:val="center"/>
        <w:rPr>
          <w:rFonts w:ascii="Arial" w:hAnsi="Arial" w:cs="Arial"/>
          <w:b/>
          <w:sz w:val="28"/>
          <w:szCs w:val="28"/>
        </w:rPr>
      </w:pPr>
    </w:p>
    <w:p w:rsidR="005D7694" w:rsidRDefault="005D7694" w:rsidP="006057BE">
      <w:pPr>
        <w:spacing w:after="0" w:line="240" w:lineRule="auto"/>
        <w:jc w:val="center"/>
        <w:rPr>
          <w:rFonts w:ascii="Arial" w:hAnsi="Arial" w:cs="Arial"/>
          <w:b/>
          <w:sz w:val="28"/>
          <w:szCs w:val="28"/>
        </w:rPr>
      </w:pPr>
    </w:p>
    <w:p w:rsidR="005D7694" w:rsidRDefault="005D7694" w:rsidP="006057BE">
      <w:pPr>
        <w:spacing w:after="0" w:line="240" w:lineRule="auto"/>
        <w:jc w:val="center"/>
        <w:rPr>
          <w:rFonts w:ascii="Arial" w:hAnsi="Arial" w:cs="Arial"/>
          <w:b/>
          <w:sz w:val="28"/>
          <w:szCs w:val="28"/>
        </w:rPr>
      </w:pPr>
    </w:p>
    <w:p w:rsidR="005D7694" w:rsidRDefault="005D7694" w:rsidP="006057BE">
      <w:pPr>
        <w:spacing w:after="0" w:line="240" w:lineRule="auto"/>
        <w:jc w:val="center"/>
        <w:rPr>
          <w:rFonts w:ascii="Arial" w:hAnsi="Arial" w:cs="Arial"/>
          <w:b/>
          <w:sz w:val="28"/>
          <w:szCs w:val="28"/>
        </w:rPr>
      </w:pPr>
    </w:p>
    <w:p w:rsidR="005D7694" w:rsidRDefault="005D7694" w:rsidP="006057BE">
      <w:pPr>
        <w:spacing w:after="0" w:line="240" w:lineRule="auto"/>
        <w:jc w:val="center"/>
        <w:rPr>
          <w:rFonts w:ascii="Arial" w:hAnsi="Arial" w:cs="Arial"/>
          <w:b/>
          <w:sz w:val="28"/>
          <w:szCs w:val="28"/>
        </w:rPr>
      </w:pPr>
    </w:p>
    <w:p w:rsidR="005D7694" w:rsidRDefault="005D7694" w:rsidP="006057BE">
      <w:pPr>
        <w:spacing w:after="0" w:line="240" w:lineRule="auto"/>
        <w:jc w:val="center"/>
        <w:rPr>
          <w:rFonts w:ascii="Arial" w:hAnsi="Arial" w:cs="Arial"/>
          <w:b/>
          <w:sz w:val="28"/>
          <w:szCs w:val="28"/>
        </w:rPr>
      </w:pPr>
    </w:p>
    <w:p w:rsidR="00676EC3" w:rsidRDefault="00BF2E51" w:rsidP="00F950A2">
      <w:pPr>
        <w:pStyle w:val="Heading1"/>
      </w:pPr>
      <w:bookmarkStart w:id="611" w:name="_Toc12529154"/>
      <w:r>
        <w:t>Task 3:</w:t>
      </w:r>
      <w:r w:rsidR="006F5E7B" w:rsidRPr="006F5E7B">
        <w:t xml:space="preserve"> </w:t>
      </w:r>
      <w:r w:rsidR="00676EC3">
        <w:t>Economic and Fiscal Impacts</w:t>
      </w:r>
      <w:bookmarkEnd w:id="611"/>
      <w:r w:rsidR="00676EC3">
        <w:t xml:space="preserve"> </w:t>
      </w:r>
    </w:p>
    <w:p w:rsidR="00676EC3" w:rsidRDefault="00676EC3" w:rsidP="00F950A2">
      <w:pPr>
        <w:pStyle w:val="BodyText"/>
      </w:pPr>
    </w:p>
    <w:p w:rsidR="006F5E7B" w:rsidRDefault="006F5E7B" w:rsidP="00F950A2">
      <w:pPr>
        <w:pStyle w:val="Heading1"/>
      </w:pPr>
      <w:bookmarkStart w:id="612" w:name="_Toc12529155"/>
      <w:r w:rsidRPr="006F5E7B">
        <w:t>Chapter 1: From Medical to Retail Marijuana: Estimating Fiscal Effects of Legalization In Massachusetts</w:t>
      </w:r>
      <w:bookmarkEnd w:id="612"/>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6F5E7B" w:rsidRDefault="006F5E7B" w:rsidP="006057BE">
      <w:pPr>
        <w:spacing w:after="0" w:line="240" w:lineRule="auto"/>
        <w:jc w:val="center"/>
        <w:rPr>
          <w:rFonts w:ascii="Arial" w:hAnsi="Arial" w:cs="Arial"/>
          <w:b/>
          <w:sz w:val="28"/>
          <w:szCs w:val="28"/>
        </w:rPr>
      </w:pPr>
    </w:p>
    <w:p w:rsidR="005D7694" w:rsidRDefault="005D7694" w:rsidP="006057BE">
      <w:pPr>
        <w:pStyle w:val="NormalSS"/>
        <w:spacing w:after="0"/>
        <w:rPr>
          <w:rFonts w:ascii="Arial" w:hAnsi="Arial" w:cs="Arial"/>
          <w:b/>
          <w:sz w:val="24"/>
          <w:szCs w:val="24"/>
        </w:rPr>
      </w:pPr>
    </w:p>
    <w:p w:rsidR="005D7694" w:rsidRDefault="005D7694" w:rsidP="006057BE">
      <w:pPr>
        <w:pStyle w:val="NormalSS"/>
        <w:spacing w:after="0"/>
        <w:rPr>
          <w:rFonts w:ascii="Arial" w:hAnsi="Arial" w:cs="Arial"/>
          <w:b/>
          <w:sz w:val="24"/>
          <w:szCs w:val="24"/>
        </w:rPr>
      </w:pPr>
    </w:p>
    <w:p w:rsidR="005D7694" w:rsidRDefault="005D7694" w:rsidP="006057BE">
      <w:pPr>
        <w:pStyle w:val="NormalSS"/>
        <w:spacing w:after="0"/>
        <w:rPr>
          <w:rFonts w:ascii="Arial" w:hAnsi="Arial" w:cs="Arial"/>
          <w:b/>
          <w:sz w:val="24"/>
          <w:szCs w:val="24"/>
        </w:rPr>
      </w:pPr>
    </w:p>
    <w:p w:rsidR="005D7694" w:rsidRDefault="005D7694" w:rsidP="006057BE">
      <w:pPr>
        <w:pStyle w:val="NormalSS"/>
        <w:spacing w:after="0"/>
        <w:rPr>
          <w:rFonts w:ascii="Arial" w:hAnsi="Arial" w:cs="Arial"/>
          <w:b/>
          <w:sz w:val="24"/>
          <w:szCs w:val="24"/>
        </w:rPr>
      </w:pPr>
    </w:p>
    <w:p w:rsidR="005D7694" w:rsidRDefault="005D7694" w:rsidP="001131A6">
      <w:pPr>
        <w:pStyle w:val="Heading2"/>
      </w:pPr>
    </w:p>
    <w:p w:rsidR="00B133C6" w:rsidRDefault="00B133C6" w:rsidP="001131A6">
      <w:pPr>
        <w:pStyle w:val="Heading2"/>
      </w:pPr>
      <w:bookmarkStart w:id="613" w:name="_Toc11917266"/>
      <w:bookmarkStart w:id="614" w:name="_Toc11921704"/>
      <w:bookmarkStart w:id="615" w:name="_Toc12520960"/>
      <w:bookmarkStart w:id="616" w:name="_Toc12521186"/>
      <w:bookmarkStart w:id="617" w:name="_Toc12529156"/>
      <w:r>
        <w:t>Abstract</w:t>
      </w:r>
      <w:bookmarkEnd w:id="613"/>
      <w:bookmarkEnd w:id="614"/>
      <w:bookmarkEnd w:id="615"/>
      <w:bookmarkEnd w:id="616"/>
      <w:bookmarkEnd w:id="617"/>
    </w:p>
    <w:p w:rsidR="00B133C6" w:rsidRDefault="00B133C6" w:rsidP="006057BE">
      <w:pPr>
        <w:pStyle w:val="NormalSS"/>
        <w:spacing w:after="0"/>
        <w:rPr>
          <w:rFonts w:ascii="Arial" w:hAnsi="Arial" w:cs="Arial"/>
          <w:b/>
          <w:sz w:val="24"/>
          <w:szCs w:val="24"/>
        </w:rPr>
      </w:pPr>
    </w:p>
    <w:p w:rsidR="00B133C6" w:rsidRDefault="00B133C6" w:rsidP="001131A6">
      <w:pPr>
        <w:pStyle w:val="Heading2"/>
      </w:pPr>
      <w:bookmarkStart w:id="618" w:name="_Toc11917267"/>
      <w:bookmarkStart w:id="619" w:name="_Toc11921705"/>
      <w:bookmarkStart w:id="620" w:name="_Toc12520961"/>
      <w:bookmarkStart w:id="621" w:name="_Toc12521187"/>
      <w:bookmarkStart w:id="622" w:name="_Toc12529157"/>
      <w:r>
        <w:t>Background</w:t>
      </w:r>
      <w:bookmarkEnd w:id="618"/>
      <w:bookmarkEnd w:id="619"/>
      <w:bookmarkEnd w:id="620"/>
      <w:bookmarkEnd w:id="621"/>
      <w:bookmarkEnd w:id="622"/>
    </w:p>
    <w:p w:rsidR="00B133C6" w:rsidRDefault="00B133C6" w:rsidP="006057BE">
      <w:pPr>
        <w:pStyle w:val="NormalSS"/>
        <w:spacing w:after="0"/>
        <w:rPr>
          <w:rFonts w:ascii="Arial" w:hAnsi="Arial" w:cs="Arial"/>
          <w:b/>
          <w:sz w:val="24"/>
          <w:szCs w:val="24"/>
        </w:rPr>
      </w:pPr>
    </w:p>
    <w:p w:rsidR="00B133C6" w:rsidRDefault="001324CA" w:rsidP="006057BE">
      <w:pPr>
        <w:pStyle w:val="NormalSS"/>
        <w:spacing w:after="0"/>
        <w:rPr>
          <w:rFonts w:ascii="Arial" w:hAnsi="Arial" w:cs="Arial"/>
          <w:sz w:val="24"/>
          <w:szCs w:val="24"/>
        </w:rPr>
      </w:pPr>
      <w:r w:rsidRPr="00E12150">
        <w:rPr>
          <w:rFonts w:ascii="Arial" w:hAnsi="Arial" w:cs="Arial"/>
          <w:b/>
          <w:sz w:val="24"/>
          <w:szCs w:val="24"/>
        </w:rPr>
        <w:t xml:space="preserve"> </w:t>
      </w:r>
      <w:r w:rsidRPr="00E12150">
        <w:rPr>
          <w:rFonts w:ascii="Arial" w:hAnsi="Arial" w:cs="Arial"/>
          <w:sz w:val="24"/>
          <w:szCs w:val="24"/>
        </w:rPr>
        <w:t xml:space="preserve">In 2016, Massachusetts voters approved a ballot measure to legalize broad adult use of marijuana. As part of the 2017-2018 Massachusetts Marijuana Baseline Health Study, we estimated fiscal impacts of legalization for state and local governments. We developed a model to estimate changes expected in four key domains within the first two years of retail sales: tax revenue from marijuana purchases (based on a 20% combined sales, excise, and local tax rate); regulatory oversight; law enforcement activities; and public health effects. </w:t>
      </w:r>
    </w:p>
    <w:p w:rsidR="00B133C6" w:rsidRDefault="00B133C6" w:rsidP="006057BE">
      <w:pPr>
        <w:pStyle w:val="NormalSS"/>
        <w:spacing w:after="0"/>
        <w:rPr>
          <w:rFonts w:ascii="Arial" w:hAnsi="Arial" w:cs="Arial"/>
          <w:sz w:val="24"/>
          <w:szCs w:val="24"/>
        </w:rPr>
      </w:pPr>
    </w:p>
    <w:p w:rsidR="00B133C6" w:rsidRDefault="00B133C6" w:rsidP="001131A6">
      <w:pPr>
        <w:pStyle w:val="Heading2"/>
      </w:pPr>
      <w:bookmarkStart w:id="623" w:name="_Toc11917268"/>
      <w:bookmarkStart w:id="624" w:name="_Toc11921706"/>
      <w:bookmarkStart w:id="625" w:name="_Toc12520962"/>
      <w:bookmarkStart w:id="626" w:name="_Toc12521188"/>
      <w:bookmarkStart w:id="627" w:name="_Toc12529158"/>
      <w:r>
        <w:t>Methods</w:t>
      </w:r>
      <w:bookmarkEnd w:id="623"/>
      <w:bookmarkEnd w:id="624"/>
      <w:bookmarkEnd w:id="625"/>
      <w:bookmarkEnd w:id="626"/>
      <w:bookmarkEnd w:id="627"/>
    </w:p>
    <w:p w:rsidR="00B133C6" w:rsidRDefault="00B133C6" w:rsidP="006057BE">
      <w:pPr>
        <w:pStyle w:val="NormalSS"/>
        <w:spacing w:after="0"/>
        <w:rPr>
          <w:rFonts w:ascii="Arial" w:hAnsi="Arial" w:cs="Arial"/>
          <w:b/>
          <w:sz w:val="24"/>
          <w:szCs w:val="24"/>
        </w:rPr>
      </w:pPr>
    </w:p>
    <w:p w:rsidR="00B133C6" w:rsidRDefault="001324CA" w:rsidP="006057BE">
      <w:pPr>
        <w:pStyle w:val="NormalSS"/>
        <w:spacing w:after="0"/>
        <w:rPr>
          <w:rFonts w:ascii="Arial" w:hAnsi="Arial" w:cs="Arial"/>
          <w:sz w:val="24"/>
          <w:szCs w:val="24"/>
        </w:rPr>
      </w:pPr>
      <w:r w:rsidRPr="00E12150">
        <w:rPr>
          <w:rFonts w:ascii="Arial" w:hAnsi="Arial" w:cs="Arial"/>
          <w:b/>
          <w:sz w:val="24"/>
          <w:szCs w:val="24"/>
        </w:rPr>
        <w:t xml:space="preserve"> </w:t>
      </w:r>
      <w:r w:rsidRPr="00E12150">
        <w:rPr>
          <w:rFonts w:ascii="Arial" w:hAnsi="Arial" w:cs="Arial"/>
          <w:sz w:val="24"/>
          <w:szCs w:val="24"/>
        </w:rPr>
        <w:t>Estimates of revenue or savings and costs or losses were derived from the literature (restricted to impacts attributable to legalization); expert interviews; and secondary sources (on marijuana pricing, marijuana use prevalence, regulatory costs and revenue, public health and safety outcomes, and Massachusetts population size and demographics). For each measure, we defined a range of values, then used Monte Carlo simulation to randomly choose a value to calculate post-legalization estimate. We calculated post-legalization impacts by combining information on pre-legalization estimates with estimates of change due to legalization. We summed estimates across all measures and domains to obtain an overall impact estimate.</w:t>
      </w:r>
    </w:p>
    <w:p w:rsidR="00B133C6" w:rsidRDefault="00B133C6" w:rsidP="006057BE">
      <w:pPr>
        <w:pStyle w:val="NormalSS"/>
        <w:spacing w:after="0"/>
        <w:rPr>
          <w:rFonts w:ascii="Arial" w:hAnsi="Arial" w:cs="Arial"/>
          <w:sz w:val="24"/>
          <w:szCs w:val="24"/>
        </w:rPr>
      </w:pPr>
    </w:p>
    <w:p w:rsidR="00B133C6" w:rsidRDefault="001324CA" w:rsidP="001131A6">
      <w:pPr>
        <w:pStyle w:val="Heading2"/>
      </w:pPr>
      <w:r w:rsidRPr="00E12150">
        <w:t xml:space="preserve"> </w:t>
      </w:r>
      <w:bookmarkStart w:id="628" w:name="_Toc11917269"/>
      <w:bookmarkStart w:id="629" w:name="_Toc11921707"/>
      <w:bookmarkStart w:id="630" w:name="_Toc12520963"/>
      <w:bookmarkStart w:id="631" w:name="_Toc12521189"/>
      <w:bookmarkStart w:id="632" w:name="_Toc12529159"/>
      <w:r w:rsidR="00B133C6">
        <w:t>Results</w:t>
      </w:r>
      <w:bookmarkEnd w:id="628"/>
      <w:bookmarkEnd w:id="629"/>
      <w:bookmarkEnd w:id="630"/>
      <w:bookmarkEnd w:id="631"/>
      <w:bookmarkEnd w:id="632"/>
    </w:p>
    <w:p w:rsidR="00B133C6" w:rsidRDefault="00B133C6" w:rsidP="006057BE">
      <w:pPr>
        <w:pStyle w:val="NormalSS"/>
        <w:spacing w:after="0"/>
        <w:rPr>
          <w:rFonts w:ascii="Arial" w:hAnsi="Arial" w:cs="Arial"/>
          <w:b/>
          <w:sz w:val="24"/>
          <w:szCs w:val="24"/>
        </w:rPr>
      </w:pPr>
    </w:p>
    <w:p w:rsidR="00B133C6" w:rsidRDefault="001324CA" w:rsidP="006057BE">
      <w:pPr>
        <w:pStyle w:val="NormalSS"/>
        <w:spacing w:after="0"/>
        <w:rPr>
          <w:rFonts w:ascii="Arial" w:hAnsi="Arial" w:cs="Arial"/>
          <w:sz w:val="24"/>
          <w:szCs w:val="24"/>
        </w:rPr>
      </w:pPr>
      <w:r w:rsidRPr="00E12150">
        <w:rPr>
          <w:rFonts w:ascii="Arial" w:hAnsi="Arial" w:cs="Arial"/>
          <w:b/>
          <w:sz w:val="24"/>
          <w:szCs w:val="24"/>
        </w:rPr>
        <w:t xml:space="preserve"> </w:t>
      </w:r>
      <w:r w:rsidRPr="00E12150">
        <w:rPr>
          <w:rFonts w:ascii="Arial" w:hAnsi="Arial" w:cs="Arial"/>
          <w:sz w:val="24"/>
          <w:szCs w:val="24"/>
        </w:rPr>
        <w:t xml:space="preserve">In our main model, which included measures that were major drivers of budgetary impacts (sales and business tax revenue, regulatory costs and revenue, and savings due to reduced marijuana-related law enforcement), we projected a gain of $215.8 million to the state budget. In a supplemental model that added in public health impacts thought to be less definitive or immediate, we projected an additional gain of $65.3 million, yielding a total impact of $281.1 million. Local tax revenue estimates (derived using local data on marijuana use prevalence and pricing, when available) ranged from a median of $63,000 for suburban cities and towns to $583,000 for urban cities. </w:t>
      </w:r>
    </w:p>
    <w:p w:rsidR="00B133C6" w:rsidRDefault="00B133C6" w:rsidP="006057BE">
      <w:pPr>
        <w:pStyle w:val="NormalSS"/>
        <w:spacing w:after="0"/>
        <w:rPr>
          <w:rFonts w:ascii="Arial" w:hAnsi="Arial" w:cs="Arial"/>
          <w:sz w:val="24"/>
          <w:szCs w:val="24"/>
        </w:rPr>
      </w:pPr>
    </w:p>
    <w:p w:rsidR="00B133C6" w:rsidRDefault="00B133C6" w:rsidP="001131A6">
      <w:pPr>
        <w:pStyle w:val="Heading2"/>
      </w:pPr>
      <w:bookmarkStart w:id="633" w:name="_Toc11917270"/>
      <w:bookmarkStart w:id="634" w:name="_Toc11921708"/>
      <w:bookmarkStart w:id="635" w:name="_Toc12520964"/>
      <w:bookmarkStart w:id="636" w:name="_Toc12521190"/>
      <w:bookmarkStart w:id="637" w:name="_Toc12529160"/>
      <w:r>
        <w:t>Discussion</w:t>
      </w:r>
      <w:bookmarkEnd w:id="633"/>
      <w:bookmarkEnd w:id="634"/>
      <w:bookmarkEnd w:id="635"/>
      <w:bookmarkEnd w:id="636"/>
      <w:bookmarkEnd w:id="637"/>
    </w:p>
    <w:p w:rsidR="00B133C6" w:rsidRPr="00B133C6" w:rsidRDefault="00B133C6"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The primary driver of fiscal gains (accounting for 53% of the total impact) was sales and excise tax revenue collected on retail marijuana purchases. Other major contributors included new business tax revenue from marijuana dispensaries and increased individual income tax revenue due to worker productivity gains among older adults who are able to control debilitating medical conditions with marijuana.</w:t>
      </w:r>
    </w:p>
    <w:p w:rsidR="00D83557" w:rsidRDefault="00D83557" w:rsidP="006057BE">
      <w:pPr>
        <w:pStyle w:val="NormalSS"/>
        <w:spacing w:after="0"/>
        <w:rPr>
          <w:rFonts w:ascii="Arial" w:hAnsi="Arial" w:cs="Arial"/>
          <w:sz w:val="24"/>
          <w:szCs w:val="24"/>
        </w:rPr>
      </w:pPr>
    </w:p>
    <w:p w:rsidR="00D83557" w:rsidRDefault="00D83557" w:rsidP="006057BE">
      <w:pPr>
        <w:pStyle w:val="NormalSS"/>
        <w:spacing w:after="0"/>
        <w:rPr>
          <w:rFonts w:ascii="Arial" w:hAnsi="Arial" w:cs="Arial"/>
          <w:sz w:val="24"/>
          <w:szCs w:val="24"/>
        </w:rPr>
      </w:pPr>
    </w:p>
    <w:p w:rsidR="00D83557" w:rsidRDefault="00D83557" w:rsidP="006057BE">
      <w:pPr>
        <w:pStyle w:val="NormalSS"/>
        <w:spacing w:after="0"/>
        <w:rPr>
          <w:rFonts w:ascii="Arial" w:hAnsi="Arial" w:cs="Arial"/>
          <w:sz w:val="24"/>
          <w:szCs w:val="24"/>
        </w:rPr>
      </w:pPr>
    </w:p>
    <w:p w:rsidR="001324CA" w:rsidRDefault="001324CA" w:rsidP="005F7A46">
      <w:pPr>
        <w:pStyle w:val="Heading2"/>
      </w:pPr>
      <w:bookmarkStart w:id="638" w:name="_Toc11766039"/>
      <w:bookmarkStart w:id="639" w:name="_Toc11766694"/>
      <w:bookmarkStart w:id="640" w:name="_Toc11917271"/>
      <w:bookmarkStart w:id="641" w:name="_Toc11921709"/>
      <w:bookmarkStart w:id="642" w:name="_Toc12520965"/>
      <w:bookmarkStart w:id="643" w:name="_Toc12521191"/>
      <w:bookmarkStart w:id="644" w:name="_Toc12529161"/>
      <w:r w:rsidRPr="00B133C6">
        <w:t>Background</w:t>
      </w:r>
      <w:bookmarkEnd w:id="638"/>
      <w:bookmarkEnd w:id="639"/>
      <w:bookmarkEnd w:id="640"/>
      <w:bookmarkEnd w:id="641"/>
      <w:bookmarkEnd w:id="642"/>
      <w:bookmarkEnd w:id="643"/>
      <w:bookmarkEnd w:id="644"/>
    </w:p>
    <w:p w:rsidR="00B133C6" w:rsidRPr="00B133C6" w:rsidRDefault="00B133C6" w:rsidP="006057BE">
      <w:pPr>
        <w:pStyle w:val="NormalSS"/>
        <w:spacing w:after="0"/>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In November 2016, Massachusetts voters approved a ballot measure to legalize adult use of marijuana, joining a growing list of states approving and implementing similar measures in the past five years. The adult use of marijuana program will build on the medical marijuana program that has been operating in Massachusetts since 2013, serving nearly 50,000 active patients as of January 2018.</w:t>
      </w:r>
      <w:r w:rsidRPr="00E12150">
        <w:rPr>
          <w:rStyle w:val="FootnoteReference"/>
          <w:rFonts w:ascii="Arial" w:hAnsi="Arial" w:cs="Arial"/>
          <w:sz w:val="24"/>
          <w:szCs w:val="24"/>
        </w:rPr>
        <w:footnoteReference w:id="1"/>
      </w:r>
      <w:r w:rsidRPr="00E12150">
        <w:rPr>
          <w:rFonts w:ascii="Arial" w:hAnsi="Arial" w:cs="Arial"/>
          <w:sz w:val="24"/>
          <w:szCs w:val="24"/>
        </w:rPr>
        <w:t xml:space="preserve"> The program will also build on the experiences from other states that have legalized marijuana in recent years. However, given that retail sales of marijuana have only been legal in the United States for about four years, there is a sparse body of literature on the causal impacts of marijuana on a host of fiscal, health, public safety, and criminal justice outcomes. To better understand marijuana use in the state and to project fiscal impacts associated with retail sales, the state legislated that the Massachusetts Department of Public Health (MDPH) conduct the Marijuana Baseline Health Study (MBHS). The study examines the use, methods of consumption, and perceptions of marijuana; impaired driving and hospitalization related to marijuana use; and economic and fiscal impacts for state and local governments.</w:t>
      </w:r>
      <w:r w:rsidRPr="00E12150">
        <w:rPr>
          <w:rStyle w:val="FootnoteReference"/>
          <w:rFonts w:ascii="Arial" w:hAnsi="Arial" w:cs="Arial"/>
          <w:sz w:val="24"/>
          <w:szCs w:val="24"/>
        </w:rPr>
        <w:footnoteReference w:id="2"/>
      </w:r>
      <w:r w:rsidRPr="00E12150">
        <w:rPr>
          <w:rFonts w:ascii="Arial" w:hAnsi="Arial" w:cs="Arial"/>
          <w:sz w:val="24"/>
          <w:szCs w:val="24"/>
        </w:rPr>
        <w:t xml:space="preserve"> In this report, we address the third aim to estimate the fiscal impacts of moving from a medical marijuana program to broad adult use. We focus on four key domains: (1) tax revenue from marijuana sales, (2) regulatory oversight, (3) law enforcement activities, and (4) public health effects.</w:t>
      </w:r>
    </w:p>
    <w:p w:rsidR="001324CA" w:rsidRDefault="001324CA"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Retail sales of marijuana are planned to begin in July 2018, after legislation was passed in December 2016 to delay implementation of the program by six months.</w:t>
      </w:r>
      <w:r w:rsidRPr="00E12150">
        <w:rPr>
          <w:rStyle w:val="FootnoteReference"/>
          <w:rFonts w:ascii="Arial" w:hAnsi="Arial" w:cs="Arial"/>
          <w:sz w:val="24"/>
          <w:szCs w:val="24"/>
        </w:rPr>
        <w:footnoteReference w:id="3"/>
      </w:r>
      <w:r w:rsidRPr="00E12150">
        <w:rPr>
          <w:rFonts w:ascii="Arial" w:hAnsi="Arial" w:cs="Arial"/>
          <w:sz w:val="24"/>
          <w:szCs w:val="24"/>
        </w:rPr>
        <w:t xml:space="preserve"> Whereas the original ballot measure included a 3.75% excise tax, 6.25% state sales tax, and an optional local tax up to 2%, for a maximum tax rate of 12%, the state legislature later passed a bill to increase the excise tax to 10.75% and the maximum local tax to 3%, yielding a total maximum tax rate of 20%.</w:t>
      </w:r>
      <w:r w:rsidRPr="00E12150">
        <w:rPr>
          <w:rStyle w:val="FootnoteReference"/>
          <w:rFonts w:ascii="Arial" w:hAnsi="Arial" w:cs="Arial"/>
          <w:sz w:val="24"/>
          <w:szCs w:val="24"/>
        </w:rPr>
        <w:footnoteReference w:id="4"/>
      </w:r>
      <w:r w:rsidRPr="00E12150">
        <w:rPr>
          <w:rFonts w:ascii="Arial" w:hAnsi="Arial" w:cs="Arial"/>
          <w:sz w:val="24"/>
          <w:szCs w:val="24"/>
        </w:rPr>
        <w:t xml:space="preserve"> A share of the revenues collected by the state will be devoted to (1) public and behavioral health, (2) public safety, (3) municipal police training, (4) the Prevention and Wellness Trust Fund, and (5) a host of services for “economically-disadvantaged persons in communities disproportionately impacted by high rates of arrest and incarceration for marijuana offenses.”</w:t>
      </w:r>
      <w:r w:rsidRPr="00E12150">
        <w:rPr>
          <w:rStyle w:val="FootnoteReference"/>
          <w:rFonts w:ascii="Arial" w:hAnsi="Arial" w:cs="Arial"/>
          <w:sz w:val="24"/>
          <w:szCs w:val="24"/>
        </w:rPr>
        <w:footnoteReference w:id="5"/>
      </w:r>
    </w:p>
    <w:p w:rsidR="001324CA" w:rsidRDefault="001324CA"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The existing medical marijuana program in Massachusetts registers nonprofit organizations to cultivate and dispense marijuana as well as patients and physicians.</w:t>
      </w:r>
      <w:r w:rsidRPr="00E12150">
        <w:rPr>
          <w:rStyle w:val="FootnoteReference"/>
          <w:rFonts w:ascii="Arial" w:hAnsi="Arial" w:cs="Arial"/>
          <w:sz w:val="24"/>
          <w:szCs w:val="24"/>
        </w:rPr>
        <w:footnoteReference w:id="6"/>
      </w:r>
      <w:r w:rsidRPr="00E12150">
        <w:rPr>
          <w:rFonts w:ascii="Arial" w:hAnsi="Arial" w:cs="Arial"/>
          <w:sz w:val="24"/>
          <w:szCs w:val="24"/>
        </w:rPr>
        <w:t xml:space="preserve"> As of January 2018, the program had 227 registered certifying health care providers and nearly 50,000 active patients. The program has consistently added roughly 2,000 patients per month over its history. There are 22 registered marijuana dispensaries with final certification and approval to sell, 6 with final certification but not yet approved to sell, and 99 with provisional certificates and in the inspection phase. In contrast to the adult use program, the medical program requires those selling medical marijuana to follow a seed-to-sale model—that is, the same entity is responsible for the product from cultivation to sale in licensed dispensaries. In addition, the marijuana is not subject to any taxes, and only nonprofit organizations can participate.</w:t>
      </w:r>
    </w:p>
    <w:p w:rsidR="001324CA" w:rsidRDefault="001324CA"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To implement and administer the adult use program and create a safely regulated industry, the state formed the Cannabis Control Commission (CCC) in 2017. The CCC will also take over regulatory activities for the medical marijuana program, currently administered by the MDPH Bureau of Health Care Safety and Quality.</w:t>
      </w:r>
      <w:r w:rsidRPr="00E12150">
        <w:rPr>
          <w:rFonts w:ascii="Arial" w:hAnsi="Arial" w:cs="Arial"/>
          <w:sz w:val="24"/>
          <w:szCs w:val="24"/>
          <w:vertAlign w:val="superscript"/>
        </w:rPr>
        <w:footnoteReference w:id="7"/>
      </w:r>
      <w:r w:rsidRPr="00E12150">
        <w:rPr>
          <w:rFonts w:ascii="Arial" w:hAnsi="Arial" w:cs="Arial"/>
          <w:sz w:val="24"/>
          <w:szCs w:val="24"/>
        </w:rPr>
        <w:t xml:space="preserve"> Massachusetts also created the Cannabis Advisory Board, a 25-member group charged with studying and making recommendations to the CCC on the regulation and taxation of marijuana in Massachusetts. </w:t>
      </w:r>
    </w:p>
    <w:p w:rsidR="001324CA" w:rsidRDefault="001324CA"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The adult use program in Massachusetts and the study presented here have the benefit of learning from experiences in several other state</w:t>
      </w:r>
      <w:r>
        <w:rPr>
          <w:rFonts w:ascii="Arial" w:hAnsi="Arial" w:cs="Arial"/>
          <w:sz w:val="24"/>
          <w:szCs w:val="24"/>
        </w:rPr>
        <w:t xml:space="preserve">s that have implemented similar </w:t>
      </w:r>
      <w:r w:rsidRPr="00E12150">
        <w:rPr>
          <w:rFonts w:ascii="Arial" w:hAnsi="Arial" w:cs="Arial"/>
          <w:sz w:val="24"/>
          <w:szCs w:val="24"/>
        </w:rPr>
        <w:t>programs in the past four years. Colorado and Washington approved ballot measures in 2013 to legalize marijuana for adult use and began retail sales in 2014. In 2014, Alaska, Oregon, and Washington, D.C. voted to legalize adult use, with retail sales beginning in 2015 in Oregon and in 2016 in Alaska; retail sales are not yet permitted in Washington, D.C. In 2016, California, Maine, Nevada, and Massachusetts approved ballot measures, with retail sales beginning in 2017 in Nevada and 2018 in California and Massachusetts; retail sales are not yet permitted in Maine. Finally, the state legislature in Vermont legalized adult use in 2018. Although the experiences with adult use of marijuana in these states have been brief, the states consistently saw substantial increases in revenue collected from retail sales after the first year. Revenue collected in the first year ranged from $1.7 million in Alaska to $67.6 million in Colorado.</w:t>
      </w:r>
      <w:r w:rsidRPr="00E12150">
        <w:rPr>
          <w:rStyle w:val="FootnoteReference"/>
          <w:rFonts w:ascii="Arial" w:hAnsi="Arial" w:cs="Arial"/>
          <w:sz w:val="24"/>
          <w:szCs w:val="24"/>
        </w:rPr>
        <w:footnoteReference w:id="8"/>
      </w:r>
      <w:r w:rsidRPr="00E12150">
        <w:rPr>
          <w:rFonts w:ascii="Arial" w:hAnsi="Arial" w:cs="Arial"/>
          <w:sz w:val="24"/>
          <w:szCs w:val="24"/>
        </w:rPr>
        <w:t xml:space="preserve"> There were substantial increases in the second and third years of the programs; for example, the revenue collected by the Washington Liquor Cannabis Board (LCB) increased from $64.9 million in the first year of the program to $314.8 million in the third year (Washington State LCB, n.d.). In addition, the revenue collected was substantially above the amount projected by the states prior to implementation. Finally, there is some limited evidence suggesting that marijuana legalization could have positive impacts on public health and safety outcomes and criminal justice costs and outcomes (such as reduced incarcerations); however, the evidence is primarily for impacts from medical marijuana legalization, little evidence establishes causal links between legalization and the outcomes, and the timeline for observing impacts for legalization is brief (four years at most for the earliest implementers). </w:t>
      </w:r>
    </w:p>
    <w:p w:rsidR="001324CA" w:rsidRDefault="001324CA" w:rsidP="006057BE">
      <w:pPr>
        <w:pStyle w:val="NormalSS"/>
        <w:spacing w:after="0"/>
        <w:rPr>
          <w:rFonts w:ascii="Arial" w:hAnsi="Arial" w:cs="Arial"/>
          <w:sz w:val="24"/>
          <w:szCs w:val="24"/>
        </w:rPr>
      </w:pPr>
    </w:p>
    <w:p w:rsidR="00B133C6" w:rsidRDefault="001324CA" w:rsidP="006057BE">
      <w:pPr>
        <w:pStyle w:val="NormalSS"/>
        <w:spacing w:after="0"/>
        <w:rPr>
          <w:rFonts w:ascii="Arial" w:hAnsi="Arial" w:cs="Arial"/>
          <w:sz w:val="24"/>
          <w:szCs w:val="24"/>
        </w:rPr>
      </w:pPr>
      <w:r w:rsidRPr="00E12150">
        <w:rPr>
          <w:rFonts w:ascii="Arial" w:hAnsi="Arial" w:cs="Arial"/>
          <w:sz w:val="24"/>
          <w:szCs w:val="24"/>
        </w:rPr>
        <w:t>There are a handful of differences between the planned program in Massachusetts and other states that will likely affect the implementation and impact of legalization. First, other states have implemented substantially higher tax rates than the planned 17% tax rate in Massachusetts (excluding the local tax rate), which influences the price of marijuana in the licit market and thus how much demand is met by retail sales versus the black market. In high-tax Washington (44% point-of-sale tax, excluding the local tax rate), despite the fact that the licit price of marijuana has dropped over time and is only slightly above black market prices, licensed sales account for only about 30% of demand; the rest is met by the state’s loosely regulated medical marijuana market and other black market sources.</w:t>
      </w:r>
      <w:r w:rsidRPr="00E12150">
        <w:rPr>
          <w:rStyle w:val="FootnoteReference"/>
          <w:rFonts w:ascii="Arial" w:hAnsi="Arial" w:cs="Arial"/>
          <w:sz w:val="24"/>
          <w:szCs w:val="24"/>
        </w:rPr>
        <w:footnoteReference w:id="9"/>
      </w:r>
      <w:r w:rsidRPr="00E12150">
        <w:rPr>
          <w:rFonts w:ascii="Arial" w:hAnsi="Arial" w:cs="Arial"/>
          <w:sz w:val="24"/>
          <w:szCs w:val="24"/>
        </w:rPr>
        <w:t xml:space="preserve"> By contrast, in Colorado, where marijuana taxes were lower (27.9% combined tax rate through July 2017, excluding the local tax rate), an estimated 70% of demand is met by the licit market, with much of the remaining demand met by legal home-grown product. Differences in the structure of the medical marijuana programs will also influence the impact of legalization. The cultivation and sale of medical marijuana is strictly regulated and less accessible to Massachusetts residents compared to other states. Out of 27 states with medical marijuana programs, Massachusetts ranks 15th highest in terms of the number of medical marijuana patients per 1,000 state residents (Marijuana Policy Project, 2018); programs in California, Colorado, and Oregon include a much greater proportion of residents.</w:t>
      </w:r>
      <w:r w:rsidRPr="00E12150">
        <w:rPr>
          <w:rStyle w:val="FootnoteReference"/>
          <w:rFonts w:ascii="Arial" w:hAnsi="Arial" w:cs="Arial"/>
          <w:sz w:val="24"/>
          <w:szCs w:val="24"/>
        </w:rPr>
        <w:footnoteReference w:id="10"/>
      </w:r>
      <w:r w:rsidRPr="00E12150">
        <w:rPr>
          <w:rFonts w:ascii="Arial" w:hAnsi="Arial" w:cs="Arial"/>
          <w:sz w:val="24"/>
          <w:szCs w:val="24"/>
        </w:rPr>
        <w:t xml:space="preserve"> On the other hand, other states apply taxes to medical marijuana sales to varying degrees; the fact that the Massachusetts medical marijuana program is untaxed could make it more attractive to marijuana consumers once retail sales begin.</w:t>
      </w: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 xml:space="preserve"> </w:t>
      </w: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In this study, we combine evidence from implementation in other states with the details and nuances of Massachusetts programs and residents to estimate fiscal impacts of legalizing adult use of marijuana on state and local budgets. We estimate impacts separately for key domains of interest: (1) sales and business tax revenue from retail marijuana sales, (2) law enforcement costs, (3) the costs of regulatory oversight, and (4) estimated impacts on state public health expenditures and individual income tax revenue as a result of changes in worker productivity (both of which were included in a supplemental model). Our estimates reflect impacts expected only within the first two years after retail sales are allowed but also include start-up costs and revenue. Given the uncertainty of many of the inputs used to estimate impacts in some of these domains (for example, the projected price of marijuana in the retail market or the percentage of current users that will purchase their marijuana in the licit market), we conducted a number of sensitivity analyses to test the robustness of the results to our inputs. The results generated in the study will help the state and municipalities plan for the impacts of legalization while also providing a point of comparison for early impacts once the program is implemented. Furthermore, the study will provide valuable information to other states considering legalization on the complex public health, public safety, and economic impacts of legalizing marijuana.</w:t>
      </w:r>
    </w:p>
    <w:p w:rsidR="00B133C6" w:rsidRPr="00E12150" w:rsidRDefault="00B133C6" w:rsidP="006057BE">
      <w:pPr>
        <w:pStyle w:val="NormalSS"/>
        <w:spacing w:after="0"/>
        <w:rPr>
          <w:rFonts w:ascii="Arial" w:hAnsi="Arial" w:cs="Arial"/>
          <w:sz w:val="24"/>
          <w:szCs w:val="24"/>
        </w:rPr>
      </w:pPr>
    </w:p>
    <w:p w:rsidR="00D31875" w:rsidRDefault="00D31875" w:rsidP="00F950A2">
      <w:pPr>
        <w:pStyle w:val="BodyText"/>
      </w:pPr>
    </w:p>
    <w:p w:rsidR="001324CA" w:rsidRDefault="001324CA" w:rsidP="005F7A46">
      <w:pPr>
        <w:pStyle w:val="Heading2"/>
      </w:pPr>
      <w:bookmarkStart w:id="645" w:name="_Toc11766040"/>
      <w:bookmarkStart w:id="646" w:name="_Toc11766695"/>
      <w:bookmarkStart w:id="647" w:name="_Toc11917272"/>
      <w:bookmarkStart w:id="648" w:name="_Toc11921710"/>
      <w:bookmarkStart w:id="649" w:name="_Toc12520966"/>
      <w:bookmarkStart w:id="650" w:name="_Toc12521192"/>
      <w:bookmarkStart w:id="651" w:name="_Toc12529162"/>
      <w:r w:rsidRPr="00B133C6">
        <w:t>Methods</w:t>
      </w:r>
      <w:bookmarkEnd w:id="645"/>
      <w:bookmarkEnd w:id="646"/>
      <w:bookmarkEnd w:id="647"/>
      <w:bookmarkEnd w:id="648"/>
      <w:bookmarkEnd w:id="649"/>
      <w:bookmarkEnd w:id="650"/>
      <w:bookmarkEnd w:id="651"/>
    </w:p>
    <w:p w:rsidR="00B133C6" w:rsidRPr="00026674" w:rsidRDefault="00B133C6" w:rsidP="006057BE">
      <w:pPr>
        <w:pStyle w:val="NormalSS"/>
        <w:spacing w:after="0"/>
        <w:rPr>
          <w:rFonts w:ascii="Arial" w:hAnsi="Arial" w:cs="Arial"/>
          <w:sz w:val="20"/>
        </w:rPr>
      </w:pPr>
    </w:p>
    <w:p w:rsidR="001324CA" w:rsidRDefault="001324CA" w:rsidP="001131A6">
      <w:pPr>
        <w:pStyle w:val="Heading3"/>
      </w:pPr>
      <w:bookmarkStart w:id="652" w:name="_Toc11766041"/>
      <w:bookmarkStart w:id="653" w:name="_Toc11766696"/>
      <w:r w:rsidRPr="00D31875">
        <w:t>Data Sources</w:t>
      </w:r>
      <w:bookmarkEnd w:id="652"/>
      <w:bookmarkEnd w:id="653"/>
    </w:p>
    <w:p w:rsidR="001131A6" w:rsidRPr="001131A6" w:rsidRDefault="001131A6" w:rsidP="001131A6">
      <w:pPr>
        <w:pStyle w:val="BodyText"/>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We developed a model to estimate changes expected in four key domains within the first two years of retail sales. Each domain (for example, marijuana sales tax revenue) included individual measures (for example, marijuana use prevalence and the price of marijuana) that we estimated using three main sources of information: existing literature, interviews with academic and government experts, and secondary data sources. For each measure that fed into the model, we defined a range of plausible values as follows:</w:t>
      </w:r>
    </w:p>
    <w:p w:rsidR="00B133C6" w:rsidRPr="00E12150" w:rsidRDefault="00B133C6" w:rsidP="006057BE">
      <w:pPr>
        <w:pStyle w:val="NormalSS"/>
        <w:spacing w:after="0"/>
        <w:rPr>
          <w:rFonts w:ascii="Arial" w:hAnsi="Arial" w:cs="Arial"/>
          <w:sz w:val="24"/>
          <w:szCs w:val="24"/>
        </w:rPr>
      </w:pPr>
    </w:p>
    <w:p w:rsidR="001324CA" w:rsidRPr="00E12150" w:rsidRDefault="001324CA" w:rsidP="006057BE">
      <w:pPr>
        <w:pStyle w:val="Bullet"/>
        <w:spacing w:after="0"/>
        <w:rPr>
          <w:rFonts w:ascii="Arial" w:hAnsi="Arial" w:cs="Arial"/>
          <w:sz w:val="24"/>
          <w:szCs w:val="24"/>
        </w:rPr>
      </w:pPr>
      <w:r w:rsidRPr="00E12150">
        <w:rPr>
          <w:rFonts w:ascii="Arial" w:hAnsi="Arial" w:cs="Arial"/>
          <w:sz w:val="24"/>
          <w:szCs w:val="24"/>
        </w:rPr>
        <w:t xml:space="preserve">If multiple (high quality, rigorous) studies or sources estimated the same metric, we defined the range based on the point estimates from these sources. </w:t>
      </w:r>
    </w:p>
    <w:p w:rsidR="001324CA" w:rsidRPr="00E12150" w:rsidRDefault="001324CA" w:rsidP="006057BE">
      <w:pPr>
        <w:pStyle w:val="Bullet"/>
        <w:spacing w:after="0"/>
        <w:rPr>
          <w:rFonts w:ascii="Arial" w:hAnsi="Arial" w:cs="Arial"/>
          <w:sz w:val="24"/>
          <w:szCs w:val="24"/>
        </w:rPr>
      </w:pPr>
      <w:r w:rsidRPr="00E12150">
        <w:rPr>
          <w:rFonts w:ascii="Arial" w:hAnsi="Arial" w:cs="Arial"/>
          <w:sz w:val="24"/>
          <w:szCs w:val="24"/>
        </w:rPr>
        <w:t>If only a single study was used to estimate a metric, we defined the range based on the confidence interval around the point estimate from that paper.</w:t>
      </w:r>
    </w:p>
    <w:p w:rsidR="001324CA" w:rsidRDefault="001324CA" w:rsidP="006057BE">
      <w:pPr>
        <w:pStyle w:val="BulletLastSS"/>
        <w:spacing w:after="0"/>
        <w:rPr>
          <w:rFonts w:ascii="Arial" w:hAnsi="Arial" w:cs="Arial"/>
          <w:sz w:val="24"/>
          <w:szCs w:val="24"/>
        </w:rPr>
      </w:pPr>
      <w:r w:rsidRPr="00E12150">
        <w:rPr>
          <w:rFonts w:ascii="Arial" w:hAnsi="Arial" w:cs="Arial"/>
          <w:sz w:val="24"/>
          <w:szCs w:val="24"/>
        </w:rPr>
        <w:t>If there was no credible study or source for a given metric, we estimated a range using information from other states with legalized adult use or from expert stakeholder input.</w:t>
      </w:r>
    </w:p>
    <w:p w:rsidR="00B133C6" w:rsidRPr="00B133C6" w:rsidRDefault="00B133C6" w:rsidP="006057BE">
      <w:pPr>
        <w:pStyle w:val="NormalSS"/>
        <w:spacing w:after="0"/>
      </w:pPr>
    </w:p>
    <w:p w:rsidR="001131A6" w:rsidRDefault="001324CA" w:rsidP="001131A6">
      <w:pPr>
        <w:pStyle w:val="Heading3"/>
      </w:pPr>
      <w:bookmarkStart w:id="654" w:name="_Toc11766042"/>
      <w:bookmarkStart w:id="655" w:name="_Toc11766697"/>
      <w:r w:rsidRPr="00D31875">
        <w:t>Literature Review</w:t>
      </w:r>
      <w:bookmarkEnd w:id="654"/>
      <w:bookmarkEnd w:id="655"/>
    </w:p>
    <w:p w:rsidR="001324CA" w:rsidRPr="00D31875" w:rsidRDefault="001324CA" w:rsidP="001131A6">
      <w:pPr>
        <w:pStyle w:val="Heading2"/>
      </w:pPr>
      <w:r w:rsidRPr="00D31875">
        <w:t xml:space="preserve"> </w:t>
      </w: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To inform estimates of the impact of legalization in Massachusetts, we first reviewed the literature on the impacts of marijuana laws or policies on consumption of marijuana, alcohol, and tobacco; public health; public safety; and worker productivity. We also used the literature to identify major sources of direct costs and revenue stemming from marijuana legalization, plus demographic subgroups that are affected differentially by legalization. As a starting point, we first searched peer-reviewed publications based on key search terms (such as “marijuana” and “legalization”) applied to the MEDLINE®, Scopus, and EconLit databases. To avoid excluding potentially relevant search results, we used a broad set of search terms related to marijuana legalization rather than searching by specific terms related to consumption, public health, public safety, and labor productivity. We then searched the gray literature to identify working papers from the National Bureau of Economic Research, research briefs, and other reports published from policy institutes and state governments. After excluding papers based on a review of titles, we reviewed the abstracts to ascertain relevance. We identified 57 candidate papers, to which we uniformly applied a set of causal evidence criteria, as described below, to determine inclusion.</w:t>
      </w:r>
    </w:p>
    <w:p w:rsidR="001324CA" w:rsidRDefault="001324CA"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Because the literature has focused mostly on medical marijuana legalization, and there is limited literature on adult use legalization, many of the model impacts derived from the literature are based on the experiences of medical marijuana programs. To account for the possibility that these impacts will not accurately reflect the experience of legalization in Massachusetts, we incorporate ranges for estimates derived from this literature, along with a sensitivity analysis that removes all impacts taken from the medical marijuana literature.</w:t>
      </w:r>
    </w:p>
    <w:p w:rsidR="001324CA" w:rsidRDefault="001324CA" w:rsidP="001131A6">
      <w:pPr>
        <w:pStyle w:val="Heading3"/>
      </w:pPr>
      <w:bookmarkStart w:id="656" w:name="_Toc11766043"/>
      <w:bookmarkStart w:id="657" w:name="_Toc11766698"/>
      <w:r w:rsidRPr="00D31875">
        <w:t>Causal Criteria</w:t>
      </w:r>
      <w:bookmarkEnd w:id="656"/>
      <w:bookmarkEnd w:id="657"/>
    </w:p>
    <w:p w:rsidR="001131A6" w:rsidRPr="001131A6" w:rsidRDefault="001131A6" w:rsidP="001131A6">
      <w:pPr>
        <w:pStyle w:val="BodyText"/>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To ensure that our model estimates are based only on papers that demonstrate strong causal evidence that links outcomes directly to marijuana policies, we developed a set of guidelines to determine inclusion of impacts in our model estimates.</w:t>
      </w:r>
      <w:r w:rsidRPr="00E12150">
        <w:rPr>
          <w:rStyle w:val="FootnoteReference"/>
          <w:rFonts w:ascii="Arial" w:hAnsi="Arial" w:cs="Arial"/>
          <w:sz w:val="24"/>
          <w:szCs w:val="24"/>
        </w:rPr>
        <w:footnoteReference w:id="11"/>
      </w:r>
      <w:r w:rsidRPr="00E12150">
        <w:rPr>
          <w:rFonts w:ascii="Arial" w:hAnsi="Arial" w:cs="Arial"/>
          <w:sz w:val="24"/>
          <w:szCs w:val="24"/>
        </w:rPr>
        <w:t xml:space="preserve"> We rated each paper based on the strength of evidence as high, moderate, or low causal evidence for marijuana-attributable impacts. A high rating indicates that the analysis meets high methodological standards (for example, with a control group included in the analysis) and the impacts estimated are credible; it does not mean that the study found positive impacts. A moderate causal evidence rating means that we are somewhat confident that the estimated impacts are attributable to the intervention studied, but other factors that were not included in the analysis could have contributed to the impacts observed. Research not meeting the criteria for a high or moderate causal evidence rating received a low causal evidence rating, indicating that we could not be certain that the impacts observed were attributable to the marijuana law or policy being studied. To derive estimates for our model measures, we relied only on studies with a high causal rating. Of the 57 candidate papers reviewed, 16 met the criteria for high causal evidence. As our research progressed, we identified an additional 3 papers published in 2017 that had high causal evidence, resulting in a total of 19 (out of 60) that met our criteria for high quality evidence of impacts attributed to marijuana.</w:t>
      </w: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An implication of applying these strict causal guidelines to our inclusion criteria is that we ultimately excluded some studies and state government reports that used longitudinal data to examine how public health and safety outcomes (such as emergency room visits, suicides, and non-fatal crashes) changed after adult use of marijuana was legalized because these analyses lacked valid comparison groups. Our exclusion of these studies does not imply that the results are not valid or useful for certain purposes, but rather that we cannot be confident that the pre-post changes are attributable to legalization.</w:t>
      </w:r>
    </w:p>
    <w:p w:rsidR="00B133C6" w:rsidRPr="00E12150" w:rsidRDefault="00B133C6" w:rsidP="006057BE">
      <w:pPr>
        <w:pStyle w:val="NormalSS"/>
        <w:spacing w:after="0"/>
        <w:rPr>
          <w:rFonts w:ascii="Arial" w:hAnsi="Arial" w:cs="Arial"/>
          <w:sz w:val="24"/>
          <w:szCs w:val="24"/>
        </w:rPr>
      </w:pPr>
    </w:p>
    <w:p w:rsidR="001324CA" w:rsidRPr="00D31875" w:rsidRDefault="001324CA" w:rsidP="00F950A2">
      <w:pPr>
        <w:pStyle w:val="Heading4"/>
      </w:pPr>
      <w:r w:rsidRPr="00D31875">
        <w:t>Stakeholder Interviews</w:t>
      </w: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For certain domains of interest, there was insufficient rigorous evidence from the literature on causal impacts of legalization to inform our model estimates. Instead, we gathered information from interviews with expert stakeholders in Massachusetts and other states with legalized marijuana retail sales as well as from researchers studying marijuana legalization. We also used these interviews to gain insight into contextual differences between Massachusetts and other states with legalized adult use that may affect our modeling approach or interpretation of estimates. We interviewed experts in the following knowledge areas: (1) regulatory costs to state and local governments, (2) regulation of the current Massachusetts medical marijuana program, (3) the degree of shift from illicit to legal consumption, (4) current law enforcement practices in Massachusetts, and (5) public health experiences and budget expenditures in Colorado. For each interview, we developed separate protocols with tailored questions that we asked in person, by phone, or through email correspondences. Our notes from these interviews informed the model estimates for measures and domains of interest, as detailed in Table 1.</w:t>
      </w:r>
    </w:p>
    <w:p w:rsidR="007C192E" w:rsidRDefault="007C192E" w:rsidP="007C192E">
      <w:pPr>
        <w:spacing w:after="0" w:line="240" w:lineRule="auto"/>
        <w:rPr>
          <w:rFonts w:ascii="Arial" w:hAnsi="Arial" w:cs="Arial"/>
          <w:sz w:val="24"/>
          <w:szCs w:val="24"/>
        </w:rPr>
      </w:pPr>
    </w:p>
    <w:p w:rsidR="00B133C6" w:rsidRPr="007C192E" w:rsidRDefault="001324CA" w:rsidP="007C192E">
      <w:pPr>
        <w:spacing w:after="0" w:line="240" w:lineRule="auto"/>
        <w:rPr>
          <w:rFonts w:ascii="Arial" w:hAnsi="Arial" w:cs="Arial"/>
          <w:sz w:val="24"/>
          <w:szCs w:val="24"/>
        </w:rPr>
      </w:pPr>
      <w:r w:rsidRPr="005B366B">
        <w:rPr>
          <w:rFonts w:ascii="Arial" w:hAnsi="Arial" w:cs="Arial"/>
          <w:b/>
          <w:sz w:val="24"/>
          <w:szCs w:val="24"/>
        </w:rPr>
        <w:t>Table 1. Model Measures Informed by Stakeholder Interviews</w:t>
      </w:r>
    </w:p>
    <w:tbl>
      <w:tblPr>
        <w:tblStyle w:val="LightList"/>
        <w:tblW w:w="5000" w:type="pct"/>
        <w:tblBorders>
          <w:top w:val="none" w:sz="0" w:space="0" w:color="auto"/>
          <w:left w:val="none" w:sz="0" w:space="0" w:color="auto"/>
          <w:bottom w:val="single" w:sz="4" w:space="0" w:color="auto"/>
          <w:right w:val="none" w:sz="0" w:space="0" w:color="auto"/>
        </w:tblBorders>
        <w:tblLook w:val="0620" w:firstRow="1" w:lastRow="0" w:firstColumn="0" w:lastColumn="0" w:noHBand="1" w:noVBand="1"/>
        <w:tblCaption w:val="Model Measures Informed by Stakeholder Interviews"/>
      </w:tblPr>
      <w:tblGrid>
        <w:gridCol w:w="1328"/>
        <w:gridCol w:w="2558"/>
        <w:gridCol w:w="5690"/>
      </w:tblGrid>
      <w:tr w:rsidR="001324CA" w:rsidRPr="00E12150" w:rsidTr="00E3428E">
        <w:trPr>
          <w:cnfStyle w:val="100000000000" w:firstRow="1" w:lastRow="0" w:firstColumn="0" w:lastColumn="0" w:oddVBand="0" w:evenVBand="0" w:oddHBand="0" w:evenHBand="0" w:firstRowFirstColumn="0" w:firstRowLastColumn="0" w:lastRowFirstColumn="0" w:lastRowLastColumn="0"/>
          <w:tblHeader/>
        </w:trPr>
        <w:tc>
          <w:tcPr>
            <w:tcW w:w="693" w:type="pct"/>
            <w:tcBorders>
              <w:top w:val="single" w:sz="4" w:space="0" w:color="auto"/>
              <w:left w:val="single" w:sz="4" w:space="0" w:color="auto"/>
              <w:bottom w:val="single" w:sz="4" w:space="0" w:color="auto"/>
            </w:tcBorders>
            <w:shd w:val="clear" w:color="auto" w:fill="auto"/>
          </w:tcPr>
          <w:p w:rsidR="001324CA" w:rsidRPr="005B366B" w:rsidRDefault="001324CA" w:rsidP="006057BE">
            <w:pPr>
              <w:pStyle w:val="TableHeaderLeft"/>
              <w:spacing w:before="0" w:after="0"/>
              <w:rPr>
                <w:rFonts w:cs="Arial"/>
                <w:b/>
                <w:color w:val="auto"/>
                <w:sz w:val="20"/>
                <w:szCs w:val="20"/>
              </w:rPr>
            </w:pPr>
            <w:r w:rsidRPr="005B366B">
              <w:rPr>
                <w:rFonts w:cs="Arial"/>
                <w:b/>
                <w:color w:val="auto"/>
                <w:sz w:val="20"/>
                <w:szCs w:val="20"/>
              </w:rPr>
              <w:t>Domain</w:t>
            </w:r>
          </w:p>
        </w:tc>
        <w:tc>
          <w:tcPr>
            <w:tcW w:w="1336" w:type="pct"/>
            <w:tcBorders>
              <w:top w:val="single" w:sz="4" w:space="0" w:color="auto"/>
              <w:bottom w:val="single" w:sz="4" w:space="0" w:color="auto"/>
            </w:tcBorders>
            <w:shd w:val="clear" w:color="auto" w:fill="auto"/>
          </w:tcPr>
          <w:p w:rsidR="001324CA" w:rsidRPr="005B366B" w:rsidRDefault="001324CA" w:rsidP="006057BE">
            <w:pPr>
              <w:pStyle w:val="TableHeaderCenter"/>
              <w:tabs>
                <w:tab w:val="center" w:pos="1152"/>
              </w:tabs>
              <w:spacing w:before="0" w:after="0"/>
              <w:jc w:val="left"/>
              <w:rPr>
                <w:rFonts w:cs="Arial"/>
                <w:b/>
                <w:color w:val="auto"/>
                <w:sz w:val="20"/>
                <w:szCs w:val="20"/>
              </w:rPr>
            </w:pPr>
            <w:r w:rsidRPr="005B366B">
              <w:rPr>
                <w:rFonts w:cs="Arial"/>
                <w:b/>
                <w:color w:val="auto"/>
                <w:sz w:val="20"/>
                <w:szCs w:val="20"/>
              </w:rPr>
              <w:t>Interviewee’s institution</w:t>
            </w:r>
          </w:p>
        </w:tc>
        <w:tc>
          <w:tcPr>
            <w:tcW w:w="2971" w:type="pct"/>
            <w:tcBorders>
              <w:top w:val="single" w:sz="4" w:space="0" w:color="auto"/>
              <w:bottom w:val="single" w:sz="4" w:space="0" w:color="auto"/>
              <w:right w:val="single" w:sz="4" w:space="0" w:color="auto"/>
            </w:tcBorders>
            <w:shd w:val="clear" w:color="auto" w:fill="auto"/>
          </w:tcPr>
          <w:p w:rsidR="001324CA" w:rsidRPr="005B366B" w:rsidRDefault="001324CA" w:rsidP="006057BE">
            <w:pPr>
              <w:pStyle w:val="TableHeaderCenter"/>
              <w:spacing w:before="0" w:after="0"/>
              <w:jc w:val="left"/>
              <w:rPr>
                <w:rFonts w:cs="Arial"/>
                <w:b/>
                <w:color w:val="auto"/>
                <w:sz w:val="20"/>
                <w:szCs w:val="20"/>
              </w:rPr>
            </w:pPr>
            <w:r w:rsidRPr="005B366B">
              <w:rPr>
                <w:rFonts w:cs="Arial"/>
                <w:b/>
                <w:color w:val="auto"/>
                <w:sz w:val="20"/>
                <w:szCs w:val="20"/>
              </w:rPr>
              <w:t>Model measure informed by interview</w:t>
            </w:r>
          </w:p>
        </w:tc>
      </w:tr>
      <w:tr w:rsidR="001324CA" w:rsidRPr="00E12150" w:rsidTr="002611DD">
        <w:trPr>
          <w:trHeight w:hRule="exact" w:val="460"/>
        </w:trPr>
        <w:tc>
          <w:tcPr>
            <w:tcW w:w="693" w:type="pct"/>
            <w:tcBorders>
              <w:top w:val="single" w:sz="4" w:space="0" w:color="auto"/>
              <w:left w:val="single" w:sz="4" w:space="0" w:color="auto"/>
              <w:bottom w:val="nil"/>
            </w:tcBorders>
          </w:tcPr>
          <w:p w:rsidR="001324CA" w:rsidRPr="005B366B" w:rsidRDefault="001324CA" w:rsidP="006057BE">
            <w:pPr>
              <w:pStyle w:val="TableText"/>
              <w:rPr>
                <w:rFonts w:cs="Arial"/>
                <w:sz w:val="20"/>
                <w:szCs w:val="20"/>
              </w:rPr>
            </w:pPr>
            <w:r w:rsidRPr="005B366B">
              <w:rPr>
                <w:rFonts w:cs="Arial"/>
                <w:sz w:val="20"/>
                <w:szCs w:val="20"/>
              </w:rPr>
              <w:t>Tax revenue</w:t>
            </w:r>
          </w:p>
        </w:tc>
        <w:tc>
          <w:tcPr>
            <w:tcW w:w="1336" w:type="pct"/>
            <w:tcBorders>
              <w:top w:val="single" w:sz="4" w:space="0" w:color="auto"/>
              <w:bottom w:val="nil"/>
            </w:tcBorders>
          </w:tcPr>
          <w:p w:rsidR="001324CA" w:rsidRPr="005B366B" w:rsidRDefault="001324CA" w:rsidP="006057BE">
            <w:pPr>
              <w:pStyle w:val="TableText"/>
              <w:rPr>
                <w:rFonts w:cs="Arial"/>
                <w:sz w:val="20"/>
                <w:szCs w:val="20"/>
              </w:rPr>
            </w:pPr>
            <w:r w:rsidRPr="005B366B">
              <w:rPr>
                <w:rFonts w:cs="Arial"/>
                <w:sz w:val="20"/>
                <w:szCs w:val="20"/>
              </w:rPr>
              <w:t>Harvard University</w:t>
            </w:r>
          </w:p>
        </w:tc>
        <w:tc>
          <w:tcPr>
            <w:tcW w:w="2971" w:type="pct"/>
            <w:tcBorders>
              <w:top w:val="single" w:sz="4" w:space="0" w:color="auto"/>
              <w:bottom w:val="nil"/>
              <w:right w:val="single" w:sz="4" w:space="0" w:color="auto"/>
            </w:tcBorders>
          </w:tcPr>
          <w:p w:rsidR="001324CA" w:rsidRPr="005B366B" w:rsidRDefault="001324CA" w:rsidP="006057BE">
            <w:pPr>
              <w:pStyle w:val="TableText"/>
              <w:rPr>
                <w:rFonts w:cs="Arial"/>
                <w:sz w:val="20"/>
                <w:szCs w:val="20"/>
              </w:rPr>
            </w:pPr>
            <w:r w:rsidRPr="005B366B">
              <w:rPr>
                <w:rFonts w:cs="Arial"/>
                <w:sz w:val="20"/>
                <w:szCs w:val="20"/>
              </w:rPr>
              <w:t>Percentage shift from illicit to legal market for current adult users</w:t>
            </w:r>
          </w:p>
        </w:tc>
      </w:tr>
      <w:tr w:rsidR="001324CA" w:rsidRPr="00E12150" w:rsidTr="00E3428E">
        <w:trPr>
          <w:trHeight w:hRule="exact" w:val="324"/>
        </w:trPr>
        <w:tc>
          <w:tcPr>
            <w:tcW w:w="693" w:type="pct"/>
            <w:tcBorders>
              <w:top w:val="nil"/>
              <w:left w:val="single" w:sz="4" w:space="0" w:color="auto"/>
              <w:bottom w:val="nil"/>
            </w:tcBorders>
          </w:tcPr>
          <w:p w:rsidR="001324CA" w:rsidRPr="005B366B" w:rsidRDefault="001324CA" w:rsidP="006057BE">
            <w:pPr>
              <w:pStyle w:val="TableText"/>
              <w:rPr>
                <w:rFonts w:cs="Arial"/>
                <w:sz w:val="20"/>
                <w:szCs w:val="20"/>
              </w:rPr>
            </w:pPr>
          </w:p>
        </w:tc>
        <w:tc>
          <w:tcPr>
            <w:tcW w:w="1336" w:type="pct"/>
            <w:tcBorders>
              <w:top w:val="nil"/>
              <w:bottom w:val="nil"/>
            </w:tcBorders>
          </w:tcPr>
          <w:p w:rsidR="001324CA" w:rsidRPr="005B366B" w:rsidRDefault="001324CA" w:rsidP="006057BE">
            <w:pPr>
              <w:pStyle w:val="TableText"/>
              <w:rPr>
                <w:rFonts w:cs="Arial"/>
                <w:sz w:val="20"/>
                <w:szCs w:val="20"/>
              </w:rPr>
            </w:pPr>
          </w:p>
        </w:tc>
        <w:tc>
          <w:tcPr>
            <w:tcW w:w="2971" w:type="pct"/>
            <w:tcBorders>
              <w:top w:val="nil"/>
              <w:bottom w:val="nil"/>
              <w:right w:val="single" w:sz="4" w:space="0" w:color="auto"/>
            </w:tcBorders>
          </w:tcPr>
          <w:p w:rsidR="001324CA" w:rsidRPr="005B366B" w:rsidRDefault="001324CA" w:rsidP="006057BE">
            <w:pPr>
              <w:pStyle w:val="TableText"/>
              <w:rPr>
                <w:rFonts w:cs="Arial"/>
                <w:sz w:val="20"/>
                <w:szCs w:val="20"/>
              </w:rPr>
            </w:pPr>
            <w:r w:rsidRPr="005B366B">
              <w:rPr>
                <w:rFonts w:cs="Arial"/>
                <w:sz w:val="20"/>
                <w:szCs w:val="20"/>
              </w:rPr>
              <w:t>Percentage change over time in current prices of marijuana</w:t>
            </w:r>
          </w:p>
        </w:tc>
      </w:tr>
      <w:tr w:rsidR="001324CA" w:rsidRPr="00E12150" w:rsidTr="00E3428E">
        <w:trPr>
          <w:trHeight w:hRule="exact" w:val="274"/>
        </w:trPr>
        <w:tc>
          <w:tcPr>
            <w:tcW w:w="693" w:type="pct"/>
            <w:vMerge w:val="restart"/>
            <w:tcBorders>
              <w:top w:val="nil"/>
              <w:left w:val="single" w:sz="4" w:space="0" w:color="auto"/>
              <w:bottom w:val="nil"/>
            </w:tcBorders>
          </w:tcPr>
          <w:p w:rsidR="001324CA" w:rsidRPr="005B366B" w:rsidRDefault="001324CA" w:rsidP="006057BE">
            <w:pPr>
              <w:pStyle w:val="TableText"/>
              <w:rPr>
                <w:rFonts w:cs="Arial"/>
                <w:sz w:val="20"/>
                <w:szCs w:val="20"/>
              </w:rPr>
            </w:pPr>
            <w:r w:rsidRPr="005B366B">
              <w:rPr>
                <w:rFonts w:cs="Arial"/>
                <w:sz w:val="20"/>
                <w:szCs w:val="20"/>
              </w:rPr>
              <w:t xml:space="preserve">Regulatory oversight </w:t>
            </w:r>
          </w:p>
        </w:tc>
        <w:tc>
          <w:tcPr>
            <w:tcW w:w="1336" w:type="pct"/>
            <w:vMerge w:val="restart"/>
            <w:tcBorders>
              <w:top w:val="nil"/>
              <w:bottom w:val="nil"/>
            </w:tcBorders>
          </w:tcPr>
          <w:p w:rsidR="001324CA" w:rsidRPr="005B366B" w:rsidRDefault="001324CA" w:rsidP="006057BE">
            <w:pPr>
              <w:pStyle w:val="TableText"/>
              <w:rPr>
                <w:rFonts w:cs="Arial"/>
                <w:iCs/>
                <w:sz w:val="20"/>
                <w:szCs w:val="20"/>
              </w:rPr>
            </w:pPr>
            <w:r w:rsidRPr="005B366B">
              <w:rPr>
                <w:rFonts w:cs="Arial"/>
                <w:iCs/>
                <w:sz w:val="20"/>
                <w:szCs w:val="20"/>
              </w:rPr>
              <w:t>Washington State Institute for Public Policy (WSIPP)</w:t>
            </w:r>
          </w:p>
        </w:tc>
        <w:tc>
          <w:tcPr>
            <w:tcW w:w="2971" w:type="pct"/>
            <w:tcBorders>
              <w:top w:val="nil"/>
              <w:bottom w:val="nil"/>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State regulation costs</w:t>
            </w:r>
          </w:p>
        </w:tc>
      </w:tr>
      <w:tr w:rsidR="001324CA" w:rsidRPr="00E12150" w:rsidTr="00E3428E">
        <w:trPr>
          <w:trHeight w:hRule="exact" w:val="274"/>
        </w:trPr>
        <w:tc>
          <w:tcPr>
            <w:tcW w:w="693" w:type="pct"/>
            <w:vMerge/>
            <w:tcBorders>
              <w:top w:val="nil"/>
              <w:left w:val="single" w:sz="4" w:space="0" w:color="auto"/>
              <w:bottom w:val="nil"/>
            </w:tcBorders>
          </w:tcPr>
          <w:p w:rsidR="001324CA" w:rsidRPr="005B366B" w:rsidRDefault="001324CA" w:rsidP="006057BE">
            <w:pPr>
              <w:pStyle w:val="TableText"/>
              <w:rPr>
                <w:rFonts w:cs="Arial"/>
                <w:sz w:val="20"/>
                <w:szCs w:val="20"/>
              </w:rPr>
            </w:pPr>
          </w:p>
        </w:tc>
        <w:tc>
          <w:tcPr>
            <w:tcW w:w="1336" w:type="pct"/>
            <w:vMerge/>
            <w:tcBorders>
              <w:bottom w:val="nil"/>
            </w:tcBorders>
          </w:tcPr>
          <w:p w:rsidR="001324CA" w:rsidRPr="005B366B" w:rsidRDefault="001324CA" w:rsidP="006057BE">
            <w:pPr>
              <w:pStyle w:val="TableText"/>
              <w:rPr>
                <w:rFonts w:cs="Arial"/>
                <w:iCs/>
                <w:sz w:val="20"/>
                <w:szCs w:val="20"/>
              </w:rPr>
            </w:pPr>
          </w:p>
        </w:tc>
        <w:tc>
          <w:tcPr>
            <w:tcW w:w="2971" w:type="pct"/>
            <w:tcBorders>
              <w:top w:val="nil"/>
              <w:bottom w:val="nil"/>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State regulation revenue</w:t>
            </w:r>
          </w:p>
        </w:tc>
      </w:tr>
      <w:tr w:rsidR="001324CA" w:rsidRPr="00E12150" w:rsidTr="00E3428E">
        <w:trPr>
          <w:trHeight w:hRule="exact" w:val="378"/>
        </w:trPr>
        <w:tc>
          <w:tcPr>
            <w:tcW w:w="693" w:type="pct"/>
            <w:vMerge/>
            <w:tcBorders>
              <w:left w:val="single" w:sz="4" w:space="0" w:color="auto"/>
              <w:bottom w:val="nil"/>
            </w:tcBorders>
          </w:tcPr>
          <w:p w:rsidR="001324CA" w:rsidRPr="005B366B" w:rsidRDefault="001324CA" w:rsidP="006057BE">
            <w:pPr>
              <w:pStyle w:val="TableText"/>
              <w:rPr>
                <w:rFonts w:cs="Arial"/>
                <w:sz w:val="20"/>
                <w:szCs w:val="20"/>
              </w:rPr>
            </w:pPr>
          </w:p>
        </w:tc>
        <w:tc>
          <w:tcPr>
            <w:tcW w:w="1336" w:type="pct"/>
            <w:tcBorders>
              <w:bottom w:val="nil"/>
            </w:tcBorders>
          </w:tcPr>
          <w:p w:rsidR="001324CA" w:rsidRPr="005B366B" w:rsidRDefault="001324CA" w:rsidP="006057BE">
            <w:pPr>
              <w:pStyle w:val="TableText"/>
              <w:rPr>
                <w:rFonts w:cs="Arial"/>
                <w:sz w:val="20"/>
                <w:szCs w:val="20"/>
              </w:rPr>
            </w:pPr>
            <w:r w:rsidRPr="005B366B">
              <w:rPr>
                <w:rFonts w:cs="Arial"/>
                <w:sz w:val="20"/>
                <w:szCs w:val="20"/>
              </w:rPr>
              <w:t>MDPH</w:t>
            </w:r>
          </w:p>
        </w:tc>
        <w:tc>
          <w:tcPr>
            <w:tcW w:w="2971" w:type="pct"/>
            <w:tcBorders>
              <w:bottom w:val="nil"/>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Number of infractions per RMD per year</w:t>
            </w:r>
          </w:p>
        </w:tc>
      </w:tr>
      <w:tr w:rsidR="001324CA" w:rsidRPr="00E12150" w:rsidTr="00E3428E">
        <w:trPr>
          <w:trHeight w:hRule="exact" w:val="274"/>
        </w:trPr>
        <w:tc>
          <w:tcPr>
            <w:tcW w:w="693" w:type="pct"/>
            <w:vMerge w:val="restart"/>
            <w:tcBorders>
              <w:left w:val="single" w:sz="4" w:space="0" w:color="auto"/>
              <w:bottom w:val="nil"/>
            </w:tcBorders>
          </w:tcPr>
          <w:p w:rsidR="001324CA" w:rsidRPr="005B366B" w:rsidRDefault="001324CA" w:rsidP="006057BE">
            <w:pPr>
              <w:pStyle w:val="TableText"/>
              <w:rPr>
                <w:rFonts w:cs="Arial"/>
                <w:sz w:val="20"/>
                <w:szCs w:val="20"/>
              </w:rPr>
            </w:pPr>
            <w:r w:rsidRPr="005B366B">
              <w:rPr>
                <w:rFonts w:cs="Arial"/>
                <w:sz w:val="20"/>
                <w:szCs w:val="20"/>
              </w:rPr>
              <w:t xml:space="preserve">Law enforcement </w:t>
            </w:r>
          </w:p>
        </w:tc>
        <w:tc>
          <w:tcPr>
            <w:tcW w:w="1336" w:type="pct"/>
            <w:vMerge w:val="restart"/>
            <w:tcBorders>
              <w:bottom w:val="nil"/>
            </w:tcBorders>
          </w:tcPr>
          <w:p w:rsidR="001324CA" w:rsidRPr="005B366B" w:rsidRDefault="001324CA" w:rsidP="006057BE">
            <w:pPr>
              <w:pStyle w:val="TableText"/>
              <w:rPr>
                <w:rFonts w:cs="Arial"/>
                <w:sz w:val="20"/>
                <w:szCs w:val="20"/>
              </w:rPr>
            </w:pPr>
            <w:r w:rsidRPr="005B366B">
              <w:rPr>
                <w:rFonts w:cs="Arial"/>
                <w:sz w:val="20"/>
                <w:szCs w:val="20"/>
              </w:rPr>
              <w:t>Massachusetts Executive Office of Public Safety and Security (EOPSS)</w:t>
            </w:r>
          </w:p>
        </w:tc>
        <w:tc>
          <w:tcPr>
            <w:tcW w:w="2971" w:type="pct"/>
            <w:tcBorders>
              <w:bottom w:val="nil"/>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Number of misdemeanor arrests</w:t>
            </w:r>
          </w:p>
          <w:p w:rsidR="001324CA" w:rsidRPr="005B366B" w:rsidRDefault="001324CA" w:rsidP="006057BE">
            <w:pPr>
              <w:pStyle w:val="TableText"/>
              <w:rPr>
                <w:rFonts w:cs="Arial"/>
                <w:iCs/>
                <w:sz w:val="20"/>
                <w:szCs w:val="20"/>
              </w:rPr>
            </w:pPr>
          </w:p>
        </w:tc>
      </w:tr>
      <w:tr w:rsidR="001324CA" w:rsidRPr="00E12150" w:rsidTr="00E3428E">
        <w:trPr>
          <w:trHeight w:hRule="exact" w:val="274"/>
        </w:trPr>
        <w:tc>
          <w:tcPr>
            <w:tcW w:w="693" w:type="pct"/>
            <w:vMerge/>
            <w:tcBorders>
              <w:left w:val="single" w:sz="4" w:space="0" w:color="auto"/>
              <w:bottom w:val="nil"/>
            </w:tcBorders>
          </w:tcPr>
          <w:p w:rsidR="001324CA" w:rsidRPr="005B366B" w:rsidRDefault="001324CA" w:rsidP="006057BE">
            <w:pPr>
              <w:pStyle w:val="TableText"/>
              <w:rPr>
                <w:rFonts w:cs="Arial"/>
                <w:sz w:val="20"/>
                <w:szCs w:val="20"/>
              </w:rPr>
            </w:pPr>
          </w:p>
        </w:tc>
        <w:tc>
          <w:tcPr>
            <w:tcW w:w="1336" w:type="pct"/>
            <w:vMerge/>
            <w:tcBorders>
              <w:bottom w:val="nil"/>
            </w:tcBorders>
          </w:tcPr>
          <w:p w:rsidR="001324CA" w:rsidRPr="005B366B" w:rsidRDefault="001324CA" w:rsidP="006057BE">
            <w:pPr>
              <w:pStyle w:val="TableText"/>
              <w:rPr>
                <w:rFonts w:cs="Arial"/>
                <w:sz w:val="20"/>
                <w:szCs w:val="20"/>
              </w:rPr>
            </w:pPr>
          </w:p>
        </w:tc>
        <w:tc>
          <w:tcPr>
            <w:tcW w:w="2971" w:type="pct"/>
            <w:tcBorders>
              <w:bottom w:val="nil"/>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Number of misdemeanor convictions</w:t>
            </w:r>
          </w:p>
        </w:tc>
      </w:tr>
      <w:tr w:rsidR="001324CA" w:rsidRPr="00E12150" w:rsidTr="00E3428E">
        <w:trPr>
          <w:trHeight w:hRule="exact" w:val="274"/>
        </w:trPr>
        <w:tc>
          <w:tcPr>
            <w:tcW w:w="693" w:type="pct"/>
            <w:vMerge/>
            <w:tcBorders>
              <w:left w:val="single" w:sz="4" w:space="0" w:color="auto"/>
              <w:bottom w:val="nil"/>
            </w:tcBorders>
          </w:tcPr>
          <w:p w:rsidR="001324CA" w:rsidRPr="005B366B" w:rsidRDefault="001324CA" w:rsidP="006057BE">
            <w:pPr>
              <w:pStyle w:val="TableText"/>
              <w:rPr>
                <w:rFonts w:cs="Arial"/>
                <w:sz w:val="20"/>
                <w:szCs w:val="20"/>
              </w:rPr>
            </w:pPr>
          </w:p>
        </w:tc>
        <w:tc>
          <w:tcPr>
            <w:tcW w:w="1336" w:type="pct"/>
            <w:vMerge/>
            <w:tcBorders>
              <w:bottom w:val="nil"/>
            </w:tcBorders>
          </w:tcPr>
          <w:p w:rsidR="001324CA" w:rsidRPr="005B366B" w:rsidRDefault="001324CA" w:rsidP="006057BE">
            <w:pPr>
              <w:pStyle w:val="TableText"/>
              <w:rPr>
                <w:rFonts w:cs="Arial"/>
                <w:sz w:val="20"/>
                <w:szCs w:val="20"/>
              </w:rPr>
            </w:pPr>
          </w:p>
        </w:tc>
        <w:tc>
          <w:tcPr>
            <w:tcW w:w="2971" w:type="pct"/>
            <w:tcBorders>
              <w:bottom w:val="nil"/>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Number of incarcerations</w:t>
            </w:r>
          </w:p>
          <w:p w:rsidR="001324CA" w:rsidRPr="005B366B" w:rsidRDefault="001324CA" w:rsidP="006057BE">
            <w:pPr>
              <w:pStyle w:val="TableText"/>
              <w:rPr>
                <w:rFonts w:cs="Arial"/>
                <w:iCs/>
                <w:sz w:val="20"/>
                <w:szCs w:val="20"/>
              </w:rPr>
            </w:pPr>
          </w:p>
        </w:tc>
      </w:tr>
      <w:tr w:rsidR="001324CA" w:rsidRPr="00E12150" w:rsidTr="00E3428E">
        <w:trPr>
          <w:trHeight w:hRule="exact" w:val="468"/>
        </w:trPr>
        <w:tc>
          <w:tcPr>
            <w:tcW w:w="693" w:type="pct"/>
            <w:vMerge/>
            <w:tcBorders>
              <w:left w:val="single" w:sz="4" w:space="0" w:color="auto"/>
              <w:bottom w:val="nil"/>
            </w:tcBorders>
          </w:tcPr>
          <w:p w:rsidR="001324CA" w:rsidRPr="005B366B" w:rsidRDefault="001324CA" w:rsidP="006057BE">
            <w:pPr>
              <w:pStyle w:val="TableText"/>
              <w:rPr>
                <w:rFonts w:cs="Arial"/>
                <w:sz w:val="20"/>
                <w:szCs w:val="20"/>
              </w:rPr>
            </w:pPr>
          </w:p>
        </w:tc>
        <w:tc>
          <w:tcPr>
            <w:tcW w:w="1336" w:type="pct"/>
            <w:vMerge/>
            <w:tcBorders>
              <w:bottom w:val="nil"/>
            </w:tcBorders>
          </w:tcPr>
          <w:p w:rsidR="001324CA" w:rsidRPr="005B366B" w:rsidRDefault="001324CA" w:rsidP="006057BE">
            <w:pPr>
              <w:pStyle w:val="TableText"/>
              <w:rPr>
                <w:rFonts w:cs="Arial"/>
                <w:sz w:val="20"/>
                <w:szCs w:val="20"/>
              </w:rPr>
            </w:pPr>
          </w:p>
        </w:tc>
        <w:tc>
          <w:tcPr>
            <w:tcW w:w="2971" w:type="pct"/>
            <w:tcBorders>
              <w:bottom w:val="nil"/>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Number of inmates on supervised release</w:t>
            </w:r>
            <w:r w:rsidRPr="005B366B">
              <w:rPr>
                <w:rFonts w:cs="Arial"/>
                <w:iCs/>
                <w:sz w:val="20"/>
                <w:szCs w:val="20"/>
              </w:rPr>
              <w:br/>
              <w:t>(parolees/probationers)</w:t>
            </w:r>
          </w:p>
        </w:tc>
      </w:tr>
      <w:tr w:rsidR="001324CA" w:rsidRPr="00E12150" w:rsidTr="00E3428E">
        <w:trPr>
          <w:trHeight w:hRule="exact" w:val="274"/>
        </w:trPr>
        <w:tc>
          <w:tcPr>
            <w:tcW w:w="693" w:type="pct"/>
            <w:vMerge/>
            <w:tcBorders>
              <w:left w:val="single" w:sz="4" w:space="0" w:color="auto"/>
              <w:bottom w:val="nil"/>
            </w:tcBorders>
          </w:tcPr>
          <w:p w:rsidR="001324CA" w:rsidRPr="005B366B" w:rsidRDefault="001324CA" w:rsidP="006057BE">
            <w:pPr>
              <w:pStyle w:val="TableText"/>
              <w:rPr>
                <w:rFonts w:cs="Arial"/>
                <w:sz w:val="20"/>
                <w:szCs w:val="20"/>
              </w:rPr>
            </w:pPr>
          </w:p>
        </w:tc>
        <w:tc>
          <w:tcPr>
            <w:tcW w:w="1336" w:type="pct"/>
            <w:vMerge/>
            <w:tcBorders>
              <w:bottom w:val="nil"/>
            </w:tcBorders>
          </w:tcPr>
          <w:p w:rsidR="001324CA" w:rsidRPr="005B366B" w:rsidRDefault="001324CA" w:rsidP="006057BE">
            <w:pPr>
              <w:pStyle w:val="TableText"/>
              <w:rPr>
                <w:rFonts w:cs="Arial"/>
                <w:sz w:val="20"/>
                <w:szCs w:val="20"/>
              </w:rPr>
            </w:pPr>
          </w:p>
        </w:tc>
        <w:tc>
          <w:tcPr>
            <w:tcW w:w="2971" w:type="pct"/>
            <w:tcBorders>
              <w:bottom w:val="nil"/>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Percentage change in misdemeanor arrests</w:t>
            </w:r>
          </w:p>
        </w:tc>
      </w:tr>
      <w:tr w:rsidR="001324CA" w:rsidRPr="00E12150" w:rsidTr="00E3428E">
        <w:trPr>
          <w:trHeight w:hRule="exact" w:val="274"/>
        </w:trPr>
        <w:tc>
          <w:tcPr>
            <w:tcW w:w="693" w:type="pct"/>
            <w:vMerge/>
            <w:tcBorders>
              <w:left w:val="single" w:sz="4" w:space="0" w:color="auto"/>
              <w:bottom w:val="nil"/>
            </w:tcBorders>
          </w:tcPr>
          <w:p w:rsidR="001324CA" w:rsidRPr="005B366B" w:rsidRDefault="001324CA" w:rsidP="006057BE">
            <w:pPr>
              <w:pStyle w:val="TableText"/>
              <w:rPr>
                <w:rFonts w:cs="Arial"/>
                <w:sz w:val="20"/>
                <w:szCs w:val="20"/>
              </w:rPr>
            </w:pPr>
          </w:p>
        </w:tc>
        <w:tc>
          <w:tcPr>
            <w:tcW w:w="1336" w:type="pct"/>
            <w:vMerge/>
            <w:tcBorders>
              <w:bottom w:val="nil"/>
            </w:tcBorders>
          </w:tcPr>
          <w:p w:rsidR="001324CA" w:rsidRPr="005B366B" w:rsidRDefault="001324CA" w:rsidP="006057BE">
            <w:pPr>
              <w:pStyle w:val="TableText"/>
              <w:rPr>
                <w:rFonts w:cs="Arial"/>
                <w:sz w:val="20"/>
                <w:szCs w:val="20"/>
              </w:rPr>
            </w:pPr>
          </w:p>
        </w:tc>
        <w:tc>
          <w:tcPr>
            <w:tcW w:w="2971" w:type="pct"/>
            <w:tcBorders>
              <w:bottom w:val="nil"/>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Percentage change in misdemeanor convictions</w:t>
            </w:r>
          </w:p>
        </w:tc>
      </w:tr>
      <w:tr w:rsidR="001324CA" w:rsidRPr="00E12150" w:rsidTr="00E3428E">
        <w:trPr>
          <w:trHeight w:hRule="exact" w:val="274"/>
        </w:trPr>
        <w:tc>
          <w:tcPr>
            <w:tcW w:w="693" w:type="pct"/>
            <w:vMerge/>
            <w:tcBorders>
              <w:left w:val="single" w:sz="4" w:space="0" w:color="auto"/>
              <w:bottom w:val="nil"/>
            </w:tcBorders>
          </w:tcPr>
          <w:p w:rsidR="001324CA" w:rsidRPr="005B366B" w:rsidRDefault="001324CA" w:rsidP="006057BE">
            <w:pPr>
              <w:pStyle w:val="TableText"/>
              <w:rPr>
                <w:rFonts w:cs="Arial"/>
                <w:sz w:val="20"/>
                <w:szCs w:val="20"/>
              </w:rPr>
            </w:pPr>
          </w:p>
        </w:tc>
        <w:tc>
          <w:tcPr>
            <w:tcW w:w="1336" w:type="pct"/>
            <w:vMerge/>
            <w:tcBorders>
              <w:bottom w:val="nil"/>
            </w:tcBorders>
          </w:tcPr>
          <w:p w:rsidR="001324CA" w:rsidRPr="005B366B" w:rsidRDefault="001324CA" w:rsidP="006057BE">
            <w:pPr>
              <w:pStyle w:val="TableText"/>
              <w:rPr>
                <w:rFonts w:cs="Arial"/>
                <w:sz w:val="20"/>
                <w:szCs w:val="20"/>
              </w:rPr>
            </w:pPr>
          </w:p>
        </w:tc>
        <w:tc>
          <w:tcPr>
            <w:tcW w:w="2971" w:type="pct"/>
            <w:tcBorders>
              <w:bottom w:val="nil"/>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Percentage change in incarcerations</w:t>
            </w:r>
          </w:p>
        </w:tc>
      </w:tr>
      <w:tr w:rsidR="001324CA" w:rsidRPr="00E12150" w:rsidTr="00E3428E">
        <w:trPr>
          <w:trHeight w:hRule="exact" w:val="274"/>
        </w:trPr>
        <w:tc>
          <w:tcPr>
            <w:tcW w:w="693" w:type="pct"/>
            <w:vMerge/>
            <w:tcBorders>
              <w:left w:val="single" w:sz="4" w:space="0" w:color="auto"/>
              <w:bottom w:val="nil"/>
            </w:tcBorders>
          </w:tcPr>
          <w:p w:rsidR="001324CA" w:rsidRPr="005B366B" w:rsidRDefault="001324CA" w:rsidP="006057BE">
            <w:pPr>
              <w:pStyle w:val="TableText"/>
              <w:rPr>
                <w:rFonts w:cs="Arial"/>
                <w:sz w:val="20"/>
                <w:szCs w:val="20"/>
              </w:rPr>
            </w:pPr>
          </w:p>
        </w:tc>
        <w:tc>
          <w:tcPr>
            <w:tcW w:w="1336" w:type="pct"/>
            <w:vMerge/>
            <w:tcBorders>
              <w:bottom w:val="nil"/>
            </w:tcBorders>
          </w:tcPr>
          <w:p w:rsidR="001324CA" w:rsidRPr="005B366B" w:rsidRDefault="001324CA" w:rsidP="006057BE">
            <w:pPr>
              <w:pStyle w:val="TableText"/>
              <w:rPr>
                <w:rFonts w:cs="Arial"/>
                <w:sz w:val="20"/>
                <w:szCs w:val="20"/>
              </w:rPr>
            </w:pPr>
          </w:p>
        </w:tc>
        <w:tc>
          <w:tcPr>
            <w:tcW w:w="2971" w:type="pct"/>
            <w:tcBorders>
              <w:bottom w:val="nil"/>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Percentage change in supervised release</w:t>
            </w:r>
          </w:p>
        </w:tc>
      </w:tr>
      <w:tr w:rsidR="001324CA" w:rsidRPr="00E12150" w:rsidTr="00E3428E">
        <w:trPr>
          <w:trHeight w:hRule="exact" w:val="315"/>
        </w:trPr>
        <w:tc>
          <w:tcPr>
            <w:tcW w:w="693" w:type="pct"/>
            <w:vMerge/>
            <w:tcBorders>
              <w:left w:val="single" w:sz="4" w:space="0" w:color="auto"/>
              <w:bottom w:val="nil"/>
            </w:tcBorders>
          </w:tcPr>
          <w:p w:rsidR="001324CA" w:rsidRPr="005B366B" w:rsidRDefault="001324CA" w:rsidP="006057BE">
            <w:pPr>
              <w:pStyle w:val="TableText"/>
              <w:rPr>
                <w:rFonts w:cs="Arial"/>
                <w:sz w:val="20"/>
                <w:szCs w:val="20"/>
              </w:rPr>
            </w:pPr>
          </w:p>
        </w:tc>
        <w:tc>
          <w:tcPr>
            <w:tcW w:w="1336" w:type="pct"/>
            <w:vMerge/>
            <w:tcBorders>
              <w:bottom w:val="nil"/>
            </w:tcBorders>
          </w:tcPr>
          <w:p w:rsidR="001324CA" w:rsidRPr="005B366B" w:rsidRDefault="001324CA" w:rsidP="006057BE">
            <w:pPr>
              <w:pStyle w:val="TableText"/>
              <w:rPr>
                <w:rFonts w:cs="Arial"/>
                <w:sz w:val="20"/>
                <w:szCs w:val="20"/>
              </w:rPr>
            </w:pPr>
          </w:p>
        </w:tc>
        <w:tc>
          <w:tcPr>
            <w:tcW w:w="2971" w:type="pct"/>
            <w:tcBorders>
              <w:bottom w:val="nil"/>
              <w:right w:val="single" w:sz="4" w:space="0" w:color="auto"/>
            </w:tcBorders>
          </w:tcPr>
          <w:p w:rsidR="001324CA" w:rsidRPr="005B366B" w:rsidRDefault="001324CA" w:rsidP="006057BE">
            <w:pPr>
              <w:pStyle w:val="TableText"/>
              <w:rPr>
                <w:rFonts w:cs="Arial"/>
                <w:sz w:val="20"/>
                <w:szCs w:val="20"/>
              </w:rPr>
            </w:pPr>
            <w:r w:rsidRPr="005B366B">
              <w:rPr>
                <w:rFonts w:cs="Arial"/>
                <w:sz w:val="20"/>
                <w:szCs w:val="20"/>
              </w:rPr>
              <w:t xml:space="preserve">Costs of employee training on cannabis impaired driving </w:t>
            </w:r>
          </w:p>
        </w:tc>
      </w:tr>
      <w:tr w:rsidR="001324CA" w:rsidRPr="00E12150" w:rsidTr="00E3428E">
        <w:trPr>
          <w:trHeight w:hRule="exact" w:val="274"/>
        </w:trPr>
        <w:tc>
          <w:tcPr>
            <w:tcW w:w="693" w:type="pct"/>
            <w:vMerge w:val="restart"/>
            <w:tcBorders>
              <w:left w:val="single" w:sz="4" w:space="0" w:color="auto"/>
              <w:bottom w:val="nil"/>
            </w:tcBorders>
          </w:tcPr>
          <w:p w:rsidR="001324CA" w:rsidRPr="005B366B" w:rsidRDefault="001324CA" w:rsidP="006057BE">
            <w:pPr>
              <w:pStyle w:val="TableText"/>
              <w:rPr>
                <w:rFonts w:cs="Arial"/>
                <w:sz w:val="20"/>
                <w:szCs w:val="20"/>
              </w:rPr>
            </w:pPr>
            <w:r w:rsidRPr="005B366B">
              <w:rPr>
                <w:rFonts w:cs="Arial"/>
                <w:sz w:val="20"/>
                <w:szCs w:val="20"/>
              </w:rPr>
              <w:t>Public health and safety</w:t>
            </w:r>
          </w:p>
        </w:tc>
        <w:tc>
          <w:tcPr>
            <w:tcW w:w="1336" w:type="pct"/>
            <w:vMerge w:val="restart"/>
            <w:tcBorders>
              <w:bottom w:val="nil"/>
            </w:tcBorders>
          </w:tcPr>
          <w:p w:rsidR="001324CA" w:rsidRPr="005B366B" w:rsidRDefault="001324CA" w:rsidP="006057BE">
            <w:pPr>
              <w:pStyle w:val="TableText"/>
              <w:rPr>
                <w:rFonts w:cs="Arial"/>
                <w:sz w:val="20"/>
                <w:szCs w:val="20"/>
              </w:rPr>
            </w:pPr>
            <w:r w:rsidRPr="005B366B">
              <w:rPr>
                <w:rFonts w:cs="Arial"/>
                <w:sz w:val="20"/>
                <w:szCs w:val="20"/>
              </w:rPr>
              <w:t>Colorado Department of Public of Health</w:t>
            </w:r>
          </w:p>
        </w:tc>
        <w:tc>
          <w:tcPr>
            <w:tcW w:w="2971" w:type="pct"/>
            <w:tcBorders>
              <w:bottom w:val="nil"/>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Suicide estimates (used in supplementary analyses)</w:t>
            </w:r>
          </w:p>
        </w:tc>
      </w:tr>
      <w:tr w:rsidR="001324CA" w:rsidRPr="00E12150" w:rsidTr="00E3428E">
        <w:trPr>
          <w:trHeight w:hRule="exact" w:val="274"/>
        </w:trPr>
        <w:tc>
          <w:tcPr>
            <w:tcW w:w="693" w:type="pct"/>
            <w:vMerge/>
            <w:tcBorders>
              <w:left w:val="single" w:sz="4" w:space="0" w:color="auto"/>
              <w:bottom w:val="nil"/>
            </w:tcBorders>
          </w:tcPr>
          <w:p w:rsidR="001324CA" w:rsidRPr="005B366B" w:rsidRDefault="001324CA" w:rsidP="006057BE">
            <w:pPr>
              <w:pStyle w:val="TableText"/>
              <w:rPr>
                <w:rFonts w:cs="Arial"/>
                <w:sz w:val="20"/>
                <w:szCs w:val="20"/>
              </w:rPr>
            </w:pPr>
          </w:p>
        </w:tc>
        <w:tc>
          <w:tcPr>
            <w:tcW w:w="1336" w:type="pct"/>
            <w:vMerge/>
            <w:tcBorders>
              <w:bottom w:val="nil"/>
            </w:tcBorders>
          </w:tcPr>
          <w:p w:rsidR="001324CA" w:rsidRPr="005B366B" w:rsidRDefault="001324CA" w:rsidP="006057BE">
            <w:pPr>
              <w:pStyle w:val="TableText"/>
              <w:rPr>
                <w:rFonts w:cs="Arial"/>
                <w:sz w:val="20"/>
                <w:szCs w:val="20"/>
              </w:rPr>
            </w:pPr>
          </w:p>
        </w:tc>
        <w:tc>
          <w:tcPr>
            <w:tcW w:w="2971" w:type="pct"/>
            <w:tcBorders>
              <w:bottom w:val="nil"/>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Marijuana Tax Cash Fund expenditures</w:t>
            </w:r>
          </w:p>
        </w:tc>
      </w:tr>
      <w:tr w:rsidR="001324CA" w:rsidRPr="00E12150" w:rsidTr="00E3428E">
        <w:trPr>
          <w:trHeight w:hRule="exact" w:val="756"/>
        </w:trPr>
        <w:tc>
          <w:tcPr>
            <w:tcW w:w="693" w:type="pct"/>
            <w:vMerge/>
            <w:tcBorders>
              <w:left w:val="single" w:sz="4" w:space="0" w:color="auto"/>
              <w:bottom w:val="single" w:sz="4" w:space="0" w:color="auto"/>
            </w:tcBorders>
          </w:tcPr>
          <w:p w:rsidR="001324CA" w:rsidRPr="005B366B" w:rsidRDefault="001324CA" w:rsidP="006057BE">
            <w:pPr>
              <w:pStyle w:val="TableText"/>
              <w:rPr>
                <w:rFonts w:cs="Arial"/>
                <w:sz w:val="20"/>
                <w:szCs w:val="20"/>
              </w:rPr>
            </w:pPr>
          </w:p>
        </w:tc>
        <w:tc>
          <w:tcPr>
            <w:tcW w:w="1336" w:type="pct"/>
            <w:tcBorders>
              <w:bottom w:val="single" w:sz="4" w:space="0" w:color="auto"/>
            </w:tcBorders>
          </w:tcPr>
          <w:p w:rsidR="001324CA" w:rsidRPr="005B366B" w:rsidRDefault="001324CA" w:rsidP="006057BE">
            <w:pPr>
              <w:pStyle w:val="TableText"/>
              <w:rPr>
                <w:rFonts w:cs="Arial"/>
                <w:sz w:val="20"/>
                <w:szCs w:val="20"/>
              </w:rPr>
            </w:pPr>
            <w:r w:rsidRPr="005B366B">
              <w:rPr>
                <w:rFonts w:cs="Arial"/>
                <w:sz w:val="20"/>
                <w:szCs w:val="20"/>
              </w:rPr>
              <w:t>Massachusetts Bureau of Substance Abuse Services</w:t>
            </w:r>
          </w:p>
        </w:tc>
        <w:tc>
          <w:tcPr>
            <w:tcW w:w="2971" w:type="pct"/>
            <w:tcBorders>
              <w:bottom w:val="single" w:sz="4" w:space="0" w:color="auto"/>
              <w:right w:val="single" w:sz="4" w:space="0" w:color="auto"/>
            </w:tcBorders>
          </w:tcPr>
          <w:p w:rsidR="001324CA" w:rsidRPr="005B366B" w:rsidRDefault="001324CA" w:rsidP="006057BE">
            <w:pPr>
              <w:pStyle w:val="TableText"/>
              <w:rPr>
                <w:rFonts w:cs="Arial"/>
                <w:iCs/>
                <w:sz w:val="20"/>
                <w:szCs w:val="20"/>
              </w:rPr>
            </w:pPr>
            <w:r w:rsidRPr="005B366B">
              <w:rPr>
                <w:rFonts w:cs="Arial"/>
                <w:iCs/>
                <w:sz w:val="20"/>
                <w:szCs w:val="20"/>
              </w:rPr>
              <w:t>Cost associated with substance use disorder treatment</w:t>
            </w:r>
          </w:p>
        </w:tc>
      </w:tr>
    </w:tbl>
    <w:p w:rsidR="005D7694" w:rsidRDefault="005D7694" w:rsidP="006057BE">
      <w:pPr>
        <w:pStyle w:val="TableSourceCaption"/>
        <w:tabs>
          <w:tab w:val="clear" w:pos="792"/>
          <w:tab w:val="left" w:pos="0"/>
        </w:tabs>
        <w:spacing w:before="0" w:line="240" w:lineRule="auto"/>
        <w:ind w:left="0" w:firstLine="0"/>
        <w:rPr>
          <w:rFonts w:cs="Arial"/>
          <w:sz w:val="24"/>
          <w:szCs w:val="24"/>
        </w:rPr>
      </w:pPr>
    </w:p>
    <w:p w:rsidR="001324CA" w:rsidRPr="00E12150" w:rsidRDefault="001324CA" w:rsidP="006057BE">
      <w:pPr>
        <w:pStyle w:val="TableSourceCaption"/>
        <w:tabs>
          <w:tab w:val="clear" w:pos="792"/>
          <w:tab w:val="left" w:pos="0"/>
        </w:tabs>
        <w:spacing w:before="0" w:line="240" w:lineRule="auto"/>
        <w:ind w:left="0" w:firstLine="0"/>
        <w:rPr>
          <w:rFonts w:cs="Arial"/>
          <w:sz w:val="24"/>
          <w:szCs w:val="24"/>
        </w:rPr>
      </w:pPr>
      <w:r w:rsidRPr="00E12150">
        <w:rPr>
          <w:rFonts w:cs="Arial"/>
          <w:sz w:val="24"/>
          <w:szCs w:val="24"/>
        </w:rPr>
        <w:t>MDPH = Massachusetts Department of Public Health; RMD = registered m</w:t>
      </w:r>
      <w:r>
        <w:rPr>
          <w:rFonts w:cs="Arial"/>
          <w:sz w:val="24"/>
          <w:szCs w:val="24"/>
        </w:rPr>
        <w:t xml:space="preserve">arijuana </w:t>
      </w:r>
      <w:r w:rsidRPr="00E12150">
        <w:rPr>
          <w:rFonts w:cs="Arial"/>
          <w:sz w:val="24"/>
          <w:szCs w:val="24"/>
        </w:rPr>
        <w:t>dispensary.</w:t>
      </w:r>
    </w:p>
    <w:p w:rsidR="001324CA" w:rsidRPr="00E12150" w:rsidRDefault="001324CA" w:rsidP="006057BE">
      <w:pPr>
        <w:pStyle w:val="TableSourceCaption"/>
        <w:spacing w:before="0" w:line="240" w:lineRule="auto"/>
        <w:ind w:left="0" w:firstLine="0"/>
        <w:rPr>
          <w:rFonts w:cs="Arial"/>
          <w:sz w:val="24"/>
          <w:szCs w:val="24"/>
        </w:rPr>
      </w:pPr>
    </w:p>
    <w:p w:rsidR="001324CA" w:rsidRPr="00D31875" w:rsidRDefault="001324CA" w:rsidP="00F950A2">
      <w:pPr>
        <w:pStyle w:val="Heading4"/>
      </w:pPr>
      <w:r w:rsidRPr="00D31875">
        <w:t>Secondary Data Sources</w:t>
      </w: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We augmented information from the literature and key informant interviews with analyses of a number of secondary data sources. To estimate taxable sales from marijuana, we required information on marijuana pricing. We extracted this information from three websites that aggregate crowd-sourced information on marijuana pricing (as of December 2017): Budzu and PriceofWeed (which enables users to submit information on the location where they purchased marijuana and on the price, amount, and quality of the marijuana purchased) and a document hosted on Google Sheets called Dispensary Sheet (which displays information about the price of marijuana for each amount sold at Massachusetts dispensaries). Because retail marijuana sales are not yet legal, information on the current price per gram of dried flower marijuana from these sites may contain a combination of prices in the illicit market and those in the medical market. We also used data supplied by MDPH to identify the median price of medical marijuana sold in registered marijuana dispensaries (RMDs) in Massachusetts</w:t>
      </w:r>
      <w:r w:rsidR="00804165">
        <w:rPr>
          <w:rFonts w:ascii="Arial" w:hAnsi="Arial" w:cs="Arial"/>
          <w:sz w:val="24"/>
          <w:szCs w:val="24"/>
        </w:rPr>
        <w:t xml:space="preserve"> </w:t>
      </w:r>
      <w:r w:rsidR="00804165" w:rsidRPr="00804165">
        <w:rPr>
          <w:rFonts w:ascii="Arial" w:hAnsi="Arial" w:cs="Arial"/>
          <w:sz w:val="24"/>
          <w:szCs w:val="24"/>
        </w:rPr>
        <w:t xml:space="preserve">(see Appendix </w:t>
      </w:r>
      <w:r w:rsidR="0010613B">
        <w:rPr>
          <w:rFonts w:ascii="Arial" w:hAnsi="Arial" w:cs="Arial"/>
          <w:sz w:val="24"/>
          <w:szCs w:val="24"/>
        </w:rPr>
        <w:t>D</w:t>
      </w:r>
      <w:r w:rsidR="00804165" w:rsidRPr="00804165">
        <w:rPr>
          <w:rFonts w:ascii="Arial" w:hAnsi="Arial" w:cs="Arial"/>
          <w:bCs/>
          <w:sz w:val="24"/>
          <w:szCs w:val="24"/>
        </w:rPr>
        <w:t>)</w:t>
      </w:r>
      <w:r w:rsidR="00804165" w:rsidRPr="00804165">
        <w:rPr>
          <w:rFonts w:ascii="Arial" w:hAnsi="Arial" w:cs="Arial"/>
          <w:sz w:val="24"/>
          <w:szCs w:val="24"/>
        </w:rPr>
        <w:t>.</w:t>
      </w:r>
      <w:r w:rsidRPr="00E12150">
        <w:rPr>
          <w:rFonts w:ascii="Arial" w:hAnsi="Arial" w:cs="Arial"/>
          <w:sz w:val="24"/>
          <w:szCs w:val="24"/>
        </w:rPr>
        <w:t xml:space="preserve"> </w:t>
      </w: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We obtained data on the prevalence of current marijuana use from a combination of the MBHS Task 1 survey of the general population in Massachusetts; the 2015 National Survey on Drug Use and Health (NSDUH, based on national estimates because Massachusetts-specific detailed data were unavailable at the time of the analysis</w:t>
      </w:r>
      <w:r w:rsidRPr="00E12150">
        <w:rPr>
          <w:rStyle w:val="FootnoteReference"/>
          <w:rFonts w:ascii="Arial" w:hAnsi="Arial" w:cs="Arial"/>
          <w:sz w:val="24"/>
          <w:szCs w:val="24"/>
        </w:rPr>
        <w:footnoteReference w:id="12"/>
      </w:r>
      <w:r w:rsidRPr="00E12150">
        <w:rPr>
          <w:rFonts w:ascii="Arial" w:hAnsi="Arial" w:cs="Arial"/>
          <w:sz w:val="24"/>
          <w:szCs w:val="24"/>
        </w:rPr>
        <w:t>); and the 2015 Behavioral Risk Factor Surveillance System (BRFSS) of Massachusetts residents.</w:t>
      </w:r>
      <w:r w:rsidRPr="00E12150">
        <w:rPr>
          <w:rStyle w:val="FootnoteReference"/>
          <w:rFonts w:ascii="Arial" w:hAnsi="Arial" w:cs="Arial"/>
          <w:sz w:val="24"/>
          <w:szCs w:val="24"/>
        </w:rPr>
        <w:footnoteReference w:id="13"/>
      </w:r>
      <w:r w:rsidRPr="00E12150">
        <w:rPr>
          <w:rFonts w:ascii="Arial" w:hAnsi="Arial" w:cs="Arial"/>
          <w:sz w:val="24"/>
          <w:szCs w:val="24"/>
          <w:vertAlign w:val="superscript"/>
        </w:rPr>
        <w:t>,</w:t>
      </w:r>
      <w:r w:rsidRPr="00E12150">
        <w:rPr>
          <w:rStyle w:val="FootnoteReference"/>
          <w:rFonts w:ascii="Arial" w:hAnsi="Arial" w:cs="Arial"/>
          <w:sz w:val="24"/>
          <w:szCs w:val="24"/>
        </w:rPr>
        <w:footnoteReference w:id="14"/>
      </w:r>
      <w:r w:rsidRPr="00E12150">
        <w:rPr>
          <w:rFonts w:ascii="Arial" w:hAnsi="Arial" w:cs="Arial"/>
          <w:sz w:val="24"/>
          <w:szCs w:val="24"/>
        </w:rPr>
        <w:t xml:space="preserve"> For adolescent marijuana use prevalence, we obtained estimates from the 2015 Massachusetts Youth Risk Behavior Surveillance System (YRBSS) survey of 9th through 12th grade students,</w:t>
      </w:r>
      <w:r w:rsidRPr="00E12150">
        <w:rPr>
          <w:rStyle w:val="FootnoteReference"/>
          <w:rFonts w:ascii="Arial" w:hAnsi="Arial" w:cs="Arial"/>
          <w:sz w:val="24"/>
          <w:szCs w:val="24"/>
        </w:rPr>
        <w:footnoteReference w:id="15"/>
      </w:r>
      <w:r w:rsidRPr="00E12150">
        <w:rPr>
          <w:rFonts w:ascii="Arial" w:hAnsi="Arial" w:cs="Arial"/>
          <w:sz w:val="24"/>
          <w:szCs w:val="24"/>
        </w:rPr>
        <w:t xml:space="preserve"> the 2015 Massachusetts Youth Health Survey (YHS) of middle and high school students,</w:t>
      </w:r>
      <w:r w:rsidRPr="00E12150">
        <w:rPr>
          <w:rStyle w:val="FootnoteReference"/>
          <w:rFonts w:ascii="Arial" w:hAnsi="Arial" w:cs="Arial"/>
          <w:sz w:val="24"/>
          <w:szCs w:val="24"/>
        </w:rPr>
        <w:footnoteReference w:id="16"/>
      </w:r>
      <w:r w:rsidRPr="00E12150">
        <w:rPr>
          <w:rFonts w:ascii="Arial" w:hAnsi="Arial" w:cs="Arial"/>
          <w:sz w:val="24"/>
          <w:szCs w:val="24"/>
        </w:rPr>
        <w:t xml:space="preserve"> and 2015–2016 NSDUH estimates.</w:t>
      </w:r>
      <w:r w:rsidRPr="00E12150">
        <w:rPr>
          <w:rStyle w:val="FootnoteReference"/>
          <w:rFonts w:ascii="Arial" w:hAnsi="Arial" w:cs="Arial"/>
          <w:sz w:val="24"/>
          <w:szCs w:val="24"/>
        </w:rPr>
        <w:footnoteReference w:id="17"/>
      </w:r>
      <w:r w:rsidRPr="00E12150">
        <w:rPr>
          <w:rFonts w:ascii="Arial" w:hAnsi="Arial" w:cs="Arial"/>
          <w:sz w:val="24"/>
          <w:szCs w:val="24"/>
        </w:rPr>
        <w:t xml:space="preserve"> </w:t>
      </w:r>
    </w:p>
    <w:p w:rsidR="00B133C6" w:rsidRPr="00E12150" w:rsidRDefault="00B133C6"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We gathered estimates of changes in regulatory costs and revenue attributable to retail legalization from CCC, MDPH, Washington, and Colorado budgets. Given that the CCC is expected to take over regulatory oversight of the medical marijuana program from MDPH, the increase in start-up costs for Massachusetts fiscal year (FY) 2018 were based on the difference between the CCC budget estimate</w:t>
      </w:r>
      <w:r w:rsidRPr="00E12150">
        <w:rPr>
          <w:rStyle w:val="FootnoteReference"/>
          <w:rFonts w:ascii="Arial" w:hAnsi="Arial" w:cs="Arial"/>
          <w:sz w:val="24"/>
          <w:szCs w:val="24"/>
        </w:rPr>
        <w:footnoteReference w:id="18"/>
      </w:r>
      <w:r w:rsidRPr="00E12150">
        <w:rPr>
          <w:rFonts w:ascii="Arial" w:hAnsi="Arial" w:cs="Arial"/>
          <w:sz w:val="24"/>
          <w:szCs w:val="24"/>
        </w:rPr>
        <w:t xml:space="preserve"> and projected FY 2017 costs from the MDPH’s Medical Marijuana Trust Fund Annual Report.</w:t>
      </w:r>
      <w:r w:rsidRPr="00E12150">
        <w:rPr>
          <w:rStyle w:val="FootnoteReference"/>
          <w:rFonts w:ascii="Arial" w:hAnsi="Arial" w:cs="Arial"/>
          <w:sz w:val="24"/>
          <w:szCs w:val="24"/>
        </w:rPr>
        <w:footnoteReference w:id="19"/>
      </w:r>
      <w:r w:rsidRPr="00E12150">
        <w:rPr>
          <w:rFonts w:ascii="Arial" w:hAnsi="Arial" w:cs="Arial"/>
          <w:sz w:val="24"/>
          <w:szCs w:val="24"/>
        </w:rPr>
        <w:t xml:space="preserve"> Thereafter, for FY 2019 and FY 2020, we inflated CCC and MDPH projections of costs to account for the expected growth in the number of RMDs in operation (estimated to be 26 by the end of FY 2018, 40 by the end of FY 2019, and 123 by the end of FY 2020, based on data posted by MDPH on the current status of all registered marijuana dispensaries and applications through January 12, 2018</w:t>
      </w:r>
      <w:r w:rsidRPr="00E12150">
        <w:rPr>
          <w:rStyle w:val="FootnoteReference"/>
          <w:rFonts w:ascii="Arial" w:hAnsi="Arial" w:cs="Arial"/>
          <w:sz w:val="24"/>
          <w:szCs w:val="24"/>
        </w:rPr>
        <w:footnoteReference w:id="20"/>
      </w:r>
      <w:r w:rsidRPr="00E12150">
        <w:rPr>
          <w:rFonts w:ascii="Arial" w:hAnsi="Arial" w:cs="Arial"/>
          <w:sz w:val="24"/>
          <w:szCs w:val="24"/>
        </w:rPr>
        <w:t>). We also translated recurring marijuana-related law enforcement costs incurred in Washington (based on the I-502 Fiscal Impact Statement</w:t>
      </w:r>
      <w:r w:rsidRPr="00E12150">
        <w:rPr>
          <w:rFonts w:ascii="Arial" w:hAnsi="Arial" w:cs="Arial"/>
          <w:sz w:val="24"/>
          <w:szCs w:val="24"/>
          <w:vertAlign w:val="superscript"/>
        </w:rPr>
        <w:footnoteReference w:id="21"/>
      </w:r>
      <w:r w:rsidRPr="00E12150">
        <w:rPr>
          <w:rFonts w:ascii="Arial" w:hAnsi="Arial" w:cs="Arial"/>
          <w:sz w:val="24"/>
          <w:szCs w:val="24"/>
        </w:rPr>
        <w:t>) and public safety costs incurred in Colorado</w:t>
      </w:r>
      <w:r w:rsidRPr="00E12150">
        <w:rPr>
          <w:rStyle w:val="FootnoteReference"/>
          <w:rFonts w:ascii="Arial" w:hAnsi="Arial" w:cs="Arial"/>
          <w:sz w:val="24"/>
          <w:szCs w:val="24"/>
        </w:rPr>
        <w:footnoteReference w:id="22"/>
      </w:r>
      <w:r w:rsidRPr="00E12150">
        <w:rPr>
          <w:rFonts w:ascii="Arial" w:hAnsi="Arial" w:cs="Arial"/>
          <w:sz w:val="24"/>
          <w:szCs w:val="24"/>
        </w:rPr>
        <w:t xml:space="preserve"> to Massachusetts’ projected costs on a per capita basis. </w:t>
      </w: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Sources of regulatory revenue within the first two years of legalization include marijuana dispensary application fees and fines collected for infractions or deficiencies. To estimate regulatory revenue, we inflated FY 2017 projections from MDPH’s Medical Marijuana Trust Fund Annual Report, as described above for the start-up costs, to reflect the growth in RMDs. We also included estimated fines that the CCC will collect for infractions in FY 2019 and FY 2020. Though CCC fines can be as high as $25,000 per deficiency, we assumed an average fine of $1,000 (in line with Group 2 regulatory marijuana fines in Washington</w:t>
      </w:r>
      <w:r w:rsidRPr="00E12150">
        <w:rPr>
          <w:rStyle w:val="FootnoteReference"/>
          <w:rFonts w:ascii="Arial" w:hAnsi="Arial" w:cs="Arial"/>
          <w:sz w:val="24"/>
          <w:szCs w:val="24"/>
        </w:rPr>
        <w:footnoteReference w:id="23"/>
      </w:r>
      <w:r w:rsidRPr="00E12150">
        <w:rPr>
          <w:rFonts w:ascii="Arial" w:hAnsi="Arial" w:cs="Arial"/>
          <w:sz w:val="24"/>
          <w:szCs w:val="24"/>
        </w:rPr>
        <w:t>) and assumed five deficiencies per RMD per year (based on conversations with MDPH). We did not factor in additional licensing revenue because, based on our analysis of data from MDPH on the current status of all registered marijuana dispensaries and applications through January 12, 2018, we do not expect to see a substantial increase in the number of RMD applications in the two-year study period compared to current application rates.</w:t>
      </w:r>
    </w:p>
    <w:p w:rsidR="00B133C6" w:rsidRPr="00E12150" w:rsidRDefault="00B133C6"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Finally, several secondary data sources informed our estimates of public health effects of adult use legalization: treatment admission data from the 2011 and 2016 Massachusetts Treatment Episode Data Set (TEDS)</w:t>
      </w:r>
      <w:r w:rsidRPr="00E12150">
        <w:rPr>
          <w:rStyle w:val="FootnoteReference"/>
          <w:rFonts w:ascii="Arial" w:hAnsi="Arial" w:cs="Arial"/>
          <w:sz w:val="24"/>
          <w:szCs w:val="24"/>
        </w:rPr>
        <w:footnoteReference w:id="24"/>
      </w:r>
      <w:r w:rsidRPr="00E12150">
        <w:rPr>
          <w:rFonts w:ascii="Arial" w:hAnsi="Arial" w:cs="Arial"/>
          <w:sz w:val="24"/>
          <w:szCs w:val="24"/>
        </w:rPr>
        <w:t xml:space="preserve"> and the Massachusetts Budget and Policy Center, data on suicides from the 2015 Centers for Disease Control and Prevention National Vital Statistics System statistics on Massachusetts, traffic fatality statistics from the 2015 Fatality Analysis Reporting System (which were compiled by the MBHS Task 2 team), and 2016 data on the number of opioid-related deaths from MDPH. </w:t>
      </w: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To translate estimates from other states to Massachusetts, we used data from the U.S. Census microdata (Ruggles, Genadek, Goeken, Grover, &amp; Sobek, 2017) and the 2015 American Community Survey 5-Year Estimates (United States Census Bureau, 2015) on Massachusetts population size and demographics</w:t>
      </w:r>
      <w:r>
        <w:rPr>
          <w:rFonts w:ascii="Arial" w:hAnsi="Arial" w:cs="Arial"/>
          <w:sz w:val="24"/>
          <w:szCs w:val="24"/>
        </w:rPr>
        <w:t>.</w:t>
      </w:r>
    </w:p>
    <w:p w:rsidR="001324CA" w:rsidRDefault="001324CA" w:rsidP="006057BE">
      <w:pPr>
        <w:pStyle w:val="NormalSS"/>
        <w:spacing w:after="0"/>
        <w:rPr>
          <w:rFonts w:ascii="Arial" w:hAnsi="Arial" w:cs="Arial"/>
          <w:sz w:val="24"/>
          <w:szCs w:val="24"/>
        </w:rPr>
      </w:pPr>
    </w:p>
    <w:p w:rsidR="001324CA" w:rsidRPr="00D31875" w:rsidRDefault="001324CA" w:rsidP="00F950A2">
      <w:pPr>
        <w:pStyle w:val="Heading4"/>
      </w:pPr>
      <w:r w:rsidRPr="00D31875">
        <w:t>MBHS Task 1 Survey</w:t>
      </w: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We analyzed data from the Massachusetts general population adult survey, administered as part of MBHS Task 1 by the University of Massachusetts’ Donahue Institute, to obtain estimates of the prevalence of marijuana use, the number of regular versus heavy users of marijuana, and use by mode of consumption. All estimates were based on weighted frequencies that were generated using SAS PROC SURVEYSELECT (SAS version 9.4).</w:t>
      </w: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 xml:space="preserve">Our estimate of prevalence of current marijuana use came from a question on use of marijuana or hashish at least once within the past 30 days. We calculated the prevalence of use statewide (based on all individuals surveyed) and combined this information with data on the prevalence of use obtained from the NSDUH and BRFSS surveys to obtain a range of plausible values that fed into our models. We also estimated the number of regular versus heavy users of marijuana in Massachusetts based on definitions in the literature that rely on the number of days of marijuana use in the past month (Kilmer et al., 2013). We calculated the number of individuals surveyed who used marijuana between 1 and 20 days in the past month (defined as regular users) and how many used marijuana 21 days or more in the past month (defined as heavy users). Finally, we examined modes of consumption and found that the clear majority of users (95%) consume marijuana as a dried flower product (by smoking or vaporization)—either alone or in combination with other modes of consumption (such as by eating it, dabbing it, or applying it topically or sublingually). We therefore based our pricing of marijuana on price per gram of dried flower product. </w:t>
      </w:r>
    </w:p>
    <w:p w:rsidR="00B133C6" w:rsidRPr="00E12150" w:rsidRDefault="00B133C6"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In addition, we estimated prevalence of marijuana use at the city or town level using data collected in the MBHS Task 1 survey by respondents’ five-digit ZIP code.</w:t>
      </w:r>
      <w:r w:rsidRPr="00E12150">
        <w:rPr>
          <w:rFonts w:ascii="Arial" w:eastAsiaTheme="minorHAnsi" w:hAnsi="Arial" w:cs="Arial"/>
          <w:sz w:val="24"/>
          <w:szCs w:val="24"/>
        </w:rPr>
        <w:t xml:space="preserve"> </w:t>
      </w:r>
      <w:r w:rsidRPr="00E12150">
        <w:rPr>
          <w:rFonts w:ascii="Arial" w:hAnsi="Arial" w:cs="Arial"/>
          <w:sz w:val="24"/>
          <w:szCs w:val="24"/>
        </w:rPr>
        <w:t>Because ZIP codes tend to span multiple cities, we used a two-part approach to allocate respondents to a single city or town, based on MassGIS data on city and town boundaries:</w:t>
      </w:r>
      <w:r w:rsidRPr="00E12150">
        <w:rPr>
          <w:rStyle w:val="FootnoteReference"/>
          <w:rFonts w:ascii="Arial" w:hAnsi="Arial" w:cs="Arial"/>
          <w:sz w:val="24"/>
          <w:szCs w:val="24"/>
        </w:rPr>
        <w:footnoteReference w:id="25"/>
      </w:r>
      <w:r w:rsidRPr="00E12150">
        <w:rPr>
          <w:rFonts w:ascii="Arial" w:hAnsi="Arial" w:cs="Arial"/>
          <w:sz w:val="24"/>
          <w:szCs w:val="24"/>
        </w:rPr>
        <w:t xml:space="preserve"> (1) we associated each ZIP code to the city or town that contained the majority of the ZIP code boundary, and (2) if no city contained the majority of the ZIP code boundary, we used the town or city that contained the geographic center of the ZIP code. We then calculated the prevalence of current marijuana use in each city or town for cities and towns with at least 15 MBHS Task 1 survey respondents (to ensure we had sufficient data to produce a valid estimate); for the remaining municipalities, we estimated the prevalence by averaging the current marijuana use prevalence estimates from the national NSDUH and Massachusetts-specific BRFSS surveys. </w:t>
      </w:r>
    </w:p>
    <w:p w:rsidR="00B133C6" w:rsidRPr="00A3309E" w:rsidRDefault="00B133C6" w:rsidP="006057BE">
      <w:pPr>
        <w:pStyle w:val="NormalSS"/>
        <w:spacing w:after="0"/>
        <w:rPr>
          <w:rFonts w:ascii="Arial" w:hAnsi="Arial" w:cs="Arial"/>
          <w:b/>
          <w:szCs w:val="24"/>
        </w:rPr>
      </w:pPr>
    </w:p>
    <w:p w:rsidR="001324CA" w:rsidRDefault="001324CA" w:rsidP="00F950A2">
      <w:pPr>
        <w:pStyle w:val="Heading3"/>
      </w:pPr>
      <w:bookmarkStart w:id="658" w:name="_Toc11766044"/>
      <w:bookmarkStart w:id="659" w:name="_Toc11766699"/>
      <w:r w:rsidRPr="00D31875">
        <w:t>Statistical Modeling</w:t>
      </w:r>
      <w:bookmarkEnd w:id="658"/>
      <w:bookmarkEnd w:id="659"/>
    </w:p>
    <w:p w:rsidR="00F950A2" w:rsidRPr="00F950A2" w:rsidRDefault="00F950A2" w:rsidP="00F950A2">
      <w:pPr>
        <w:pStyle w:val="BodyText"/>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 xml:space="preserve">Our model estimates the fiscal impacts of shifting from a medical marijuana to a broader adult use program within the first two years after retail sales begin. We also include start-up costs and revenue. Our modeling consists of three models: </w:t>
      </w:r>
    </w:p>
    <w:p w:rsidR="00B133C6" w:rsidRPr="00E12150" w:rsidRDefault="00B133C6" w:rsidP="006057BE">
      <w:pPr>
        <w:pStyle w:val="NormalSS"/>
        <w:spacing w:after="0"/>
        <w:rPr>
          <w:rFonts w:ascii="Arial" w:hAnsi="Arial" w:cs="Arial"/>
          <w:sz w:val="24"/>
          <w:szCs w:val="24"/>
        </w:rPr>
      </w:pPr>
    </w:p>
    <w:p w:rsidR="001324CA" w:rsidRPr="00E12150" w:rsidRDefault="001324CA" w:rsidP="008A25CE">
      <w:pPr>
        <w:pStyle w:val="NormalSS"/>
        <w:numPr>
          <w:ilvl w:val="0"/>
          <w:numId w:val="23"/>
        </w:numPr>
        <w:spacing w:after="0"/>
        <w:rPr>
          <w:rFonts w:ascii="Arial" w:hAnsi="Arial" w:cs="Arial"/>
          <w:sz w:val="24"/>
          <w:szCs w:val="24"/>
        </w:rPr>
      </w:pPr>
      <w:r w:rsidRPr="00E12150">
        <w:rPr>
          <w:rFonts w:ascii="Arial" w:hAnsi="Arial" w:cs="Arial"/>
          <w:sz w:val="24"/>
          <w:szCs w:val="24"/>
        </w:rPr>
        <w:t xml:space="preserve">A </w:t>
      </w:r>
      <w:r w:rsidRPr="00E12150">
        <w:rPr>
          <w:rFonts w:ascii="Arial" w:hAnsi="Arial" w:cs="Arial"/>
          <w:i/>
          <w:sz w:val="24"/>
          <w:szCs w:val="24"/>
        </w:rPr>
        <w:t>main</w:t>
      </w:r>
      <w:r w:rsidRPr="00E12150">
        <w:rPr>
          <w:rFonts w:ascii="Arial" w:hAnsi="Arial" w:cs="Arial"/>
          <w:sz w:val="24"/>
          <w:szCs w:val="24"/>
        </w:rPr>
        <w:t xml:space="preserve"> model, which includes primary measures that we hypothesize are major drivers of economic impacts to the state and for which there is strong evidence to inform estimates: sales tax revenue, regulatory oversight costs and revenue, and reductions in marijuana-related law enforcement activities</w:t>
      </w:r>
    </w:p>
    <w:p w:rsidR="001324CA" w:rsidRPr="00E12150" w:rsidRDefault="001324CA" w:rsidP="008A25CE">
      <w:pPr>
        <w:pStyle w:val="NormalSS"/>
        <w:numPr>
          <w:ilvl w:val="0"/>
          <w:numId w:val="23"/>
        </w:numPr>
        <w:spacing w:after="0"/>
        <w:rPr>
          <w:rFonts w:ascii="Arial" w:hAnsi="Arial" w:cs="Arial"/>
          <w:sz w:val="24"/>
          <w:szCs w:val="24"/>
        </w:rPr>
      </w:pPr>
      <w:r w:rsidRPr="00E12150">
        <w:rPr>
          <w:rFonts w:ascii="Arial" w:hAnsi="Arial" w:cs="Arial"/>
          <w:sz w:val="24"/>
          <w:szCs w:val="24"/>
        </w:rPr>
        <w:t xml:space="preserve">A </w:t>
      </w:r>
      <w:r w:rsidRPr="00E12150">
        <w:rPr>
          <w:rFonts w:ascii="Arial" w:hAnsi="Arial" w:cs="Arial"/>
          <w:i/>
          <w:sz w:val="24"/>
          <w:szCs w:val="24"/>
        </w:rPr>
        <w:t>supplemental</w:t>
      </w:r>
      <w:r w:rsidRPr="00E12150">
        <w:rPr>
          <w:rFonts w:ascii="Arial" w:hAnsi="Arial" w:cs="Arial"/>
          <w:sz w:val="24"/>
          <w:szCs w:val="24"/>
        </w:rPr>
        <w:t xml:space="preserve"> model, which adds secondary impacts on public health, public safety, and income tax revenue for which the evidence is less definitive or immediate than those domains included in the main model</w:t>
      </w:r>
    </w:p>
    <w:p w:rsidR="001324CA" w:rsidRDefault="001324CA" w:rsidP="008A25CE">
      <w:pPr>
        <w:pStyle w:val="NormalSS"/>
        <w:numPr>
          <w:ilvl w:val="0"/>
          <w:numId w:val="23"/>
        </w:numPr>
        <w:spacing w:after="0"/>
        <w:rPr>
          <w:rFonts w:ascii="Arial" w:hAnsi="Arial" w:cs="Arial"/>
          <w:sz w:val="24"/>
          <w:szCs w:val="24"/>
        </w:rPr>
      </w:pPr>
      <w:r w:rsidRPr="00E12150">
        <w:rPr>
          <w:rFonts w:ascii="Arial" w:hAnsi="Arial" w:cs="Arial"/>
          <w:sz w:val="24"/>
          <w:szCs w:val="24"/>
        </w:rPr>
        <w:t xml:space="preserve">A </w:t>
      </w:r>
      <w:r w:rsidRPr="00E12150">
        <w:rPr>
          <w:rFonts w:ascii="Arial" w:hAnsi="Arial" w:cs="Arial"/>
          <w:i/>
          <w:sz w:val="24"/>
          <w:szCs w:val="24"/>
        </w:rPr>
        <w:t>local</w:t>
      </w:r>
      <w:r w:rsidRPr="00E12150">
        <w:rPr>
          <w:rFonts w:ascii="Arial" w:hAnsi="Arial" w:cs="Arial"/>
          <w:sz w:val="24"/>
          <w:szCs w:val="24"/>
        </w:rPr>
        <w:t xml:space="preserve"> model, which estimates local tax revenue for each city or town in Massachusetts (assuming the maximum local tax rate of 3%)</w:t>
      </w:r>
    </w:p>
    <w:p w:rsidR="00B133C6" w:rsidRPr="00E12150" w:rsidRDefault="00B133C6" w:rsidP="006057BE">
      <w:pPr>
        <w:pStyle w:val="NormalSS"/>
        <w:spacing w:after="0"/>
        <w:ind w:left="1152"/>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 xml:space="preserve">We first calculated measure-specific revenue or savings and measure-specific costs or losses by multiplying various input estimates (for example, to calculate marijuana sales revenue, we multiplied the estimated number of marijuana users by the average grams of marijuana used per day by the average price per gram of marijuana). To do so, we combined information on pre-legalization baseline measures (such as the number of marijuana users) with estimates of the post-legalization change (such as the percentage change in the number of marijuana users). We next estimated the precision of our post-legalization estimates, and finally tested the sensitivity of the findings to key assumptions. To calculate the post-legalization fiscal impact of marijuana legalization for metrics in our model, we defined a range of plausible values using information from the literature, stakeholder interviews, secondary data sources, and the MBHS Task 1 survey. We then used Monte Carlo simulation—a method that is useful when there is inherent uncertainty about model inputs—to randomly draw a value from the range for each metric and then use that value to calculate the overall impact estimate. This process of randomly drawing values from the range was repeated 1,000 times, each time resulting in a different value, to generate a probability distribution of values for the impact metric. This simulated distribution was then used to calculate a 95% confidence interval—a low and high range that indicates precision—around the impact estimate. </w:t>
      </w: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To obtain an overall impact estimate of adult use legalization, we summed together measure-specific (for example, sales tax revenue from marijuana purchases by adults considered heavy users, adults considered regular users, and adolescents) for each domain included in the model.</w:t>
      </w:r>
      <w:r w:rsidRPr="00E12150">
        <w:rPr>
          <w:rStyle w:val="FootnoteReference"/>
          <w:rFonts w:ascii="Arial" w:hAnsi="Arial" w:cs="Arial"/>
          <w:sz w:val="24"/>
          <w:szCs w:val="24"/>
        </w:rPr>
        <w:footnoteReference w:id="26"/>
      </w:r>
      <w:r w:rsidRPr="00E12150">
        <w:rPr>
          <w:rFonts w:ascii="Arial" w:hAnsi="Arial" w:cs="Arial"/>
          <w:sz w:val="24"/>
          <w:szCs w:val="24"/>
        </w:rPr>
        <w:t xml:space="preserve"> In Table 2, we summarize baseline and projected values for each input in </w:t>
      </w:r>
      <w:r w:rsidR="00104C7B">
        <w:rPr>
          <w:rFonts w:ascii="Arial" w:hAnsi="Arial" w:cs="Arial"/>
          <w:sz w:val="24"/>
          <w:szCs w:val="24"/>
        </w:rPr>
        <w:t>our models</w:t>
      </w:r>
      <w:r w:rsidR="0010613B">
        <w:rPr>
          <w:rFonts w:ascii="Arial" w:hAnsi="Arial" w:cs="Arial"/>
          <w:sz w:val="24"/>
          <w:szCs w:val="24"/>
        </w:rPr>
        <w:t xml:space="preserve"> (see Appendix C Table C</w:t>
      </w:r>
      <w:r w:rsidRPr="00E12150">
        <w:rPr>
          <w:rFonts w:ascii="Arial" w:hAnsi="Arial" w:cs="Arial"/>
          <w:sz w:val="24"/>
          <w:szCs w:val="24"/>
        </w:rPr>
        <w:t>.1 for detailed information on the variables and data sources used to construct each measure). In the Limitations section, we indicate the measures we excluded from our model because we lacked sufficient data or causal evidence for their inclusion.</w:t>
      </w:r>
    </w:p>
    <w:p w:rsidR="001324CA" w:rsidRPr="00E12150" w:rsidRDefault="001324CA" w:rsidP="006057BE">
      <w:pPr>
        <w:spacing w:after="0" w:line="240" w:lineRule="auto"/>
        <w:rPr>
          <w:rFonts w:ascii="Arial" w:hAnsi="Arial" w:cs="Arial"/>
          <w:sz w:val="24"/>
          <w:szCs w:val="24"/>
        </w:rPr>
      </w:pPr>
      <w:r w:rsidRPr="00E12150">
        <w:rPr>
          <w:rFonts w:ascii="Arial" w:hAnsi="Arial" w:cs="Arial"/>
          <w:sz w:val="24"/>
          <w:szCs w:val="24"/>
        </w:rPr>
        <w:br w:type="page"/>
      </w:r>
    </w:p>
    <w:p w:rsidR="001324CA" w:rsidRDefault="001324CA" w:rsidP="006057BE">
      <w:pPr>
        <w:pStyle w:val="MarkforTableTitle"/>
        <w:spacing w:after="0"/>
        <w:rPr>
          <w:rFonts w:ascii="Arial" w:hAnsi="Arial" w:cs="Arial"/>
          <w:b/>
          <w:sz w:val="24"/>
          <w:szCs w:val="24"/>
        </w:rPr>
      </w:pPr>
      <w:r w:rsidRPr="005B366B">
        <w:rPr>
          <w:rFonts w:ascii="Arial" w:hAnsi="Arial" w:cs="Arial"/>
          <w:b/>
          <w:sz w:val="24"/>
          <w:szCs w:val="24"/>
        </w:rPr>
        <w:t>Table 2. Main and Supplemental Model Input Values</w:t>
      </w:r>
    </w:p>
    <w:p w:rsidR="00B133C6" w:rsidRPr="00B133C6" w:rsidRDefault="00B133C6" w:rsidP="006057BE">
      <w:pPr>
        <w:pStyle w:val="NormalSS"/>
        <w:spacing w:after="0"/>
      </w:pPr>
    </w:p>
    <w:tbl>
      <w:tblPr>
        <w:tblStyle w:val="LightList1"/>
        <w:tblW w:w="5189" w:type="pct"/>
        <w:tblBorders>
          <w:top w:val="none" w:sz="0" w:space="0" w:color="auto"/>
          <w:left w:val="none" w:sz="0" w:space="0" w:color="auto"/>
          <w:bottom w:val="none" w:sz="0" w:space="0" w:color="auto"/>
          <w:right w:val="none" w:sz="0" w:space="0" w:color="auto"/>
        </w:tblBorders>
        <w:tblLayout w:type="fixed"/>
        <w:tblCellMar>
          <w:left w:w="0" w:type="dxa"/>
          <w:right w:w="0" w:type="dxa"/>
        </w:tblCellMar>
        <w:tblLook w:val="0620" w:firstRow="1" w:lastRow="0" w:firstColumn="0" w:lastColumn="0" w:noHBand="1" w:noVBand="1"/>
        <w:tblCaption w:val="Main and Supplemental Model Input Values"/>
      </w:tblPr>
      <w:tblGrid>
        <w:gridCol w:w="4596"/>
        <w:gridCol w:w="1441"/>
        <w:gridCol w:w="1441"/>
        <w:gridCol w:w="1081"/>
        <w:gridCol w:w="1165"/>
      </w:tblGrid>
      <w:tr w:rsidR="001324CA" w:rsidRPr="00E12150" w:rsidTr="00E3428E">
        <w:trPr>
          <w:cnfStyle w:val="100000000000" w:firstRow="1" w:lastRow="0" w:firstColumn="0" w:lastColumn="0" w:oddVBand="0" w:evenVBand="0" w:oddHBand="0" w:evenHBand="0" w:firstRowFirstColumn="0" w:firstRowLastColumn="0" w:lastRowFirstColumn="0" w:lastRowLastColumn="0"/>
          <w:tblHeader/>
        </w:trPr>
        <w:tc>
          <w:tcPr>
            <w:tcW w:w="2363" w:type="pct"/>
            <w:tcBorders>
              <w:top w:val="single" w:sz="4" w:space="0" w:color="auto"/>
              <w:left w:val="single" w:sz="4" w:space="0" w:color="auto"/>
              <w:bottom w:val="single" w:sz="4" w:space="0" w:color="auto"/>
            </w:tcBorders>
            <w:shd w:val="clear" w:color="auto" w:fill="auto"/>
            <w:vAlign w:val="bottom"/>
          </w:tcPr>
          <w:p w:rsidR="001324CA" w:rsidRPr="005B366B" w:rsidRDefault="001324CA" w:rsidP="006057BE">
            <w:pPr>
              <w:pStyle w:val="TableHeaderLeft"/>
              <w:spacing w:before="0" w:after="0"/>
              <w:rPr>
                <w:rFonts w:cs="Arial"/>
                <w:b/>
                <w:color w:val="auto"/>
                <w:sz w:val="20"/>
                <w:szCs w:val="20"/>
              </w:rPr>
            </w:pPr>
            <w:r w:rsidRPr="005B366B">
              <w:rPr>
                <w:rFonts w:cs="Arial"/>
                <w:b/>
                <w:color w:val="auto"/>
                <w:sz w:val="20"/>
                <w:szCs w:val="20"/>
              </w:rPr>
              <w:t xml:space="preserve"> Measure</w:t>
            </w:r>
          </w:p>
        </w:tc>
        <w:tc>
          <w:tcPr>
            <w:tcW w:w="741" w:type="pct"/>
            <w:tcBorders>
              <w:top w:val="single" w:sz="4" w:space="0" w:color="auto"/>
              <w:bottom w:val="single" w:sz="4" w:space="0" w:color="auto"/>
            </w:tcBorders>
            <w:shd w:val="clear" w:color="auto" w:fill="auto"/>
            <w:vAlign w:val="bottom"/>
          </w:tcPr>
          <w:p w:rsidR="001324CA" w:rsidRPr="005B366B" w:rsidRDefault="001324CA" w:rsidP="006057BE">
            <w:pPr>
              <w:pStyle w:val="TableHeaderCenter"/>
              <w:spacing w:before="0" w:after="0"/>
              <w:rPr>
                <w:rFonts w:cs="Arial"/>
                <w:b/>
                <w:color w:val="auto"/>
                <w:sz w:val="20"/>
                <w:szCs w:val="20"/>
              </w:rPr>
            </w:pPr>
            <w:r w:rsidRPr="005B366B">
              <w:rPr>
                <w:rFonts w:cs="Arial"/>
                <w:b/>
                <w:color w:val="auto"/>
                <w:sz w:val="20"/>
                <w:szCs w:val="20"/>
              </w:rPr>
              <w:t xml:space="preserve">Baseline </w:t>
            </w:r>
          </w:p>
        </w:tc>
        <w:tc>
          <w:tcPr>
            <w:tcW w:w="741" w:type="pct"/>
            <w:tcBorders>
              <w:top w:val="single" w:sz="4" w:space="0" w:color="auto"/>
              <w:bottom w:val="single" w:sz="4" w:space="0" w:color="auto"/>
            </w:tcBorders>
            <w:shd w:val="clear" w:color="auto" w:fill="auto"/>
            <w:vAlign w:val="bottom"/>
          </w:tcPr>
          <w:p w:rsidR="001324CA" w:rsidRPr="005B366B" w:rsidRDefault="001324CA" w:rsidP="006057BE">
            <w:pPr>
              <w:pStyle w:val="TableHeaderCenter"/>
              <w:spacing w:before="0" w:after="0"/>
              <w:rPr>
                <w:rFonts w:cs="Arial"/>
                <w:b/>
                <w:bCs w:val="0"/>
                <w:color w:val="auto"/>
                <w:sz w:val="20"/>
                <w:szCs w:val="20"/>
              </w:rPr>
            </w:pPr>
            <w:r w:rsidRPr="005B366B">
              <w:rPr>
                <w:rFonts w:cs="Arial"/>
                <w:b/>
                <w:bCs w:val="0"/>
                <w:color w:val="auto"/>
                <w:sz w:val="20"/>
                <w:szCs w:val="20"/>
              </w:rPr>
              <w:t>Projected</w:t>
            </w:r>
          </w:p>
        </w:tc>
        <w:tc>
          <w:tcPr>
            <w:tcW w:w="556" w:type="pct"/>
            <w:tcBorders>
              <w:top w:val="single" w:sz="4" w:space="0" w:color="auto"/>
              <w:bottom w:val="single" w:sz="4" w:space="0" w:color="auto"/>
            </w:tcBorders>
            <w:shd w:val="clear" w:color="auto" w:fill="auto"/>
            <w:vAlign w:val="bottom"/>
          </w:tcPr>
          <w:p w:rsidR="001324CA" w:rsidRPr="005B366B" w:rsidRDefault="001324CA" w:rsidP="006057BE">
            <w:pPr>
              <w:pStyle w:val="TableHeaderCenter"/>
              <w:spacing w:before="0" w:after="0"/>
              <w:rPr>
                <w:rFonts w:cs="Arial"/>
                <w:b/>
                <w:color w:val="auto"/>
                <w:sz w:val="20"/>
                <w:szCs w:val="20"/>
              </w:rPr>
            </w:pPr>
            <w:r w:rsidRPr="005B366B">
              <w:rPr>
                <w:rFonts w:cs="Arial"/>
                <w:b/>
                <w:color w:val="auto"/>
                <w:sz w:val="20"/>
                <w:szCs w:val="20"/>
              </w:rPr>
              <w:t xml:space="preserve">Difference </w:t>
            </w:r>
          </w:p>
        </w:tc>
        <w:tc>
          <w:tcPr>
            <w:tcW w:w="599" w:type="pct"/>
            <w:tcBorders>
              <w:top w:val="single" w:sz="4" w:space="0" w:color="auto"/>
              <w:bottom w:val="single" w:sz="4" w:space="0" w:color="000000"/>
              <w:right w:val="single" w:sz="4" w:space="0" w:color="auto"/>
            </w:tcBorders>
            <w:shd w:val="clear" w:color="auto" w:fill="auto"/>
          </w:tcPr>
          <w:p w:rsidR="001324CA" w:rsidRPr="005B366B" w:rsidRDefault="001324CA" w:rsidP="006057BE">
            <w:pPr>
              <w:pStyle w:val="TableHeaderCenter"/>
              <w:spacing w:before="0" w:after="0"/>
              <w:rPr>
                <w:rFonts w:cs="Arial"/>
                <w:b/>
                <w:color w:val="auto"/>
                <w:sz w:val="20"/>
                <w:szCs w:val="20"/>
              </w:rPr>
            </w:pPr>
            <w:r w:rsidRPr="005B366B">
              <w:rPr>
                <w:rFonts w:cs="Arial"/>
                <w:b/>
                <w:color w:val="auto"/>
                <w:sz w:val="20"/>
                <w:szCs w:val="20"/>
              </w:rPr>
              <w:t>(%)</w:t>
            </w:r>
          </w:p>
        </w:tc>
      </w:tr>
      <w:tr w:rsidR="001324CA" w:rsidRPr="00E12150" w:rsidTr="00E3428E">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1324CA" w:rsidRPr="005B366B" w:rsidRDefault="001324CA" w:rsidP="006057BE">
            <w:pPr>
              <w:spacing w:line="240" w:lineRule="auto"/>
              <w:jc w:val="center"/>
              <w:rPr>
                <w:rFonts w:ascii="Arial" w:hAnsi="Arial" w:cs="Arial"/>
                <w:b/>
                <w:sz w:val="20"/>
                <w:szCs w:val="20"/>
              </w:rPr>
            </w:pPr>
            <w:r w:rsidRPr="005B366B">
              <w:rPr>
                <w:rFonts w:ascii="Arial" w:hAnsi="Arial" w:cs="Arial"/>
                <w:b/>
                <w:sz w:val="20"/>
                <w:szCs w:val="20"/>
              </w:rPr>
              <w:t>Main model</w:t>
            </w:r>
          </w:p>
        </w:tc>
      </w:tr>
      <w:tr w:rsidR="001324CA" w:rsidRPr="00E12150" w:rsidTr="00E3428E">
        <w:tc>
          <w:tcPr>
            <w:tcW w:w="4401" w:type="pct"/>
            <w:gridSpan w:val="4"/>
            <w:tcBorders>
              <w:top w:val="single" w:sz="4" w:space="0" w:color="auto"/>
              <w:left w:val="single" w:sz="4" w:space="0" w:color="auto"/>
              <w:bottom w:val="single" w:sz="4" w:space="0" w:color="auto"/>
            </w:tcBorders>
            <w:shd w:val="clear" w:color="auto" w:fill="auto"/>
          </w:tcPr>
          <w:p w:rsidR="001324CA" w:rsidRPr="005B366B" w:rsidRDefault="001324CA" w:rsidP="006057BE">
            <w:pPr>
              <w:spacing w:line="240" w:lineRule="auto"/>
              <w:jc w:val="center"/>
              <w:rPr>
                <w:rFonts w:ascii="Arial" w:hAnsi="Arial" w:cs="Arial"/>
                <w:b/>
                <w:sz w:val="20"/>
                <w:szCs w:val="20"/>
              </w:rPr>
            </w:pPr>
            <w:r w:rsidRPr="005B366B">
              <w:rPr>
                <w:rFonts w:ascii="Arial" w:hAnsi="Arial" w:cs="Arial"/>
                <w:b/>
                <w:sz w:val="20"/>
                <w:szCs w:val="20"/>
              </w:rPr>
              <w:t>Domain: Sales and business tax revenue</w:t>
            </w:r>
          </w:p>
        </w:tc>
        <w:tc>
          <w:tcPr>
            <w:tcW w:w="599" w:type="pct"/>
            <w:tcBorders>
              <w:top w:val="single" w:sz="4" w:space="0" w:color="auto"/>
              <w:bottom w:val="single" w:sz="4" w:space="0" w:color="auto"/>
              <w:right w:val="single" w:sz="4" w:space="0" w:color="auto"/>
            </w:tcBorders>
            <w:shd w:val="clear" w:color="auto" w:fill="auto"/>
          </w:tcPr>
          <w:p w:rsidR="001324CA" w:rsidRPr="005B366B" w:rsidRDefault="001324CA" w:rsidP="006057BE">
            <w:pPr>
              <w:spacing w:line="240" w:lineRule="auto"/>
              <w:jc w:val="center"/>
              <w:rPr>
                <w:rFonts w:ascii="Arial" w:hAnsi="Arial" w:cs="Arial"/>
                <w:b/>
                <w:sz w:val="20"/>
                <w:szCs w:val="20"/>
              </w:rPr>
            </w:pPr>
          </w:p>
        </w:tc>
      </w:tr>
      <w:tr w:rsidR="001324CA" w:rsidRPr="00E12150" w:rsidTr="00E3428E">
        <w:tc>
          <w:tcPr>
            <w:tcW w:w="2363" w:type="pct"/>
            <w:tcBorders>
              <w:top w:val="single" w:sz="4" w:space="0" w:color="auto"/>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Sales tax revenue from marijuana purchases</w:t>
            </w:r>
          </w:p>
        </w:tc>
        <w:tc>
          <w:tcPr>
            <w:tcW w:w="741" w:type="pct"/>
            <w:tcBorders>
              <w:top w:val="single" w:sz="4" w:space="0" w:color="auto"/>
            </w:tcBorders>
            <w:shd w:val="clear" w:color="auto" w:fill="auto"/>
            <w:vAlign w:val="bottom"/>
          </w:tcPr>
          <w:p w:rsidR="001324CA" w:rsidRPr="005B366B" w:rsidRDefault="001324CA" w:rsidP="006057BE">
            <w:pPr>
              <w:spacing w:line="240" w:lineRule="auto"/>
              <w:jc w:val="center"/>
              <w:rPr>
                <w:rFonts w:ascii="Arial" w:hAnsi="Arial" w:cs="Arial"/>
                <w:sz w:val="20"/>
                <w:szCs w:val="20"/>
              </w:rPr>
            </w:pPr>
          </w:p>
        </w:tc>
        <w:tc>
          <w:tcPr>
            <w:tcW w:w="741" w:type="pct"/>
            <w:tcBorders>
              <w:top w:val="single" w:sz="4" w:space="0" w:color="auto"/>
            </w:tcBorders>
            <w:shd w:val="clear" w:color="auto" w:fill="auto"/>
            <w:vAlign w:val="bottom"/>
          </w:tcPr>
          <w:p w:rsidR="001324CA" w:rsidRPr="005B366B" w:rsidRDefault="001324CA" w:rsidP="006057BE">
            <w:pPr>
              <w:spacing w:line="240" w:lineRule="auto"/>
              <w:jc w:val="center"/>
              <w:rPr>
                <w:rFonts w:ascii="Arial" w:hAnsi="Arial" w:cs="Arial"/>
                <w:iCs/>
                <w:sz w:val="20"/>
                <w:szCs w:val="20"/>
              </w:rPr>
            </w:pPr>
          </w:p>
        </w:tc>
        <w:tc>
          <w:tcPr>
            <w:tcW w:w="556" w:type="pct"/>
            <w:tcBorders>
              <w:top w:val="single" w:sz="4" w:space="0" w:color="auto"/>
            </w:tcBorders>
            <w:shd w:val="clear" w:color="auto" w:fill="auto"/>
            <w:vAlign w:val="bottom"/>
          </w:tcPr>
          <w:p w:rsidR="001324CA" w:rsidRPr="005B366B" w:rsidRDefault="001324CA" w:rsidP="006057BE">
            <w:pPr>
              <w:spacing w:line="240" w:lineRule="auto"/>
              <w:jc w:val="center"/>
              <w:rPr>
                <w:rFonts w:ascii="Arial" w:hAnsi="Arial" w:cs="Arial"/>
                <w:iCs/>
                <w:sz w:val="20"/>
                <w:szCs w:val="20"/>
              </w:rPr>
            </w:pPr>
          </w:p>
        </w:tc>
        <w:tc>
          <w:tcPr>
            <w:tcW w:w="599" w:type="pct"/>
            <w:tcBorders>
              <w:top w:val="single" w:sz="4" w:space="0" w:color="auto"/>
              <w:right w:val="single" w:sz="4" w:space="0" w:color="auto"/>
            </w:tcBorders>
            <w:shd w:val="clear" w:color="auto" w:fill="auto"/>
          </w:tcPr>
          <w:p w:rsidR="001324CA" w:rsidRPr="005B366B" w:rsidRDefault="001324CA" w:rsidP="006057BE">
            <w:pPr>
              <w:spacing w:line="240" w:lineRule="auto"/>
              <w:jc w:val="center"/>
              <w:rPr>
                <w:rFonts w:ascii="Arial" w:hAnsi="Arial" w:cs="Arial"/>
                <w:iCs/>
                <w:sz w:val="20"/>
                <w:szCs w:val="20"/>
              </w:rPr>
            </w:pP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ind w:left="187"/>
              <w:rPr>
                <w:rFonts w:ascii="Arial" w:hAnsi="Arial" w:cs="Arial"/>
                <w:sz w:val="20"/>
                <w:szCs w:val="20"/>
              </w:rPr>
            </w:pPr>
            <w:r w:rsidRPr="005B366B">
              <w:rPr>
                <w:rFonts w:ascii="Arial" w:hAnsi="Arial" w:cs="Arial"/>
                <w:sz w:val="20"/>
                <w:szCs w:val="20"/>
              </w:rPr>
              <w:tab/>
              <w:t>Number of adolescent users age 17 or younger</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158,892</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158,616</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-276</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(-0.2%)</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ind w:left="187"/>
              <w:rPr>
                <w:rFonts w:ascii="Arial" w:hAnsi="Arial" w:cs="Arial"/>
                <w:sz w:val="20"/>
                <w:szCs w:val="20"/>
              </w:rPr>
            </w:pPr>
            <w:r w:rsidRPr="005B366B">
              <w:rPr>
                <w:rFonts w:ascii="Arial" w:hAnsi="Arial" w:cs="Arial"/>
                <w:sz w:val="20"/>
                <w:szCs w:val="20"/>
              </w:rPr>
              <w:tab/>
              <w:t>Number of regular users age 18 or older</w:t>
            </w:r>
            <w:r w:rsidRPr="005B366B">
              <w:rPr>
                <w:rFonts w:ascii="Arial" w:hAnsi="Arial" w:cs="Arial"/>
                <w:sz w:val="20"/>
                <w:szCs w:val="20"/>
                <w:vertAlign w:val="superscript"/>
              </w:rPr>
              <w:t>a</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318,797</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394,896</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76,099</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 xml:space="preserve"> (23.9%)</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ind w:left="187"/>
              <w:rPr>
                <w:rFonts w:ascii="Arial" w:hAnsi="Arial" w:cs="Arial"/>
                <w:sz w:val="20"/>
                <w:szCs w:val="20"/>
              </w:rPr>
            </w:pPr>
            <w:r w:rsidRPr="005B366B">
              <w:rPr>
                <w:rFonts w:ascii="Arial" w:hAnsi="Arial" w:cs="Arial"/>
                <w:sz w:val="20"/>
                <w:szCs w:val="20"/>
              </w:rPr>
              <w:tab/>
              <w:t>Number of heavy users age 18 or older</w:t>
            </w:r>
            <w:r w:rsidRPr="005B366B">
              <w:rPr>
                <w:rFonts w:ascii="Arial" w:hAnsi="Arial" w:cs="Arial"/>
                <w:sz w:val="20"/>
                <w:szCs w:val="20"/>
                <w:vertAlign w:val="superscript"/>
              </w:rPr>
              <w:t>a</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150,436</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150,436</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0</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(0%)</w:t>
            </w:r>
          </w:p>
        </w:tc>
      </w:tr>
      <w:tr w:rsidR="001324CA" w:rsidRPr="00E12150" w:rsidTr="00E3428E">
        <w:trPr>
          <w:trHeight w:val="162"/>
        </w:trPr>
        <w:tc>
          <w:tcPr>
            <w:tcW w:w="2363" w:type="pct"/>
            <w:tcBorders>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Sales tax revenue from beer</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$72,830,435</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$69,271,226</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-$3,559,209</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 xml:space="preserve"> (-4.9%)</w:t>
            </w:r>
          </w:p>
        </w:tc>
      </w:tr>
      <w:tr w:rsidR="001324CA" w:rsidRPr="00E12150" w:rsidTr="00E3428E">
        <w:trPr>
          <w:trHeight w:val="162"/>
        </w:trPr>
        <w:tc>
          <w:tcPr>
            <w:tcW w:w="2363" w:type="pct"/>
            <w:tcBorders>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Business income tax revenue from dispensaries</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0</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$40,501,857</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$40,501,857</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(n.a.)</w:t>
            </w:r>
          </w:p>
        </w:tc>
      </w:tr>
      <w:tr w:rsidR="001324CA" w:rsidRPr="00E12150" w:rsidTr="00E3428E">
        <w:tc>
          <w:tcPr>
            <w:tcW w:w="4401" w:type="pct"/>
            <w:gridSpan w:val="4"/>
            <w:tcBorders>
              <w:left w:val="single" w:sz="4" w:space="0" w:color="auto"/>
            </w:tcBorders>
            <w:shd w:val="clear" w:color="auto" w:fill="auto"/>
          </w:tcPr>
          <w:p w:rsidR="001324CA" w:rsidRPr="005B366B" w:rsidRDefault="001324CA" w:rsidP="006057BE">
            <w:pPr>
              <w:spacing w:line="240" w:lineRule="auto"/>
              <w:jc w:val="center"/>
              <w:rPr>
                <w:rFonts w:ascii="Arial" w:hAnsi="Arial" w:cs="Arial"/>
                <w:b/>
                <w:sz w:val="20"/>
                <w:szCs w:val="20"/>
              </w:rPr>
            </w:pPr>
            <w:r w:rsidRPr="005B366B">
              <w:rPr>
                <w:rFonts w:ascii="Arial" w:hAnsi="Arial" w:cs="Arial"/>
                <w:b/>
                <w:sz w:val="20"/>
                <w:szCs w:val="20"/>
              </w:rPr>
              <w:t>Domain: Regulatory oversight</w:t>
            </w:r>
          </w:p>
        </w:tc>
        <w:tc>
          <w:tcPr>
            <w:tcW w:w="599" w:type="pct"/>
            <w:tcBorders>
              <w:right w:val="single" w:sz="4" w:space="0" w:color="auto"/>
            </w:tcBorders>
            <w:shd w:val="clear" w:color="auto" w:fill="auto"/>
          </w:tcPr>
          <w:p w:rsidR="001324CA" w:rsidRPr="005B366B" w:rsidRDefault="001324CA" w:rsidP="006057BE">
            <w:pPr>
              <w:spacing w:line="240" w:lineRule="auto"/>
              <w:jc w:val="center"/>
              <w:rPr>
                <w:rFonts w:ascii="Arial" w:hAnsi="Arial" w:cs="Arial"/>
                <w:b/>
                <w:sz w:val="20"/>
                <w:szCs w:val="20"/>
              </w:rPr>
            </w:pPr>
          </w:p>
        </w:tc>
      </w:tr>
      <w:tr w:rsidR="001324CA" w:rsidRPr="00E12150" w:rsidTr="00E3428E">
        <w:trPr>
          <w:trHeight w:val="189"/>
        </w:trPr>
        <w:tc>
          <w:tcPr>
            <w:tcW w:w="2363" w:type="pct"/>
            <w:tcBorders>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Costs over two years</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$41,927,099</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$43,706,042</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$1,778,944</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(4.2%)</w:t>
            </w:r>
          </w:p>
        </w:tc>
      </w:tr>
      <w:tr w:rsidR="001324CA" w:rsidRPr="00E12150" w:rsidTr="00E3428E">
        <w:trPr>
          <w:trHeight w:val="162"/>
        </w:trPr>
        <w:tc>
          <w:tcPr>
            <w:tcW w:w="2363" w:type="pct"/>
            <w:tcBorders>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Revenue over two years</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$112,728,599</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$114,914,006</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$2,185,407</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(1.9%)</w:t>
            </w:r>
          </w:p>
        </w:tc>
      </w:tr>
      <w:tr w:rsidR="001324CA" w:rsidRPr="00E12150" w:rsidTr="00E3428E">
        <w:tc>
          <w:tcPr>
            <w:tcW w:w="4401" w:type="pct"/>
            <w:gridSpan w:val="4"/>
            <w:tcBorders>
              <w:left w:val="single" w:sz="4" w:space="0" w:color="auto"/>
            </w:tcBorders>
            <w:shd w:val="clear" w:color="auto" w:fill="auto"/>
          </w:tcPr>
          <w:p w:rsidR="001324CA" w:rsidRPr="005B366B" w:rsidRDefault="001324CA" w:rsidP="006057BE">
            <w:pPr>
              <w:spacing w:line="240" w:lineRule="auto"/>
              <w:jc w:val="center"/>
              <w:rPr>
                <w:rFonts w:ascii="Arial" w:hAnsi="Arial" w:cs="Arial"/>
                <w:b/>
                <w:sz w:val="20"/>
                <w:szCs w:val="20"/>
              </w:rPr>
            </w:pPr>
            <w:r w:rsidRPr="005B366B">
              <w:rPr>
                <w:rFonts w:ascii="Arial" w:hAnsi="Arial" w:cs="Arial"/>
                <w:b/>
                <w:sz w:val="20"/>
                <w:szCs w:val="20"/>
              </w:rPr>
              <w:t>Domain: Law enforcement</w:t>
            </w:r>
          </w:p>
        </w:tc>
        <w:tc>
          <w:tcPr>
            <w:tcW w:w="599" w:type="pct"/>
            <w:tcBorders>
              <w:right w:val="single" w:sz="4" w:space="0" w:color="auto"/>
            </w:tcBorders>
            <w:shd w:val="clear" w:color="auto" w:fill="auto"/>
          </w:tcPr>
          <w:p w:rsidR="001324CA" w:rsidRPr="005B366B" w:rsidRDefault="001324CA" w:rsidP="006057BE">
            <w:pPr>
              <w:spacing w:line="240" w:lineRule="auto"/>
              <w:jc w:val="center"/>
              <w:rPr>
                <w:rFonts w:ascii="Arial" w:hAnsi="Arial" w:cs="Arial"/>
                <w:b/>
                <w:sz w:val="20"/>
                <w:szCs w:val="20"/>
              </w:rPr>
            </w:pP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Marijuana related</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p>
        </w:tc>
        <w:tc>
          <w:tcPr>
            <w:tcW w:w="599" w:type="pct"/>
            <w:tcBorders>
              <w:right w:val="single" w:sz="4" w:space="0" w:color="auto"/>
            </w:tcBorders>
            <w:shd w:val="clear" w:color="auto" w:fill="auto"/>
          </w:tcPr>
          <w:p w:rsidR="001324CA" w:rsidRPr="005B366B" w:rsidRDefault="001324CA" w:rsidP="006057BE">
            <w:pPr>
              <w:spacing w:line="240" w:lineRule="auto"/>
              <w:jc w:val="right"/>
              <w:rPr>
                <w:rFonts w:ascii="Arial" w:hAnsi="Arial" w:cs="Arial"/>
                <w:sz w:val="20"/>
                <w:szCs w:val="20"/>
              </w:rPr>
            </w:pP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ind w:left="374" w:hanging="187"/>
              <w:rPr>
                <w:rFonts w:ascii="Arial" w:hAnsi="Arial" w:cs="Arial"/>
                <w:sz w:val="20"/>
                <w:szCs w:val="20"/>
              </w:rPr>
            </w:pPr>
            <w:r w:rsidRPr="005B366B">
              <w:rPr>
                <w:rFonts w:ascii="Arial" w:hAnsi="Arial" w:cs="Arial"/>
                <w:sz w:val="20"/>
                <w:szCs w:val="20"/>
              </w:rPr>
              <w:t>Arrests</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240</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84</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-156</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 xml:space="preserve"> (-65%)</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ind w:left="374" w:hanging="187"/>
              <w:rPr>
                <w:rFonts w:ascii="Arial" w:hAnsi="Arial" w:cs="Arial"/>
                <w:sz w:val="20"/>
                <w:szCs w:val="20"/>
              </w:rPr>
            </w:pPr>
            <w:r w:rsidRPr="005B366B">
              <w:rPr>
                <w:rFonts w:ascii="Arial" w:hAnsi="Arial" w:cs="Arial"/>
                <w:sz w:val="20"/>
                <w:szCs w:val="20"/>
              </w:rPr>
              <w:t>Convictions</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159</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57</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-102</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(-63.9%)</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ind w:left="374" w:hanging="187"/>
              <w:rPr>
                <w:rFonts w:ascii="Arial" w:hAnsi="Arial" w:cs="Arial"/>
                <w:sz w:val="20"/>
                <w:szCs w:val="20"/>
              </w:rPr>
            </w:pPr>
            <w:r w:rsidRPr="005B366B">
              <w:rPr>
                <w:rFonts w:ascii="Arial" w:hAnsi="Arial" w:cs="Arial"/>
                <w:sz w:val="20"/>
                <w:szCs w:val="20"/>
              </w:rPr>
              <w:t>Incarcerations</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40</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14</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-26</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 xml:space="preserve"> (-65%)</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ind w:left="374" w:hanging="187"/>
              <w:rPr>
                <w:rFonts w:ascii="Arial" w:hAnsi="Arial" w:cs="Arial"/>
                <w:sz w:val="20"/>
                <w:szCs w:val="20"/>
              </w:rPr>
            </w:pPr>
            <w:r w:rsidRPr="005B366B">
              <w:rPr>
                <w:rFonts w:ascii="Arial" w:hAnsi="Arial" w:cs="Arial"/>
                <w:sz w:val="20"/>
                <w:szCs w:val="20"/>
              </w:rPr>
              <w:t>Parolees and probationers</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122</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43</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-79</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(-64.8%)</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Averted mortality due to traffic fatalities</w:t>
            </w:r>
            <w:r w:rsidRPr="005B366B">
              <w:rPr>
                <w:rFonts w:ascii="Arial" w:hAnsi="Arial" w:cs="Arial"/>
                <w:sz w:val="20"/>
                <w:szCs w:val="20"/>
                <w:vertAlign w:val="superscript"/>
              </w:rPr>
              <w:t>b</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306</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274</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-32</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 xml:space="preserve"> (-10.6%)</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Employee training on cannabis impaired driving</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$0</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$655,000</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$655,000</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(n.a.)</w:t>
            </w:r>
          </w:p>
        </w:tc>
      </w:tr>
      <w:tr w:rsidR="001324CA" w:rsidRPr="00E12150" w:rsidTr="00E3428E">
        <w:tc>
          <w:tcPr>
            <w:tcW w:w="4401" w:type="pct"/>
            <w:gridSpan w:val="4"/>
            <w:tcBorders>
              <w:left w:val="single" w:sz="4" w:space="0" w:color="auto"/>
            </w:tcBorders>
            <w:shd w:val="clear" w:color="auto" w:fill="auto"/>
            <w:vAlign w:val="bottom"/>
          </w:tcPr>
          <w:p w:rsidR="001324CA" w:rsidRPr="005B366B" w:rsidRDefault="001324CA" w:rsidP="006057BE">
            <w:pPr>
              <w:spacing w:line="240" w:lineRule="auto"/>
              <w:jc w:val="center"/>
              <w:rPr>
                <w:rFonts w:ascii="Arial" w:hAnsi="Arial" w:cs="Arial"/>
                <w:b/>
                <w:iCs/>
                <w:sz w:val="20"/>
                <w:szCs w:val="20"/>
              </w:rPr>
            </w:pPr>
            <w:r w:rsidRPr="005B366B">
              <w:rPr>
                <w:rFonts w:ascii="Arial" w:hAnsi="Arial" w:cs="Arial"/>
                <w:b/>
                <w:sz w:val="20"/>
                <w:szCs w:val="20"/>
              </w:rPr>
              <w:t>Supplemental model</w:t>
            </w:r>
          </w:p>
        </w:tc>
        <w:tc>
          <w:tcPr>
            <w:tcW w:w="599" w:type="pct"/>
            <w:tcBorders>
              <w:right w:val="single" w:sz="4" w:space="0" w:color="auto"/>
            </w:tcBorders>
            <w:shd w:val="clear" w:color="auto" w:fill="auto"/>
          </w:tcPr>
          <w:p w:rsidR="001324CA" w:rsidRPr="005B366B" w:rsidRDefault="001324CA" w:rsidP="006057BE">
            <w:pPr>
              <w:spacing w:line="240" w:lineRule="auto"/>
              <w:jc w:val="center"/>
              <w:rPr>
                <w:rFonts w:ascii="Arial" w:hAnsi="Arial" w:cs="Arial"/>
                <w:b/>
                <w:sz w:val="20"/>
                <w:szCs w:val="20"/>
              </w:rPr>
            </w:pPr>
          </w:p>
        </w:tc>
      </w:tr>
      <w:tr w:rsidR="001324CA" w:rsidRPr="00E12150" w:rsidTr="00E3428E">
        <w:tc>
          <w:tcPr>
            <w:tcW w:w="4401" w:type="pct"/>
            <w:gridSpan w:val="4"/>
            <w:tcBorders>
              <w:left w:val="single" w:sz="4" w:space="0" w:color="auto"/>
            </w:tcBorders>
            <w:shd w:val="clear" w:color="auto" w:fill="auto"/>
          </w:tcPr>
          <w:p w:rsidR="001324CA" w:rsidRPr="005B366B" w:rsidRDefault="001324CA" w:rsidP="006057BE">
            <w:pPr>
              <w:spacing w:line="240" w:lineRule="auto"/>
              <w:jc w:val="center"/>
              <w:rPr>
                <w:rFonts w:ascii="Arial" w:hAnsi="Arial" w:cs="Arial"/>
                <w:sz w:val="20"/>
                <w:szCs w:val="20"/>
              </w:rPr>
            </w:pPr>
            <w:r w:rsidRPr="005B366B">
              <w:rPr>
                <w:rFonts w:ascii="Arial" w:hAnsi="Arial" w:cs="Arial"/>
                <w:b/>
                <w:sz w:val="20"/>
                <w:szCs w:val="20"/>
              </w:rPr>
              <w:t>Domain: Public health</w:t>
            </w:r>
          </w:p>
        </w:tc>
        <w:tc>
          <w:tcPr>
            <w:tcW w:w="599" w:type="pct"/>
            <w:tcBorders>
              <w:right w:val="single" w:sz="4" w:space="0" w:color="auto"/>
            </w:tcBorders>
            <w:shd w:val="clear" w:color="auto" w:fill="auto"/>
          </w:tcPr>
          <w:p w:rsidR="001324CA" w:rsidRPr="005B366B" w:rsidRDefault="001324CA" w:rsidP="006057BE">
            <w:pPr>
              <w:spacing w:line="240" w:lineRule="auto"/>
              <w:jc w:val="center"/>
              <w:rPr>
                <w:rFonts w:ascii="Arial" w:hAnsi="Arial" w:cs="Arial"/>
                <w:b/>
                <w:sz w:val="20"/>
                <w:szCs w:val="20"/>
              </w:rPr>
            </w:pP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MassHealth prescription drug expenditures</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$459,769,135</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$452,684,073</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-$7,085,063</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(-1.5%)</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Substance abuse treatment admissions</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iCs/>
                <w:sz w:val="20"/>
                <w:szCs w:val="20"/>
              </w:rPr>
            </w:pPr>
          </w:p>
        </w:tc>
        <w:tc>
          <w:tcPr>
            <w:tcW w:w="556" w:type="pct"/>
            <w:shd w:val="clear" w:color="auto" w:fill="auto"/>
            <w:vAlign w:val="bottom"/>
          </w:tcPr>
          <w:p w:rsidR="001324CA" w:rsidRPr="005B366B" w:rsidRDefault="001324CA" w:rsidP="006057BE">
            <w:pPr>
              <w:spacing w:line="240" w:lineRule="auto"/>
              <w:jc w:val="right"/>
              <w:rPr>
                <w:rFonts w:ascii="Arial" w:hAnsi="Arial" w:cs="Arial"/>
                <w:iCs/>
                <w:sz w:val="20"/>
                <w:szCs w:val="20"/>
              </w:rPr>
            </w:pP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iCs/>
                <w:sz w:val="20"/>
                <w:szCs w:val="20"/>
              </w:rPr>
            </w:pP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ind w:left="187"/>
              <w:rPr>
                <w:rFonts w:ascii="Arial" w:hAnsi="Arial" w:cs="Arial"/>
                <w:sz w:val="20"/>
                <w:szCs w:val="20"/>
              </w:rPr>
            </w:pPr>
            <w:r w:rsidRPr="005B366B">
              <w:rPr>
                <w:rFonts w:ascii="Arial" w:hAnsi="Arial" w:cs="Arial"/>
                <w:sz w:val="20"/>
                <w:szCs w:val="20"/>
              </w:rPr>
              <w:t>Cannabis</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2,840</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3,387</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547</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(19.2%)</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ind w:left="187"/>
              <w:rPr>
                <w:rFonts w:ascii="Arial" w:hAnsi="Arial" w:cs="Arial"/>
                <w:sz w:val="20"/>
                <w:szCs w:val="20"/>
              </w:rPr>
            </w:pPr>
            <w:r w:rsidRPr="005B366B">
              <w:rPr>
                <w:rFonts w:ascii="Arial" w:hAnsi="Arial" w:cs="Arial"/>
                <w:sz w:val="20"/>
                <w:szCs w:val="20"/>
              </w:rPr>
              <w:t>Opioid</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3,956</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3,498</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-458</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(-11.6%)</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Averted mortality</w:t>
            </w:r>
            <w:r w:rsidRPr="005B366B">
              <w:rPr>
                <w:rFonts w:ascii="Arial" w:hAnsi="Arial" w:cs="Arial"/>
                <w:sz w:val="20"/>
                <w:szCs w:val="20"/>
                <w:vertAlign w:val="superscript"/>
              </w:rPr>
              <w:t>b</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ind w:left="187"/>
              <w:rPr>
                <w:rFonts w:ascii="Arial" w:hAnsi="Arial" w:cs="Arial"/>
                <w:sz w:val="20"/>
                <w:szCs w:val="20"/>
              </w:rPr>
            </w:pPr>
            <w:r w:rsidRPr="005B366B">
              <w:rPr>
                <w:rFonts w:ascii="Arial" w:hAnsi="Arial" w:cs="Arial"/>
                <w:sz w:val="20"/>
                <w:szCs w:val="20"/>
              </w:rPr>
              <w:t>Opioid-related deaths</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1,990</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1,633</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-357</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(-17.9%)</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ind w:left="187"/>
              <w:rPr>
                <w:rFonts w:ascii="Arial" w:hAnsi="Arial" w:cs="Arial"/>
                <w:sz w:val="20"/>
                <w:szCs w:val="20"/>
              </w:rPr>
            </w:pPr>
            <w:r w:rsidRPr="005B366B">
              <w:rPr>
                <w:rFonts w:ascii="Arial" w:hAnsi="Arial" w:cs="Arial"/>
                <w:sz w:val="20"/>
                <w:szCs w:val="20"/>
              </w:rPr>
              <w:t>Suicides, males age 20-29</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76</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67</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-9</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 xml:space="preserve"> (-11.2%)</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ind w:left="187"/>
              <w:rPr>
                <w:rFonts w:ascii="Arial" w:hAnsi="Arial" w:cs="Arial"/>
                <w:sz w:val="20"/>
                <w:szCs w:val="20"/>
              </w:rPr>
            </w:pPr>
            <w:r w:rsidRPr="005B366B">
              <w:rPr>
                <w:rFonts w:ascii="Arial" w:hAnsi="Arial" w:cs="Arial"/>
                <w:sz w:val="20"/>
                <w:szCs w:val="20"/>
              </w:rPr>
              <w:t>Suicides, males age 30-39</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77</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68</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-9</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(-11.2%)</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Worker productivity</w:t>
            </w:r>
          </w:p>
        </w:tc>
        <w:tc>
          <w:tcPr>
            <w:tcW w:w="741" w:type="pct"/>
            <w:shd w:val="clear" w:color="auto" w:fill="auto"/>
          </w:tcPr>
          <w:p w:rsidR="001324CA" w:rsidRPr="005B366B" w:rsidRDefault="001324CA" w:rsidP="006057BE">
            <w:pPr>
              <w:spacing w:line="240" w:lineRule="auto"/>
              <w:ind w:right="288"/>
              <w:jc w:val="right"/>
              <w:rPr>
                <w:rFonts w:ascii="Arial" w:hAnsi="Arial" w:cs="Arial"/>
                <w:sz w:val="20"/>
                <w:szCs w:val="20"/>
              </w:rPr>
            </w:pPr>
          </w:p>
        </w:tc>
        <w:tc>
          <w:tcPr>
            <w:tcW w:w="741" w:type="pct"/>
            <w:shd w:val="clear" w:color="auto" w:fill="auto"/>
          </w:tcPr>
          <w:p w:rsidR="001324CA" w:rsidRPr="005B366B" w:rsidRDefault="001324CA" w:rsidP="006057BE">
            <w:pPr>
              <w:spacing w:line="240" w:lineRule="auto"/>
              <w:ind w:right="288"/>
              <w:jc w:val="right"/>
              <w:rPr>
                <w:rFonts w:ascii="Arial" w:hAnsi="Arial" w:cs="Arial"/>
                <w:sz w:val="20"/>
                <w:szCs w:val="20"/>
              </w:rPr>
            </w:pPr>
          </w:p>
        </w:tc>
        <w:tc>
          <w:tcPr>
            <w:tcW w:w="556" w:type="pct"/>
            <w:shd w:val="clear" w:color="auto" w:fill="auto"/>
          </w:tcPr>
          <w:p w:rsidR="001324CA" w:rsidRPr="005B366B" w:rsidRDefault="001324CA" w:rsidP="006057BE">
            <w:pPr>
              <w:spacing w:line="240" w:lineRule="auto"/>
              <w:jc w:val="right"/>
              <w:rPr>
                <w:rFonts w:ascii="Arial" w:hAnsi="Arial" w:cs="Arial"/>
                <w:sz w:val="20"/>
                <w:szCs w:val="20"/>
              </w:rPr>
            </w:pPr>
          </w:p>
        </w:tc>
        <w:tc>
          <w:tcPr>
            <w:tcW w:w="599" w:type="pct"/>
            <w:tcBorders>
              <w:right w:val="single" w:sz="4" w:space="0" w:color="auto"/>
            </w:tcBorders>
            <w:shd w:val="clear" w:color="auto" w:fill="auto"/>
          </w:tcPr>
          <w:p w:rsidR="001324CA" w:rsidRPr="005B366B" w:rsidRDefault="001324CA" w:rsidP="006057BE">
            <w:pPr>
              <w:spacing w:line="240" w:lineRule="auto"/>
              <w:jc w:val="right"/>
              <w:rPr>
                <w:rFonts w:ascii="Arial" w:hAnsi="Arial" w:cs="Arial"/>
                <w:sz w:val="20"/>
                <w:szCs w:val="20"/>
              </w:rPr>
            </w:pP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ab/>
              <w:t>Full-time equivalent dispensary jobs</w:t>
            </w:r>
          </w:p>
        </w:tc>
        <w:tc>
          <w:tcPr>
            <w:tcW w:w="741" w:type="pct"/>
            <w:shd w:val="clear" w:color="auto" w:fill="auto"/>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110</w:t>
            </w:r>
          </w:p>
        </w:tc>
        <w:tc>
          <w:tcPr>
            <w:tcW w:w="741" w:type="pct"/>
            <w:shd w:val="clear" w:color="auto" w:fill="auto"/>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617</w:t>
            </w:r>
          </w:p>
        </w:tc>
        <w:tc>
          <w:tcPr>
            <w:tcW w:w="556" w:type="pct"/>
            <w:shd w:val="clear" w:color="auto" w:fill="auto"/>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507</w:t>
            </w:r>
          </w:p>
        </w:tc>
        <w:tc>
          <w:tcPr>
            <w:tcW w:w="599" w:type="pct"/>
            <w:tcBorders>
              <w:right w:val="single" w:sz="4" w:space="0" w:color="auto"/>
            </w:tcBorders>
            <w:shd w:val="clear" w:color="auto" w:fill="auto"/>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(461.0%)</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ab/>
              <w:t>Hourly earnings, males age 20-29</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$15.60</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$15.21</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0</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(-2.5%)</w:t>
            </w:r>
          </w:p>
        </w:tc>
      </w:tr>
      <w:tr w:rsidR="001324CA" w:rsidRPr="00E12150" w:rsidTr="00E3428E">
        <w:tc>
          <w:tcPr>
            <w:tcW w:w="2363" w:type="pct"/>
            <w:tcBorders>
              <w:left w:val="single" w:sz="4" w:space="0" w:color="auto"/>
            </w:tcBorders>
            <w:shd w:val="clear" w:color="auto" w:fill="auto"/>
          </w:tcPr>
          <w:p w:rsidR="001324CA" w:rsidRPr="005B366B" w:rsidRDefault="001324CA" w:rsidP="006057BE">
            <w:pPr>
              <w:spacing w:line="240" w:lineRule="auto"/>
              <w:ind w:left="435"/>
              <w:rPr>
                <w:rFonts w:ascii="Arial" w:hAnsi="Arial" w:cs="Arial"/>
                <w:sz w:val="20"/>
                <w:szCs w:val="20"/>
              </w:rPr>
            </w:pPr>
            <w:r w:rsidRPr="005B366B">
              <w:rPr>
                <w:rFonts w:ascii="Arial" w:hAnsi="Arial" w:cs="Arial"/>
                <w:sz w:val="20"/>
                <w:szCs w:val="20"/>
              </w:rPr>
              <w:t>Females age 50+ with a qualifying medical marijuana condition, employed full time</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90,584</w:t>
            </w:r>
          </w:p>
        </w:tc>
        <w:tc>
          <w:tcPr>
            <w:tcW w:w="741" w:type="pct"/>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99,093</w:t>
            </w:r>
          </w:p>
        </w:tc>
        <w:tc>
          <w:tcPr>
            <w:tcW w:w="556" w:type="pct"/>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8,509</w:t>
            </w:r>
          </w:p>
        </w:tc>
        <w:tc>
          <w:tcPr>
            <w:tcW w:w="599" w:type="pct"/>
            <w:tcBorders>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(9.4%)</w:t>
            </w:r>
          </w:p>
        </w:tc>
      </w:tr>
      <w:tr w:rsidR="001324CA" w:rsidRPr="00E12150" w:rsidTr="00E3428E">
        <w:tc>
          <w:tcPr>
            <w:tcW w:w="2363" w:type="pct"/>
            <w:tcBorders>
              <w:left w:val="single" w:sz="4" w:space="0" w:color="auto"/>
              <w:bottom w:val="single" w:sz="4" w:space="0" w:color="auto"/>
            </w:tcBorders>
            <w:shd w:val="clear" w:color="auto" w:fill="auto"/>
          </w:tcPr>
          <w:p w:rsidR="001324CA" w:rsidRPr="005B366B" w:rsidRDefault="001324CA" w:rsidP="006057BE">
            <w:pPr>
              <w:spacing w:line="240" w:lineRule="auto"/>
              <w:rPr>
                <w:rFonts w:ascii="Arial" w:hAnsi="Arial" w:cs="Arial"/>
                <w:sz w:val="20"/>
                <w:szCs w:val="20"/>
              </w:rPr>
            </w:pPr>
            <w:r w:rsidRPr="005B366B">
              <w:rPr>
                <w:rFonts w:ascii="Arial" w:hAnsi="Arial" w:cs="Arial"/>
                <w:sz w:val="20"/>
                <w:szCs w:val="20"/>
              </w:rPr>
              <w:tab/>
              <w:t xml:space="preserve">Males age 50+ with a qualifying medical </w:t>
            </w:r>
            <w:r w:rsidRPr="005B366B">
              <w:rPr>
                <w:rFonts w:ascii="Arial" w:hAnsi="Arial" w:cs="Arial"/>
                <w:sz w:val="20"/>
                <w:szCs w:val="20"/>
              </w:rPr>
              <w:tab/>
              <w:t>marijuana condition, hours worked/week</w:t>
            </w:r>
          </w:p>
        </w:tc>
        <w:tc>
          <w:tcPr>
            <w:tcW w:w="741" w:type="pct"/>
            <w:tcBorders>
              <w:bottom w:val="single" w:sz="4" w:space="0" w:color="auto"/>
            </w:tcBorders>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41.7</w:t>
            </w:r>
          </w:p>
        </w:tc>
        <w:tc>
          <w:tcPr>
            <w:tcW w:w="741" w:type="pct"/>
            <w:tcBorders>
              <w:bottom w:val="single" w:sz="4" w:space="0" w:color="auto"/>
            </w:tcBorders>
            <w:shd w:val="clear" w:color="auto" w:fill="auto"/>
            <w:vAlign w:val="bottom"/>
          </w:tcPr>
          <w:p w:rsidR="001324CA" w:rsidRPr="005B366B" w:rsidRDefault="001324CA" w:rsidP="006057BE">
            <w:pPr>
              <w:spacing w:line="240" w:lineRule="auto"/>
              <w:ind w:right="288"/>
              <w:jc w:val="right"/>
              <w:rPr>
                <w:rFonts w:ascii="Arial" w:hAnsi="Arial" w:cs="Arial"/>
                <w:sz w:val="20"/>
                <w:szCs w:val="20"/>
              </w:rPr>
            </w:pPr>
            <w:r w:rsidRPr="005B366B">
              <w:rPr>
                <w:rFonts w:ascii="Arial" w:hAnsi="Arial" w:cs="Arial"/>
                <w:sz w:val="20"/>
                <w:szCs w:val="20"/>
              </w:rPr>
              <w:t>43.8</w:t>
            </w:r>
          </w:p>
        </w:tc>
        <w:tc>
          <w:tcPr>
            <w:tcW w:w="556" w:type="pct"/>
            <w:tcBorders>
              <w:bottom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2</w:t>
            </w:r>
          </w:p>
        </w:tc>
        <w:tc>
          <w:tcPr>
            <w:tcW w:w="599" w:type="pct"/>
            <w:tcBorders>
              <w:bottom w:val="single" w:sz="4" w:space="0" w:color="auto"/>
              <w:right w:val="single" w:sz="4" w:space="0" w:color="auto"/>
            </w:tcBorders>
            <w:shd w:val="clear" w:color="auto" w:fill="auto"/>
            <w:vAlign w:val="bottom"/>
          </w:tcPr>
          <w:p w:rsidR="001324CA" w:rsidRPr="005B366B" w:rsidRDefault="001324CA" w:rsidP="006057BE">
            <w:pPr>
              <w:spacing w:line="240" w:lineRule="auto"/>
              <w:jc w:val="right"/>
              <w:rPr>
                <w:rFonts w:ascii="Arial" w:hAnsi="Arial" w:cs="Arial"/>
                <w:sz w:val="20"/>
                <w:szCs w:val="20"/>
              </w:rPr>
            </w:pPr>
            <w:r w:rsidRPr="005B366B">
              <w:rPr>
                <w:rFonts w:ascii="Arial" w:hAnsi="Arial" w:cs="Arial"/>
                <w:sz w:val="20"/>
                <w:szCs w:val="20"/>
              </w:rPr>
              <w:t>(5%)</w:t>
            </w:r>
          </w:p>
        </w:tc>
      </w:tr>
    </w:tbl>
    <w:p w:rsidR="001324CA" w:rsidRPr="005D614A" w:rsidRDefault="001324CA" w:rsidP="006057BE">
      <w:pPr>
        <w:pStyle w:val="TableSourceCaption"/>
        <w:tabs>
          <w:tab w:val="clear" w:pos="792"/>
          <w:tab w:val="left" w:pos="0"/>
        </w:tabs>
        <w:spacing w:before="0" w:line="240" w:lineRule="auto"/>
        <w:ind w:left="0" w:firstLine="0"/>
        <w:rPr>
          <w:rFonts w:cs="Arial"/>
          <w:sz w:val="20"/>
          <w:szCs w:val="24"/>
        </w:rPr>
      </w:pPr>
      <w:r w:rsidRPr="005D614A">
        <w:rPr>
          <w:rFonts w:cs="Arial"/>
          <w:sz w:val="20"/>
          <w:szCs w:val="24"/>
        </w:rPr>
        <w:t xml:space="preserve">Sources: Mathematica’s analysis of impacts of legalized adult use of marijuana in Massachusetts using estimates from the literature, key stakeholder interviews, and primary and secondary data sources. See Appendix </w:t>
      </w:r>
      <w:r w:rsidR="0010613B">
        <w:rPr>
          <w:rFonts w:cs="Arial"/>
          <w:sz w:val="20"/>
          <w:szCs w:val="24"/>
        </w:rPr>
        <w:t>C Table C</w:t>
      </w:r>
      <w:r w:rsidRPr="005D614A">
        <w:rPr>
          <w:rFonts w:cs="Arial"/>
          <w:sz w:val="20"/>
          <w:szCs w:val="24"/>
        </w:rPr>
        <w:t>.1 for data sources used to inform these estimates.</w:t>
      </w:r>
    </w:p>
    <w:p w:rsidR="00B133C6" w:rsidRPr="00E12150" w:rsidRDefault="00B133C6" w:rsidP="006057BE">
      <w:pPr>
        <w:pStyle w:val="TableSourceCaption"/>
        <w:tabs>
          <w:tab w:val="clear" w:pos="792"/>
          <w:tab w:val="left" w:pos="0"/>
        </w:tabs>
        <w:spacing w:before="0" w:line="240" w:lineRule="auto"/>
        <w:ind w:left="0" w:firstLine="0"/>
        <w:rPr>
          <w:rFonts w:cs="Arial"/>
          <w:sz w:val="24"/>
          <w:szCs w:val="24"/>
        </w:rPr>
      </w:pPr>
    </w:p>
    <w:p w:rsidR="001324CA" w:rsidRPr="005D614A" w:rsidRDefault="001324CA" w:rsidP="006057BE">
      <w:pPr>
        <w:pStyle w:val="TableSourceCaption"/>
        <w:tabs>
          <w:tab w:val="clear" w:pos="792"/>
          <w:tab w:val="left" w:pos="0"/>
        </w:tabs>
        <w:spacing w:before="0" w:line="240" w:lineRule="auto"/>
        <w:ind w:left="0" w:firstLine="0"/>
        <w:rPr>
          <w:rFonts w:cs="Arial"/>
          <w:sz w:val="20"/>
          <w:szCs w:val="24"/>
        </w:rPr>
      </w:pPr>
      <w:r w:rsidRPr="005D614A">
        <w:rPr>
          <w:rFonts w:cs="Arial"/>
          <w:sz w:val="20"/>
          <w:szCs w:val="24"/>
        </w:rPr>
        <w:t>Note: Baseline values are for Massachusetts fiscal year 2018 (before retail sales begin), while projected value are for fiscal year 2020 (the second year of retail sales).</w:t>
      </w:r>
    </w:p>
    <w:p w:rsidR="001324CA" w:rsidRPr="005D614A" w:rsidRDefault="001324CA" w:rsidP="006057BE">
      <w:pPr>
        <w:pStyle w:val="TableFootnoteCaption"/>
        <w:spacing w:before="0" w:line="240" w:lineRule="auto"/>
        <w:rPr>
          <w:rFonts w:cs="Arial"/>
          <w:sz w:val="20"/>
          <w:szCs w:val="24"/>
        </w:rPr>
      </w:pPr>
      <w:r w:rsidRPr="005D614A">
        <w:rPr>
          <w:rFonts w:cs="Arial"/>
          <w:sz w:val="20"/>
          <w:szCs w:val="24"/>
          <w:vertAlign w:val="superscript"/>
        </w:rPr>
        <w:t>a</w:t>
      </w:r>
      <w:r w:rsidRPr="005D614A">
        <w:rPr>
          <w:rFonts w:cs="Arial"/>
          <w:sz w:val="20"/>
          <w:szCs w:val="24"/>
        </w:rPr>
        <w:t xml:space="preserve"> Regular users are those who consume marijuana between 1 and 20 days per month; heavy users are those who consume marijuana 21 or more days per month (Kilmer et al., 2013).</w:t>
      </w:r>
    </w:p>
    <w:p w:rsidR="00B133C6" w:rsidRPr="005D614A" w:rsidRDefault="00B133C6" w:rsidP="006057BE">
      <w:pPr>
        <w:pStyle w:val="TableFootnoteCaption"/>
        <w:spacing w:before="0" w:line="240" w:lineRule="auto"/>
        <w:rPr>
          <w:rFonts w:cs="Arial"/>
          <w:sz w:val="20"/>
          <w:szCs w:val="24"/>
        </w:rPr>
      </w:pPr>
    </w:p>
    <w:p w:rsidR="001324CA" w:rsidRPr="005D614A" w:rsidRDefault="001324CA" w:rsidP="006057BE">
      <w:pPr>
        <w:pStyle w:val="TableFootnoteCaption"/>
        <w:spacing w:before="0" w:line="240" w:lineRule="auto"/>
        <w:rPr>
          <w:rFonts w:cs="Arial"/>
          <w:sz w:val="20"/>
          <w:szCs w:val="24"/>
        </w:rPr>
      </w:pPr>
      <w:r w:rsidRPr="005D614A">
        <w:rPr>
          <w:rFonts w:cs="Arial"/>
          <w:sz w:val="20"/>
          <w:szCs w:val="24"/>
          <w:vertAlign w:val="superscript"/>
        </w:rPr>
        <w:t>b</w:t>
      </w:r>
      <w:r w:rsidRPr="005D614A">
        <w:rPr>
          <w:rFonts w:cs="Arial"/>
          <w:sz w:val="20"/>
          <w:szCs w:val="24"/>
        </w:rPr>
        <w:t xml:space="preserve"> These numbers are also used to estimate income tax revenue from averted mortality in the supplemental model.</w:t>
      </w:r>
    </w:p>
    <w:p w:rsidR="001324CA" w:rsidRPr="005D614A" w:rsidRDefault="001324CA" w:rsidP="006057BE">
      <w:pPr>
        <w:pStyle w:val="TableSignificanceCaption"/>
        <w:spacing w:before="0" w:line="240" w:lineRule="auto"/>
        <w:rPr>
          <w:rFonts w:cs="Arial"/>
          <w:sz w:val="20"/>
          <w:szCs w:val="24"/>
        </w:rPr>
      </w:pPr>
      <w:r w:rsidRPr="005D614A">
        <w:rPr>
          <w:rFonts w:cs="Arial"/>
          <w:sz w:val="20"/>
          <w:szCs w:val="24"/>
        </w:rPr>
        <w:t>n.a. = not applicable.</w:t>
      </w:r>
    </w:p>
    <w:p w:rsidR="001324CA" w:rsidRPr="00015C58" w:rsidRDefault="001324CA" w:rsidP="00F950A2">
      <w:pPr>
        <w:pStyle w:val="Heading4"/>
      </w:pPr>
      <w:r w:rsidRPr="00015C58">
        <w:t>Sensitivity Analyses for State-Level Models</w:t>
      </w:r>
    </w:p>
    <w:p w:rsidR="00B133C6" w:rsidRPr="00B133C6" w:rsidRDefault="00B133C6" w:rsidP="006057BE">
      <w:pPr>
        <w:pStyle w:val="NormalSS"/>
        <w:spacing w:after="0"/>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 xml:space="preserve">We conducted two analyses to examine the sensitivity of our results. The first involves the number of current marijuana users in Massachusetts. In our primary analysis, we used the NSDUH and BRFSS population surveys to establish a range (8.6% to 12.1%) for the prevalence of current marijuana use in Massachusetts. In a sensitivity analysis, we expanded the high end of the range to 20.1%, based on the MBHS Task 1 survey estimate. It is unclear why the estimate of use prevalence was substantially higher in the MBHS Task 1 survey than in existing population surveys. On the one hand, because the NSDUH and BRFSS surveys were conducted prior to adult use legalization, they may have underreported marijuana use, which is a recognized problem in surveys targeting illegal substance use (Harrison, Martin, Enev, &amp; Harrington, 2007). Because the MBHS Task 1 survey was conducted after the referendum to legalize retail marijuana was passed in Massachusetts, it may have captured more honest reporting that captures true Massachusetts-specific consumption patterns. However, it should be noted that the rate of consumption reported in Colorado in the 2014–2015 NSDUH—which was conducted after legalization—was still only 17%. On the other hand, because the MBHS Task 1 survey response rate was low (roughly 20% of individuals who were mailed a survey completed the survey), it is not clear how representative MBHS Task 1 survey estimates are of the general adult population in Massachusetts and whether self-reporting bias affected the estimates obtained. In our sensitivity check, we examined what effect using the MBHS Task 1 survey consumption estimate as the high end of the range had on our overall impact estimate. </w:t>
      </w: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In our second sensitivity analysis, we set all impacts based on the medical marijuana literature to zero, given the possibility that these impacts might have already been realized when Massachusetts implemented the medical marijuana program.  In our primary analysis, we assume that the expansion from the medical marijuana to the adult use of marijuana regime will generate similar impacts as the expansion from no legalization to the medical marijuana regime. However, while far from conclusive, the limited evidence of the impacts from the expansion from medical to retail legalization are small or statistically insignificant (Dills, Goffard, &amp; Miron, 2016, 2017). In this sensitivity analysis, we take the conservative view that there are no behavioral impacts generated from the shift from the medical to adult use regimes beyond consumers switching from the black market to legal retail market. In other words, we do not anticipate any impacts of adult use legalization on the likelihood or frequency of marijuana consumption, nor do we anticipate any impacts on public health outcomes explored in the supplemental model, such as alcohol or opioid consumption, or economic impacts from increased labor force participation of older adults. The results from this sensitivity analysis can therefore serve as a lower bound of the expected fiscal impact of marijuana legalization in Massachusetts.</w:t>
      </w:r>
    </w:p>
    <w:p w:rsidR="00B133C6" w:rsidRDefault="00B133C6" w:rsidP="006057BE">
      <w:pPr>
        <w:pStyle w:val="NormalSS"/>
        <w:spacing w:after="0"/>
        <w:rPr>
          <w:rFonts w:ascii="Arial" w:hAnsi="Arial" w:cs="Arial"/>
          <w:sz w:val="24"/>
          <w:szCs w:val="24"/>
        </w:rPr>
      </w:pPr>
    </w:p>
    <w:p w:rsidR="00B133C6" w:rsidRPr="00015C58" w:rsidRDefault="00B133C6" w:rsidP="00F950A2">
      <w:pPr>
        <w:pStyle w:val="Heading4"/>
      </w:pPr>
      <w:r w:rsidRPr="00015C58">
        <w:t>Local Analyses</w:t>
      </w:r>
    </w:p>
    <w:p w:rsidR="00B133C6" w:rsidRPr="00B133C6" w:rsidRDefault="00B133C6" w:rsidP="006057BE">
      <w:pPr>
        <w:pStyle w:val="NormalSS"/>
        <w:spacing w:after="0"/>
      </w:pPr>
    </w:p>
    <w:p w:rsidR="00B133C6" w:rsidRPr="00E12150" w:rsidRDefault="00B133C6" w:rsidP="006057BE">
      <w:pPr>
        <w:pStyle w:val="NormalSS"/>
        <w:spacing w:after="0"/>
        <w:rPr>
          <w:rFonts w:ascii="Arial" w:hAnsi="Arial" w:cs="Arial"/>
          <w:sz w:val="24"/>
          <w:szCs w:val="24"/>
        </w:rPr>
      </w:pPr>
      <w:r w:rsidRPr="00E12150">
        <w:rPr>
          <w:rFonts w:ascii="Arial" w:hAnsi="Arial" w:cs="Arial"/>
          <w:sz w:val="24"/>
          <w:szCs w:val="24"/>
        </w:rPr>
        <w:t>To estimate fiscal impacts to local governments, we projected the revenue that cities and towns would collect from local taxes imposed on retail marijuana sales during the first two years of adult use legalization. Unlike our main model, the local model does not factor in costs associated with adult use legalization (such as increased training and law enforcement costs that are anticipated at the local level) because of the high level of uncertainty associated with these costs, coupled with a lack of local-level data to inform such estimates. To estimate revenue, we assumed a local tax rate of 3% (the maximum local tax) in all cities and towns with an RMD expected to open within the first two years of retail marijuana sales. We applied this rate to the projected number of marijuana purchases, calculated using the prevalence of current marijuana use assumed in our state-level models (defined to range from 8.6% to 12.1%, based on the NSDUH and BRFSS surveys), which was assumed to be consistent across all cities and towns. In a sensitivity analysis, we used local-level prevalence estimates that were informed by the MBHS Task 1 survey for cities and towns with at least 15 individuals surveyed.</w:t>
      </w:r>
    </w:p>
    <w:p w:rsidR="00B133C6" w:rsidRDefault="00B133C6" w:rsidP="006057BE">
      <w:pPr>
        <w:pStyle w:val="NormalSS"/>
        <w:spacing w:after="0"/>
        <w:rPr>
          <w:rFonts w:ascii="Arial" w:hAnsi="Arial" w:cs="Arial"/>
          <w:sz w:val="24"/>
          <w:szCs w:val="24"/>
        </w:rPr>
      </w:pPr>
      <w:r w:rsidRPr="00E12150">
        <w:rPr>
          <w:rFonts w:ascii="Arial" w:hAnsi="Arial" w:cs="Arial"/>
          <w:sz w:val="24"/>
          <w:szCs w:val="24"/>
        </w:rPr>
        <w:t xml:space="preserve">We assumed that marijuana users in cities and towns without a projected RMD would purchase marijuana from the nearest city or town with an RMD. Based on the locations of RMDs expected to open within the two-year study period, we expect that individuals in the majority of cities and towns (n = 337) will reside within 10 miles of an open RMD and that all individuals in Massachusetts will reside within 20 miles of an RMD. Finally, in the primary local analysis, we assumed that 50% to 80% of marijuana users would shift from purchasing their marijuana in the illicit market to purchasing from RMDs, based on information from the Washington State Institute of Public Policy (WSIPP) and a stakeholder interview. In a sensitivity analyses, we set the shift to 50% and 80% to examine the effect on the results. </w:t>
      </w:r>
    </w:p>
    <w:p w:rsidR="00B133C6" w:rsidRPr="005D7694" w:rsidRDefault="00B133C6" w:rsidP="006057BE">
      <w:pPr>
        <w:pStyle w:val="NormalSS"/>
        <w:spacing w:after="0"/>
        <w:rPr>
          <w:rFonts w:ascii="Arial" w:hAnsi="Arial" w:cs="Arial"/>
          <w:sz w:val="24"/>
          <w:szCs w:val="24"/>
        </w:rPr>
      </w:pPr>
    </w:p>
    <w:p w:rsidR="00B133C6" w:rsidRPr="005D7694" w:rsidRDefault="00B133C6" w:rsidP="005F7A46">
      <w:pPr>
        <w:pStyle w:val="Heading2"/>
      </w:pPr>
      <w:bookmarkStart w:id="660" w:name="_Toc11766045"/>
      <w:bookmarkStart w:id="661" w:name="_Toc11766700"/>
      <w:bookmarkStart w:id="662" w:name="_Toc11917273"/>
      <w:bookmarkStart w:id="663" w:name="_Toc11921711"/>
      <w:bookmarkStart w:id="664" w:name="_Toc12520967"/>
      <w:bookmarkStart w:id="665" w:name="_Toc12521193"/>
      <w:bookmarkStart w:id="666" w:name="_Toc12529163"/>
      <w:r w:rsidRPr="005D7694">
        <w:t>Results</w:t>
      </w:r>
      <w:bookmarkEnd w:id="660"/>
      <w:bookmarkEnd w:id="661"/>
      <w:bookmarkEnd w:id="662"/>
      <w:bookmarkEnd w:id="663"/>
      <w:bookmarkEnd w:id="664"/>
      <w:bookmarkEnd w:id="665"/>
      <w:bookmarkEnd w:id="666"/>
    </w:p>
    <w:p w:rsidR="00B133C6" w:rsidRPr="00015C58" w:rsidRDefault="00B133C6" w:rsidP="00332358">
      <w:pPr>
        <w:pStyle w:val="H4Number"/>
        <w:rPr>
          <w:rFonts w:ascii="Arial" w:hAnsi="Arial" w:cs="Arial"/>
          <w:b/>
          <w:i/>
        </w:rPr>
      </w:pPr>
      <w:r w:rsidRPr="00015C58">
        <w:rPr>
          <w:rFonts w:ascii="Arial" w:hAnsi="Arial" w:cs="Arial"/>
          <w:b/>
          <w:i/>
        </w:rPr>
        <w:t>Main Model Impacts</w:t>
      </w:r>
    </w:p>
    <w:p w:rsidR="00B133C6" w:rsidRPr="00B133C6" w:rsidRDefault="00B133C6" w:rsidP="006057BE">
      <w:pPr>
        <w:pStyle w:val="NormalSS"/>
        <w:spacing w:after="0"/>
      </w:pPr>
    </w:p>
    <w:p w:rsidR="00B133C6" w:rsidRDefault="00B133C6" w:rsidP="006057BE">
      <w:pPr>
        <w:pStyle w:val="NormalSS"/>
        <w:spacing w:after="0"/>
        <w:rPr>
          <w:rFonts w:ascii="Arial" w:hAnsi="Arial" w:cs="Arial"/>
          <w:sz w:val="24"/>
          <w:szCs w:val="24"/>
        </w:rPr>
      </w:pPr>
      <w:r w:rsidRPr="00E12150">
        <w:rPr>
          <w:rFonts w:ascii="Arial" w:hAnsi="Arial" w:cs="Arial"/>
          <w:sz w:val="24"/>
          <w:szCs w:val="24"/>
        </w:rPr>
        <w:t xml:space="preserve">Our main model included changes in the following primary measures: sales tax revenue (from marijuana purchases among adults with regular and heavy use and among adolescents using marijuana purchased from RMDs); business income tax revenue from RMDs (which we estimated by applying an 8% business tax rate to our estimate of gross revenue, excluding business-related expenses); regulatory costs and revenue; and marijuana-related law enforcement activities (related to decreases in arrests, convictions, incarcerations, and parolees/probationers). Based on our main model, we estimate that marijuana legalization will result in a net two-year fiscal contribution of $215.8 million (Figure 1 and Table 3). The majority of this gain (70%, amounting to $150.3 million) will come from sales tax revenue, followed by RMD business tax revenue (28%, amounting to $60.1 million); about 2% will come from savings due to reduced law enforcement needs to police illegal marijuana use; and less than 1% will come from regulatory revenue—largely because we estimate that Massachusetts will spend about the same amount to regulate marijuana sales and production ($1.8 million) as it will receive in application fees and violation fines from marijuana dispensaries ($2.2 million). Based on the probability distribution generate from the Monte Carlo simulation, we estimate a 95% confidence interval of $95.7 to $405.9 million around </w:t>
      </w:r>
      <w:r w:rsidR="00C90535">
        <w:rPr>
          <w:rFonts w:ascii="Arial" w:hAnsi="Arial" w:cs="Arial"/>
          <w:sz w:val="24"/>
          <w:szCs w:val="24"/>
        </w:rPr>
        <w:t>our main model impact estimate.</w:t>
      </w:r>
    </w:p>
    <w:p w:rsidR="00C90535" w:rsidRDefault="00C90535" w:rsidP="006057BE">
      <w:pPr>
        <w:pStyle w:val="NormalSS"/>
        <w:spacing w:after="0"/>
        <w:rPr>
          <w:rFonts w:ascii="Arial" w:hAnsi="Arial" w:cs="Arial"/>
          <w:sz w:val="24"/>
          <w:szCs w:val="24"/>
        </w:rPr>
      </w:pPr>
    </w:p>
    <w:p w:rsidR="00C90535" w:rsidRDefault="00C90535" w:rsidP="006057BE">
      <w:pPr>
        <w:pStyle w:val="NormalSS"/>
        <w:spacing w:after="0"/>
        <w:rPr>
          <w:rFonts w:ascii="Arial" w:hAnsi="Arial" w:cs="Arial"/>
          <w:sz w:val="24"/>
          <w:szCs w:val="24"/>
        </w:rPr>
      </w:pPr>
    </w:p>
    <w:p w:rsidR="00C90535" w:rsidRDefault="00C90535" w:rsidP="00C90535">
      <w:pPr>
        <w:pStyle w:val="NormalSS"/>
        <w:spacing w:after="0"/>
        <w:rPr>
          <w:rFonts w:ascii="Arial" w:hAnsi="Arial" w:cs="Arial"/>
          <w:sz w:val="24"/>
          <w:szCs w:val="24"/>
        </w:rPr>
      </w:pPr>
      <w:r w:rsidRPr="00E12150">
        <w:rPr>
          <w:rFonts w:ascii="Arial" w:hAnsi="Arial" w:cs="Arial"/>
          <w:sz w:val="24"/>
          <w:szCs w:val="24"/>
        </w:rPr>
        <w:t xml:space="preserve">Sales tax revenue was driven largely by marijuana purchases anticipated by adults categorized as heavy users (we estimate these consumers are responsible for $89.8 million of the $150.3 million expected in new sales tax revenue). Additional sales tax revenue comes from: adults categorized as regular marijuana users ($23.3 million); adolescents who consume marijuana that was purchased by adults from RMDs ($14.6 million); tourist purchases ($14.4 million), which we assumed would comprise between 7% and 12% of total tax revenue, based on estimates from </w:t>
      </w:r>
      <w:r w:rsidRPr="00E12150">
        <w:rPr>
          <w:rFonts w:ascii="Arial" w:hAnsi="Arial" w:cs="Arial"/>
          <w:iCs/>
          <w:sz w:val="24"/>
          <w:szCs w:val="24"/>
        </w:rPr>
        <w:t>Light et al. (2016) and Cooper et al. (2016)</w:t>
      </w:r>
      <w:r w:rsidRPr="00E12150">
        <w:rPr>
          <w:rFonts w:ascii="Arial" w:hAnsi="Arial" w:cs="Arial"/>
          <w:sz w:val="24"/>
          <w:szCs w:val="24"/>
        </w:rPr>
        <w:t xml:space="preserve">; and new adult users ($7.7 million), whose use of marijuana begins after the commencement of retail sales. As a result of retail marijuana sales, we also forecast a $3.6 million reduction in sales tax revenue from beer sales over the study period. The majority of law enforcement savings are realized through reductions in law enforcement costs related to vehicular crashes that result in fatalities ($3.8 million) and in the number of marijuana-related incarcerations ($1.4 million). </w:t>
      </w:r>
    </w:p>
    <w:p w:rsidR="00C90535" w:rsidRPr="00B46B84" w:rsidRDefault="00C90535" w:rsidP="00332358">
      <w:pPr>
        <w:pStyle w:val="H4Number"/>
        <w:rPr>
          <w:rFonts w:ascii="Arial" w:hAnsi="Arial" w:cs="Arial"/>
          <w:b/>
          <w:i/>
        </w:rPr>
      </w:pPr>
      <w:r w:rsidRPr="00B46B84">
        <w:rPr>
          <w:rFonts w:ascii="Arial" w:hAnsi="Arial" w:cs="Arial"/>
          <w:b/>
          <w:i/>
        </w:rPr>
        <w:t>Supplemental Model Impacts</w:t>
      </w:r>
    </w:p>
    <w:p w:rsidR="00C90535" w:rsidRPr="00B133C6" w:rsidRDefault="00C90535" w:rsidP="00C90535">
      <w:pPr>
        <w:pStyle w:val="NormalSS"/>
        <w:spacing w:after="0"/>
      </w:pPr>
    </w:p>
    <w:p w:rsidR="00C90535" w:rsidRPr="00E12150" w:rsidRDefault="00C90535" w:rsidP="00C90535">
      <w:pPr>
        <w:pStyle w:val="NormalSS"/>
        <w:spacing w:after="0"/>
        <w:rPr>
          <w:rFonts w:ascii="Arial" w:hAnsi="Arial" w:cs="Arial"/>
          <w:sz w:val="24"/>
          <w:szCs w:val="24"/>
        </w:rPr>
      </w:pPr>
      <w:r w:rsidRPr="00E12150">
        <w:rPr>
          <w:rFonts w:ascii="Arial" w:hAnsi="Arial" w:cs="Arial"/>
          <w:sz w:val="24"/>
          <w:szCs w:val="24"/>
        </w:rPr>
        <w:t>Our supplemental model included changes in the following health-related measures estimated with less certainty: income tax revenue (mainly as a result of increases in worker productivity among adults age 50 or over, coupled with extra years of life due to averted mortality), decreased MassHealth spending on prescription drugs replaced with marijuana, decreased spending on opioid addiction treatment, increased spending on cannabis addiction treatment, and state-level savings due to averted deaths. With respect to averted deaths, the evidence from the medical marijuana literature suggests a decrease in traffic fatalities (Anderson, Hansen, &amp; Rees, 2013; Santaella-Tenorio, Mauro, Wall, Kim, &amp; Martins, 2017), which would decrease legal costs to the state, along with a decrease in suicides among males ages 20 to 39 (</w:t>
      </w:r>
      <w:r w:rsidRPr="00E12150">
        <w:rPr>
          <w:rFonts w:ascii="Arial" w:hAnsi="Arial" w:cs="Arial"/>
          <w:iCs/>
          <w:sz w:val="24"/>
          <w:szCs w:val="24"/>
        </w:rPr>
        <w:t xml:space="preserve">Anderson, Rees, &amp; Sabia, 2014), </w:t>
      </w:r>
      <w:r w:rsidRPr="00E12150">
        <w:rPr>
          <w:rFonts w:ascii="Arial" w:hAnsi="Arial" w:cs="Arial"/>
          <w:sz w:val="24"/>
          <w:szCs w:val="24"/>
        </w:rPr>
        <w:t>which would decrease state spending on related medical costs.</w:t>
      </w:r>
    </w:p>
    <w:p w:rsidR="00C90535" w:rsidRPr="00E12150" w:rsidRDefault="00C90535" w:rsidP="00C90535">
      <w:pPr>
        <w:pStyle w:val="NormalSS"/>
        <w:spacing w:after="0"/>
        <w:rPr>
          <w:rFonts w:ascii="Arial" w:hAnsi="Arial" w:cs="Arial"/>
          <w:sz w:val="24"/>
          <w:szCs w:val="24"/>
        </w:rPr>
      </w:pPr>
      <w:r w:rsidRPr="00E12150">
        <w:rPr>
          <w:rFonts w:ascii="Arial" w:hAnsi="Arial" w:cs="Arial"/>
          <w:sz w:val="24"/>
          <w:szCs w:val="24"/>
        </w:rPr>
        <w:t>Adding these measures to our main model increased our projected budgetary gain by $65.3 million, and yielded a total impact estimate of $281.1 million (Table 3). Across all domains, estimated changes in sales and business tax revenue represent approximately 75% of all economic and fiscal impacts, while revenue and savings as a result of public health effects account for an additional 23%; regulatory oversight and law enforcement fiscal impacts together constitute less than 5% of estimated impacts. The 95% confidence interval around the secondary model impact estimate was $98.4 million to $528.3 million.</w:t>
      </w:r>
    </w:p>
    <w:p w:rsidR="00C90535" w:rsidRDefault="00C90535" w:rsidP="00C90535">
      <w:pPr>
        <w:pStyle w:val="NormalSS"/>
        <w:spacing w:after="0"/>
        <w:rPr>
          <w:rFonts w:ascii="Arial" w:hAnsi="Arial" w:cs="Arial"/>
          <w:sz w:val="24"/>
          <w:szCs w:val="24"/>
        </w:rPr>
      </w:pPr>
    </w:p>
    <w:p w:rsidR="00C90535" w:rsidRDefault="00C90535" w:rsidP="006057BE">
      <w:pPr>
        <w:pStyle w:val="NormalSS"/>
        <w:spacing w:after="0"/>
        <w:rPr>
          <w:rFonts w:ascii="Arial" w:hAnsi="Arial" w:cs="Arial"/>
          <w:sz w:val="24"/>
          <w:szCs w:val="24"/>
        </w:rPr>
        <w:sectPr w:rsidR="00C90535" w:rsidSect="008F7C69">
          <w:headerReference w:type="default" r:id="rId108"/>
          <w:pgSz w:w="12240" w:h="15840"/>
          <w:pgMar w:top="1440" w:right="1440" w:bottom="1440" w:left="1440" w:header="720" w:footer="720" w:gutter="0"/>
          <w:cols w:space="720"/>
          <w:docGrid w:linePitch="360"/>
        </w:sectPr>
      </w:pP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 xml:space="preserve">When we examine projected revenue or savings (without factoring in projected costs or losses), the single largest contributor is sales tax revenue for marijuana purchases at RMDs by heavy adult users, followed by marijuana-related business income tax revenue (Appendix </w:t>
      </w:r>
      <w:r w:rsidR="0010613B">
        <w:rPr>
          <w:rFonts w:ascii="Arial" w:hAnsi="Arial" w:cs="Arial"/>
          <w:sz w:val="24"/>
          <w:szCs w:val="24"/>
        </w:rPr>
        <w:t>C Figure C</w:t>
      </w:r>
      <w:r w:rsidRPr="00E12150">
        <w:rPr>
          <w:rFonts w:ascii="Arial" w:hAnsi="Arial" w:cs="Arial"/>
          <w:sz w:val="24"/>
          <w:szCs w:val="24"/>
        </w:rPr>
        <w:t>.1). We also estimate substantial income tax revenue from gains in worker productivity ($54.4 million). In particular, we project growth in hours worked among men over age 50 ($46.7 million) and in full-time employment among women over age 50 ($20.9 million) who have a debilitating medical condition (such as chronic back pain or depression) that is well-controlled with marijuana. Retail marijuana legalization is estimated to reduce mortality from suicides, vehicular crashes, and opioid-related deaths; together, these could increase income tax revenue by $1.1 million and reduce state public health spending by $0.7 million.</w:t>
      </w:r>
    </w:p>
    <w:p w:rsidR="00B133C6" w:rsidRPr="00E12150" w:rsidRDefault="00B133C6"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b/>
          <w:sz w:val="24"/>
          <w:szCs w:val="24"/>
        </w:rPr>
      </w:pPr>
      <w:r w:rsidRPr="00E12150">
        <w:rPr>
          <w:rFonts w:ascii="Arial" w:hAnsi="Arial" w:cs="Arial"/>
          <w:sz w:val="24"/>
          <w:szCs w:val="24"/>
        </w:rPr>
        <w:t xml:space="preserve">When we look at costs or losses (data not shown), we project that a reduction in average hourly earnings as a result of marijuana addiction or dependence will reduce state income tax revenue by $12.5 million. We also estimate a loss of $3.6 million in alcohol sales taxes because of substitution effects (whereby individuals purchase marijuana in lieu of alcohol). The estimated impact on state spending for substance abuse treatment is minimal, composed of reduced spending on opioid addiction treatment ($1.0 million) that is offset by increased spending on cannabis addiction </w:t>
      </w:r>
      <w:r w:rsidRPr="0096084F">
        <w:rPr>
          <w:rFonts w:ascii="Arial" w:hAnsi="Arial" w:cs="Arial"/>
          <w:sz w:val="24"/>
          <w:szCs w:val="24"/>
        </w:rPr>
        <w:t>treatment ($1.1 million).</w:t>
      </w:r>
      <w:r w:rsidRPr="0096084F">
        <w:rPr>
          <w:rFonts w:ascii="Arial" w:hAnsi="Arial" w:cs="Arial"/>
          <w:b/>
          <w:sz w:val="24"/>
          <w:szCs w:val="24"/>
        </w:rPr>
        <w:t xml:space="preserve"> </w:t>
      </w:r>
    </w:p>
    <w:p w:rsidR="00B133C6" w:rsidRPr="0096084F" w:rsidRDefault="00B133C6" w:rsidP="006057BE">
      <w:pPr>
        <w:pStyle w:val="NormalSS"/>
        <w:spacing w:after="0"/>
        <w:rPr>
          <w:rFonts w:ascii="Arial" w:hAnsi="Arial" w:cs="Arial"/>
          <w:b/>
          <w:sz w:val="24"/>
          <w:szCs w:val="24"/>
        </w:rPr>
      </w:pPr>
    </w:p>
    <w:p w:rsidR="001324CA" w:rsidRPr="0096084F" w:rsidRDefault="001324CA" w:rsidP="006057BE">
      <w:pPr>
        <w:pStyle w:val="MarkforFigureTitle"/>
        <w:spacing w:after="0"/>
        <w:rPr>
          <w:rFonts w:ascii="Arial" w:hAnsi="Arial" w:cs="Arial"/>
          <w:b/>
          <w:sz w:val="24"/>
          <w:szCs w:val="24"/>
        </w:rPr>
      </w:pPr>
      <w:r w:rsidRPr="0096084F">
        <w:rPr>
          <w:rFonts w:ascii="Arial" w:hAnsi="Arial" w:cs="Arial"/>
          <w:b/>
          <w:noProof/>
          <w:sz w:val="24"/>
          <w:szCs w:val="24"/>
        </w:rPr>
        <mc:AlternateContent>
          <mc:Choice Requires="wpg">
            <w:drawing>
              <wp:anchor distT="0" distB="0" distL="114300" distR="114300" simplePos="0" relativeHeight="251665408" behindDoc="0" locked="0" layoutInCell="1" allowOverlap="1" wp14:anchorId="55BFB8AC" wp14:editId="371C88A9">
                <wp:simplePos x="0" y="0"/>
                <wp:positionH relativeFrom="margin">
                  <wp:align>right</wp:align>
                </wp:positionH>
                <wp:positionV relativeFrom="paragraph">
                  <wp:posOffset>217115</wp:posOffset>
                </wp:positionV>
                <wp:extent cx="5945480" cy="1934235"/>
                <wp:effectExtent l="0" t="0" r="0" b="8890"/>
                <wp:wrapSquare wrapText="bothSides"/>
                <wp:docPr id="93" name="Group 93" title="Estimated Two-Year Impacts of Legalizing Adult Use of Marijuana"/>
                <wp:cNvGraphicFramePr/>
                <a:graphic xmlns:a="http://schemas.openxmlformats.org/drawingml/2006/main">
                  <a:graphicData uri="http://schemas.microsoft.com/office/word/2010/wordprocessingGroup">
                    <wpg:wgp>
                      <wpg:cNvGrpSpPr/>
                      <wpg:grpSpPr>
                        <a:xfrm>
                          <a:off x="0" y="0"/>
                          <a:ext cx="5945480" cy="1934235"/>
                          <a:chOff x="0" y="0"/>
                          <a:chExt cx="5945480" cy="1934235"/>
                        </a:xfrm>
                      </wpg:grpSpPr>
                      <pic:pic xmlns:pic="http://schemas.openxmlformats.org/drawingml/2006/picture">
                        <pic:nvPicPr>
                          <pic:cNvPr id="94" name="Picture 94" descr="The figure shows two side by side donut graphics noted as &quot;Projected budgetary gain (main model)&quot; and &quot;Projected budgetary gain (supplemental model)&quot;. The &quot;main model&quot; donut on the left shows a total of $215.8 million dollars. Sales and business tax revenue account for 98% of the donut, while regulatory oevrsight accounts for less than 1% and law enforcement accounts for 2%. To the right, the &quot;supplemental model&quot; donut noted a total of $281.1 million dollars. Sales and business tax revenue account for 75% of the donut, while public health accounts for 23%, law enforcement as 2%, and regulatory oversight as less than 1%. The source of the data was Mathematica's analysis of impact of legaized adult use of marijuana in Massachusetts." title="Estimated Two-Year Impacts of Legalizing Adult Use of Marijuana"/>
                          <pic:cNvPicPr>
                            <a:picLocks noChangeAspect="1"/>
                          </pic:cNvPicPr>
                        </pic:nvPicPr>
                        <pic:blipFill rotWithShape="1">
                          <a:blip r:embed="rId109" cstate="print">
                            <a:extLst>
                              <a:ext uri="{28A0092B-C50C-407E-A947-70E740481C1C}">
                                <a14:useLocalDpi xmlns:a14="http://schemas.microsoft.com/office/drawing/2010/main" val="0"/>
                              </a:ext>
                            </a:extLst>
                          </a:blip>
                          <a:srcRect r="6080"/>
                          <a:stretch/>
                        </pic:blipFill>
                        <pic:spPr bwMode="auto">
                          <a:xfrm>
                            <a:off x="2911450" y="0"/>
                            <a:ext cx="3034030" cy="1920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 name="Picture 95"/>
                          <pic:cNvPicPr>
                            <a:picLocks noChangeAspect="1"/>
                          </pic:cNvPicPr>
                        </pic:nvPicPr>
                        <pic:blipFill rotWithShape="1">
                          <a:blip r:embed="rId110">
                            <a:extLst>
                              <a:ext uri="{28A0092B-C50C-407E-A947-70E740481C1C}">
                                <a14:useLocalDpi xmlns:a14="http://schemas.microsoft.com/office/drawing/2010/main" val="0"/>
                              </a:ext>
                            </a:extLst>
                          </a:blip>
                          <a:srcRect l="1812" r="5367"/>
                          <a:stretch/>
                        </pic:blipFill>
                        <pic:spPr bwMode="auto">
                          <a:xfrm>
                            <a:off x="0" y="14630"/>
                            <a:ext cx="2997835" cy="19196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93" o:spid="_x0000_s1026" alt="Title: Estimated Two-Year Impacts of Legalizing Adult Use of Marijuana" style="position:absolute;margin-left:416.95pt;margin-top:17.1pt;width:468.15pt;height:152.3pt;z-index:251665408;mso-position-horizontal:right;mso-position-horizontal-relative:margin" coordsize="59454,19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alt="The figure shows two side by side donut graphics noted as &quot;Projected budgetary gain (main model)&quot; and &quot;Projected budgetary gain (supplemental model)&quot;. The &quot;main model&quot; donut on the left shows a total of $215.8 million dollars. Sales and business tax revenue account for 98% of the donut, while regulatory oevrsight accounts for less than 1% and law enforcement accounts for 2%. To the right, the &quot;supplemental model&quot; donut noted a total of $281.1 million dollars. Sales and business tax revenue account for 75% of the donut, while public health accounts for 23%, law enforcement as 2%, and regulatory oversight as less than 1%. The source of the data was Mathematica's analysis of impact of legaized adult use of marijuana in Massachusetts." style="position:absolute;left:29114;width:30340;height:19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kPXHFAAAA2wAAAA8AAABkcnMvZG93bnJldi54bWxEj09rwkAUxO9Cv8PyCl5EN4YqGl1Fakt7&#10;qvgHz4/sMxvMvk2z2yT99t1CocdhZn7DrLe9rURLjS8dK5hOEhDEudMlFwou59fxAoQPyBorx6Tg&#10;mzxsNw+DNWbadXyk9hQKESHsM1RgQqgzKX1uyKKfuJo4ejfXWAxRNoXUDXYRbiuZJslcWiw5Lhis&#10;6dlQfj99WQV7fxh9vhySdGam14/doqO3Nh0pNXzsdysQgfrwH/5rv2sFyyf4/RJ/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ZD1xxQAAANsAAAAPAAAAAAAAAAAAAAAA&#10;AJ8CAABkcnMvZG93bnJldi54bWxQSwUGAAAAAAQABAD3AAAAkQMAAAAA&#10;">
                  <v:imagedata r:id="rId111" o:title="The figure shows two side by side donut graphics noted as &quot;Projected budgetary gain (main model)&quot; and &quot;Projected budgetary gain (supplemental model)&quot;. The &quot;main model&quot; donut on the left shows a total of $215.8 million dollars" cropright="3985f"/>
                  <v:path arrowok="t"/>
                </v:shape>
                <v:shape id="Picture 95" o:spid="_x0000_s1028" type="#_x0000_t75" style="position:absolute;top:146;width:29978;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H5ELEAAAA2wAAAA8AAABkcnMvZG93bnJldi54bWxEj9FqwkAURN+F/sNyC32rmwasNWYjoVAR&#10;imjVD7hkr0kwezfdXTXt13eFgo/DzJxh8sVgOnEh51vLCl7GCQjiyuqWawWH/cfzGwgfkDV2lknB&#10;D3lYFA+jHDNtr/xFl12oRYSwz1BBE0KfSemrhgz6se2Jo3e0zmCI0tVSO7xGuOlkmiSv0mDLcaHB&#10;nt4bqk67s1GwLad+tfn+XfvSJZ+pO5uyTpdKPT0O5RxEoCHcw//tlVYwm8DtS/wBs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H5ELEAAAA2wAAAA8AAAAAAAAAAAAAAAAA&#10;nwIAAGRycy9kb3ducmV2LnhtbFBLBQYAAAAABAAEAPcAAACQAwAAAAA=&#10;">
                  <v:imagedata r:id="rId112" o:title="" cropleft="1188f" cropright="3517f"/>
                  <v:path arrowok="t"/>
                </v:shape>
                <w10:wrap type="square" anchorx="margin"/>
              </v:group>
            </w:pict>
          </mc:Fallback>
        </mc:AlternateContent>
      </w:r>
      <w:r w:rsidRPr="0096084F">
        <w:rPr>
          <w:rFonts w:ascii="Arial" w:hAnsi="Arial" w:cs="Arial"/>
          <w:b/>
          <w:sz w:val="24"/>
          <w:szCs w:val="24"/>
        </w:rPr>
        <w:t>Figure 1. Estimated Two-Year Impacts of Legalizing Adult Use of Marijuana</w:t>
      </w:r>
    </w:p>
    <w:p w:rsidR="001324CA" w:rsidRPr="0010613B" w:rsidRDefault="001324CA" w:rsidP="006057BE">
      <w:pPr>
        <w:pStyle w:val="TableSourceCaption"/>
        <w:tabs>
          <w:tab w:val="clear" w:pos="792"/>
          <w:tab w:val="left" w:pos="0"/>
        </w:tabs>
        <w:spacing w:before="0" w:line="240" w:lineRule="auto"/>
        <w:ind w:left="0" w:firstLine="0"/>
        <w:rPr>
          <w:rFonts w:cs="Arial"/>
          <w:sz w:val="22"/>
          <w:szCs w:val="24"/>
        </w:rPr>
      </w:pPr>
      <w:r w:rsidRPr="0010613B">
        <w:rPr>
          <w:rFonts w:cs="Arial"/>
          <w:sz w:val="22"/>
          <w:szCs w:val="24"/>
        </w:rPr>
        <w:t xml:space="preserve">Sources: Mathematica’s analysis of impacts of legalized adult use of marijuana in Massachusetts using estimates from the literature, key stakeholder interviews, and primary and secondary data sources. See Appendix </w:t>
      </w:r>
      <w:r w:rsidR="0010613B" w:rsidRPr="0010613B">
        <w:rPr>
          <w:rFonts w:cs="Arial"/>
          <w:sz w:val="22"/>
          <w:szCs w:val="24"/>
        </w:rPr>
        <w:t>C Table C</w:t>
      </w:r>
      <w:r w:rsidRPr="0010613B">
        <w:rPr>
          <w:rFonts w:cs="Arial"/>
          <w:sz w:val="22"/>
          <w:szCs w:val="24"/>
        </w:rPr>
        <w:t>.1 for data sources used to inform these estimates.</w:t>
      </w:r>
    </w:p>
    <w:p w:rsidR="00B133C6" w:rsidRPr="0010613B" w:rsidRDefault="00B133C6" w:rsidP="006057BE">
      <w:pPr>
        <w:pStyle w:val="TableSourceCaption"/>
        <w:tabs>
          <w:tab w:val="clear" w:pos="792"/>
          <w:tab w:val="left" w:pos="0"/>
        </w:tabs>
        <w:spacing w:before="0" w:line="240" w:lineRule="auto"/>
        <w:ind w:left="0" w:firstLine="0"/>
        <w:rPr>
          <w:rFonts w:cs="Arial"/>
          <w:sz w:val="22"/>
          <w:szCs w:val="24"/>
        </w:rPr>
      </w:pPr>
    </w:p>
    <w:p w:rsidR="00B133C6" w:rsidRPr="0010613B" w:rsidRDefault="001324CA" w:rsidP="006057BE">
      <w:pPr>
        <w:pStyle w:val="TableSourceCaption"/>
        <w:tabs>
          <w:tab w:val="clear" w:pos="792"/>
          <w:tab w:val="left" w:pos="0"/>
        </w:tabs>
        <w:spacing w:before="0" w:line="240" w:lineRule="auto"/>
        <w:ind w:left="0" w:firstLine="0"/>
        <w:rPr>
          <w:rFonts w:cs="Arial"/>
          <w:sz w:val="22"/>
          <w:szCs w:val="24"/>
        </w:rPr>
      </w:pPr>
      <w:r w:rsidRPr="0010613B">
        <w:rPr>
          <w:rFonts w:cs="Arial"/>
          <w:sz w:val="22"/>
          <w:szCs w:val="24"/>
        </w:rPr>
        <w:t>Note: Each model sums the estimated changes in revenue or</w:t>
      </w:r>
      <w:r w:rsidRPr="0010613B">
        <w:rPr>
          <w:rFonts w:cs="Arial"/>
          <w:noProof/>
          <w:sz w:val="22"/>
          <w:szCs w:val="24"/>
        </w:rPr>
        <w:t xml:space="preserve"> </w:t>
      </w:r>
      <w:r w:rsidRPr="0010613B">
        <w:rPr>
          <w:rFonts w:cs="Arial"/>
          <w:sz w:val="22"/>
          <w:szCs w:val="24"/>
        </w:rPr>
        <w:t>savings and the estimated costs or losses associated with the domains in the legend. Changes were projected within the first two years of retail sales, and include start-up costs associated with migrating from a medical marijuana program to a broader adult use marijuana program. Percentages sum to more than 100% due to rounding.</w:t>
      </w:r>
    </w:p>
    <w:p w:rsidR="001324CA" w:rsidRDefault="001324CA" w:rsidP="006057BE">
      <w:pPr>
        <w:pStyle w:val="TableSourceCaption"/>
        <w:tabs>
          <w:tab w:val="clear" w:pos="792"/>
          <w:tab w:val="left" w:pos="0"/>
        </w:tabs>
        <w:spacing w:before="0" w:line="240" w:lineRule="auto"/>
        <w:ind w:left="0" w:firstLine="0"/>
        <w:rPr>
          <w:rFonts w:cs="Arial"/>
          <w:sz w:val="24"/>
          <w:szCs w:val="24"/>
        </w:rPr>
      </w:pPr>
      <w:r w:rsidRPr="00E12150">
        <w:rPr>
          <w:rFonts w:cs="Arial"/>
          <w:sz w:val="24"/>
          <w:szCs w:val="24"/>
        </w:rPr>
        <w:t xml:space="preserve"> </w:t>
      </w:r>
    </w:p>
    <w:p w:rsidR="0010613B" w:rsidRPr="00E12150" w:rsidRDefault="0010613B" w:rsidP="006057BE">
      <w:pPr>
        <w:pStyle w:val="TableSourceCaption"/>
        <w:tabs>
          <w:tab w:val="clear" w:pos="792"/>
          <w:tab w:val="left" w:pos="0"/>
        </w:tabs>
        <w:spacing w:before="0" w:line="240" w:lineRule="auto"/>
        <w:ind w:left="0" w:firstLine="0"/>
        <w:rPr>
          <w:rFonts w:cs="Arial"/>
          <w:sz w:val="24"/>
          <w:szCs w:val="24"/>
        </w:rPr>
      </w:pPr>
    </w:p>
    <w:p w:rsidR="001324CA" w:rsidRDefault="001324CA" w:rsidP="006057BE">
      <w:pPr>
        <w:pStyle w:val="MarkforTableTitle"/>
        <w:spacing w:after="0"/>
        <w:rPr>
          <w:rFonts w:ascii="Arial" w:hAnsi="Arial" w:cs="Arial"/>
          <w:b/>
          <w:sz w:val="24"/>
          <w:szCs w:val="24"/>
        </w:rPr>
      </w:pPr>
      <w:r w:rsidRPr="0096084F">
        <w:rPr>
          <w:rFonts w:ascii="Arial" w:hAnsi="Arial" w:cs="Arial"/>
          <w:b/>
          <w:sz w:val="24"/>
          <w:szCs w:val="24"/>
        </w:rPr>
        <w:t>Table 3. Estimated Two-Year Impacts by Model and Domain</w:t>
      </w:r>
    </w:p>
    <w:p w:rsidR="00B133C6" w:rsidRPr="00B133C6" w:rsidRDefault="00B133C6" w:rsidP="006057BE">
      <w:pPr>
        <w:pStyle w:val="NormalSS"/>
        <w:spacing w:after="0"/>
      </w:pPr>
    </w:p>
    <w:tbl>
      <w:tblPr>
        <w:tblStyle w:val="LightList"/>
        <w:tblW w:w="5000" w:type="pct"/>
        <w:tblBorders>
          <w:top w:val="none" w:sz="0" w:space="0" w:color="auto"/>
          <w:left w:val="none" w:sz="0" w:space="0" w:color="auto"/>
          <w:bottom w:val="none" w:sz="0" w:space="0" w:color="auto"/>
          <w:right w:val="none" w:sz="0" w:space="0" w:color="auto"/>
        </w:tblBorders>
        <w:tblLook w:val="0620" w:firstRow="1" w:lastRow="0" w:firstColumn="0" w:lastColumn="0" w:noHBand="1" w:noVBand="1"/>
        <w:tblCaption w:val="Estimated Two-Year Impacts by Model and Domain"/>
      </w:tblPr>
      <w:tblGrid>
        <w:gridCol w:w="3407"/>
        <w:gridCol w:w="2978"/>
        <w:gridCol w:w="3191"/>
      </w:tblGrid>
      <w:tr w:rsidR="001324CA" w:rsidRPr="00E12150" w:rsidTr="00E3428E">
        <w:trPr>
          <w:cnfStyle w:val="100000000000" w:firstRow="1" w:lastRow="0" w:firstColumn="0" w:lastColumn="0" w:oddVBand="0" w:evenVBand="0" w:oddHBand="0" w:evenHBand="0" w:firstRowFirstColumn="0" w:firstRowLastColumn="0" w:lastRowFirstColumn="0" w:lastRowLastColumn="0"/>
          <w:trHeight w:val="782"/>
          <w:tblHeader/>
        </w:trPr>
        <w:tc>
          <w:tcPr>
            <w:tcW w:w="1779" w:type="pct"/>
            <w:tcBorders>
              <w:top w:val="single" w:sz="4" w:space="0" w:color="auto"/>
              <w:left w:val="single" w:sz="4" w:space="0" w:color="auto"/>
              <w:bottom w:val="single" w:sz="4" w:space="0" w:color="auto"/>
            </w:tcBorders>
            <w:shd w:val="clear" w:color="auto" w:fill="auto"/>
          </w:tcPr>
          <w:p w:rsidR="001324CA" w:rsidRPr="00E12150" w:rsidRDefault="001324CA" w:rsidP="006057BE">
            <w:pPr>
              <w:pStyle w:val="TableHeaderLeft"/>
              <w:spacing w:before="0" w:after="0"/>
              <w:rPr>
                <w:rFonts w:cs="Arial"/>
                <w:b/>
                <w:color w:val="auto"/>
                <w:sz w:val="24"/>
                <w:szCs w:val="24"/>
              </w:rPr>
            </w:pPr>
            <w:r w:rsidRPr="00E12150">
              <w:rPr>
                <w:rFonts w:cs="Arial"/>
                <w:b/>
                <w:color w:val="auto"/>
                <w:sz w:val="24"/>
                <w:szCs w:val="24"/>
              </w:rPr>
              <w:t>Model</w:t>
            </w:r>
          </w:p>
        </w:tc>
        <w:tc>
          <w:tcPr>
            <w:tcW w:w="1555" w:type="pct"/>
            <w:tcBorders>
              <w:top w:val="single" w:sz="4" w:space="0" w:color="auto"/>
              <w:bottom w:val="single" w:sz="4" w:space="0" w:color="auto"/>
            </w:tcBorders>
            <w:shd w:val="clear" w:color="auto" w:fill="auto"/>
          </w:tcPr>
          <w:p w:rsidR="001324CA" w:rsidRPr="00E12150" w:rsidRDefault="001324CA" w:rsidP="006057BE">
            <w:pPr>
              <w:pStyle w:val="TableHeaderCenter"/>
              <w:spacing w:before="0" w:after="0"/>
              <w:rPr>
                <w:rFonts w:cs="Arial"/>
                <w:b/>
                <w:color w:val="auto"/>
                <w:sz w:val="24"/>
                <w:szCs w:val="24"/>
              </w:rPr>
            </w:pPr>
            <w:r w:rsidRPr="00E12150">
              <w:rPr>
                <w:rFonts w:cs="Arial"/>
                <w:b/>
                <w:color w:val="auto"/>
                <w:sz w:val="24"/>
                <w:szCs w:val="24"/>
              </w:rPr>
              <w:t xml:space="preserve">Estimated net gain in revenue </w:t>
            </w:r>
          </w:p>
        </w:tc>
        <w:tc>
          <w:tcPr>
            <w:tcW w:w="1666" w:type="pct"/>
            <w:tcBorders>
              <w:top w:val="single" w:sz="4" w:space="0" w:color="auto"/>
              <w:bottom w:val="single" w:sz="4" w:space="0" w:color="auto"/>
              <w:right w:val="single" w:sz="4" w:space="0" w:color="auto"/>
            </w:tcBorders>
            <w:shd w:val="clear" w:color="auto" w:fill="auto"/>
          </w:tcPr>
          <w:p w:rsidR="001324CA" w:rsidRPr="00E12150" w:rsidRDefault="001324CA" w:rsidP="006057BE">
            <w:pPr>
              <w:pStyle w:val="TableHeaderCenter"/>
              <w:spacing w:before="0" w:after="0"/>
              <w:rPr>
                <w:rFonts w:cs="Arial"/>
                <w:b/>
                <w:color w:val="auto"/>
                <w:sz w:val="24"/>
                <w:szCs w:val="24"/>
              </w:rPr>
            </w:pPr>
            <w:r w:rsidRPr="00E12150">
              <w:rPr>
                <w:rFonts w:cs="Arial"/>
                <w:b/>
                <w:color w:val="auto"/>
                <w:sz w:val="24"/>
                <w:szCs w:val="24"/>
              </w:rPr>
              <w:t>Range (95% confidence interval)</w:t>
            </w:r>
          </w:p>
        </w:tc>
      </w:tr>
      <w:tr w:rsidR="001324CA" w:rsidRPr="00E12150" w:rsidTr="00E3428E">
        <w:trPr>
          <w:trHeight w:hRule="exact" w:val="259"/>
        </w:trPr>
        <w:tc>
          <w:tcPr>
            <w:tcW w:w="1779" w:type="pct"/>
            <w:tcBorders>
              <w:top w:val="single" w:sz="4" w:space="0" w:color="auto"/>
              <w:left w:val="single" w:sz="4" w:space="0" w:color="auto"/>
            </w:tcBorders>
            <w:shd w:val="clear" w:color="auto" w:fill="auto"/>
            <w:vAlign w:val="center"/>
          </w:tcPr>
          <w:p w:rsidR="001324CA" w:rsidRPr="00E12150" w:rsidRDefault="001324CA" w:rsidP="006057BE">
            <w:pPr>
              <w:pStyle w:val="TableText"/>
              <w:rPr>
                <w:rFonts w:cs="Arial"/>
                <w:sz w:val="24"/>
                <w:szCs w:val="24"/>
              </w:rPr>
            </w:pPr>
            <w:r w:rsidRPr="00E12150">
              <w:rPr>
                <w:rFonts w:cs="Arial"/>
                <w:b/>
                <w:sz w:val="24"/>
                <w:szCs w:val="24"/>
              </w:rPr>
              <w:t>Main model</w:t>
            </w:r>
          </w:p>
        </w:tc>
        <w:tc>
          <w:tcPr>
            <w:tcW w:w="1555" w:type="pct"/>
            <w:tcBorders>
              <w:top w:val="single" w:sz="4" w:space="0" w:color="auto"/>
            </w:tcBorders>
            <w:shd w:val="clear" w:color="auto" w:fill="auto"/>
            <w:vAlign w:val="center"/>
          </w:tcPr>
          <w:p w:rsidR="001324CA" w:rsidRPr="00E12150" w:rsidRDefault="001324CA" w:rsidP="006057BE">
            <w:pPr>
              <w:pStyle w:val="TableText"/>
              <w:ind w:right="864"/>
              <w:jc w:val="right"/>
              <w:rPr>
                <w:rFonts w:cs="Arial"/>
                <w:sz w:val="24"/>
                <w:szCs w:val="24"/>
              </w:rPr>
            </w:pPr>
            <w:r w:rsidRPr="00E12150">
              <w:rPr>
                <w:rFonts w:cs="Arial"/>
                <w:b/>
                <w:sz w:val="24"/>
                <w:szCs w:val="24"/>
              </w:rPr>
              <w:t xml:space="preserve">$215,750,686 </w:t>
            </w:r>
          </w:p>
        </w:tc>
        <w:tc>
          <w:tcPr>
            <w:tcW w:w="1666" w:type="pct"/>
            <w:tcBorders>
              <w:top w:val="single" w:sz="4" w:space="0" w:color="auto"/>
              <w:right w:val="single" w:sz="4" w:space="0" w:color="auto"/>
            </w:tcBorders>
            <w:shd w:val="clear" w:color="auto" w:fill="auto"/>
            <w:vAlign w:val="center"/>
          </w:tcPr>
          <w:p w:rsidR="001324CA" w:rsidRPr="00E12150" w:rsidRDefault="001324CA" w:rsidP="006057BE">
            <w:pPr>
              <w:pStyle w:val="TableText"/>
              <w:jc w:val="center"/>
              <w:rPr>
                <w:rFonts w:cs="Arial"/>
                <w:iCs/>
                <w:sz w:val="24"/>
                <w:szCs w:val="24"/>
              </w:rPr>
            </w:pPr>
            <w:r w:rsidRPr="00E12150">
              <w:rPr>
                <w:rFonts w:cs="Arial"/>
                <w:sz w:val="24"/>
                <w:szCs w:val="24"/>
              </w:rPr>
              <w:t>$95,740,066 – $405,904,207</w:t>
            </w:r>
          </w:p>
        </w:tc>
      </w:tr>
      <w:tr w:rsidR="001324CA" w:rsidRPr="00E12150" w:rsidTr="00E3428E">
        <w:trPr>
          <w:trHeight w:hRule="exact" w:val="259"/>
        </w:trPr>
        <w:tc>
          <w:tcPr>
            <w:tcW w:w="1779" w:type="pct"/>
            <w:tcBorders>
              <w:left w:val="single" w:sz="4" w:space="0" w:color="auto"/>
            </w:tcBorders>
            <w:shd w:val="clear" w:color="auto" w:fill="auto"/>
            <w:vAlign w:val="center"/>
          </w:tcPr>
          <w:p w:rsidR="001324CA" w:rsidRPr="00E12150" w:rsidRDefault="001324CA" w:rsidP="006057BE">
            <w:pPr>
              <w:pStyle w:val="TableText"/>
              <w:rPr>
                <w:rFonts w:cs="Arial"/>
                <w:sz w:val="24"/>
                <w:szCs w:val="24"/>
              </w:rPr>
            </w:pPr>
            <w:r w:rsidRPr="00E12150">
              <w:rPr>
                <w:rFonts w:cs="Arial"/>
                <w:sz w:val="24"/>
                <w:szCs w:val="24"/>
              </w:rPr>
              <w:t xml:space="preserve">    Sales and business tax revenue</w:t>
            </w:r>
          </w:p>
        </w:tc>
        <w:tc>
          <w:tcPr>
            <w:tcW w:w="1555" w:type="pct"/>
            <w:shd w:val="clear" w:color="auto" w:fill="auto"/>
            <w:vAlign w:val="center"/>
          </w:tcPr>
          <w:p w:rsidR="001324CA" w:rsidRPr="00E12150" w:rsidRDefault="001324CA" w:rsidP="006057BE">
            <w:pPr>
              <w:pStyle w:val="TableText"/>
              <w:ind w:right="864"/>
              <w:jc w:val="right"/>
              <w:rPr>
                <w:rFonts w:cs="Arial"/>
                <w:sz w:val="24"/>
                <w:szCs w:val="24"/>
              </w:rPr>
            </w:pPr>
            <w:r w:rsidRPr="00E12150">
              <w:rPr>
                <w:rFonts w:cs="Arial"/>
                <w:sz w:val="24"/>
                <w:szCs w:val="24"/>
              </w:rPr>
              <w:t>$210,431,454</w:t>
            </w:r>
          </w:p>
        </w:tc>
        <w:tc>
          <w:tcPr>
            <w:tcW w:w="1666" w:type="pct"/>
            <w:tcBorders>
              <w:right w:val="single" w:sz="4" w:space="0" w:color="auto"/>
            </w:tcBorders>
            <w:shd w:val="clear" w:color="auto" w:fill="auto"/>
            <w:vAlign w:val="center"/>
          </w:tcPr>
          <w:p w:rsidR="001324CA" w:rsidRPr="00E12150" w:rsidRDefault="001324CA" w:rsidP="006057BE">
            <w:pPr>
              <w:pStyle w:val="TableText"/>
              <w:rPr>
                <w:rFonts w:cs="Arial"/>
                <w:iCs/>
                <w:sz w:val="24"/>
                <w:szCs w:val="24"/>
              </w:rPr>
            </w:pPr>
          </w:p>
        </w:tc>
      </w:tr>
      <w:tr w:rsidR="001324CA" w:rsidRPr="00E12150" w:rsidTr="00E3428E">
        <w:trPr>
          <w:trHeight w:hRule="exact" w:val="259"/>
        </w:trPr>
        <w:tc>
          <w:tcPr>
            <w:tcW w:w="1779" w:type="pct"/>
            <w:tcBorders>
              <w:left w:val="single" w:sz="4" w:space="0" w:color="auto"/>
            </w:tcBorders>
            <w:shd w:val="clear" w:color="auto" w:fill="auto"/>
            <w:vAlign w:val="center"/>
          </w:tcPr>
          <w:p w:rsidR="001324CA" w:rsidRPr="00E12150" w:rsidRDefault="001324CA" w:rsidP="006057BE">
            <w:pPr>
              <w:pStyle w:val="TableText"/>
              <w:rPr>
                <w:rFonts w:cs="Arial"/>
                <w:sz w:val="24"/>
                <w:szCs w:val="24"/>
              </w:rPr>
            </w:pPr>
            <w:r w:rsidRPr="00E12150">
              <w:rPr>
                <w:rFonts w:cs="Arial"/>
                <w:sz w:val="24"/>
                <w:szCs w:val="24"/>
              </w:rPr>
              <w:tab/>
              <w:t>Sales tax revenue</w:t>
            </w:r>
          </w:p>
        </w:tc>
        <w:tc>
          <w:tcPr>
            <w:tcW w:w="1555" w:type="pct"/>
            <w:shd w:val="clear" w:color="auto" w:fill="auto"/>
            <w:vAlign w:val="center"/>
          </w:tcPr>
          <w:p w:rsidR="001324CA" w:rsidRPr="00E12150" w:rsidRDefault="001324CA" w:rsidP="006057BE">
            <w:pPr>
              <w:pStyle w:val="TableText"/>
              <w:ind w:right="864"/>
              <w:jc w:val="right"/>
              <w:rPr>
                <w:rFonts w:cs="Arial"/>
                <w:sz w:val="24"/>
                <w:szCs w:val="24"/>
              </w:rPr>
            </w:pPr>
            <w:r w:rsidRPr="00E12150">
              <w:rPr>
                <w:rFonts w:cs="Arial"/>
                <w:sz w:val="24"/>
                <w:szCs w:val="24"/>
              </w:rPr>
              <w:t>$150,308,182</w:t>
            </w:r>
          </w:p>
        </w:tc>
        <w:tc>
          <w:tcPr>
            <w:tcW w:w="1666" w:type="pct"/>
            <w:tcBorders>
              <w:right w:val="single" w:sz="4" w:space="0" w:color="auto"/>
            </w:tcBorders>
            <w:shd w:val="clear" w:color="auto" w:fill="auto"/>
            <w:vAlign w:val="center"/>
          </w:tcPr>
          <w:p w:rsidR="001324CA" w:rsidRPr="00E12150" w:rsidRDefault="001324CA" w:rsidP="006057BE">
            <w:pPr>
              <w:pStyle w:val="TableText"/>
              <w:jc w:val="center"/>
              <w:rPr>
                <w:rFonts w:cs="Arial"/>
                <w:iCs/>
                <w:sz w:val="24"/>
                <w:szCs w:val="24"/>
              </w:rPr>
            </w:pPr>
          </w:p>
        </w:tc>
      </w:tr>
      <w:tr w:rsidR="001324CA" w:rsidRPr="00E12150" w:rsidTr="00E3428E">
        <w:trPr>
          <w:trHeight w:hRule="exact" w:val="259"/>
        </w:trPr>
        <w:tc>
          <w:tcPr>
            <w:tcW w:w="1779" w:type="pct"/>
            <w:tcBorders>
              <w:left w:val="single" w:sz="4" w:space="0" w:color="auto"/>
            </w:tcBorders>
            <w:shd w:val="clear" w:color="auto" w:fill="auto"/>
            <w:vAlign w:val="center"/>
          </w:tcPr>
          <w:p w:rsidR="001324CA" w:rsidRPr="00E12150" w:rsidRDefault="001324CA" w:rsidP="006057BE">
            <w:pPr>
              <w:pStyle w:val="TableText"/>
              <w:rPr>
                <w:rFonts w:cs="Arial"/>
                <w:sz w:val="24"/>
                <w:szCs w:val="24"/>
              </w:rPr>
            </w:pPr>
            <w:r w:rsidRPr="00E12150">
              <w:rPr>
                <w:rFonts w:cs="Arial"/>
                <w:sz w:val="24"/>
                <w:szCs w:val="24"/>
              </w:rPr>
              <w:tab/>
              <w:t>Business income tax revenue</w:t>
            </w:r>
          </w:p>
        </w:tc>
        <w:tc>
          <w:tcPr>
            <w:tcW w:w="1555" w:type="pct"/>
            <w:shd w:val="clear" w:color="auto" w:fill="auto"/>
            <w:vAlign w:val="center"/>
          </w:tcPr>
          <w:p w:rsidR="001324CA" w:rsidRPr="00E12150" w:rsidRDefault="001324CA" w:rsidP="006057BE">
            <w:pPr>
              <w:pStyle w:val="TableText"/>
              <w:ind w:right="864"/>
              <w:jc w:val="right"/>
              <w:rPr>
                <w:rFonts w:cs="Arial"/>
                <w:sz w:val="24"/>
                <w:szCs w:val="24"/>
              </w:rPr>
            </w:pPr>
            <w:r w:rsidRPr="00E12150">
              <w:rPr>
                <w:rFonts w:cs="Arial"/>
                <w:sz w:val="24"/>
                <w:szCs w:val="24"/>
              </w:rPr>
              <w:t>$60,123,273</w:t>
            </w:r>
          </w:p>
        </w:tc>
        <w:tc>
          <w:tcPr>
            <w:tcW w:w="1666" w:type="pct"/>
            <w:tcBorders>
              <w:right w:val="single" w:sz="4" w:space="0" w:color="auto"/>
            </w:tcBorders>
            <w:shd w:val="clear" w:color="auto" w:fill="auto"/>
            <w:vAlign w:val="center"/>
          </w:tcPr>
          <w:p w:rsidR="001324CA" w:rsidRPr="00E12150" w:rsidRDefault="001324CA" w:rsidP="006057BE">
            <w:pPr>
              <w:pStyle w:val="TableText"/>
              <w:rPr>
                <w:rFonts w:cs="Arial"/>
                <w:iCs/>
                <w:sz w:val="24"/>
                <w:szCs w:val="24"/>
              </w:rPr>
            </w:pPr>
          </w:p>
        </w:tc>
      </w:tr>
      <w:tr w:rsidR="001324CA" w:rsidRPr="00E12150" w:rsidTr="00E3428E">
        <w:trPr>
          <w:trHeight w:hRule="exact" w:val="259"/>
        </w:trPr>
        <w:tc>
          <w:tcPr>
            <w:tcW w:w="1779" w:type="pct"/>
            <w:tcBorders>
              <w:left w:val="single" w:sz="4" w:space="0" w:color="auto"/>
            </w:tcBorders>
            <w:shd w:val="clear" w:color="auto" w:fill="auto"/>
            <w:vAlign w:val="center"/>
          </w:tcPr>
          <w:p w:rsidR="001324CA" w:rsidRPr="00E12150" w:rsidRDefault="001324CA" w:rsidP="006057BE">
            <w:pPr>
              <w:pStyle w:val="TableText"/>
              <w:rPr>
                <w:rFonts w:cs="Arial"/>
                <w:sz w:val="24"/>
                <w:szCs w:val="24"/>
              </w:rPr>
            </w:pPr>
            <w:r w:rsidRPr="00E12150">
              <w:rPr>
                <w:rFonts w:cs="Arial"/>
                <w:sz w:val="24"/>
                <w:szCs w:val="24"/>
              </w:rPr>
              <w:t xml:space="preserve">    Law enforcement</w:t>
            </w:r>
          </w:p>
        </w:tc>
        <w:tc>
          <w:tcPr>
            <w:tcW w:w="1555" w:type="pct"/>
            <w:shd w:val="clear" w:color="auto" w:fill="auto"/>
            <w:vAlign w:val="center"/>
          </w:tcPr>
          <w:p w:rsidR="001324CA" w:rsidRPr="00E12150" w:rsidRDefault="001324CA" w:rsidP="006057BE">
            <w:pPr>
              <w:pStyle w:val="TableText"/>
              <w:ind w:right="864"/>
              <w:jc w:val="right"/>
              <w:rPr>
                <w:rFonts w:cs="Arial"/>
                <w:sz w:val="24"/>
                <w:szCs w:val="24"/>
              </w:rPr>
            </w:pPr>
            <w:r w:rsidRPr="00E12150">
              <w:rPr>
                <w:rFonts w:cs="Arial"/>
                <w:sz w:val="24"/>
                <w:szCs w:val="24"/>
              </w:rPr>
              <w:t>$5,055,969</w:t>
            </w:r>
          </w:p>
        </w:tc>
        <w:tc>
          <w:tcPr>
            <w:tcW w:w="1666" w:type="pct"/>
            <w:tcBorders>
              <w:right w:val="single" w:sz="4" w:space="0" w:color="auto"/>
            </w:tcBorders>
            <w:shd w:val="clear" w:color="auto" w:fill="auto"/>
            <w:vAlign w:val="center"/>
          </w:tcPr>
          <w:p w:rsidR="001324CA" w:rsidRPr="00E12150" w:rsidRDefault="001324CA" w:rsidP="006057BE">
            <w:pPr>
              <w:pStyle w:val="TableText"/>
              <w:jc w:val="center"/>
              <w:rPr>
                <w:rFonts w:cs="Arial"/>
                <w:iCs/>
                <w:sz w:val="24"/>
                <w:szCs w:val="24"/>
              </w:rPr>
            </w:pPr>
          </w:p>
        </w:tc>
      </w:tr>
      <w:tr w:rsidR="001324CA" w:rsidRPr="00E12150" w:rsidTr="00E3428E">
        <w:trPr>
          <w:trHeight w:hRule="exact" w:val="259"/>
        </w:trPr>
        <w:tc>
          <w:tcPr>
            <w:tcW w:w="1779" w:type="pct"/>
            <w:tcBorders>
              <w:left w:val="single" w:sz="4" w:space="0" w:color="auto"/>
            </w:tcBorders>
            <w:shd w:val="clear" w:color="auto" w:fill="auto"/>
            <w:vAlign w:val="center"/>
          </w:tcPr>
          <w:p w:rsidR="001324CA" w:rsidRPr="00E12150" w:rsidRDefault="001324CA" w:rsidP="006057BE">
            <w:pPr>
              <w:pStyle w:val="TableText"/>
              <w:rPr>
                <w:rFonts w:cs="Arial"/>
                <w:sz w:val="24"/>
                <w:szCs w:val="24"/>
              </w:rPr>
            </w:pPr>
            <w:r w:rsidRPr="00E12150">
              <w:rPr>
                <w:rFonts w:cs="Arial"/>
                <w:sz w:val="24"/>
                <w:szCs w:val="24"/>
              </w:rPr>
              <w:t xml:space="preserve">    Regulatory oversight</w:t>
            </w:r>
          </w:p>
        </w:tc>
        <w:tc>
          <w:tcPr>
            <w:tcW w:w="1555" w:type="pct"/>
            <w:shd w:val="clear" w:color="auto" w:fill="auto"/>
            <w:vAlign w:val="center"/>
          </w:tcPr>
          <w:p w:rsidR="001324CA" w:rsidRPr="00E12150" w:rsidRDefault="001324CA" w:rsidP="006057BE">
            <w:pPr>
              <w:pStyle w:val="TableText"/>
              <w:ind w:right="864"/>
              <w:jc w:val="right"/>
              <w:rPr>
                <w:rFonts w:cs="Arial"/>
                <w:sz w:val="24"/>
                <w:szCs w:val="24"/>
              </w:rPr>
            </w:pPr>
            <w:r w:rsidRPr="00E12150">
              <w:rPr>
                <w:rFonts w:cs="Arial"/>
                <w:sz w:val="24"/>
                <w:szCs w:val="24"/>
              </w:rPr>
              <w:t>$406,463</w:t>
            </w:r>
          </w:p>
        </w:tc>
        <w:tc>
          <w:tcPr>
            <w:tcW w:w="1666" w:type="pct"/>
            <w:tcBorders>
              <w:right w:val="single" w:sz="4" w:space="0" w:color="auto"/>
            </w:tcBorders>
            <w:shd w:val="clear" w:color="auto" w:fill="auto"/>
            <w:vAlign w:val="center"/>
          </w:tcPr>
          <w:p w:rsidR="001324CA" w:rsidRPr="00E12150" w:rsidRDefault="001324CA" w:rsidP="006057BE">
            <w:pPr>
              <w:pStyle w:val="TableText"/>
              <w:jc w:val="center"/>
              <w:rPr>
                <w:rFonts w:cs="Arial"/>
                <w:iCs/>
                <w:sz w:val="24"/>
                <w:szCs w:val="24"/>
              </w:rPr>
            </w:pPr>
          </w:p>
        </w:tc>
      </w:tr>
      <w:tr w:rsidR="001324CA" w:rsidRPr="00E12150" w:rsidTr="00E3428E">
        <w:trPr>
          <w:trHeight w:hRule="exact" w:val="259"/>
        </w:trPr>
        <w:tc>
          <w:tcPr>
            <w:tcW w:w="1779" w:type="pct"/>
            <w:tcBorders>
              <w:left w:val="single" w:sz="4" w:space="0" w:color="auto"/>
            </w:tcBorders>
            <w:shd w:val="clear" w:color="auto" w:fill="auto"/>
            <w:vAlign w:val="center"/>
          </w:tcPr>
          <w:p w:rsidR="001324CA" w:rsidRPr="00E12150" w:rsidRDefault="001324CA" w:rsidP="006057BE">
            <w:pPr>
              <w:pStyle w:val="TableText"/>
              <w:rPr>
                <w:rFonts w:cs="Arial"/>
                <w:sz w:val="24"/>
                <w:szCs w:val="24"/>
              </w:rPr>
            </w:pPr>
            <w:r w:rsidRPr="00E12150">
              <w:rPr>
                <w:rFonts w:cs="Arial"/>
                <w:b/>
                <w:sz w:val="24"/>
                <w:szCs w:val="24"/>
              </w:rPr>
              <w:t>Supplemental model</w:t>
            </w:r>
          </w:p>
        </w:tc>
        <w:tc>
          <w:tcPr>
            <w:tcW w:w="1555" w:type="pct"/>
            <w:shd w:val="clear" w:color="auto" w:fill="auto"/>
            <w:vAlign w:val="center"/>
          </w:tcPr>
          <w:p w:rsidR="001324CA" w:rsidRPr="00E12150" w:rsidRDefault="001324CA" w:rsidP="006057BE">
            <w:pPr>
              <w:pStyle w:val="TableText"/>
              <w:ind w:right="864"/>
              <w:jc w:val="right"/>
              <w:rPr>
                <w:rFonts w:cs="Arial"/>
                <w:sz w:val="24"/>
                <w:szCs w:val="24"/>
              </w:rPr>
            </w:pPr>
            <w:r w:rsidRPr="00E12150">
              <w:rPr>
                <w:rFonts w:cs="Arial"/>
                <w:b/>
                <w:sz w:val="24"/>
                <w:szCs w:val="24"/>
              </w:rPr>
              <w:t>$281,054,592</w:t>
            </w:r>
          </w:p>
        </w:tc>
        <w:tc>
          <w:tcPr>
            <w:tcW w:w="1666" w:type="pct"/>
            <w:tcBorders>
              <w:right w:val="single" w:sz="4" w:space="0" w:color="auto"/>
            </w:tcBorders>
            <w:shd w:val="clear" w:color="auto" w:fill="auto"/>
            <w:vAlign w:val="center"/>
          </w:tcPr>
          <w:p w:rsidR="001324CA" w:rsidRPr="00E12150" w:rsidRDefault="001324CA" w:rsidP="006057BE">
            <w:pPr>
              <w:pStyle w:val="TableText"/>
              <w:jc w:val="center"/>
              <w:rPr>
                <w:rFonts w:cs="Arial"/>
                <w:iCs/>
                <w:sz w:val="24"/>
                <w:szCs w:val="24"/>
              </w:rPr>
            </w:pPr>
            <w:r w:rsidRPr="00E12150">
              <w:rPr>
                <w:rFonts w:cs="Arial"/>
                <w:sz w:val="24"/>
                <w:szCs w:val="24"/>
              </w:rPr>
              <w:t>$98,400,908 – $528,286,861</w:t>
            </w:r>
          </w:p>
        </w:tc>
      </w:tr>
      <w:tr w:rsidR="001324CA" w:rsidRPr="00E12150" w:rsidTr="00E3428E">
        <w:trPr>
          <w:trHeight w:hRule="exact" w:val="259"/>
        </w:trPr>
        <w:tc>
          <w:tcPr>
            <w:tcW w:w="1779" w:type="pct"/>
            <w:tcBorders>
              <w:left w:val="single" w:sz="4" w:space="0" w:color="auto"/>
            </w:tcBorders>
            <w:shd w:val="clear" w:color="auto" w:fill="auto"/>
            <w:vAlign w:val="center"/>
          </w:tcPr>
          <w:p w:rsidR="001324CA" w:rsidRPr="00E12150" w:rsidRDefault="001324CA" w:rsidP="006057BE">
            <w:pPr>
              <w:pStyle w:val="TableText"/>
              <w:rPr>
                <w:rFonts w:cs="Arial"/>
                <w:sz w:val="24"/>
                <w:szCs w:val="24"/>
              </w:rPr>
            </w:pPr>
            <w:r w:rsidRPr="00E12150">
              <w:rPr>
                <w:rFonts w:cs="Arial"/>
                <w:b/>
                <w:sz w:val="24"/>
                <w:szCs w:val="24"/>
              </w:rPr>
              <w:t xml:space="preserve">    </w:t>
            </w:r>
            <w:r w:rsidRPr="00E12150">
              <w:rPr>
                <w:rFonts w:cs="Arial"/>
                <w:sz w:val="24"/>
                <w:szCs w:val="24"/>
              </w:rPr>
              <w:t>Public health</w:t>
            </w:r>
          </w:p>
        </w:tc>
        <w:tc>
          <w:tcPr>
            <w:tcW w:w="1555" w:type="pct"/>
            <w:shd w:val="clear" w:color="auto" w:fill="auto"/>
            <w:vAlign w:val="center"/>
          </w:tcPr>
          <w:p w:rsidR="001324CA" w:rsidRPr="00E12150" w:rsidRDefault="001324CA" w:rsidP="006057BE">
            <w:pPr>
              <w:pStyle w:val="TableText"/>
              <w:ind w:right="864"/>
              <w:jc w:val="right"/>
              <w:rPr>
                <w:rFonts w:cs="Arial"/>
                <w:sz w:val="24"/>
                <w:szCs w:val="24"/>
              </w:rPr>
            </w:pPr>
            <w:r w:rsidRPr="00E12150">
              <w:rPr>
                <w:rFonts w:cs="Arial"/>
                <w:b/>
                <w:sz w:val="24"/>
                <w:szCs w:val="24"/>
              </w:rPr>
              <w:t xml:space="preserve">$65,303,906 </w:t>
            </w:r>
          </w:p>
        </w:tc>
        <w:tc>
          <w:tcPr>
            <w:tcW w:w="1666" w:type="pct"/>
            <w:tcBorders>
              <w:right w:val="single" w:sz="4" w:space="0" w:color="auto"/>
            </w:tcBorders>
            <w:shd w:val="clear" w:color="auto" w:fill="auto"/>
            <w:vAlign w:val="center"/>
          </w:tcPr>
          <w:p w:rsidR="001324CA" w:rsidRPr="00E12150" w:rsidRDefault="001324CA" w:rsidP="006057BE">
            <w:pPr>
              <w:pStyle w:val="TableText"/>
              <w:jc w:val="center"/>
              <w:rPr>
                <w:rFonts w:cs="Arial"/>
                <w:iCs/>
                <w:sz w:val="24"/>
                <w:szCs w:val="24"/>
              </w:rPr>
            </w:pPr>
            <w:r w:rsidRPr="00E12150">
              <w:rPr>
                <w:rFonts w:cs="Arial"/>
                <w:sz w:val="24"/>
                <w:szCs w:val="24"/>
              </w:rPr>
              <w:t>$2,660,843 – $122,382,655</w:t>
            </w:r>
          </w:p>
        </w:tc>
      </w:tr>
      <w:tr w:rsidR="001324CA" w:rsidRPr="00E12150" w:rsidTr="00E3428E">
        <w:trPr>
          <w:trHeight w:hRule="exact" w:val="259"/>
        </w:trPr>
        <w:tc>
          <w:tcPr>
            <w:tcW w:w="1779" w:type="pct"/>
            <w:tcBorders>
              <w:left w:val="single" w:sz="4" w:space="0" w:color="auto"/>
            </w:tcBorders>
            <w:shd w:val="clear" w:color="auto" w:fill="auto"/>
            <w:vAlign w:val="center"/>
          </w:tcPr>
          <w:p w:rsidR="001324CA" w:rsidRPr="00E12150" w:rsidRDefault="001324CA" w:rsidP="006057BE">
            <w:pPr>
              <w:pStyle w:val="TableText"/>
              <w:rPr>
                <w:rFonts w:cs="Arial"/>
                <w:b/>
                <w:sz w:val="24"/>
                <w:szCs w:val="24"/>
              </w:rPr>
            </w:pPr>
            <w:r w:rsidRPr="00E12150">
              <w:rPr>
                <w:rFonts w:cs="Arial"/>
                <w:sz w:val="24"/>
                <w:szCs w:val="24"/>
              </w:rPr>
              <w:tab/>
              <w:t>Individual income tax revenue</w:t>
            </w:r>
          </w:p>
        </w:tc>
        <w:tc>
          <w:tcPr>
            <w:tcW w:w="1555" w:type="pct"/>
            <w:shd w:val="clear" w:color="auto" w:fill="auto"/>
            <w:vAlign w:val="center"/>
          </w:tcPr>
          <w:p w:rsidR="001324CA" w:rsidRPr="00E12150" w:rsidRDefault="001324CA" w:rsidP="006057BE">
            <w:pPr>
              <w:pStyle w:val="TableText"/>
              <w:ind w:right="864"/>
              <w:jc w:val="right"/>
              <w:rPr>
                <w:rFonts w:cs="Arial"/>
                <w:b/>
                <w:sz w:val="24"/>
                <w:szCs w:val="24"/>
              </w:rPr>
            </w:pPr>
            <w:r w:rsidRPr="00E12150">
              <w:rPr>
                <w:rFonts w:cs="Arial"/>
                <w:sz w:val="24"/>
                <w:szCs w:val="24"/>
              </w:rPr>
              <w:t>$57,400,988</w:t>
            </w:r>
          </w:p>
        </w:tc>
        <w:tc>
          <w:tcPr>
            <w:tcW w:w="1666" w:type="pct"/>
            <w:tcBorders>
              <w:right w:val="single" w:sz="4" w:space="0" w:color="auto"/>
            </w:tcBorders>
            <w:shd w:val="clear" w:color="auto" w:fill="auto"/>
            <w:vAlign w:val="center"/>
          </w:tcPr>
          <w:p w:rsidR="001324CA" w:rsidRPr="00E12150" w:rsidRDefault="001324CA" w:rsidP="006057BE">
            <w:pPr>
              <w:pStyle w:val="TableText"/>
              <w:jc w:val="center"/>
              <w:rPr>
                <w:rFonts w:cs="Arial"/>
                <w:sz w:val="24"/>
                <w:szCs w:val="24"/>
              </w:rPr>
            </w:pPr>
          </w:p>
        </w:tc>
      </w:tr>
      <w:tr w:rsidR="001324CA" w:rsidRPr="00E12150" w:rsidTr="00E3428E">
        <w:trPr>
          <w:trHeight w:hRule="exact" w:val="259"/>
        </w:trPr>
        <w:tc>
          <w:tcPr>
            <w:tcW w:w="1779" w:type="pct"/>
            <w:tcBorders>
              <w:left w:val="single" w:sz="4" w:space="0" w:color="auto"/>
              <w:bottom w:val="single" w:sz="4" w:space="0" w:color="auto"/>
            </w:tcBorders>
            <w:shd w:val="clear" w:color="auto" w:fill="auto"/>
            <w:vAlign w:val="center"/>
          </w:tcPr>
          <w:p w:rsidR="001324CA" w:rsidRPr="00E12150" w:rsidRDefault="001324CA" w:rsidP="006057BE">
            <w:pPr>
              <w:pStyle w:val="TableText"/>
              <w:rPr>
                <w:rFonts w:cs="Arial"/>
                <w:sz w:val="24"/>
                <w:szCs w:val="24"/>
              </w:rPr>
            </w:pPr>
            <w:r w:rsidRPr="00E12150">
              <w:rPr>
                <w:rFonts w:cs="Arial"/>
                <w:sz w:val="24"/>
                <w:szCs w:val="24"/>
              </w:rPr>
              <w:tab/>
              <w:t>State spending on medical costs</w:t>
            </w:r>
          </w:p>
        </w:tc>
        <w:tc>
          <w:tcPr>
            <w:tcW w:w="1555" w:type="pct"/>
            <w:tcBorders>
              <w:bottom w:val="single" w:sz="4" w:space="0" w:color="auto"/>
            </w:tcBorders>
            <w:shd w:val="clear" w:color="auto" w:fill="auto"/>
            <w:vAlign w:val="center"/>
          </w:tcPr>
          <w:p w:rsidR="001324CA" w:rsidRPr="00E12150" w:rsidRDefault="001324CA" w:rsidP="006057BE">
            <w:pPr>
              <w:pStyle w:val="TableText"/>
              <w:ind w:right="864"/>
              <w:jc w:val="right"/>
              <w:rPr>
                <w:rFonts w:cs="Arial"/>
                <w:sz w:val="24"/>
                <w:szCs w:val="24"/>
              </w:rPr>
            </w:pPr>
            <w:r w:rsidRPr="00E12150">
              <w:rPr>
                <w:rFonts w:cs="Arial"/>
                <w:sz w:val="24"/>
                <w:szCs w:val="24"/>
              </w:rPr>
              <w:t>$7,764,492</w:t>
            </w:r>
          </w:p>
        </w:tc>
        <w:tc>
          <w:tcPr>
            <w:tcW w:w="1666" w:type="pct"/>
            <w:tcBorders>
              <w:bottom w:val="single" w:sz="4" w:space="0" w:color="auto"/>
              <w:right w:val="single" w:sz="4" w:space="0" w:color="auto"/>
            </w:tcBorders>
            <w:shd w:val="clear" w:color="auto" w:fill="auto"/>
            <w:vAlign w:val="center"/>
          </w:tcPr>
          <w:p w:rsidR="001324CA" w:rsidRPr="00E12150" w:rsidRDefault="001324CA" w:rsidP="006057BE">
            <w:pPr>
              <w:pStyle w:val="TableText"/>
              <w:jc w:val="center"/>
              <w:rPr>
                <w:rFonts w:cs="Arial"/>
                <w:iCs/>
                <w:sz w:val="24"/>
                <w:szCs w:val="24"/>
              </w:rPr>
            </w:pPr>
          </w:p>
        </w:tc>
      </w:tr>
    </w:tbl>
    <w:p w:rsidR="00B133C6" w:rsidRDefault="00B133C6" w:rsidP="006057BE">
      <w:pPr>
        <w:pStyle w:val="TableSourceCaption"/>
        <w:tabs>
          <w:tab w:val="clear" w:pos="792"/>
          <w:tab w:val="left" w:pos="0"/>
        </w:tabs>
        <w:spacing w:before="0" w:line="240" w:lineRule="auto"/>
        <w:ind w:left="0" w:firstLine="0"/>
        <w:rPr>
          <w:rFonts w:cs="Arial"/>
          <w:sz w:val="24"/>
          <w:szCs w:val="24"/>
        </w:rPr>
      </w:pPr>
    </w:p>
    <w:p w:rsidR="001324CA" w:rsidRPr="005D614A" w:rsidRDefault="001324CA" w:rsidP="006057BE">
      <w:pPr>
        <w:pStyle w:val="TableSourceCaption"/>
        <w:tabs>
          <w:tab w:val="clear" w:pos="792"/>
          <w:tab w:val="left" w:pos="0"/>
        </w:tabs>
        <w:spacing w:before="0" w:line="240" w:lineRule="auto"/>
        <w:ind w:left="0" w:firstLine="0"/>
        <w:rPr>
          <w:rFonts w:cs="Arial"/>
          <w:sz w:val="20"/>
          <w:szCs w:val="24"/>
        </w:rPr>
      </w:pPr>
      <w:r w:rsidRPr="005D614A">
        <w:rPr>
          <w:rFonts w:cs="Arial"/>
          <w:sz w:val="20"/>
          <w:szCs w:val="24"/>
        </w:rPr>
        <w:t xml:space="preserve">Sources: Mathematica’s analysis of impacts of legalized adult use of marijuana in Massachusetts using estimates from the literature, key stakeholder interviews, and primary and secondary data sources. See Appendix </w:t>
      </w:r>
      <w:r w:rsidR="0010613B">
        <w:rPr>
          <w:rFonts w:cs="Arial"/>
          <w:sz w:val="20"/>
          <w:szCs w:val="24"/>
        </w:rPr>
        <w:t>C Table C</w:t>
      </w:r>
      <w:r w:rsidRPr="005D614A">
        <w:rPr>
          <w:rFonts w:cs="Arial"/>
          <w:sz w:val="20"/>
          <w:szCs w:val="24"/>
        </w:rPr>
        <w:t>.1 for data sources used to inform these estimates.</w:t>
      </w:r>
    </w:p>
    <w:p w:rsidR="00B133C6" w:rsidRPr="005D614A" w:rsidRDefault="00B133C6" w:rsidP="006057BE">
      <w:pPr>
        <w:pStyle w:val="TableSourceCaption"/>
        <w:tabs>
          <w:tab w:val="clear" w:pos="792"/>
          <w:tab w:val="left" w:pos="0"/>
        </w:tabs>
        <w:spacing w:before="0" w:line="240" w:lineRule="auto"/>
        <w:ind w:left="0" w:firstLine="0"/>
        <w:rPr>
          <w:rFonts w:cs="Arial"/>
          <w:sz w:val="20"/>
          <w:szCs w:val="24"/>
        </w:rPr>
      </w:pPr>
    </w:p>
    <w:p w:rsidR="001324CA" w:rsidRPr="005D614A" w:rsidRDefault="001324CA" w:rsidP="006057BE">
      <w:pPr>
        <w:pStyle w:val="TableSourceCaption"/>
        <w:spacing w:before="0" w:line="240" w:lineRule="auto"/>
        <w:ind w:left="0" w:firstLine="0"/>
        <w:rPr>
          <w:rFonts w:cs="Arial"/>
          <w:sz w:val="20"/>
          <w:szCs w:val="24"/>
        </w:rPr>
      </w:pPr>
      <w:r w:rsidRPr="005D614A">
        <w:rPr>
          <w:rFonts w:cs="Arial"/>
          <w:sz w:val="20"/>
          <w:szCs w:val="24"/>
        </w:rPr>
        <w:t xml:space="preserve">Note: The sum across domains may not equal the overall estimate because of random variation in </w:t>
      </w:r>
      <w:r w:rsidR="00B133C6" w:rsidRPr="005D614A">
        <w:rPr>
          <w:rFonts w:cs="Arial"/>
          <w:sz w:val="20"/>
          <w:szCs w:val="24"/>
        </w:rPr>
        <w:t xml:space="preserve">the </w:t>
      </w:r>
      <w:r w:rsidRPr="005D614A">
        <w:rPr>
          <w:rFonts w:cs="Arial"/>
          <w:sz w:val="20"/>
          <w:szCs w:val="24"/>
        </w:rPr>
        <w:t xml:space="preserve">simulations. The range is based on the 95% confidence interval around the model estimate. </w:t>
      </w:r>
    </w:p>
    <w:p w:rsidR="001324CA" w:rsidRPr="00E12150" w:rsidRDefault="001324CA" w:rsidP="006057BE">
      <w:pPr>
        <w:pStyle w:val="TableSourceCaption"/>
        <w:spacing w:before="0" w:line="240" w:lineRule="auto"/>
        <w:rPr>
          <w:rFonts w:cs="Arial"/>
          <w:sz w:val="24"/>
          <w:szCs w:val="24"/>
        </w:rPr>
      </w:pPr>
    </w:p>
    <w:p w:rsidR="001324CA" w:rsidRDefault="001324CA" w:rsidP="006057BE">
      <w:pPr>
        <w:spacing w:after="0" w:line="240" w:lineRule="auto"/>
        <w:rPr>
          <w:rFonts w:ascii="Arial" w:hAnsi="Arial" w:cs="Arial"/>
          <w:i/>
          <w:sz w:val="24"/>
          <w:szCs w:val="24"/>
        </w:rPr>
      </w:pPr>
      <w:r w:rsidRPr="00E12150">
        <w:rPr>
          <w:rFonts w:ascii="Arial" w:hAnsi="Arial" w:cs="Arial"/>
          <w:i/>
          <w:sz w:val="24"/>
          <w:szCs w:val="24"/>
        </w:rPr>
        <w:t>Sensitivity of Impacts</w:t>
      </w:r>
    </w:p>
    <w:p w:rsidR="00B133C6" w:rsidRPr="00E12150" w:rsidRDefault="00B133C6" w:rsidP="006057BE">
      <w:pPr>
        <w:spacing w:after="0" w:line="240" w:lineRule="auto"/>
        <w:rPr>
          <w:rFonts w:ascii="Arial" w:hAnsi="Arial" w:cs="Arial"/>
          <w:i/>
          <w:sz w:val="24"/>
          <w:szCs w:val="24"/>
        </w:rPr>
      </w:pPr>
    </w:p>
    <w:p w:rsidR="001324CA" w:rsidRDefault="001324CA" w:rsidP="006057BE">
      <w:pPr>
        <w:spacing w:after="0" w:line="240" w:lineRule="auto"/>
        <w:rPr>
          <w:rFonts w:ascii="Arial" w:hAnsi="Arial" w:cs="Arial"/>
          <w:sz w:val="24"/>
          <w:szCs w:val="24"/>
        </w:rPr>
      </w:pPr>
      <w:r w:rsidRPr="00E12150">
        <w:rPr>
          <w:rFonts w:ascii="Arial" w:hAnsi="Arial" w:cs="Arial"/>
          <w:sz w:val="24"/>
          <w:szCs w:val="24"/>
        </w:rPr>
        <w:t>In our first sensitivity analysis, in which we increased the upper end of the range of plausible values for prevalence of current marijuana use to include the MBHS Task 1 survey estimate, our main model impact estimate increased by 38% (from $215.8 million to $298.8 million), and our supplemental model estimate increased by 29% (from $281.1 million to $364.1 million). In our second sensitivity analysis, in which we adjusted all impacts derived from the medical marijuana literature to zero, our main model estimate decreased by only 8% (to $143.9 million), but our supplemental model estimate (which included a number of public health measures informed by the medical marijuana literature) decreased by 28% (to $201.4 million).</w:t>
      </w:r>
    </w:p>
    <w:p w:rsidR="001324CA" w:rsidRPr="00B46B84" w:rsidRDefault="001324CA" w:rsidP="00332358">
      <w:pPr>
        <w:pStyle w:val="H4Number"/>
        <w:rPr>
          <w:rFonts w:ascii="Arial" w:hAnsi="Arial" w:cs="Arial"/>
          <w:b/>
          <w:i/>
        </w:rPr>
      </w:pPr>
      <w:r w:rsidRPr="00B46B84">
        <w:rPr>
          <w:rFonts w:ascii="Arial" w:hAnsi="Arial" w:cs="Arial"/>
          <w:b/>
          <w:i/>
        </w:rPr>
        <w:t>Local Impacts</w:t>
      </w:r>
    </w:p>
    <w:p w:rsidR="00B133C6" w:rsidRPr="00B133C6" w:rsidRDefault="00B133C6" w:rsidP="006057BE">
      <w:pPr>
        <w:pStyle w:val="NormalSS"/>
        <w:spacing w:after="0"/>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In Figure 2, we show our estimated two-year local tax revenue, assuming a 3% local tax rate, along with information on the projected number of RMDs expected per city or town. With some exceptions, local tax revenue is generally higher on the coast and lower in the western part of the state. In Table 4, we summarize estimated local tax revenue by city or town density, defined using the methodology of Pozzi and Small (2005) as rural (≤ 100 people/km</w:t>
      </w:r>
      <w:r w:rsidRPr="00E12150">
        <w:rPr>
          <w:rFonts w:ascii="Arial" w:hAnsi="Arial" w:cs="Arial"/>
          <w:sz w:val="24"/>
          <w:szCs w:val="24"/>
          <w:vertAlign w:val="superscript"/>
        </w:rPr>
        <w:t>2</w:t>
      </w:r>
      <w:r w:rsidRPr="00E12150">
        <w:rPr>
          <w:rFonts w:ascii="Arial" w:hAnsi="Arial" w:cs="Arial"/>
          <w:sz w:val="24"/>
          <w:szCs w:val="24"/>
        </w:rPr>
        <w:t>); suburban low, medium, and high density (100–500 people/km</w:t>
      </w:r>
      <w:r w:rsidRPr="00E12150">
        <w:rPr>
          <w:rFonts w:ascii="Arial" w:hAnsi="Arial" w:cs="Arial"/>
          <w:sz w:val="24"/>
          <w:szCs w:val="24"/>
          <w:vertAlign w:val="superscript"/>
        </w:rPr>
        <w:t>2</w:t>
      </w:r>
      <w:r w:rsidRPr="00E12150">
        <w:rPr>
          <w:rFonts w:ascii="Arial" w:hAnsi="Arial" w:cs="Arial"/>
          <w:sz w:val="24"/>
          <w:szCs w:val="24"/>
        </w:rPr>
        <w:t>, 500–1,000 people/km</w:t>
      </w:r>
      <w:r w:rsidRPr="00E12150">
        <w:rPr>
          <w:rFonts w:ascii="Arial" w:hAnsi="Arial" w:cs="Arial"/>
          <w:sz w:val="24"/>
          <w:szCs w:val="24"/>
          <w:vertAlign w:val="superscript"/>
        </w:rPr>
        <w:t>2</w:t>
      </w:r>
      <w:r w:rsidRPr="00E12150">
        <w:rPr>
          <w:rFonts w:ascii="Arial" w:hAnsi="Arial" w:cs="Arial"/>
          <w:sz w:val="24"/>
          <w:szCs w:val="24"/>
        </w:rPr>
        <w:t>, and 1,000–10,000 people/km</w:t>
      </w:r>
      <w:r w:rsidRPr="00E12150">
        <w:rPr>
          <w:rFonts w:ascii="Arial" w:hAnsi="Arial" w:cs="Arial"/>
          <w:sz w:val="24"/>
          <w:szCs w:val="24"/>
          <w:vertAlign w:val="superscript"/>
        </w:rPr>
        <w:t>2</w:t>
      </w:r>
      <w:r w:rsidRPr="00E12150">
        <w:rPr>
          <w:rFonts w:ascii="Arial" w:hAnsi="Arial" w:cs="Arial"/>
          <w:sz w:val="24"/>
          <w:szCs w:val="24"/>
        </w:rPr>
        <w:t>, respectively); and urban (&gt; 10,000 people/km</w:t>
      </w:r>
      <w:r w:rsidRPr="00E12150">
        <w:rPr>
          <w:rFonts w:ascii="Arial" w:hAnsi="Arial" w:cs="Arial"/>
          <w:sz w:val="24"/>
          <w:szCs w:val="24"/>
          <w:vertAlign w:val="superscript"/>
        </w:rPr>
        <w:t>2</w:t>
      </w:r>
      <w:r w:rsidRPr="00E12150">
        <w:rPr>
          <w:rFonts w:ascii="Arial" w:hAnsi="Arial" w:cs="Arial"/>
          <w:sz w:val="24"/>
          <w:szCs w:val="24"/>
        </w:rPr>
        <w:t xml:space="preserve">). As expected, revenue is highest in dense regions, though there is considerable fluctuation in tax revenue projections among the 51 high-density suburban cities and towns (see Appendix </w:t>
      </w:r>
      <w:r w:rsidR="0010613B">
        <w:rPr>
          <w:rFonts w:ascii="Arial" w:hAnsi="Arial" w:cs="Arial"/>
          <w:sz w:val="24"/>
          <w:szCs w:val="24"/>
        </w:rPr>
        <w:t>C</w:t>
      </w:r>
      <w:r w:rsidR="00104C7B">
        <w:rPr>
          <w:rFonts w:ascii="Arial" w:hAnsi="Arial" w:cs="Arial"/>
          <w:sz w:val="24"/>
          <w:szCs w:val="24"/>
        </w:rPr>
        <w:t xml:space="preserve"> </w:t>
      </w:r>
      <w:r w:rsidRPr="00E12150">
        <w:rPr>
          <w:rFonts w:ascii="Arial" w:hAnsi="Arial" w:cs="Arial"/>
          <w:sz w:val="24"/>
          <w:szCs w:val="24"/>
        </w:rPr>
        <w:t xml:space="preserve">Table </w:t>
      </w:r>
      <w:r w:rsidR="0010613B">
        <w:rPr>
          <w:rFonts w:ascii="Arial" w:hAnsi="Arial" w:cs="Arial"/>
          <w:sz w:val="24"/>
          <w:szCs w:val="24"/>
        </w:rPr>
        <w:t>C</w:t>
      </w:r>
      <w:r w:rsidRPr="00E12150">
        <w:rPr>
          <w:rFonts w:ascii="Arial" w:hAnsi="Arial" w:cs="Arial"/>
          <w:sz w:val="24"/>
          <w:szCs w:val="24"/>
        </w:rPr>
        <w:t xml:space="preserve">.3 for detailed results). Both sets of results are restricted to the 83 cities and towns in which an RMD is expected to be open within the first two years of retail marijuana sales. </w:t>
      </w:r>
    </w:p>
    <w:p w:rsidR="001324CA" w:rsidRDefault="001324CA"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 xml:space="preserve">In Appendix </w:t>
      </w:r>
      <w:r w:rsidR="0010613B">
        <w:rPr>
          <w:rFonts w:ascii="Arial" w:hAnsi="Arial" w:cs="Arial"/>
          <w:sz w:val="24"/>
          <w:szCs w:val="24"/>
        </w:rPr>
        <w:t>C Figure C.2, Table C.2, and Table C</w:t>
      </w:r>
      <w:r w:rsidRPr="00E12150">
        <w:rPr>
          <w:rFonts w:ascii="Arial" w:hAnsi="Arial" w:cs="Arial"/>
          <w:sz w:val="24"/>
          <w:szCs w:val="24"/>
        </w:rPr>
        <w:t xml:space="preserve">.3, we show how local revenue estimates would change if RMDs were open in all cities and towns across Massachusetts, such that marijuana users would no longer travel to nearby cities or towns to purchase marijuana.  For some of the 83 cities and towns included in the primary analysis—particularly those that will be more isolated from other RMDs in the state—local tax revenue estimates dropped dramatically (for example, from about $992,000 in Burlington to about $108,000). </w:t>
      </w: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 xml:space="preserve">In the sensitivity analysis in which we used local-level marijuana use prevalence estimates that were informed by the MBHS Task 1 survey (which were available mostly for urban and high-density suburban cities and towns), our estimate of local tax revenue increased by 215% for urban cities (to almost $1.3 million) and by 20% for high-density suburban cities (to about $288,000). And in the sensitivity analysis in which we specified that the percentage shift in marijuana purchases from the illicit market to RMDs would be exactly 50% or 80% (instead of 65%, which we derived for the primary analysis based on the range of 50% to 80%), our median revenue estimates decreased and increased, respectively, by 18% for all density categories. </w:t>
      </w:r>
    </w:p>
    <w:p w:rsidR="00B133C6" w:rsidRPr="00E12150" w:rsidRDefault="00B133C6" w:rsidP="006057BE">
      <w:pPr>
        <w:pStyle w:val="NormalSS"/>
        <w:spacing w:after="0"/>
        <w:rPr>
          <w:rFonts w:ascii="Arial" w:hAnsi="Arial" w:cs="Arial"/>
          <w:sz w:val="24"/>
          <w:szCs w:val="24"/>
        </w:rPr>
      </w:pPr>
    </w:p>
    <w:p w:rsidR="001324CA" w:rsidRPr="00C91942" w:rsidRDefault="001324CA" w:rsidP="006057BE">
      <w:pPr>
        <w:pStyle w:val="MarkforFigureTitle"/>
        <w:spacing w:after="0"/>
        <w:rPr>
          <w:rFonts w:ascii="Arial" w:hAnsi="Arial" w:cs="Arial"/>
          <w:b/>
          <w:sz w:val="24"/>
          <w:szCs w:val="24"/>
        </w:rPr>
      </w:pPr>
      <w:r w:rsidRPr="00C91942">
        <w:rPr>
          <w:rFonts w:ascii="Arial" w:hAnsi="Arial" w:cs="Arial"/>
          <w:b/>
          <w:sz w:val="24"/>
          <w:szCs w:val="24"/>
        </w:rPr>
        <w:t>Figure 2. Estimated Two-Year Local Tax Revenue by City or Town with a Registered Marijuana Dispensary</w:t>
      </w:r>
    </w:p>
    <w:p w:rsidR="001324CA" w:rsidRPr="00E12150" w:rsidRDefault="001324CA" w:rsidP="006057BE">
      <w:pPr>
        <w:pStyle w:val="NormalSS"/>
        <w:spacing w:after="0"/>
        <w:rPr>
          <w:rFonts w:ascii="Arial" w:hAnsi="Arial" w:cs="Arial"/>
          <w:sz w:val="24"/>
          <w:szCs w:val="24"/>
        </w:rPr>
      </w:pPr>
      <w:r w:rsidRPr="00E12150">
        <w:rPr>
          <w:rFonts w:ascii="Arial" w:hAnsi="Arial" w:cs="Arial"/>
          <w:noProof/>
          <w:sz w:val="24"/>
          <w:szCs w:val="24"/>
        </w:rPr>
        <w:drawing>
          <wp:inline distT="0" distB="0" distL="0" distR="0" wp14:anchorId="5510F49E" wp14:editId="068533C8">
            <wp:extent cx="5942544" cy="3597910"/>
            <wp:effectExtent l="0" t="0" r="1270" b="2540"/>
            <wp:docPr id="96" name="Picture 96" descr="The figure shows a map of Massachusetts divided by city/town. While most towns are greyed out, signifying that there is not a registered marijuana dispensary there, the cities/towns that do have one are colored by varying degrees of purple. Lighter cities/towns are noted as $316 to $49,999 for estimated local tax revenue. The scale darkens to black, signifying the highest estimations at $300,000 to $2,875,048. Cities/towns with a dispensary show a yellow dot that signifies the number of registered marijuana dispensaries randing from 1 to 5. The larger the number of dispensaries, the larger the circle. " title="Estimated Two-Year Local Tax Revenue by City or Town with a Registered Marijuana Dispen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xRevenueMap.jpg"/>
                    <pic:cNvPicPr/>
                  </pic:nvPicPr>
                  <pic:blipFill rotWithShape="1">
                    <a:blip r:embed="rId113" cstate="print">
                      <a:extLst>
                        <a:ext uri="{28A0092B-C50C-407E-A947-70E740481C1C}">
                          <a14:useLocalDpi xmlns:a14="http://schemas.microsoft.com/office/drawing/2010/main" val="0"/>
                        </a:ext>
                      </a:extLst>
                    </a:blip>
                    <a:srcRect t="12918" b="8731"/>
                    <a:stretch/>
                  </pic:blipFill>
                  <pic:spPr bwMode="auto">
                    <a:xfrm>
                      <a:off x="0" y="0"/>
                      <a:ext cx="5942544" cy="3597910"/>
                    </a:xfrm>
                    <a:prstGeom prst="rect">
                      <a:avLst/>
                    </a:prstGeom>
                    <a:ln>
                      <a:noFill/>
                    </a:ln>
                    <a:extLst>
                      <a:ext uri="{53640926-AAD7-44D8-BBD7-CCE9431645EC}">
                        <a14:shadowObscured xmlns:a14="http://schemas.microsoft.com/office/drawing/2010/main"/>
                      </a:ext>
                    </a:extLst>
                  </pic:spPr>
                </pic:pic>
              </a:graphicData>
            </a:graphic>
          </wp:inline>
        </w:drawing>
      </w:r>
    </w:p>
    <w:p w:rsidR="00B133C6" w:rsidRDefault="00B133C6" w:rsidP="006057BE">
      <w:pPr>
        <w:pStyle w:val="TableSourceCaption"/>
        <w:tabs>
          <w:tab w:val="clear" w:pos="792"/>
          <w:tab w:val="left" w:pos="0"/>
        </w:tabs>
        <w:spacing w:before="0" w:line="240" w:lineRule="auto"/>
        <w:ind w:left="0" w:firstLine="0"/>
        <w:rPr>
          <w:rFonts w:cs="Arial"/>
          <w:sz w:val="24"/>
          <w:szCs w:val="24"/>
        </w:rPr>
      </w:pPr>
    </w:p>
    <w:p w:rsidR="001324CA" w:rsidRPr="00104C7B" w:rsidRDefault="001324CA" w:rsidP="006057BE">
      <w:pPr>
        <w:pStyle w:val="TableSourceCaption"/>
        <w:tabs>
          <w:tab w:val="clear" w:pos="792"/>
          <w:tab w:val="left" w:pos="0"/>
        </w:tabs>
        <w:spacing w:before="0" w:line="240" w:lineRule="auto"/>
        <w:ind w:left="0" w:firstLine="0"/>
        <w:rPr>
          <w:rFonts w:cs="Arial"/>
          <w:sz w:val="20"/>
          <w:szCs w:val="24"/>
        </w:rPr>
      </w:pPr>
      <w:r w:rsidRPr="00104C7B">
        <w:rPr>
          <w:rFonts w:cs="Arial"/>
          <w:sz w:val="20"/>
          <w:szCs w:val="24"/>
        </w:rPr>
        <w:t xml:space="preserve">Sources: Mathematica’s analysis of impacts of legalized adult use of marijuana in Massachusetts using estimates from the literature, key stakeholder interviews, and primary and secondary data sources. See Appendix </w:t>
      </w:r>
      <w:r w:rsidR="0010613B">
        <w:rPr>
          <w:rFonts w:cs="Arial"/>
          <w:sz w:val="20"/>
          <w:szCs w:val="24"/>
        </w:rPr>
        <w:t>C</w:t>
      </w:r>
      <w:r w:rsidR="00104C7B" w:rsidRPr="00104C7B">
        <w:rPr>
          <w:rFonts w:cs="Arial"/>
          <w:sz w:val="20"/>
          <w:szCs w:val="24"/>
        </w:rPr>
        <w:t xml:space="preserve"> </w:t>
      </w:r>
      <w:r w:rsidRPr="00104C7B">
        <w:rPr>
          <w:rFonts w:cs="Arial"/>
          <w:sz w:val="20"/>
          <w:szCs w:val="24"/>
        </w:rPr>
        <w:t xml:space="preserve">Table </w:t>
      </w:r>
      <w:r w:rsidR="0010613B">
        <w:rPr>
          <w:rFonts w:cs="Arial"/>
          <w:sz w:val="20"/>
          <w:szCs w:val="24"/>
        </w:rPr>
        <w:t>C</w:t>
      </w:r>
      <w:r w:rsidRPr="00104C7B">
        <w:rPr>
          <w:rFonts w:cs="Arial"/>
          <w:sz w:val="20"/>
          <w:szCs w:val="24"/>
        </w:rPr>
        <w:t>.1 for data sources used to inform these estimates.</w:t>
      </w:r>
    </w:p>
    <w:p w:rsidR="001324CA" w:rsidRPr="00104C7B" w:rsidRDefault="001324CA" w:rsidP="006057BE">
      <w:pPr>
        <w:pStyle w:val="TableSourceCaption"/>
        <w:tabs>
          <w:tab w:val="clear" w:pos="792"/>
          <w:tab w:val="left" w:pos="0"/>
        </w:tabs>
        <w:spacing w:before="0" w:line="240" w:lineRule="auto"/>
        <w:ind w:left="0" w:firstLine="0"/>
        <w:rPr>
          <w:rFonts w:cs="Arial"/>
          <w:sz w:val="20"/>
          <w:szCs w:val="24"/>
        </w:rPr>
      </w:pPr>
      <w:r w:rsidRPr="00104C7B">
        <w:rPr>
          <w:rFonts w:cs="Arial"/>
          <w:sz w:val="20"/>
          <w:szCs w:val="24"/>
        </w:rPr>
        <w:t>Note: The figure includes estimates only for cities and towns in which a marijuana dispensary is projected to be open within the first two years of marijuana retail sales; no rural areas (&lt; 100 people/km</w:t>
      </w:r>
      <w:r w:rsidRPr="00104C7B">
        <w:rPr>
          <w:rFonts w:cs="Arial"/>
          <w:sz w:val="20"/>
          <w:szCs w:val="24"/>
          <w:vertAlign w:val="superscript"/>
        </w:rPr>
        <w:t>2</w:t>
      </w:r>
      <w:r w:rsidRPr="00104C7B">
        <w:rPr>
          <w:rFonts w:cs="Arial"/>
          <w:sz w:val="20"/>
          <w:szCs w:val="24"/>
        </w:rPr>
        <w:t xml:space="preserve">) are expected to have open dispensaries. Appendix </w:t>
      </w:r>
      <w:r w:rsidR="0010613B">
        <w:rPr>
          <w:rFonts w:cs="Arial"/>
          <w:sz w:val="20"/>
          <w:szCs w:val="24"/>
        </w:rPr>
        <w:t>C Table C</w:t>
      </w:r>
      <w:r w:rsidRPr="00104C7B">
        <w:rPr>
          <w:rFonts w:cs="Arial"/>
          <w:sz w:val="20"/>
          <w:szCs w:val="24"/>
        </w:rPr>
        <w:t xml:space="preserve">.2 provides estimates assuming RMDs are open in all Massachusetts cities and towns within the first two years of legalization. See Appendix </w:t>
      </w:r>
      <w:r w:rsidR="0010613B">
        <w:rPr>
          <w:rFonts w:cs="Arial"/>
          <w:sz w:val="20"/>
          <w:szCs w:val="24"/>
        </w:rPr>
        <w:t>C Table C</w:t>
      </w:r>
      <w:r w:rsidRPr="00104C7B">
        <w:rPr>
          <w:rFonts w:cs="Arial"/>
          <w:sz w:val="20"/>
          <w:szCs w:val="24"/>
        </w:rPr>
        <w:t>.3 for estimates by city or town.</w:t>
      </w:r>
    </w:p>
    <w:p w:rsidR="001324CA" w:rsidRPr="00E12150" w:rsidRDefault="001324CA" w:rsidP="006057BE">
      <w:pPr>
        <w:pStyle w:val="TableSignificanceCaption"/>
        <w:spacing w:before="0" w:line="240" w:lineRule="auto"/>
        <w:rPr>
          <w:rFonts w:cs="Arial"/>
          <w:sz w:val="24"/>
          <w:szCs w:val="24"/>
        </w:rPr>
      </w:pPr>
    </w:p>
    <w:p w:rsidR="001324CA" w:rsidRDefault="001324CA" w:rsidP="006057BE">
      <w:pPr>
        <w:pStyle w:val="MarkforTableTitle"/>
        <w:spacing w:after="0"/>
        <w:rPr>
          <w:rFonts w:ascii="Arial" w:hAnsi="Arial" w:cs="Arial"/>
          <w:b/>
          <w:sz w:val="24"/>
          <w:szCs w:val="24"/>
        </w:rPr>
      </w:pPr>
      <w:r w:rsidRPr="00C91942">
        <w:rPr>
          <w:rFonts w:ascii="Arial" w:hAnsi="Arial" w:cs="Arial"/>
          <w:b/>
          <w:sz w:val="24"/>
          <w:szCs w:val="24"/>
        </w:rPr>
        <w:t>Table 4. Estimated Two-Year Local Tax Revenue by Density Category</w:t>
      </w:r>
    </w:p>
    <w:p w:rsidR="00B133C6" w:rsidRPr="00B133C6" w:rsidRDefault="00B133C6" w:rsidP="006057BE">
      <w:pPr>
        <w:pStyle w:val="NormalSS"/>
        <w:spacing w:after="0"/>
      </w:pPr>
    </w:p>
    <w:tbl>
      <w:tblPr>
        <w:tblStyle w:val="TableGrid"/>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stimated Two-Year Local Tax Revenue by Density Category"/>
      </w:tblPr>
      <w:tblGrid>
        <w:gridCol w:w="4306"/>
        <w:gridCol w:w="1364"/>
        <w:gridCol w:w="1218"/>
        <w:gridCol w:w="1270"/>
        <w:gridCol w:w="1418"/>
      </w:tblGrid>
      <w:tr w:rsidR="001324CA" w:rsidRPr="00E12150" w:rsidTr="00E3428E">
        <w:trPr>
          <w:trHeight w:val="20"/>
          <w:jc w:val="right"/>
        </w:trPr>
        <w:tc>
          <w:tcPr>
            <w:tcW w:w="2248" w:type="pct"/>
            <w:vMerge w:val="restart"/>
            <w:tcBorders>
              <w:top w:val="single" w:sz="4" w:space="0" w:color="auto"/>
              <w:left w:val="single" w:sz="4" w:space="0" w:color="auto"/>
            </w:tcBorders>
            <w:shd w:val="clear" w:color="auto" w:fill="auto"/>
          </w:tcPr>
          <w:p w:rsidR="001324CA" w:rsidRPr="00E12150" w:rsidRDefault="001324CA" w:rsidP="006057BE">
            <w:pPr>
              <w:pStyle w:val="TableHeaderLeft"/>
              <w:spacing w:before="0" w:after="0"/>
              <w:rPr>
                <w:rFonts w:cs="Arial"/>
                <w:color w:val="auto"/>
                <w:sz w:val="24"/>
                <w:szCs w:val="24"/>
              </w:rPr>
            </w:pPr>
            <w:r>
              <w:rPr>
                <w:rFonts w:cs="Arial"/>
                <w:color w:val="auto"/>
                <w:sz w:val="24"/>
                <w:szCs w:val="24"/>
              </w:rPr>
              <w:t>City or Town T</w:t>
            </w:r>
            <w:r w:rsidRPr="00E12150">
              <w:rPr>
                <w:rFonts w:cs="Arial"/>
                <w:color w:val="auto"/>
                <w:sz w:val="24"/>
                <w:szCs w:val="24"/>
              </w:rPr>
              <w:t>ype</w:t>
            </w:r>
          </w:p>
        </w:tc>
        <w:tc>
          <w:tcPr>
            <w:tcW w:w="712" w:type="pct"/>
            <w:vMerge w:val="restart"/>
            <w:tcBorders>
              <w:top w:val="single" w:sz="4" w:space="0" w:color="auto"/>
            </w:tcBorders>
            <w:shd w:val="clear" w:color="auto" w:fill="auto"/>
          </w:tcPr>
          <w:p w:rsidR="001324CA" w:rsidRPr="00E12150" w:rsidRDefault="001324CA" w:rsidP="006057BE">
            <w:pPr>
              <w:pStyle w:val="TableHeaderCenter"/>
              <w:spacing w:before="0" w:after="0"/>
              <w:jc w:val="left"/>
              <w:rPr>
                <w:rFonts w:cs="Arial"/>
                <w:color w:val="auto"/>
                <w:sz w:val="24"/>
                <w:szCs w:val="24"/>
              </w:rPr>
            </w:pPr>
            <w:r>
              <w:rPr>
                <w:rFonts w:cs="Arial"/>
                <w:color w:val="auto"/>
                <w:sz w:val="24"/>
                <w:szCs w:val="24"/>
              </w:rPr>
              <w:t xml:space="preserve">Number of </w:t>
            </w:r>
            <w:r>
              <w:rPr>
                <w:rFonts w:cs="Arial"/>
                <w:color w:val="auto"/>
                <w:sz w:val="24"/>
                <w:szCs w:val="24"/>
              </w:rPr>
              <w:br/>
              <w:t>Cities or T</w:t>
            </w:r>
            <w:r w:rsidRPr="00E12150">
              <w:rPr>
                <w:rFonts w:cs="Arial"/>
                <w:color w:val="auto"/>
                <w:sz w:val="24"/>
                <w:szCs w:val="24"/>
              </w:rPr>
              <w:t>owns</w:t>
            </w:r>
          </w:p>
        </w:tc>
        <w:tc>
          <w:tcPr>
            <w:tcW w:w="2039" w:type="pct"/>
            <w:gridSpan w:val="3"/>
            <w:tcBorders>
              <w:top w:val="single" w:sz="4" w:space="0" w:color="auto"/>
              <w:bottom w:val="single" w:sz="4" w:space="0" w:color="FFFFFF" w:themeColor="background1"/>
              <w:right w:val="single" w:sz="4" w:space="0" w:color="auto"/>
            </w:tcBorders>
            <w:shd w:val="clear" w:color="auto" w:fill="auto"/>
          </w:tcPr>
          <w:p w:rsidR="001324CA" w:rsidRPr="00E12150" w:rsidRDefault="001324CA" w:rsidP="006057BE">
            <w:pPr>
              <w:pStyle w:val="TableHeaderCenter"/>
              <w:spacing w:before="0" w:after="0"/>
              <w:jc w:val="left"/>
              <w:rPr>
                <w:rFonts w:cs="Arial"/>
                <w:color w:val="auto"/>
                <w:sz w:val="24"/>
                <w:szCs w:val="24"/>
              </w:rPr>
            </w:pPr>
            <w:r>
              <w:rPr>
                <w:rFonts w:cs="Arial"/>
                <w:color w:val="auto"/>
                <w:sz w:val="24"/>
                <w:szCs w:val="24"/>
              </w:rPr>
              <w:t>Two-Year Local Tax R</w:t>
            </w:r>
            <w:r w:rsidRPr="00E12150">
              <w:rPr>
                <w:rFonts w:cs="Arial"/>
                <w:color w:val="auto"/>
                <w:sz w:val="24"/>
                <w:szCs w:val="24"/>
              </w:rPr>
              <w:t>evenue</w:t>
            </w:r>
          </w:p>
        </w:tc>
      </w:tr>
      <w:tr w:rsidR="001324CA" w:rsidRPr="00E12150" w:rsidTr="00E3428E">
        <w:trPr>
          <w:trHeight w:val="20"/>
          <w:jc w:val="right"/>
        </w:trPr>
        <w:tc>
          <w:tcPr>
            <w:tcW w:w="2248" w:type="pct"/>
            <w:vMerge/>
            <w:tcBorders>
              <w:left w:val="single" w:sz="4" w:space="0" w:color="auto"/>
              <w:bottom w:val="single" w:sz="4" w:space="0" w:color="auto"/>
            </w:tcBorders>
            <w:shd w:val="clear" w:color="auto" w:fill="auto"/>
          </w:tcPr>
          <w:p w:rsidR="001324CA" w:rsidRPr="00E12150" w:rsidRDefault="001324CA" w:rsidP="006057BE">
            <w:pPr>
              <w:pStyle w:val="NormalSS"/>
              <w:spacing w:after="0"/>
              <w:rPr>
                <w:rFonts w:ascii="Arial" w:hAnsi="Arial" w:cs="Arial"/>
                <w:b/>
                <w:sz w:val="24"/>
                <w:szCs w:val="24"/>
              </w:rPr>
            </w:pPr>
          </w:p>
        </w:tc>
        <w:tc>
          <w:tcPr>
            <w:tcW w:w="712" w:type="pct"/>
            <w:vMerge/>
            <w:tcBorders>
              <w:bottom w:val="single" w:sz="4" w:space="0" w:color="auto"/>
            </w:tcBorders>
            <w:shd w:val="clear" w:color="auto" w:fill="auto"/>
          </w:tcPr>
          <w:p w:rsidR="001324CA" w:rsidRPr="00E12150" w:rsidRDefault="001324CA" w:rsidP="006057BE">
            <w:pPr>
              <w:pStyle w:val="TableHeaderCenter"/>
              <w:spacing w:before="0" w:after="0"/>
              <w:jc w:val="left"/>
              <w:rPr>
                <w:rFonts w:cs="Arial"/>
                <w:color w:val="auto"/>
                <w:sz w:val="24"/>
                <w:szCs w:val="24"/>
              </w:rPr>
            </w:pPr>
          </w:p>
        </w:tc>
        <w:tc>
          <w:tcPr>
            <w:tcW w:w="636" w:type="pct"/>
            <w:tcBorders>
              <w:top w:val="single" w:sz="4" w:space="0" w:color="FFFFFF" w:themeColor="background1"/>
              <w:bottom w:val="single" w:sz="4" w:space="0" w:color="auto"/>
            </w:tcBorders>
            <w:shd w:val="clear" w:color="auto" w:fill="auto"/>
          </w:tcPr>
          <w:p w:rsidR="001324CA" w:rsidRPr="00E12150" w:rsidRDefault="001324CA" w:rsidP="006057BE">
            <w:pPr>
              <w:pStyle w:val="TableHeaderCenter"/>
              <w:spacing w:before="0" w:after="0"/>
              <w:jc w:val="left"/>
              <w:rPr>
                <w:rFonts w:cs="Arial"/>
                <w:color w:val="auto"/>
                <w:sz w:val="24"/>
                <w:szCs w:val="24"/>
              </w:rPr>
            </w:pPr>
            <w:r w:rsidRPr="00E12150">
              <w:rPr>
                <w:rFonts w:cs="Arial"/>
                <w:color w:val="auto"/>
                <w:sz w:val="24"/>
                <w:szCs w:val="24"/>
              </w:rPr>
              <w:t>Median</w:t>
            </w:r>
          </w:p>
        </w:tc>
        <w:tc>
          <w:tcPr>
            <w:tcW w:w="663" w:type="pct"/>
            <w:tcBorders>
              <w:top w:val="single" w:sz="4" w:space="0" w:color="FFFFFF" w:themeColor="background1"/>
              <w:bottom w:val="single" w:sz="4" w:space="0" w:color="auto"/>
            </w:tcBorders>
            <w:shd w:val="clear" w:color="auto" w:fill="auto"/>
          </w:tcPr>
          <w:p w:rsidR="001324CA" w:rsidRPr="00E12150" w:rsidRDefault="001324CA" w:rsidP="006057BE">
            <w:pPr>
              <w:pStyle w:val="TableHeaderCenter"/>
              <w:spacing w:before="0" w:after="0"/>
              <w:jc w:val="left"/>
              <w:rPr>
                <w:rFonts w:cs="Arial"/>
                <w:color w:val="auto"/>
                <w:sz w:val="24"/>
                <w:szCs w:val="24"/>
              </w:rPr>
            </w:pPr>
            <w:r w:rsidRPr="00E12150">
              <w:rPr>
                <w:rFonts w:cs="Arial"/>
                <w:color w:val="auto"/>
                <w:sz w:val="24"/>
                <w:szCs w:val="24"/>
              </w:rPr>
              <w:t xml:space="preserve">Minimum </w:t>
            </w:r>
          </w:p>
        </w:tc>
        <w:tc>
          <w:tcPr>
            <w:tcW w:w="740" w:type="pct"/>
            <w:tcBorders>
              <w:top w:val="single" w:sz="4" w:space="0" w:color="FFFFFF" w:themeColor="background1"/>
              <w:bottom w:val="single" w:sz="4" w:space="0" w:color="auto"/>
              <w:right w:val="single" w:sz="4" w:space="0" w:color="auto"/>
            </w:tcBorders>
            <w:shd w:val="clear" w:color="auto" w:fill="auto"/>
          </w:tcPr>
          <w:p w:rsidR="001324CA" w:rsidRPr="00E12150" w:rsidRDefault="001324CA" w:rsidP="006057BE">
            <w:pPr>
              <w:pStyle w:val="TableHeaderCenter"/>
              <w:spacing w:before="0" w:after="0"/>
              <w:jc w:val="left"/>
              <w:rPr>
                <w:rFonts w:cs="Arial"/>
                <w:color w:val="auto"/>
                <w:sz w:val="24"/>
                <w:szCs w:val="24"/>
              </w:rPr>
            </w:pPr>
            <w:r w:rsidRPr="00E12150">
              <w:rPr>
                <w:rFonts w:cs="Arial"/>
                <w:color w:val="auto"/>
                <w:sz w:val="24"/>
                <w:szCs w:val="24"/>
              </w:rPr>
              <w:t>Maximum</w:t>
            </w:r>
          </w:p>
        </w:tc>
      </w:tr>
      <w:tr w:rsidR="001324CA" w:rsidRPr="00E12150" w:rsidTr="00E3428E">
        <w:trPr>
          <w:trHeight w:hRule="exact" w:val="274"/>
          <w:jc w:val="right"/>
        </w:trPr>
        <w:tc>
          <w:tcPr>
            <w:tcW w:w="2248" w:type="pct"/>
            <w:tcBorders>
              <w:top w:val="single" w:sz="4" w:space="0" w:color="auto"/>
              <w:left w:val="single" w:sz="4" w:space="0" w:color="auto"/>
            </w:tcBorders>
            <w:shd w:val="clear" w:color="auto" w:fill="auto"/>
          </w:tcPr>
          <w:p w:rsidR="001324CA" w:rsidRPr="00E12150" w:rsidRDefault="001324CA" w:rsidP="006057BE">
            <w:pPr>
              <w:pStyle w:val="TableText"/>
              <w:rPr>
                <w:rFonts w:cs="Arial"/>
                <w:sz w:val="24"/>
                <w:szCs w:val="24"/>
              </w:rPr>
            </w:pPr>
            <w:r w:rsidRPr="00E12150">
              <w:rPr>
                <w:rFonts w:cs="Arial"/>
                <w:sz w:val="24"/>
                <w:szCs w:val="24"/>
              </w:rPr>
              <w:t>Suburban, low density (100–500 people/km</w:t>
            </w:r>
            <w:r w:rsidRPr="00E12150">
              <w:rPr>
                <w:rFonts w:cs="Arial"/>
                <w:sz w:val="24"/>
                <w:szCs w:val="24"/>
                <w:vertAlign w:val="superscript"/>
              </w:rPr>
              <w:t>2</w:t>
            </w:r>
            <w:r w:rsidRPr="00E12150">
              <w:rPr>
                <w:rFonts w:cs="Arial"/>
                <w:sz w:val="24"/>
                <w:szCs w:val="24"/>
              </w:rPr>
              <w:t>)</w:t>
            </w:r>
          </w:p>
        </w:tc>
        <w:tc>
          <w:tcPr>
            <w:tcW w:w="712" w:type="pct"/>
            <w:tcBorders>
              <w:top w:val="single" w:sz="4" w:space="0" w:color="auto"/>
            </w:tcBorders>
            <w:shd w:val="clear" w:color="auto" w:fill="auto"/>
          </w:tcPr>
          <w:p w:rsidR="001324CA" w:rsidRPr="00E12150" w:rsidRDefault="001324CA" w:rsidP="006057BE">
            <w:pPr>
              <w:pStyle w:val="TableText"/>
              <w:rPr>
                <w:rFonts w:cs="Arial"/>
                <w:sz w:val="24"/>
                <w:szCs w:val="24"/>
              </w:rPr>
            </w:pPr>
            <w:r w:rsidRPr="00E12150">
              <w:rPr>
                <w:rFonts w:cs="Arial"/>
                <w:sz w:val="24"/>
                <w:szCs w:val="24"/>
              </w:rPr>
              <w:t>6</w:t>
            </w:r>
          </w:p>
        </w:tc>
        <w:tc>
          <w:tcPr>
            <w:tcW w:w="636" w:type="pct"/>
            <w:tcBorders>
              <w:top w:val="single" w:sz="4" w:space="0" w:color="auto"/>
            </w:tcBorders>
            <w:shd w:val="clear" w:color="auto" w:fill="auto"/>
          </w:tcPr>
          <w:p w:rsidR="001324CA" w:rsidRPr="00E12150" w:rsidRDefault="001324CA" w:rsidP="006057BE">
            <w:pPr>
              <w:pStyle w:val="TableText"/>
              <w:rPr>
                <w:rFonts w:cs="Arial"/>
                <w:sz w:val="24"/>
                <w:szCs w:val="24"/>
                <w:highlight w:val="yellow"/>
              </w:rPr>
            </w:pPr>
            <w:r w:rsidRPr="00E12150">
              <w:rPr>
                <w:rFonts w:cs="Arial"/>
                <w:sz w:val="24"/>
                <w:szCs w:val="24"/>
              </w:rPr>
              <w:t xml:space="preserve">$72,835 </w:t>
            </w:r>
          </w:p>
        </w:tc>
        <w:tc>
          <w:tcPr>
            <w:tcW w:w="663" w:type="pct"/>
            <w:tcBorders>
              <w:top w:val="single" w:sz="4" w:space="0" w:color="auto"/>
            </w:tcBorders>
            <w:shd w:val="clear" w:color="auto" w:fill="auto"/>
          </w:tcPr>
          <w:p w:rsidR="001324CA" w:rsidRPr="00E12150" w:rsidRDefault="001324CA" w:rsidP="006057BE">
            <w:pPr>
              <w:pStyle w:val="TableText"/>
              <w:rPr>
                <w:rFonts w:cs="Arial"/>
                <w:sz w:val="24"/>
                <w:szCs w:val="24"/>
              </w:rPr>
            </w:pPr>
            <w:r w:rsidRPr="00E12150">
              <w:rPr>
                <w:rFonts w:cs="Arial"/>
                <w:sz w:val="24"/>
                <w:szCs w:val="24"/>
              </w:rPr>
              <w:t xml:space="preserve">$60,801 </w:t>
            </w:r>
          </w:p>
        </w:tc>
        <w:tc>
          <w:tcPr>
            <w:tcW w:w="740" w:type="pct"/>
            <w:tcBorders>
              <w:top w:val="single" w:sz="4" w:space="0" w:color="auto"/>
              <w:right w:val="single" w:sz="4" w:space="0" w:color="auto"/>
            </w:tcBorders>
            <w:shd w:val="clear" w:color="auto" w:fill="auto"/>
          </w:tcPr>
          <w:p w:rsidR="001324CA" w:rsidRPr="00E12150" w:rsidRDefault="001324CA" w:rsidP="006057BE">
            <w:pPr>
              <w:pStyle w:val="TableText"/>
              <w:rPr>
                <w:rFonts w:cs="Arial"/>
                <w:sz w:val="24"/>
                <w:szCs w:val="24"/>
              </w:rPr>
            </w:pPr>
            <w:r w:rsidRPr="00E12150">
              <w:rPr>
                <w:rFonts w:cs="Arial"/>
                <w:sz w:val="24"/>
                <w:szCs w:val="24"/>
              </w:rPr>
              <w:t xml:space="preserve">$144,385 </w:t>
            </w:r>
          </w:p>
        </w:tc>
      </w:tr>
      <w:tr w:rsidR="001324CA" w:rsidRPr="00E12150" w:rsidTr="00E3428E">
        <w:trPr>
          <w:trHeight w:hRule="exact" w:val="274"/>
          <w:jc w:val="right"/>
        </w:trPr>
        <w:tc>
          <w:tcPr>
            <w:tcW w:w="2248" w:type="pct"/>
            <w:tcBorders>
              <w:left w:val="single" w:sz="4" w:space="0" w:color="auto"/>
            </w:tcBorders>
            <w:shd w:val="clear" w:color="auto" w:fill="auto"/>
          </w:tcPr>
          <w:p w:rsidR="001324CA" w:rsidRPr="00E12150" w:rsidRDefault="001324CA" w:rsidP="006057BE">
            <w:pPr>
              <w:pStyle w:val="TableText"/>
              <w:rPr>
                <w:rFonts w:cs="Arial"/>
                <w:sz w:val="24"/>
                <w:szCs w:val="24"/>
              </w:rPr>
            </w:pPr>
            <w:r w:rsidRPr="00E12150">
              <w:rPr>
                <w:rFonts w:cs="Arial"/>
                <w:sz w:val="24"/>
                <w:szCs w:val="24"/>
              </w:rPr>
              <w:t>Suburban, medium density (501–1,000 people/km</w:t>
            </w:r>
            <w:r w:rsidRPr="00E12150">
              <w:rPr>
                <w:rFonts w:cs="Arial"/>
                <w:sz w:val="24"/>
                <w:szCs w:val="24"/>
                <w:vertAlign w:val="superscript"/>
              </w:rPr>
              <w:t>2</w:t>
            </w:r>
            <w:r w:rsidRPr="00E12150">
              <w:rPr>
                <w:rFonts w:cs="Arial"/>
                <w:sz w:val="24"/>
                <w:szCs w:val="24"/>
              </w:rPr>
              <w:t>)</w:t>
            </w:r>
          </w:p>
        </w:tc>
        <w:tc>
          <w:tcPr>
            <w:tcW w:w="712" w:type="pct"/>
            <w:shd w:val="clear" w:color="auto" w:fill="auto"/>
          </w:tcPr>
          <w:p w:rsidR="001324CA" w:rsidRPr="00E12150" w:rsidRDefault="001324CA" w:rsidP="006057BE">
            <w:pPr>
              <w:pStyle w:val="TableText"/>
              <w:rPr>
                <w:rFonts w:cs="Arial"/>
                <w:sz w:val="24"/>
                <w:szCs w:val="24"/>
              </w:rPr>
            </w:pPr>
            <w:r w:rsidRPr="00E12150">
              <w:rPr>
                <w:rFonts w:cs="Arial"/>
                <w:sz w:val="24"/>
                <w:szCs w:val="24"/>
              </w:rPr>
              <w:t>10</w:t>
            </w:r>
          </w:p>
        </w:tc>
        <w:tc>
          <w:tcPr>
            <w:tcW w:w="636" w:type="pct"/>
            <w:shd w:val="clear" w:color="auto" w:fill="auto"/>
          </w:tcPr>
          <w:p w:rsidR="001324CA" w:rsidRPr="00E12150" w:rsidRDefault="001324CA" w:rsidP="006057BE">
            <w:pPr>
              <w:pStyle w:val="TableText"/>
              <w:rPr>
                <w:rFonts w:cs="Arial"/>
                <w:sz w:val="24"/>
                <w:szCs w:val="24"/>
                <w:highlight w:val="yellow"/>
              </w:rPr>
            </w:pPr>
            <w:r w:rsidRPr="00E12150">
              <w:rPr>
                <w:rFonts w:cs="Arial"/>
                <w:sz w:val="24"/>
                <w:szCs w:val="24"/>
              </w:rPr>
              <w:t xml:space="preserve">$63,272 </w:t>
            </w:r>
          </w:p>
        </w:tc>
        <w:tc>
          <w:tcPr>
            <w:tcW w:w="663" w:type="pct"/>
            <w:shd w:val="clear" w:color="auto" w:fill="auto"/>
          </w:tcPr>
          <w:p w:rsidR="001324CA" w:rsidRPr="00E12150" w:rsidRDefault="001324CA" w:rsidP="006057BE">
            <w:pPr>
              <w:pStyle w:val="TableText"/>
              <w:rPr>
                <w:rFonts w:cs="Arial"/>
                <w:sz w:val="24"/>
                <w:szCs w:val="24"/>
              </w:rPr>
            </w:pPr>
            <w:r w:rsidRPr="00E12150">
              <w:rPr>
                <w:rFonts w:cs="Arial"/>
                <w:sz w:val="24"/>
                <w:szCs w:val="24"/>
              </w:rPr>
              <w:t xml:space="preserve">$20,872 </w:t>
            </w:r>
          </w:p>
        </w:tc>
        <w:tc>
          <w:tcPr>
            <w:tcW w:w="740" w:type="pct"/>
            <w:tcBorders>
              <w:right w:val="single" w:sz="4" w:space="0" w:color="auto"/>
            </w:tcBorders>
            <w:shd w:val="clear" w:color="auto" w:fill="auto"/>
          </w:tcPr>
          <w:p w:rsidR="001324CA" w:rsidRPr="00E12150" w:rsidRDefault="001324CA" w:rsidP="006057BE">
            <w:pPr>
              <w:pStyle w:val="TableText"/>
              <w:rPr>
                <w:rFonts w:cs="Arial"/>
                <w:sz w:val="24"/>
                <w:szCs w:val="24"/>
              </w:rPr>
            </w:pPr>
            <w:r w:rsidRPr="00E12150">
              <w:rPr>
                <w:rFonts w:cs="Arial"/>
                <w:sz w:val="24"/>
                <w:szCs w:val="24"/>
              </w:rPr>
              <w:t xml:space="preserve">$170,209 </w:t>
            </w:r>
          </w:p>
        </w:tc>
      </w:tr>
      <w:tr w:rsidR="001324CA" w:rsidRPr="00E12150" w:rsidTr="00E3428E">
        <w:trPr>
          <w:trHeight w:hRule="exact" w:val="274"/>
          <w:jc w:val="right"/>
        </w:trPr>
        <w:tc>
          <w:tcPr>
            <w:tcW w:w="2248" w:type="pct"/>
            <w:tcBorders>
              <w:left w:val="single" w:sz="4" w:space="0" w:color="auto"/>
            </w:tcBorders>
            <w:shd w:val="clear" w:color="auto" w:fill="auto"/>
          </w:tcPr>
          <w:p w:rsidR="001324CA" w:rsidRPr="00E12150" w:rsidRDefault="001324CA" w:rsidP="006057BE">
            <w:pPr>
              <w:pStyle w:val="TableText"/>
              <w:rPr>
                <w:rFonts w:cs="Arial"/>
                <w:sz w:val="24"/>
                <w:szCs w:val="24"/>
              </w:rPr>
            </w:pPr>
            <w:r w:rsidRPr="00E12150">
              <w:rPr>
                <w:rFonts w:cs="Arial"/>
                <w:sz w:val="24"/>
                <w:szCs w:val="24"/>
              </w:rPr>
              <w:t>Suburban, high density (1,001–10,000 people/km</w:t>
            </w:r>
            <w:r w:rsidRPr="00E12150">
              <w:rPr>
                <w:rFonts w:cs="Arial"/>
                <w:sz w:val="24"/>
                <w:szCs w:val="24"/>
                <w:vertAlign w:val="superscript"/>
              </w:rPr>
              <w:t>2</w:t>
            </w:r>
            <w:r w:rsidRPr="00E12150">
              <w:rPr>
                <w:rFonts w:cs="Arial"/>
                <w:sz w:val="24"/>
                <w:szCs w:val="24"/>
              </w:rPr>
              <w:t>)</w:t>
            </w:r>
          </w:p>
        </w:tc>
        <w:tc>
          <w:tcPr>
            <w:tcW w:w="712" w:type="pct"/>
            <w:shd w:val="clear" w:color="auto" w:fill="auto"/>
          </w:tcPr>
          <w:p w:rsidR="001324CA" w:rsidRPr="00E12150" w:rsidRDefault="001324CA" w:rsidP="006057BE">
            <w:pPr>
              <w:pStyle w:val="TableText"/>
              <w:rPr>
                <w:rFonts w:cs="Arial"/>
                <w:sz w:val="24"/>
                <w:szCs w:val="24"/>
              </w:rPr>
            </w:pPr>
            <w:r w:rsidRPr="00E12150">
              <w:rPr>
                <w:rFonts w:cs="Arial"/>
                <w:sz w:val="24"/>
                <w:szCs w:val="24"/>
              </w:rPr>
              <w:t>51</w:t>
            </w:r>
          </w:p>
        </w:tc>
        <w:tc>
          <w:tcPr>
            <w:tcW w:w="636" w:type="pct"/>
            <w:shd w:val="clear" w:color="auto" w:fill="auto"/>
          </w:tcPr>
          <w:p w:rsidR="001324CA" w:rsidRPr="00E12150" w:rsidRDefault="001324CA" w:rsidP="006057BE">
            <w:pPr>
              <w:pStyle w:val="TableText"/>
              <w:rPr>
                <w:rFonts w:cs="Arial"/>
                <w:sz w:val="24"/>
                <w:szCs w:val="24"/>
                <w:highlight w:val="yellow"/>
              </w:rPr>
            </w:pPr>
            <w:r w:rsidRPr="00E12150">
              <w:rPr>
                <w:rFonts w:cs="Arial"/>
                <w:sz w:val="24"/>
                <w:szCs w:val="24"/>
              </w:rPr>
              <w:t xml:space="preserve">$243,144 </w:t>
            </w:r>
          </w:p>
        </w:tc>
        <w:tc>
          <w:tcPr>
            <w:tcW w:w="663" w:type="pct"/>
            <w:shd w:val="clear" w:color="auto" w:fill="auto"/>
          </w:tcPr>
          <w:p w:rsidR="001324CA" w:rsidRPr="00E12150" w:rsidRDefault="001324CA" w:rsidP="006057BE">
            <w:pPr>
              <w:pStyle w:val="TableText"/>
              <w:rPr>
                <w:rFonts w:cs="Arial"/>
                <w:sz w:val="24"/>
                <w:szCs w:val="24"/>
              </w:rPr>
            </w:pPr>
            <w:r w:rsidRPr="00E12150">
              <w:rPr>
                <w:rFonts w:cs="Arial"/>
                <w:sz w:val="24"/>
                <w:szCs w:val="24"/>
              </w:rPr>
              <w:t xml:space="preserve">$68,139 </w:t>
            </w:r>
          </w:p>
        </w:tc>
        <w:tc>
          <w:tcPr>
            <w:tcW w:w="740" w:type="pct"/>
            <w:tcBorders>
              <w:right w:val="single" w:sz="4" w:space="0" w:color="auto"/>
            </w:tcBorders>
            <w:shd w:val="clear" w:color="auto" w:fill="auto"/>
          </w:tcPr>
          <w:p w:rsidR="001324CA" w:rsidRPr="00E12150" w:rsidRDefault="001324CA" w:rsidP="006057BE">
            <w:pPr>
              <w:pStyle w:val="TableText"/>
              <w:rPr>
                <w:rFonts w:cs="Arial"/>
                <w:sz w:val="24"/>
                <w:szCs w:val="24"/>
              </w:rPr>
            </w:pPr>
            <w:r w:rsidRPr="00E12150">
              <w:rPr>
                <w:rFonts w:cs="Arial"/>
                <w:sz w:val="24"/>
                <w:szCs w:val="24"/>
              </w:rPr>
              <w:t xml:space="preserve">$991,873 </w:t>
            </w:r>
          </w:p>
        </w:tc>
      </w:tr>
      <w:tr w:rsidR="001324CA" w:rsidRPr="00E12150" w:rsidTr="00E3428E">
        <w:trPr>
          <w:trHeight w:hRule="exact" w:val="274"/>
          <w:jc w:val="right"/>
        </w:trPr>
        <w:tc>
          <w:tcPr>
            <w:tcW w:w="2248" w:type="pct"/>
            <w:tcBorders>
              <w:left w:val="single" w:sz="4" w:space="0" w:color="auto"/>
              <w:bottom w:val="single" w:sz="4" w:space="0" w:color="auto"/>
            </w:tcBorders>
            <w:shd w:val="clear" w:color="auto" w:fill="auto"/>
          </w:tcPr>
          <w:p w:rsidR="001324CA" w:rsidRPr="00E12150" w:rsidRDefault="001324CA" w:rsidP="006057BE">
            <w:pPr>
              <w:pStyle w:val="TableText"/>
              <w:rPr>
                <w:rFonts w:cs="Arial"/>
                <w:sz w:val="24"/>
                <w:szCs w:val="24"/>
              </w:rPr>
            </w:pPr>
            <w:r w:rsidRPr="00E12150">
              <w:rPr>
                <w:rFonts w:cs="Arial"/>
                <w:sz w:val="24"/>
                <w:szCs w:val="24"/>
              </w:rPr>
              <w:t>Urban (&gt; 10,000 people/km</w:t>
            </w:r>
            <w:r w:rsidRPr="00E12150">
              <w:rPr>
                <w:rFonts w:cs="Arial"/>
                <w:sz w:val="24"/>
                <w:szCs w:val="24"/>
                <w:vertAlign w:val="superscript"/>
              </w:rPr>
              <w:t>2</w:t>
            </w:r>
            <w:r w:rsidRPr="00E12150">
              <w:rPr>
                <w:rFonts w:cs="Arial"/>
                <w:sz w:val="24"/>
                <w:szCs w:val="24"/>
              </w:rPr>
              <w:t>)</w:t>
            </w:r>
          </w:p>
        </w:tc>
        <w:tc>
          <w:tcPr>
            <w:tcW w:w="712" w:type="pct"/>
            <w:tcBorders>
              <w:bottom w:val="single" w:sz="4" w:space="0" w:color="auto"/>
            </w:tcBorders>
            <w:shd w:val="clear" w:color="auto" w:fill="auto"/>
          </w:tcPr>
          <w:p w:rsidR="001324CA" w:rsidRPr="00E12150" w:rsidRDefault="001324CA" w:rsidP="006057BE">
            <w:pPr>
              <w:pStyle w:val="TableText"/>
              <w:rPr>
                <w:rFonts w:cs="Arial"/>
                <w:sz w:val="24"/>
                <w:szCs w:val="24"/>
              </w:rPr>
            </w:pPr>
            <w:r w:rsidRPr="00E12150">
              <w:rPr>
                <w:rFonts w:cs="Arial"/>
                <w:sz w:val="24"/>
                <w:szCs w:val="24"/>
              </w:rPr>
              <w:t>16</w:t>
            </w:r>
          </w:p>
        </w:tc>
        <w:tc>
          <w:tcPr>
            <w:tcW w:w="636" w:type="pct"/>
            <w:tcBorders>
              <w:bottom w:val="single" w:sz="4" w:space="0" w:color="auto"/>
            </w:tcBorders>
            <w:shd w:val="clear" w:color="auto" w:fill="auto"/>
          </w:tcPr>
          <w:p w:rsidR="001324CA" w:rsidRPr="00E12150" w:rsidRDefault="001324CA" w:rsidP="006057BE">
            <w:pPr>
              <w:pStyle w:val="TableText"/>
              <w:rPr>
                <w:rFonts w:cs="Arial"/>
                <w:sz w:val="24"/>
                <w:szCs w:val="24"/>
                <w:highlight w:val="yellow"/>
              </w:rPr>
            </w:pPr>
            <w:r w:rsidRPr="00E12150">
              <w:rPr>
                <w:rFonts w:cs="Arial"/>
                <w:sz w:val="24"/>
                <w:szCs w:val="24"/>
              </w:rPr>
              <w:t xml:space="preserve">$582,899 </w:t>
            </w:r>
          </w:p>
        </w:tc>
        <w:tc>
          <w:tcPr>
            <w:tcW w:w="663" w:type="pct"/>
            <w:tcBorders>
              <w:bottom w:val="single" w:sz="4" w:space="0" w:color="auto"/>
            </w:tcBorders>
            <w:shd w:val="clear" w:color="auto" w:fill="auto"/>
          </w:tcPr>
          <w:p w:rsidR="001324CA" w:rsidRPr="00E12150" w:rsidRDefault="001324CA" w:rsidP="006057BE">
            <w:pPr>
              <w:pStyle w:val="TableText"/>
              <w:rPr>
                <w:rFonts w:cs="Arial"/>
                <w:sz w:val="24"/>
                <w:szCs w:val="24"/>
              </w:rPr>
            </w:pPr>
            <w:r w:rsidRPr="00E12150">
              <w:rPr>
                <w:rFonts w:cs="Arial"/>
                <w:sz w:val="24"/>
                <w:szCs w:val="24"/>
              </w:rPr>
              <w:t xml:space="preserve">$233,498 </w:t>
            </w:r>
          </w:p>
        </w:tc>
        <w:tc>
          <w:tcPr>
            <w:tcW w:w="740" w:type="pct"/>
            <w:tcBorders>
              <w:bottom w:val="single" w:sz="4" w:space="0" w:color="auto"/>
              <w:right w:val="single" w:sz="4" w:space="0" w:color="auto"/>
            </w:tcBorders>
            <w:shd w:val="clear" w:color="auto" w:fill="auto"/>
          </w:tcPr>
          <w:p w:rsidR="001324CA" w:rsidRPr="00E12150" w:rsidRDefault="001324CA" w:rsidP="006057BE">
            <w:pPr>
              <w:pStyle w:val="TableText"/>
              <w:rPr>
                <w:rFonts w:cs="Arial"/>
                <w:sz w:val="24"/>
                <w:szCs w:val="24"/>
              </w:rPr>
            </w:pPr>
            <w:r w:rsidRPr="00E12150">
              <w:rPr>
                <w:rFonts w:cs="Arial"/>
                <w:sz w:val="24"/>
                <w:szCs w:val="24"/>
              </w:rPr>
              <w:t xml:space="preserve">$2,875,048 </w:t>
            </w:r>
          </w:p>
        </w:tc>
      </w:tr>
    </w:tbl>
    <w:p w:rsidR="00B133C6" w:rsidRDefault="00B133C6" w:rsidP="006057BE">
      <w:pPr>
        <w:pStyle w:val="TableSourceCaption"/>
        <w:tabs>
          <w:tab w:val="clear" w:pos="792"/>
          <w:tab w:val="left" w:pos="0"/>
        </w:tabs>
        <w:spacing w:before="0" w:line="240" w:lineRule="auto"/>
        <w:ind w:left="0" w:firstLine="0"/>
        <w:rPr>
          <w:rFonts w:cs="Arial"/>
          <w:sz w:val="24"/>
          <w:szCs w:val="24"/>
        </w:rPr>
      </w:pPr>
    </w:p>
    <w:p w:rsidR="001324CA" w:rsidRPr="00104C7B" w:rsidRDefault="001324CA" w:rsidP="006057BE">
      <w:pPr>
        <w:pStyle w:val="TableSourceCaption"/>
        <w:tabs>
          <w:tab w:val="clear" w:pos="792"/>
          <w:tab w:val="left" w:pos="0"/>
        </w:tabs>
        <w:spacing w:before="0" w:line="240" w:lineRule="auto"/>
        <w:ind w:left="0" w:firstLine="0"/>
        <w:rPr>
          <w:rFonts w:cs="Arial"/>
          <w:sz w:val="20"/>
          <w:szCs w:val="24"/>
        </w:rPr>
      </w:pPr>
      <w:r w:rsidRPr="00104C7B">
        <w:rPr>
          <w:rFonts w:cs="Arial"/>
          <w:sz w:val="20"/>
          <w:szCs w:val="24"/>
        </w:rPr>
        <w:t xml:space="preserve">Sources: Mathematica’s analysis of impacts of legalized adult use of marijuana in Massachusetts using estimates from the literature, key stakeholder interviews, and primary and secondary data sources. See Appendix </w:t>
      </w:r>
      <w:r w:rsidR="0010613B">
        <w:rPr>
          <w:rFonts w:cs="Arial"/>
          <w:sz w:val="20"/>
          <w:szCs w:val="24"/>
        </w:rPr>
        <w:t>C</w:t>
      </w:r>
      <w:r w:rsidR="00104C7B">
        <w:rPr>
          <w:rFonts w:cs="Arial"/>
          <w:sz w:val="20"/>
          <w:szCs w:val="24"/>
        </w:rPr>
        <w:t xml:space="preserve"> </w:t>
      </w:r>
      <w:r w:rsidRPr="00104C7B">
        <w:rPr>
          <w:rFonts w:cs="Arial"/>
          <w:sz w:val="20"/>
          <w:szCs w:val="24"/>
        </w:rPr>
        <w:t xml:space="preserve">Table </w:t>
      </w:r>
      <w:r w:rsidR="0010613B">
        <w:rPr>
          <w:rFonts w:cs="Arial"/>
          <w:sz w:val="20"/>
          <w:szCs w:val="24"/>
        </w:rPr>
        <w:t>C</w:t>
      </w:r>
      <w:r w:rsidRPr="00104C7B">
        <w:rPr>
          <w:rFonts w:cs="Arial"/>
          <w:sz w:val="20"/>
          <w:szCs w:val="24"/>
        </w:rPr>
        <w:t>.1 for data sources used to inform these estimates.</w:t>
      </w:r>
    </w:p>
    <w:p w:rsidR="001324CA" w:rsidRPr="00104C7B" w:rsidRDefault="001324CA" w:rsidP="006057BE">
      <w:pPr>
        <w:pStyle w:val="TableSourceCaption"/>
        <w:tabs>
          <w:tab w:val="clear" w:pos="792"/>
          <w:tab w:val="left" w:pos="0"/>
        </w:tabs>
        <w:spacing w:before="0" w:line="240" w:lineRule="auto"/>
        <w:ind w:left="0" w:firstLine="0"/>
        <w:rPr>
          <w:rFonts w:cs="Arial"/>
          <w:sz w:val="20"/>
          <w:szCs w:val="24"/>
        </w:rPr>
      </w:pPr>
      <w:r w:rsidRPr="00104C7B">
        <w:rPr>
          <w:rFonts w:cs="Arial"/>
          <w:sz w:val="20"/>
          <w:szCs w:val="24"/>
        </w:rPr>
        <w:t>Note: The table includes only cities and towns in which a marijuana dispensary is projected to be open within the first two years of marijuana retail sales; no rural areas (&lt; 100 people/km</w:t>
      </w:r>
      <w:r w:rsidRPr="00104C7B">
        <w:rPr>
          <w:rFonts w:cs="Arial"/>
          <w:sz w:val="20"/>
          <w:szCs w:val="24"/>
          <w:vertAlign w:val="superscript"/>
        </w:rPr>
        <w:t>2</w:t>
      </w:r>
      <w:r w:rsidRPr="00104C7B">
        <w:rPr>
          <w:rFonts w:cs="Arial"/>
          <w:sz w:val="20"/>
          <w:szCs w:val="24"/>
        </w:rPr>
        <w:t xml:space="preserve">) are expected to have open dispensaries. Appendix </w:t>
      </w:r>
      <w:r w:rsidR="0010613B">
        <w:rPr>
          <w:rFonts w:cs="Arial"/>
          <w:sz w:val="20"/>
          <w:szCs w:val="24"/>
        </w:rPr>
        <w:t>C</w:t>
      </w:r>
      <w:r w:rsidR="00104C7B">
        <w:rPr>
          <w:rFonts w:cs="Arial"/>
          <w:sz w:val="20"/>
          <w:szCs w:val="24"/>
        </w:rPr>
        <w:t xml:space="preserve"> Table </w:t>
      </w:r>
      <w:r w:rsidR="0010613B">
        <w:rPr>
          <w:rFonts w:cs="Arial"/>
          <w:sz w:val="20"/>
          <w:szCs w:val="24"/>
        </w:rPr>
        <w:t>C</w:t>
      </w:r>
      <w:r w:rsidRPr="00104C7B">
        <w:rPr>
          <w:rFonts w:cs="Arial"/>
          <w:sz w:val="20"/>
          <w:szCs w:val="24"/>
        </w:rPr>
        <w:t xml:space="preserve">.2 provides estimates assuming RMDs are open in all Massachusetts cities and towns within the first two years of legalization. See Appendix </w:t>
      </w:r>
      <w:r w:rsidR="0010613B">
        <w:rPr>
          <w:rFonts w:cs="Arial"/>
          <w:sz w:val="20"/>
          <w:szCs w:val="24"/>
        </w:rPr>
        <w:t>C</w:t>
      </w:r>
      <w:r w:rsidR="00104C7B">
        <w:rPr>
          <w:rFonts w:cs="Arial"/>
          <w:sz w:val="20"/>
          <w:szCs w:val="24"/>
        </w:rPr>
        <w:t xml:space="preserve"> Table </w:t>
      </w:r>
      <w:r w:rsidR="0010613B">
        <w:rPr>
          <w:rFonts w:cs="Arial"/>
          <w:sz w:val="20"/>
          <w:szCs w:val="24"/>
        </w:rPr>
        <w:t>C</w:t>
      </w:r>
      <w:r w:rsidRPr="00104C7B">
        <w:rPr>
          <w:rFonts w:cs="Arial"/>
          <w:sz w:val="20"/>
          <w:szCs w:val="24"/>
        </w:rPr>
        <w:t>.3 for estimates by city or town.</w:t>
      </w:r>
    </w:p>
    <w:p w:rsidR="001324CA" w:rsidRPr="00E12150" w:rsidRDefault="001324CA" w:rsidP="006057BE">
      <w:pPr>
        <w:pStyle w:val="NormalSS"/>
        <w:spacing w:after="0"/>
        <w:rPr>
          <w:rFonts w:ascii="Arial" w:hAnsi="Arial" w:cs="Arial"/>
          <w:sz w:val="24"/>
          <w:szCs w:val="24"/>
        </w:rPr>
      </w:pPr>
    </w:p>
    <w:p w:rsidR="001324CA" w:rsidRPr="00B133C6" w:rsidRDefault="001324CA" w:rsidP="005F7A46">
      <w:pPr>
        <w:pStyle w:val="Heading2"/>
      </w:pPr>
      <w:bookmarkStart w:id="667" w:name="_Toc11766046"/>
      <w:bookmarkStart w:id="668" w:name="_Toc11766701"/>
      <w:bookmarkStart w:id="669" w:name="_Toc11917274"/>
      <w:bookmarkStart w:id="670" w:name="_Toc11921712"/>
      <w:bookmarkStart w:id="671" w:name="_Toc12520968"/>
      <w:bookmarkStart w:id="672" w:name="_Toc12521194"/>
      <w:bookmarkStart w:id="673" w:name="_Toc12529164"/>
      <w:r w:rsidRPr="00B133C6">
        <w:t>Discussion</w:t>
      </w:r>
      <w:bookmarkEnd w:id="667"/>
      <w:bookmarkEnd w:id="668"/>
      <w:bookmarkEnd w:id="669"/>
      <w:bookmarkEnd w:id="670"/>
      <w:bookmarkEnd w:id="671"/>
      <w:bookmarkEnd w:id="672"/>
      <w:bookmarkEnd w:id="673"/>
    </w:p>
    <w:p w:rsidR="00B133C6" w:rsidRPr="00B133C6" w:rsidRDefault="00B133C6" w:rsidP="006057BE">
      <w:pPr>
        <w:pStyle w:val="NormalSS"/>
        <w:spacing w:after="0"/>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 xml:space="preserve">We estimate that the legalization of adult use of marijuana will result in an increase of approximately $215.8 million to the Massachusetts state budget over the </w:t>
      </w:r>
      <w:r>
        <w:rPr>
          <w:rFonts w:ascii="Arial" w:hAnsi="Arial" w:cs="Arial"/>
          <w:sz w:val="24"/>
          <w:szCs w:val="24"/>
        </w:rPr>
        <w:t xml:space="preserve">first two years </w:t>
      </w:r>
      <w:r w:rsidRPr="00E12150">
        <w:rPr>
          <w:rFonts w:ascii="Arial" w:hAnsi="Arial" w:cs="Arial"/>
          <w:sz w:val="24"/>
          <w:szCs w:val="24"/>
        </w:rPr>
        <w:t>of retail sales, largely as a result of sales and excise taxes collected on retail marijuana purchases. Although our model includes fiscal impacts of legalization due to a number of domains, most are miniscule compared to increases expected from sales and business tax revenue. The increase will largely be a result of retail purchases made by adults with heavy use—defined as consuming marijuana an average of 21 days or more each month. New business income tax revenue from marijuana dispensaries will also be a major contributor, as will increases in income tax revenue (primarily due to increased worker productivity among adults over age 50 who are able to control debilitating medical ailments with marijuana).  When we included measures calculated with less certainty (because of either a lack of data or an uncertain time frame within which impacts could occur), we estimate that the state may see an additional $65.3 million added to its budget. This increase would mainly come from added individual income tax revenue from worker productivity gains in older adults able to control serious ailments with marijuana.</w:t>
      </w:r>
    </w:p>
    <w:p w:rsidR="001324CA" w:rsidRDefault="001324CA"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Our estimate of tax revenue is heavily influenced by assumptions about the number of current marijuana users in Massachusetts. Because previous population surveys (used to inform our main model estimates) yielded a lower estimate of prevalence of use than the MBHS Task 1 survey, our main model estimate may be conservative. However, because we assumed that changes seen when moving from medical marijuana sales to retail marijuana sales could be as high as moving from no legal marijuana sales to medical marijuana sales, our fiscal estimates could also be somewhat higher than may be realized.</w:t>
      </w:r>
    </w:p>
    <w:p w:rsidR="001324CA" w:rsidRDefault="001324CA"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 xml:space="preserve">A strength of our analytic approach is that the Monte Carlo simulation factors the uncertainty of inputs into the model estimates; that is, we were able to incorporate plausible ranges of values for inputs to not overstate their certainty. The combination of uncertain inputs leads to substantial uncertainty in the estimated impact of adult use legalization on the state budget, as indicated by the wide confidence interval around the estimate. As more studies are published on the impacts of adult use legalization, the ranges of estimates from the literature will be better defined and our impact estimates will become more precise. </w:t>
      </w: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 xml:space="preserve">The results of our model should be interpreted in the context of Massachusetts-specific information, such as the proposed regulatory framework, tax regime, and existing medical marijuana program. Below, we provide additional details on the assumptions and implications of our approach with respect to the four domains included in our analysis: sales tax revenue, regulatory oversight, law enforcement, and public health. We also compare how our estimate of the fiscal impact of adult use of marijuana legalization compares with previous impact estimates (generated from the Massachusetts Department of Revenue [DOR] and in other states with legalized use) and discuss limitations of our approach. </w:t>
      </w:r>
    </w:p>
    <w:p w:rsidR="00B133C6" w:rsidRPr="00A3309E" w:rsidRDefault="00B133C6" w:rsidP="006057BE">
      <w:pPr>
        <w:pStyle w:val="NormalSS"/>
        <w:spacing w:after="0"/>
        <w:rPr>
          <w:rFonts w:ascii="Arial Bold" w:hAnsi="Arial Bold" w:cs="Arial"/>
          <w:sz w:val="20"/>
          <w:szCs w:val="24"/>
        </w:rPr>
      </w:pPr>
    </w:p>
    <w:p w:rsidR="001324CA" w:rsidRPr="003224ED" w:rsidRDefault="001324CA" w:rsidP="00F950A2">
      <w:pPr>
        <w:pStyle w:val="Heading3"/>
      </w:pPr>
      <w:bookmarkStart w:id="674" w:name="_Toc11766047"/>
      <w:bookmarkStart w:id="675" w:name="_Toc11766702"/>
      <w:r w:rsidRPr="003224ED">
        <w:t>Sales Tax Revenue</w:t>
      </w:r>
      <w:bookmarkEnd w:id="674"/>
      <w:bookmarkEnd w:id="675"/>
      <w:r w:rsidRPr="003224ED">
        <w:t xml:space="preserve"> </w:t>
      </w:r>
    </w:p>
    <w:p w:rsidR="00B133C6" w:rsidRPr="00B133C6" w:rsidRDefault="00B133C6" w:rsidP="006057BE">
      <w:pPr>
        <w:pStyle w:val="NormalSS"/>
        <w:spacing w:after="0"/>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We project fiscal impacts within a two-year window starting at the commencement of retail marijuana sales, but it is important to note that the revenue generated is heavily weighted toward the tail end of the two-year period. Indeed, in other states that have implemented retail marijuana sales for at least two years (Colorado, Washington, and Oregon), 66% to 77% of sales tax revenue collected within the first two years was generated in the second year (Colorado DOR, 2018; Oregon DOR, n.d.; Washington State LCB, n.d.), and the data suggest that sales tax revenues are likely to increase substantially after consumers, suppliers, and regulators adjust to the new regime.</w:t>
      </w:r>
      <w:r w:rsidRPr="00E12150">
        <w:rPr>
          <w:rStyle w:val="FootnoteReference"/>
          <w:rFonts w:ascii="Arial" w:hAnsi="Arial" w:cs="Arial"/>
          <w:sz w:val="24"/>
          <w:szCs w:val="24"/>
        </w:rPr>
        <w:footnoteReference w:id="27"/>
      </w:r>
      <w:r w:rsidRPr="00E12150">
        <w:rPr>
          <w:rFonts w:ascii="Arial" w:hAnsi="Arial" w:cs="Arial"/>
          <w:sz w:val="24"/>
          <w:szCs w:val="24"/>
        </w:rPr>
        <w:t xml:space="preserve"> Based on data from these states, we assumed that about 70% of the two-year estimate of sales tax revenue would be collected from Massachusetts RMDs in the second year of sales. This translates to an estimated $61.6 million collected in the first year and $154.2 million in the second year of retail sales. It is important to note we cannot claim with certainty that spending on marijuana represents new spending rather than a shift from other recreational options like spending on alcohol. Similarly, income tax revenue from new dispensary jobs may represent transfers from other industries. As a result, it is possible that some amount of tax revenue generated by legalization may be offset by a reduction in tax revenue elsewhere. </w:t>
      </w:r>
    </w:p>
    <w:p w:rsidR="00B133C6" w:rsidRPr="00E12150" w:rsidRDefault="00B133C6"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Our methodology for estimating change in tax revenue attributable to marijuana legalization differs from other models in two major respects. First, we did not factor in changes in the price of marijuana over time because it is particularly difficult to know the rate at which prices will change within the first two years of legalization (Hunt &amp; Pacula, 2017). Instead, we estimated a single, average price of marijuana during the study period based on crowd-sourced data and data from RMDs. We also did not link marijuana prices to sales volumes—that is, examine the price elasticity of demand—because doing so compounds this uncertainty.</w:t>
      </w:r>
      <w:r w:rsidRPr="00E12150">
        <w:rPr>
          <w:rStyle w:val="FootnoteReference"/>
          <w:rFonts w:ascii="Arial" w:hAnsi="Arial" w:cs="Arial"/>
          <w:sz w:val="24"/>
          <w:szCs w:val="24"/>
        </w:rPr>
        <w:footnoteReference w:id="28"/>
      </w:r>
      <w:r w:rsidRPr="00E12150">
        <w:rPr>
          <w:rFonts w:ascii="Arial" w:hAnsi="Arial" w:cs="Arial"/>
          <w:sz w:val="24"/>
          <w:szCs w:val="24"/>
        </w:rPr>
        <w:t xml:space="preserve"> Instead, we estimated changes in demand using marijuana use quantities derived from the literature and MBHS Task 1 survey results, coupled with changes in use behavior derived from the growing body of evidence from states that have legalized marijuana use.</w:t>
      </w: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Second, we did not account for expected increases in revenue related to the establishment and growth of the broader marijuana industry. Several previous studies attempted to quantify these macroeconomic impacts, with mixed results; one study concluded that previous analyses underestimate or overestimate impacts by up to 300% (Light, Orens, Rowberry, &amp; Saloga, 2016). However, it is likely that the development of a novel industry will generate some amount of tax revenues from businesses that grow, manufacture, or test marijuana and stimulate growth among traditional businesses that supply or interact with this new market.</w:t>
      </w:r>
    </w:p>
    <w:p w:rsidR="00B133C6" w:rsidRPr="00E12150" w:rsidRDefault="00B133C6"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Our model also assumed a steady growth rate in medical marijuana patients (based on current growth trajectories) that would be unchanged after retail sales begin. Because medical marijuana is untaxed in Massachusetts, it may be more attractive to new marijuana consumers once retail sales begin. Accordingly, it is possible that the initiation of retail sales could actually increase the rate of growth in medical marijuana use. However, we did not model this scenario.</w:t>
      </w: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Whenever possible, we benchmarked our estimates against other sources. For example, we found that the median price per gram of dried flower marijuana ($13.70) based on crowdsourced data for Massachusetts was nearly identical to the median price per gram sold by RMDs for medical use ($13.30). Also, based on stakeholder interviews, we estimated that the price of marijuana during the two-year study period will be roughly 75% of the current price. The prices also align with data from other sources, which suggest that post-legalization prices in other states have fallen roughly 20% per year (Committee on Foreign Affairs and International Trade, 2018). Finally, data on marijuana use frequency from the MBHS Task 1 survey align with data from the 2015–2016 NSDUH survey of Massachusetts residents in that both suggest that approximately two-thirds of current marijuana users are “regular” users based on their use frequency being between 1 and 20 days per month, and the remaining one-third are “heavy” users based on a use frequency of 21 or more days per month. The sources also indicate that regular users average 7 use days per month, and heavy users average approximately 29 use days per month.</w:t>
      </w:r>
    </w:p>
    <w:p w:rsidR="00B133C6" w:rsidRPr="00E12150" w:rsidRDefault="00B133C6"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Estimates of the average amount of marijuana consumed per day of use among current marijuana users were inconsistent between the MBHS Task 1 survey and the literature. To estimate dollars spent per day of marijuana use, we derived dollars spend in the past month on the average number of days marijuana was used in the past month –both of which were estimated using the MBHS Task 1 survey. We then divided this by the average price per gram of marijuana to estimate the average number of grams used per day. Our calculations yielded an average daily use of: 0.17 grams consumed by regular users and 0.32 grams consumed by heavy users. By contrast, estimates from Kilmer et al. (2013) were much higher: 0.67 grams and 1.6 grams, respectively. One explanation for the difference is that marijuana potency may have increased between 2013 and 2017, such that consuming fewer grams now achieves the same effect as in 2013. Another possibility is that our estimate of the price per gram of marijuana was inaccurate. Our estimate combines information on black market and RMD pricing. If MBHS Task 1 survey respondents paid less per gram than we estimated, this would then result in higher estimates that may be more in line with Kilmer et al. (2013). To account for the uncertainty in average marijuana grams consumed each day of use, we varied the model estimate for use between the MBHS Task 1 survey estimate and the estimate from Kilmer et al. (2013).</w:t>
      </w:r>
    </w:p>
    <w:p w:rsidR="00B133C6" w:rsidRPr="00A3309E" w:rsidRDefault="00B133C6" w:rsidP="006057BE">
      <w:pPr>
        <w:pStyle w:val="NormalSS"/>
        <w:spacing w:after="0"/>
        <w:rPr>
          <w:rFonts w:ascii="Arial" w:hAnsi="Arial" w:cs="Arial"/>
          <w:szCs w:val="24"/>
        </w:rPr>
      </w:pPr>
    </w:p>
    <w:p w:rsidR="001324CA" w:rsidRPr="003224ED" w:rsidRDefault="001324CA" w:rsidP="00F950A2">
      <w:pPr>
        <w:pStyle w:val="Heading3"/>
      </w:pPr>
      <w:bookmarkStart w:id="676" w:name="_Toc11766048"/>
      <w:bookmarkStart w:id="677" w:name="_Toc11766703"/>
      <w:r w:rsidRPr="003224ED">
        <w:t>Regulatory Oversight</w:t>
      </w:r>
      <w:bookmarkEnd w:id="676"/>
      <w:bookmarkEnd w:id="677"/>
    </w:p>
    <w:p w:rsidR="00B133C6" w:rsidRPr="00B133C6" w:rsidRDefault="00B133C6" w:rsidP="006057BE">
      <w:pPr>
        <w:pStyle w:val="NormalSS"/>
        <w:spacing w:after="0"/>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Our model suggests that within the first two years of retail sales, the cost of regulatory oversight will be offset by revenue generated from application fees and fines collected by the CCC. However, our analyses of regulatory costs incurred by other states that have legalized retail sales show a great deal of variability in the cost of regulating marijuana, even after accounting for differences in population size and number of RMDs. In Washington (which has approximately 100 marijuana dispensaries</w:t>
      </w:r>
      <w:r w:rsidRPr="00E12150">
        <w:rPr>
          <w:rStyle w:val="FootnoteReference"/>
          <w:rFonts w:ascii="Arial" w:hAnsi="Arial" w:cs="Arial"/>
          <w:sz w:val="24"/>
          <w:szCs w:val="24"/>
        </w:rPr>
        <w:footnoteReference w:id="29"/>
      </w:r>
      <w:r w:rsidRPr="00E12150">
        <w:rPr>
          <w:rFonts w:ascii="Arial" w:hAnsi="Arial" w:cs="Arial"/>
          <w:sz w:val="24"/>
          <w:szCs w:val="24"/>
        </w:rPr>
        <w:t>), we estimated total regulatory costs to be $52,638 per dispensary per year, whereas in Colorado (which has approximately 371 marijuana dispensaries</w:t>
      </w:r>
      <w:r w:rsidRPr="00E12150">
        <w:rPr>
          <w:rStyle w:val="FootnoteReference"/>
          <w:rFonts w:ascii="Arial" w:hAnsi="Arial" w:cs="Arial"/>
          <w:sz w:val="24"/>
          <w:szCs w:val="24"/>
        </w:rPr>
        <w:footnoteReference w:id="30"/>
      </w:r>
      <w:r w:rsidRPr="00E12150">
        <w:rPr>
          <w:rFonts w:ascii="Arial" w:hAnsi="Arial" w:cs="Arial"/>
          <w:sz w:val="24"/>
          <w:szCs w:val="24"/>
        </w:rPr>
        <w:t>), the corresponding estimate was $31,945. There are, however, notable differences in regulatory operations between states. For example, following legalization of adult use of marijuana in Washington in 2012, the state did not create a new regulatory agency but rather incorporated cannabis regulation under the state’s LCB. Given that Massachusetts will have a separate regulatory body—the CCC—rather than incorporating cannabis regulation under the state’s LCB, Massachusetts may incur additional costs not included in the estimates from Washington. Additionally, at the time of legalizing retail marijuana, Washington did not have a robust medical marijuana law or medical dispensaries prior to the legalization of adult use of marijuana (even though medical marijuana had been legal in Washington since 1998).</w:t>
      </w:r>
      <w:r w:rsidRPr="00E12150">
        <w:rPr>
          <w:rStyle w:val="FootnoteReference"/>
          <w:rFonts w:ascii="Arial" w:hAnsi="Arial" w:cs="Arial"/>
          <w:sz w:val="24"/>
          <w:szCs w:val="24"/>
        </w:rPr>
        <w:footnoteReference w:id="31"/>
      </w:r>
      <w:r w:rsidRPr="00E12150">
        <w:rPr>
          <w:rFonts w:ascii="Arial" w:hAnsi="Arial" w:cs="Arial"/>
          <w:sz w:val="24"/>
          <w:szCs w:val="24"/>
        </w:rPr>
        <w:t xml:space="preserve"> Medical marijuana became more formally regulated in Washington in 2015, requiring a second wave of regulatory work to incorporate medical use under the LCB. </w:t>
      </w:r>
    </w:p>
    <w:p w:rsidR="001324CA" w:rsidRDefault="001324CA"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 xml:space="preserve">Data from Washington show that 55% of regulatory costs incurred within the first two years of legalization were associated with rulemaking, licensure, and enforcement; spending on health and social service programs accounting for another 38% of costs. In Washington, these costs totaled $105,250 per year after start-up, whereas in Colorado, the cost ranged from $164,634 to $172,031 per year. In our model, we considered as regulatory costs any recurring law enforcement activities at the state and local level, including employee blood testing for individuals suspected of driving under the influence as well as administrative, legal, and judicial costs associated with suspended or revoked licenses. We estimated these costs by translating the range of estimates from Washington and Colorado to Massachusetts on a per capita basis. </w:t>
      </w: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Because of a lack of data, we did not attempt to factor regulatory costs at the local level into our model. We learned through a stakeholder interview that local governments in Washington struggled to keep up with ongoing regulatory changes, which required several staff dedicated to monitoring these changes. Although local governments initially absorbed start-up costs required to regulate businesses locally, eventually the fees they collected on licenses ended up covering the costs of regulating businesses locally. Based on information from the CCC,</w:t>
      </w:r>
      <w:r w:rsidRPr="00E12150">
        <w:rPr>
          <w:rStyle w:val="FootnoteReference"/>
          <w:rFonts w:ascii="Arial" w:hAnsi="Arial" w:cs="Arial"/>
          <w:sz w:val="24"/>
          <w:szCs w:val="24"/>
        </w:rPr>
        <w:footnoteReference w:id="32"/>
      </w:r>
      <w:r w:rsidRPr="00E12150">
        <w:rPr>
          <w:rFonts w:ascii="Arial" w:hAnsi="Arial" w:cs="Arial"/>
          <w:sz w:val="24"/>
          <w:szCs w:val="24"/>
        </w:rPr>
        <w:t xml:space="preserve"> we anticipate that the Marijuana Regulation Fund that the CCC establishes could cover much of the costs of education and prevention as well as municipal police training. The expert we interviewed also indicated that the main factor differentiating local regulatory costs in Washington, from one city to another, is whether the city focuses on marijuana production or on retail sales. For producers (which are largely located in rural areas), primary costs involve odor and environmental issues surrounding waste disposal and wastewater. For retailers (which are more concentrated in urban areas), age compliance and traceability have been major sources of concern that have added costs. Also, rural towns—which were more likely to ban marijuana retail sales—incurred costs associated with lawsuits by businesses wanting to open an RMD.</w:t>
      </w:r>
    </w:p>
    <w:p w:rsidR="00B133C6" w:rsidRDefault="00B133C6" w:rsidP="006057BE">
      <w:pPr>
        <w:pStyle w:val="NormalSS"/>
        <w:spacing w:after="0"/>
        <w:rPr>
          <w:rFonts w:ascii="Arial Bold" w:hAnsi="Arial Bold" w:cs="Arial"/>
          <w:szCs w:val="24"/>
        </w:rPr>
      </w:pPr>
    </w:p>
    <w:p w:rsidR="001324CA" w:rsidRPr="003224ED" w:rsidRDefault="001324CA" w:rsidP="00F950A2">
      <w:pPr>
        <w:pStyle w:val="Heading3"/>
      </w:pPr>
      <w:bookmarkStart w:id="678" w:name="_Toc11766049"/>
      <w:bookmarkStart w:id="679" w:name="_Toc11766704"/>
      <w:r w:rsidRPr="003224ED">
        <w:t>Law Enforcement</w:t>
      </w:r>
      <w:bookmarkEnd w:id="678"/>
      <w:bookmarkEnd w:id="679"/>
    </w:p>
    <w:p w:rsidR="00B133C6" w:rsidRPr="00B133C6" w:rsidRDefault="00B133C6" w:rsidP="006057BE">
      <w:pPr>
        <w:pStyle w:val="NormalSS"/>
        <w:spacing w:after="0"/>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Our modest projected reductions of law enforcement costs reflect a two-thirds decrease in marijuana arrests in the years preceding legalization of retail sales.</w:t>
      </w:r>
      <w:r w:rsidRPr="00E12150">
        <w:rPr>
          <w:rStyle w:val="FootnoteReference"/>
          <w:rFonts w:ascii="Arial" w:hAnsi="Arial" w:cs="Arial"/>
          <w:sz w:val="24"/>
          <w:szCs w:val="24"/>
        </w:rPr>
        <w:footnoteReference w:id="33"/>
      </w:r>
      <w:r w:rsidRPr="00E12150">
        <w:rPr>
          <w:rFonts w:ascii="Arial" w:hAnsi="Arial" w:cs="Arial"/>
          <w:sz w:val="24"/>
          <w:szCs w:val="24"/>
        </w:rPr>
        <w:t xml:space="preserve"> Because few people currently enter the criminal justice system for marijuana offenses, further decreases in incarcerations will have little effect on statewide expenditures. However, this estimate is subject to a few limitations. First, it is difficult to obtain reliable data on individuals charged with marijuana offenses who are also charged with other, more serious crimes. It is possible that sentence lengths assigned to this group will be reduced when marijuana sales are legally permitted, further reducing costs. Second, some law enforcement officials in Massachusetts and elsewhere are skeptical of findings that marijuana legalization reduces vehicular crashes and express concern about increases in the incidence of driving under the influence of marijuana (Migoya, 2017; stakeholder interview). If these concerns are borne out, traffic fatalities will represent an increase rather than a decrease in expenditures. Also, there may be other benefits that manifest from reducing the proportion of the population incarcerated for marijuana-related crimes. However, such benefits are challenging to quantify, given a lack of evidence, and they may take longer than two years to be realized.</w:t>
      </w:r>
    </w:p>
    <w:p w:rsidR="00B133C6" w:rsidRPr="00E12150" w:rsidRDefault="00B133C6"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 xml:space="preserve">With respect to impaired driving, our model included an estimated decrease in motor vehicle fatalities attributed to adult use of marijuana legalization. There is some evidence of increases in THC blood concentrations among drivers after adult use legalization that could also contribute to increases in non-fatal motor vehicle crashes. For example, a report from Washington that analyzed trends over time before and after adult use of marijuana legalization found that the proportion of drivers testing positive for THC was fairly constant before and immediately after adult use legalization took effect, but that beginning approximately 9 months after adult use legalization took effect, the proportion began to increase substantially at a rate of 9.7% per year (Tefft, Arnold, &amp; Grabowski, 2016). In addition, the law enforcement communities in Colorado and Washington have expressed anecdotal concerns that marijuana is increasing both fatal- and non-fatal motor vehicle crashes (Migoya, 2017). Because these studies did not meet our causal evidence guidelines, we did not include estimates from them in our model. </w:t>
      </w: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Finally, although our model factored in a start-up cost of $655,000 in Massachusetts (based on stakeholder input) for Drug Recognition Expert and Advanced Roadside Impaired Driving Enforcement officer training, data from Washington indicate that the costs could be much higher. The Washington State Patrol spent $2.1 million on employee training on cannabis impaired driving, which accounts for 77% of the increase in law enforcement costs attributed to marijuana legalization within the first five years. Additional costs may be incurred for driving campaigns and other public safety messaging.</w:t>
      </w:r>
    </w:p>
    <w:p w:rsidR="00B133C6" w:rsidRPr="00E12150" w:rsidRDefault="00B133C6" w:rsidP="006057BE">
      <w:pPr>
        <w:pStyle w:val="NormalSS"/>
        <w:spacing w:after="0"/>
        <w:rPr>
          <w:rFonts w:ascii="Arial" w:hAnsi="Arial" w:cs="Arial"/>
          <w:sz w:val="24"/>
          <w:szCs w:val="24"/>
        </w:rPr>
      </w:pPr>
    </w:p>
    <w:p w:rsidR="001324CA" w:rsidRPr="003224ED" w:rsidRDefault="001324CA" w:rsidP="00F950A2">
      <w:pPr>
        <w:pStyle w:val="Heading3"/>
      </w:pPr>
      <w:bookmarkStart w:id="680" w:name="_Toc11766050"/>
      <w:bookmarkStart w:id="681" w:name="_Toc11766705"/>
      <w:r w:rsidRPr="003224ED">
        <w:t>Public Health</w:t>
      </w:r>
      <w:bookmarkEnd w:id="680"/>
      <w:bookmarkEnd w:id="681"/>
    </w:p>
    <w:p w:rsidR="00B133C6" w:rsidRPr="00B133C6" w:rsidRDefault="00B133C6" w:rsidP="006057BE">
      <w:pPr>
        <w:pStyle w:val="NormalSS"/>
        <w:spacing w:after="0"/>
      </w:pPr>
    </w:p>
    <w:p w:rsidR="001324CA" w:rsidRPr="00E12150" w:rsidRDefault="001324CA" w:rsidP="006057BE">
      <w:pPr>
        <w:pStyle w:val="NormalSS"/>
        <w:spacing w:after="0"/>
        <w:rPr>
          <w:rFonts w:ascii="Arial" w:hAnsi="Arial" w:cs="Arial"/>
          <w:i/>
          <w:sz w:val="24"/>
          <w:szCs w:val="24"/>
        </w:rPr>
      </w:pPr>
      <w:r w:rsidRPr="00E12150">
        <w:rPr>
          <w:rFonts w:ascii="Arial" w:hAnsi="Arial" w:cs="Arial"/>
          <w:sz w:val="24"/>
          <w:szCs w:val="24"/>
        </w:rPr>
        <w:t>Our supplemental model added projected fiscal impacts due to public health impacts of legalizing adult use of marijuana. We estimate that revenue and savings related to public health impacts will account for about 23% of the total budgetary gains projected because of legalization, based on our supplemental model. The added budgetary gain in our supplemental model mainly comes from projected increases in worker productivity (which would generate increases in individual income tax revenue) among older adults with debilitating medical conditions that are well controlled with marijuana (</w:t>
      </w:r>
      <w:r w:rsidRPr="00E12150">
        <w:rPr>
          <w:rFonts w:ascii="Arial" w:hAnsi="Arial" w:cs="Arial"/>
          <w:iCs/>
          <w:sz w:val="24"/>
          <w:szCs w:val="24"/>
        </w:rPr>
        <w:t>Nicholas &amp; Maclean, 2016)</w:t>
      </w:r>
      <w:r w:rsidRPr="00E12150">
        <w:rPr>
          <w:rFonts w:ascii="Arial" w:hAnsi="Arial" w:cs="Arial"/>
          <w:sz w:val="24"/>
          <w:szCs w:val="24"/>
        </w:rPr>
        <w:t>. We assumed that these productivity gains would be fully realized within the first two years of retail sales; if they span longer than two years, model estimates would need to be proportionally reduced. We also suspect that some of the productivity gains projected may have already been realized by the medical marijuana population. However, when we adjusted the population to which we applied the impact estimate (by subtracting out older medical marijuana patients, based on data from MDPH), our impact estimate decreased by only 8% for older women and 4% for older men.</w:t>
      </w:r>
    </w:p>
    <w:p w:rsidR="001324CA" w:rsidRDefault="001324CA"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 xml:space="preserve">Other public health savings (for example, due to reduced spending by the state on the MassHealth program to cover prescription drugs for fee-for-service beneficiaries) are expected to account for only 3% of the supplemental model estimate. Decreases in Medicaid prescription drug spending, estimated by Bradford and Bradford (2017), were based on treatment for medical conditions that medical marijuana is used to treat, including depression and psychosis. That is, we project that some individuals will use marijuana in lieu of prescription medications to treat these conditions. Because of a lack of information on how spending might change because of marijuana legalization, our model did not account for changes in spending associated with inpatient, outpatient, or emergency treatment—it was limited to prescription spending alone.  It is also important to note that our model projects impacts only out to two years, and that the health effects associated with marijuana use could have a much longer latency, possibly taking decades before the full extent of benefits or harms would be seen. </w:t>
      </w:r>
    </w:p>
    <w:p w:rsidR="001324CA" w:rsidRDefault="001324CA"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Projected savings of roughly $980,000 due to decreases in opioid addiction treatment were offset by projected spending amounting to $1.1 million due to increases in cannabis addiction treatment. For both sets of costs, we focused only on the costs of treatment admissions incurred by the state. However, many individuals with drug addiction or dependence do not seek treatment; instead, costs incurred by the state government for these individuals may be related to costs associated with overdoses and emergency room visits. Because of a lack of data, we did not incorporate non-treatment costs related to addiction/dependence in our model. Likewise, when we factored in the measure related to reductions in opioid-related deaths into our model, we only accounted for increases in income tax revenue. We did not account for reductions in other costs that may be incurred for opioid-related deaths, such as the cost of ambulatory treatment (which is covered by MassHealth) or mortuary costs (which are expected to be relatively small, given a $1,500 cap on MassHealth coverage for these costs).</w:t>
      </w: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In our model, expected decreases in suicides among males age 20 to 39 accounted for less than 1% of expected public health savings. Although there have been anecdotal concerns that legalization of adult use of marijuana has led to an increase in suicides in Colorado and Washington, neither the literature nor state-level data we examined reflect this measure. For example, the most recent Colorado Violent Death Reporting System report noted an increase in the suicide rate in 2014 and 2015, although there were no statistically significant changes observed during this time period (Jamison, Mintz, Herndon, &amp; Bol, 2017).</w:t>
      </w:r>
      <w:r w:rsidRPr="00E12150">
        <w:rPr>
          <w:rFonts w:ascii="Arial" w:hAnsi="Arial" w:cs="Arial"/>
          <w:sz w:val="24"/>
          <w:szCs w:val="24"/>
          <w:u w:color="000080"/>
          <w:vertAlign w:val="superscript"/>
        </w:rPr>
        <w:t xml:space="preserve"> </w:t>
      </w:r>
      <w:r w:rsidRPr="00E12150">
        <w:rPr>
          <w:rFonts w:ascii="Arial" w:hAnsi="Arial" w:cs="Arial"/>
          <w:sz w:val="24"/>
          <w:szCs w:val="24"/>
        </w:rPr>
        <w:t xml:space="preserve">Using data from this report, we calculated the change in suicide rate from the three-year period before legalization (2011–2013) to the two year-period after legalization (2014–2015) and noted a 6.25% increase in suicides over this time period. However, given that the report itself found that these changes were not statistically significant, we did not include them in our model. </w:t>
      </w:r>
    </w:p>
    <w:p w:rsidR="00B133C6" w:rsidRPr="00E12150" w:rsidRDefault="00B133C6" w:rsidP="006057BE">
      <w:pPr>
        <w:pStyle w:val="NormalSS"/>
        <w:spacing w:after="0"/>
        <w:rPr>
          <w:rFonts w:ascii="Arial" w:hAnsi="Arial" w:cs="Arial"/>
          <w:sz w:val="24"/>
          <w:szCs w:val="24"/>
        </w:rPr>
      </w:pPr>
    </w:p>
    <w:p w:rsidR="00B133C6" w:rsidRDefault="001324CA" w:rsidP="00F950A2">
      <w:pPr>
        <w:pStyle w:val="Heading3"/>
      </w:pPr>
      <w:bookmarkStart w:id="682" w:name="_Toc11766051"/>
      <w:bookmarkStart w:id="683" w:name="_Toc11766706"/>
      <w:r w:rsidRPr="003224ED">
        <w:t>Comparison with Previous Estimates</w:t>
      </w:r>
      <w:bookmarkEnd w:id="682"/>
      <w:bookmarkEnd w:id="683"/>
    </w:p>
    <w:p w:rsidR="003224ED" w:rsidRPr="003224ED" w:rsidRDefault="003224ED" w:rsidP="003224ED">
      <w:pPr>
        <w:pStyle w:val="NormalSS"/>
        <w:spacing w:line="48" w:lineRule="auto"/>
      </w:pPr>
    </w:p>
    <w:p w:rsidR="001324CA" w:rsidRPr="00E12150" w:rsidRDefault="001324CA" w:rsidP="003224ED">
      <w:pPr>
        <w:pStyle w:val="NormalSS"/>
        <w:spacing w:after="0"/>
        <w:rPr>
          <w:rFonts w:ascii="Arial" w:hAnsi="Arial" w:cs="Arial"/>
          <w:sz w:val="24"/>
          <w:szCs w:val="24"/>
        </w:rPr>
      </w:pPr>
      <w:r w:rsidRPr="00E12150">
        <w:rPr>
          <w:rFonts w:ascii="Arial" w:hAnsi="Arial" w:cs="Arial"/>
          <w:sz w:val="24"/>
          <w:szCs w:val="24"/>
        </w:rPr>
        <w:t>Our model included estimates of sales tax revenue as well as revenues and costs realized in other domains. Although there are no comparable estimates of projected revenues and costs related to business and income tax revenue, public health, and criminal justice costs, we discuss below the differences between our estimates of projected sales tax revenue and estimates from other states and from the DOR for Massachusetts.</w:t>
      </w: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Our estimate of taxable retail marijuana sales was $748.7 million ($224.6 million in the first year and $524.1 million in the second). The second year estimate amounts to $745 per adult user, which is similar to second year estimates from Oregon ($675) and Washington ($818) but is substantially lower than the second year estimate for Colorado ($1,128).</w:t>
      </w:r>
      <w:r w:rsidRPr="00E12150">
        <w:rPr>
          <w:rStyle w:val="FootnoteReference"/>
          <w:rFonts w:ascii="Arial" w:hAnsi="Arial" w:cs="Arial"/>
          <w:sz w:val="24"/>
          <w:szCs w:val="24"/>
        </w:rPr>
        <w:footnoteReference w:id="34"/>
      </w:r>
      <w:r w:rsidRPr="00E12150">
        <w:rPr>
          <w:rFonts w:ascii="Arial" w:hAnsi="Arial" w:cs="Arial"/>
          <w:sz w:val="24"/>
          <w:szCs w:val="24"/>
        </w:rPr>
        <w:t xml:space="preserve"> Differences across the states could be attributed to any or all of the following:</w:t>
      </w:r>
    </w:p>
    <w:p w:rsidR="00B133C6" w:rsidRPr="00E12150" w:rsidRDefault="00B133C6" w:rsidP="006057BE">
      <w:pPr>
        <w:pStyle w:val="NormalSS"/>
        <w:spacing w:after="0"/>
        <w:rPr>
          <w:rFonts w:ascii="Arial" w:hAnsi="Arial" w:cs="Arial"/>
          <w:sz w:val="24"/>
          <w:szCs w:val="24"/>
        </w:rPr>
      </w:pPr>
    </w:p>
    <w:p w:rsidR="001324CA" w:rsidRPr="00E12150" w:rsidRDefault="001324CA" w:rsidP="006057BE">
      <w:pPr>
        <w:pStyle w:val="Bullet"/>
        <w:spacing w:after="0"/>
        <w:rPr>
          <w:rFonts w:ascii="Arial" w:hAnsi="Arial" w:cs="Arial"/>
          <w:sz w:val="24"/>
          <w:szCs w:val="24"/>
        </w:rPr>
      </w:pPr>
      <w:r w:rsidRPr="00E12150">
        <w:rPr>
          <w:rFonts w:ascii="Arial" w:hAnsi="Arial" w:cs="Arial"/>
          <w:i/>
          <w:sz w:val="24"/>
          <w:szCs w:val="24"/>
        </w:rPr>
        <w:t>Differences in the speed at which the programs are fully implemented</w:t>
      </w:r>
      <w:r w:rsidRPr="00E12150">
        <w:rPr>
          <w:rFonts w:ascii="Arial" w:hAnsi="Arial" w:cs="Arial"/>
          <w:sz w:val="24"/>
          <w:szCs w:val="24"/>
        </w:rPr>
        <w:t xml:space="preserve">. Because it takes new dispensaries one to two years to be fully operational in Massachusetts, retail marijuana sales may be limited at first, particularly in areas without RMDs. However, the fact that Massachusetts has a well-established medical marijuana program (unlike Washington at the time of retail marijuana legalization) and can learn from the experiences of other states with legalized use could hasten implementation of the adult use program. </w:t>
      </w:r>
    </w:p>
    <w:p w:rsidR="001324CA" w:rsidRPr="00E12150" w:rsidRDefault="001324CA" w:rsidP="006057BE">
      <w:pPr>
        <w:pStyle w:val="Bullet"/>
        <w:spacing w:after="0"/>
        <w:rPr>
          <w:rFonts w:ascii="Arial" w:hAnsi="Arial" w:cs="Arial"/>
          <w:sz w:val="24"/>
          <w:szCs w:val="24"/>
        </w:rPr>
      </w:pPr>
      <w:r w:rsidRPr="00E12150">
        <w:rPr>
          <w:rFonts w:ascii="Arial" w:hAnsi="Arial" w:cs="Arial"/>
          <w:i/>
          <w:sz w:val="24"/>
          <w:szCs w:val="24"/>
        </w:rPr>
        <w:t>Differences in tourist sales volumes</w:t>
      </w:r>
      <w:r w:rsidRPr="00E12150">
        <w:rPr>
          <w:rFonts w:ascii="Arial" w:hAnsi="Arial" w:cs="Arial"/>
          <w:sz w:val="24"/>
          <w:szCs w:val="24"/>
        </w:rPr>
        <w:t xml:space="preserve">. Marijuana purchases by tourists to Colorado may have been substantially higher in the first two years of legalized adult use than they will be in Massachusetts. Colorado was the first state to implement an adult use program, and even now most of its bordering states do not have medical marijuana programs. By contrast, Massachusetts borders two other states that have legalized adult marijuana use (Vermont and Maine), and all its bordering states have medical marijuana programs. </w:t>
      </w:r>
    </w:p>
    <w:p w:rsidR="001324CA" w:rsidRDefault="001324CA" w:rsidP="006057BE">
      <w:pPr>
        <w:pStyle w:val="BulletLastSS"/>
        <w:spacing w:after="0"/>
        <w:rPr>
          <w:rFonts w:ascii="Arial" w:hAnsi="Arial" w:cs="Arial"/>
          <w:sz w:val="24"/>
          <w:szCs w:val="24"/>
        </w:rPr>
      </w:pPr>
      <w:r w:rsidRPr="00E12150">
        <w:rPr>
          <w:rFonts w:ascii="Arial" w:hAnsi="Arial" w:cs="Arial"/>
          <w:i/>
          <w:sz w:val="24"/>
          <w:szCs w:val="24"/>
        </w:rPr>
        <w:t>Differences in tax rates</w:t>
      </w:r>
      <w:r w:rsidRPr="00E12150">
        <w:rPr>
          <w:rFonts w:ascii="Arial" w:hAnsi="Arial" w:cs="Arial"/>
          <w:sz w:val="24"/>
          <w:szCs w:val="24"/>
        </w:rPr>
        <w:t>. The 17% sales plus excise tax rate in Massachusetts is lower than the rate of almost 30% in Colorado, and much lower than the rate of 44% in Washington. As a result, more of the total demand in Massachusetts could be met by RMDs, as opposed to the illicit market, resulting in higher sales volumes per user compared with other states.</w:t>
      </w:r>
    </w:p>
    <w:p w:rsidR="00B133C6" w:rsidRPr="00B133C6" w:rsidRDefault="00B133C6" w:rsidP="006057BE">
      <w:pPr>
        <w:pStyle w:val="NormalSS"/>
        <w:spacing w:after="0"/>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Our estimate of projected revenue collected through the maximum 20% tax rate in Massachusetts (assuming a maximum local tax of 3%) is substantially lower than estimates produced by the Massachusetts DOR. We estimate that the state will collect almost $105 million in tax revenue from $524 million in sales; the DOR report projects roughly $205 million in revenue from $1.1 billion in sales, after adjusting to the increase from a 12% to a 20% tax rate (Joint Committee on Marijuana Policy, 2017).</w:t>
      </w:r>
      <w:r w:rsidRPr="00E12150">
        <w:rPr>
          <w:rStyle w:val="FootnoteReference"/>
          <w:rFonts w:ascii="Arial" w:hAnsi="Arial" w:cs="Arial"/>
          <w:sz w:val="24"/>
          <w:szCs w:val="24"/>
        </w:rPr>
        <w:footnoteReference w:id="35"/>
      </w:r>
      <w:r w:rsidRPr="00E12150">
        <w:rPr>
          <w:rFonts w:ascii="Arial" w:hAnsi="Arial" w:cs="Arial"/>
          <w:sz w:val="24"/>
          <w:szCs w:val="24"/>
          <w:vertAlign w:val="superscript"/>
        </w:rPr>
        <w:t>,</w:t>
      </w:r>
      <w:r w:rsidRPr="00E12150">
        <w:rPr>
          <w:rStyle w:val="FootnoteReference"/>
          <w:rFonts w:ascii="Arial" w:hAnsi="Arial" w:cs="Arial"/>
          <w:sz w:val="24"/>
          <w:szCs w:val="24"/>
        </w:rPr>
        <w:footnoteReference w:id="36"/>
      </w:r>
      <w:r w:rsidRPr="00E12150">
        <w:rPr>
          <w:rFonts w:ascii="Arial" w:hAnsi="Arial" w:cs="Arial"/>
          <w:sz w:val="24"/>
          <w:szCs w:val="24"/>
        </w:rPr>
        <w:t xml:space="preserve"> However, the difference is reduced by roughly one-third when we compare the DOR estimate to the estimate from our sensitivity analysis that uses the Task 1 survey’s estimate of prevalence of current marijuana use. </w:t>
      </w:r>
    </w:p>
    <w:p w:rsidR="00B133C6" w:rsidRPr="00E12150" w:rsidRDefault="00B133C6"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 xml:space="preserve">The difference between our estimate and the DOR estimate is primarily due to the DOR applying per capita sales estimates from the third year of legalized use in Colorado and Washington (which saw nearly 50% and 70% increases between years two and three, respectively) to the second year of legalization in Massachusetts, believing that Massachusetts will have a shorter implementation period because the state has the benefit of learning from the experiences in Colorado and Washington. If Massachusetts second-year sales approach third-year levels from those other states, our model may underestimate this component of the fiscal impacts of legalization. However, as noted above, the speed at which dispensaries are approved to begin retail sales across the state could limit the extent to which the state is able to ramp up sales. In Massachusetts, we project that the revenue in the second year will more than double the first year’s revenue. For comparison, the second year’s revenue nearly doubled in Colorado and nearly tripled in Washington compared to the first year. </w:t>
      </w:r>
    </w:p>
    <w:p w:rsidR="00B133C6" w:rsidRPr="00A3309E" w:rsidRDefault="00B133C6" w:rsidP="006057BE">
      <w:pPr>
        <w:pStyle w:val="NormalSS"/>
        <w:spacing w:after="0"/>
        <w:rPr>
          <w:rFonts w:ascii="Arial Bold" w:hAnsi="Arial Bold" w:cs="Arial"/>
          <w:szCs w:val="24"/>
        </w:rPr>
      </w:pPr>
    </w:p>
    <w:p w:rsidR="00B133C6" w:rsidRPr="003224ED" w:rsidRDefault="001324CA" w:rsidP="005F7A46">
      <w:pPr>
        <w:pStyle w:val="Heading2"/>
      </w:pPr>
      <w:bookmarkStart w:id="684" w:name="_Toc11766052"/>
      <w:bookmarkStart w:id="685" w:name="_Toc11766707"/>
      <w:bookmarkStart w:id="686" w:name="_Toc11917275"/>
      <w:bookmarkStart w:id="687" w:name="_Toc11921713"/>
      <w:bookmarkStart w:id="688" w:name="_Toc12520969"/>
      <w:bookmarkStart w:id="689" w:name="_Toc12521195"/>
      <w:bookmarkStart w:id="690" w:name="_Toc12529165"/>
      <w:r w:rsidRPr="003224ED">
        <w:t>Limitations</w:t>
      </w:r>
      <w:bookmarkEnd w:id="684"/>
      <w:bookmarkEnd w:id="685"/>
      <w:bookmarkEnd w:id="686"/>
      <w:bookmarkEnd w:id="687"/>
      <w:bookmarkEnd w:id="688"/>
      <w:bookmarkEnd w:id="689"/>
      <w:bookmarkEnd w:id="690"/>
    </w:p>
    <w:p w:rsidR="003224ED" w:rsidRPr="003224ED" w:rsidRDefault="003224ED" w:rsidP="003224ED">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Our models exclude a number of potential impacts of adult use of marijuana legalization that do not have supporting casual evidence to link the impact to marijuana laws and policies. For example, we do not have sufficient information on the impacts of legalization on a number of public health outcomes, including spending related to emergency room or urgent care visits and the prevalence of low birth weight, obesity, tobacco use or nicotine dependence, and non-fatal vehicular crashes. We also did not include changes in spending related to poison control center costs because the changes were estimated to be quite small. It is possible that adult use of marijuana legalization could lead to changes in marijuana consumption that would in turn affect these and other public health outcomes. Finally, we did not factor in potential spending related to increases in energy or water use related to marijuana growth and production.</w:t>
      </w: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Second, because literature on adult use of marijuana is sparse, our model estimates rely mainly on the medical marijuana literature. That is, we assumed that changes observed when migrating from no legal marijuana to medical marijuana would be similar to changes observed when migrating from medical marijuana to adult use of marijuana. Ideally, causal impacts taken from the literature would reflect the impacts of shifting from a medical marijuana market to a market that includes medical and broader adult use of marijuana. The limited studies on adult use of marijuana legalization have not found statistically significant impacts from the expansion of medical marijuana to broader adult use. However, a recently published study provides additional evidence that supports our strategy to use medical marijuana impact estimates. Powell, Pacula, &amp; Jacobson (2015) found that the relationship between medical marijuana laws and the reduction in opioid deaths is influenced by the type of medical marijuana laws that states implemented. They found that opioid deaths decreased only in states in which marijuana dispensaries were easily available to patients. In Massachusetts, the medical marijuana program is more tightly regulated than in other states, and the state has fewer legal medical marijuana patients per 1,000 people than many other states that have legalized medical marijuana. Moreover, the number of qualifying conditions for medical marijuana use in Massachusetts is fewer than those in other states and does not include chronic pain, which is a qualifying condition in 13 of the states that have legalized medical marijuana (ProcCon, 2017). Therefore, the impact of marijuana legalization in Massachusetts may not be fully realized prior to adult use legalization, and the impact of medical marijuana policies in states with more liberal guidelines may provide insight into the expected impact of adult use legalization in Massachusetts.</w:t>
      </w: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A third potential limitation of our model is that we assumed that each input metric acts independently of other metrics; therefore, we did not account for the correlations between metrics in our model. It is analytically feasible to incorporate relationships between metrics into the impact estimates, for example, by factoring in the price elasticity of demand to see how marijuana use changes as pricing changes.</w:t>
      </w:r>
    </w:p>
    <w:p w:rsidR="00B133C6" w:rsidRPr="00E12150" w:rsidRDefault="00B133C6"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r w:rsidRPr="00E12150">
        <w:rPr>
          <w:rFonts w:ascii="Arial" w:hAnsi="Arial" w:cs="Arial"/>
          <w:sz w:val="24"/>
          <w:szCs w:val="24"/>
        </w:rPr>
        <w:t xml:space="preserve">Finally, it is not clear whether the impacts projected from our model will sustain beyond the two-year time frame. Most of the impacts in our model can be considered one-time (but not necessarily immediate) shifts as a result of legalization. For example, we may not expect marijuana-related arrests to further decrease beyond the two-year time frame, nor do we expect the start-up costs of establishing the regulatory framework to persist. However, impacts on consumption and associated public health outcomes may take longer to realize because they depend on market prices, the accessibility of dispensaries, and other factors that are associated with a high degree of uncertainty. </w:t>
      </w:r>
    </w:p>
    <w:p w:rsidR="001324CA" w:rsidRPr="00E12150" w:rsidRDefault="001324CA" w:rsidP="006057BE">
      <w:pPr>
        <w:pStyle w:val="NormalSS"/>
        <w:spacing w:after="0"/>
        <w:rPr>
          <w:rFonts w:ascii="Arial" w:hAnsi="Arial" w:cs="Arial"/>
          <w:sz w:val="24"/>
          <w:szCs w:val="24"/>
        </w:rPr>
      </w:pPr>
    </w:p>
    <w:p w:rsidR="005D614A" w:rsidRDefault="005D614A" w:rsidP="005D614A">
      <w:pPr>
        <w:pStyle w:val="BodyText"/>
      </w:pPr>
      <w:bookmarkStart w:id="691" w:name="_Toc11766053"/>
      <w:bookmarkStart w:id="692" w:name="_Toc11766708"/>
      <w:bookmarkStart w:id="693" w:name="_Toc11917276"/>
      <w:bookmarkStart w:id="694" w:name="_Toc11921714"/>
    </w:p>
    <w:p w:rsidR="001324CA" w:rsidRPr="00B133C6" w:rsidRDefault="001324CA" w:rsidP="005F7A46">
      <w:pPr>
        <w:pStyle w:val="Heading2"/>
      </w:pPr>
      <w:bookmarkStart w:id="695" w:name="_Toc12520970"/>
      <w:bookmarkStart w:id="696" w:name="_Toc12521196"/>
      <w:bookmarkStart w:id="697" w:name="_Toc12529166"/>
      <w:r w:rsidRPr="00B133C6">
        <w:t>Directions for Future Research</w:t>
      </w:r>
      <w:bookmarkEnd w:id="691"/>
      <w:bookmarkEnd w:id="692"/>
      <w:bookmarkEnd w:id="693"/>
      <w:bookmarkEnd w:id="694"/>
      <w:bookmarkEnd w:id="695"/>
      <w:bookmarkEnd w:id="696"/>
      <w:bookmarkEnd w:id="697"/>
    </w:p>
    <w:p w:rsidR="00B133C6" w:rsidRPr="00B133C6" w:rsidRDefault="00B133C6" w:rsidP="006057BE">
      <w:pPr>
        <w:pStyle w:val="NormalSS"/>
        <w:spacing w:after="0"/>
      </w:pPr>
    </w:p>
    <w:p w:rsidR="001324CA" w:rsidRPr="00E12150" w:rsidRDefault="001324CA" w:rsidP="006057BE">
      <w:pPr>
        <w:pStyle w:val="NormalSS"/>
        <w:spacing w:after="0"/>
        <w:rPr>
          <w:rFonts w:ascii="Arial" w:hAnsi="Arial" w:cs="Arial"/>
          <w:sz w:val="24"/>
          <w:szCs w:val="24"/>
        </w:rPr>
      </w:pPr>
      <w:r w:rsidRPr="00E12150">
        <w:rPr>
          <w:rFonts w:ascii="Arial" w:hAnsi="Arial" w:cs="Arial"/>
          <w:sz w:val="24"/>
          <w:szCs w:val="24"/>
        </w:rPr>
        <w:t>The MBHS provides a valuable baseline understanding of the impacts of legalization in Massachusetts and serves as a benchmark to improve the implementation of marijuana legalization in other states. In this report, we synthesize information from a number of sources to provide projections that serve as a reference to compare to the actual experience in Massachusetts as the program unfolds. Such a comparison can be used to better understand the factors driving the fiscal impacts of adult use of marijuana and to project future impacts beyond the first two years of legalization. Our analysis should also help the state and localities anticipate what resources may be needed to roll out the adult use program.</w:t>
      </w:r>
    </w:p>
    <w:p w:rsidR="001324CA" w:rsidRDefault="001324CA" w:rsidP="006057BE">
      <w:pPr>
        <w:pStyle w:val="NormalSS"/>
        <w:spacing w:after="0"/>
        <w:rPr>
          <w:rFonts w:ascii="Arial" w:hAnsi="Arial" w:cs="Arial"/>
          <w:sz w:val="24"/>
          <w:szCs w:val="24"/>
        </w:rPr>
      </w:pPr>
    </w:p>
    <w:p w:rsidR="001324CA" w:rsidRPr="00E12150"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p>
    <w:p w:rsidR="001324CA" w:rsidRDefault="001324CA" w:rsidP="006057BE">
      <w:pPr>
        <w:pStyle w:val="NormalSS"/>
        <w:spacing w:after="0"/>
        <w:rPr>
          <w:rFonts w:ascii="Arial" w:hAnsi="Arial" w:cs="Arial"/>
          <w:sz w:val="24"/>
          <w:szCs w:val="24"/>
        </w:rPr>
      </w:pPr>
    </w:p>
    <w:p w:rsidR="00B133C6" w:rsidRDefault="00B133C6" w:rsidP="00F950A2">
      <w:pPr>
        <w:pStyle w:val="BodyText"/>
      </w:pPr>
    </w:p>
    <w:p w:rsidR="00B133C6" w:rsidRDefault="00B133C6" w:rsidP="00F950A2">
      <w:pPr>
        <w:pStyle w:val="BodyText"/>
      </w:pPr>
    </w:p>
    <w:p w:rsidR="00B133C6" w:rsidRDefault="00B133C6" w:rsidP="00F950A2">
      <w:pPr>
        <w:pStyle w:val="BodyText"/>
      </w:pPr>
    </w:p>
    <w:p w:rsidR="00B133C6" w:rsidRDefault="00B133C6" w:rsidP="00F950A2">
      <w:pPr>
        <w:pStyle w:val="BodyText"/>
      </w:pPr>
    </w:p>
    <w:p w:rsidR="00B133C6" w:rsidRDefault="00B133C6" w:rsidP="00F950A2">
      <w:pPr>
        <w:pStyle w:val="BodyText"/>
      </w:pPr>
    </w:p>
    <w:p w:rsidR="00B133C6" w:rsidRDefault="00B133C6" w:rsidP="00F950A2">
      <w:pPr>
        <w:pStyle w:val="BodyText"/>
      </w:pPr>
    </w:p>
    <w:p w:rsidR="00B133C6" w:rsidRDefault="00B133C6" w:rsidP="00F950A2">
      <w:pPr>
        <w:pStyle w:val="BodyText"/>
      </w:pPr>
    </w:p>
    <w:p w:rsidR="00B133C6" w:rsidRDefault="00B133C6" w:rsidP="00F950A2">
      <w:pPr>
        <w:pStyle w:val="BodyText"/>
      </w:pPr>
    </w:p>
    <w:p w:rsidR="00B133C6" w:rsidRDefault="00B133C6" w:rsidP="00F950A2">
      <w:pPr>
        <w:pStyle w:val="BodyText"/>
      </w:pPr>
    </w:p>
    <w:p w:rsidR="00B133C6" w:rsidRDefault="00B133C6" w:rsidP="00F950A2">
      <w:pPr>
        <w:pStyle w:val="BodyText"/>
      </w:pPr>
    </w:p>
    <w:p w:rsidR="00B133C6" w:rsidRDefault="00B133C6" w:rsidP="00F950A2">
      <w:pPr>
        <w:pStyle w:val="BodyText"/>
      </w:pPr>
    </w:p>
    <w:p w:rsidR="00B133C6" w:rsidRDefault="00B133C6" w:rsidP="00F950A2">
      <w:pPr>
        <w:pStyle w:val="BodyText"/>
      </w:pPr>
    </w:p>
    <w:p w:rsidR="00B133C6" w:rsidRDefault="00B133C6" w:rsidP="00F950A2">
      <w:pPr>
        <w:pStyle w:val="BodyText"/>
      </w:pPr>
    </w:p>
    <w:p w:rsidR="00C90535" w:rsidRDefault="00C90535" w:rsidP="00F950A2">
      <w:pPr>
        <w:pStyle w:val="BodyText"/>
      </w:pPr>
    </w:p>
    <w:p w:rsidR="003224ED" w:rsidRDefault="003224ED" w:rsidP="003224ED">
      <w:pPr>
        <w:pStyle w:val="NormalSS"/>
      </w:pPr>
    </w:p>
    <w:p w:rsidR="003224ED" w:rsidRDefault="003224ED" w:rsidP="003224ED">
      <w:pPr>
        <w:pStyle w:val="NormalSS"/>
      </w:pPr>
    </w:p>
    <w:p w:rsidR="003224ED" w:rsidRDefault="003224ED" w:rsidP="003224ED">
      <w:pPr>
        <w:pStyle w:val="NormalSS"/>
      </w:pPr>
    </w:p>
    <w:p w:rsidR="005D614A" w:rsidRDefault="005D614A" w:rsidP="003224ED">
      <w:pPr>
        <w:pStyle w:val="NormalSS"/>
      </w:pPr>
    </w:p>
    <w:p w:rsidR="005D614A" w:rsidRDefault="005D614A" w:rsidP="003224ED">
      <w:pPr>
        <w:pStyle w:val="NormalSS"/>
      </w:pPr>
    </w:p>
    <w:p w:rsidR="005D614A" w:rsidRPr="003224ED" w:rsidRDefault="005D614A" w:rsidP="003224ED">
      <w:pPr>
        <w:pStyle w:val="NormalSS"/>
      </w:pPr>
    </w:p>
    <w:p w:rsidR="00C35201" w:rsidRDefault="00C35201" w:rsidP="00F950A2">
      <w:pPr>
        <w:pStyle w:val="BodyText"/>
      </w:pPr>
    </w:p>
    <w:p w:rsidR="005D7694" w:rsidRDefault="001324CA" w:rsidP="005F7A46">
      <w:pPr>
        <w:pStyle w:val="Heading2"/>
      </w:pPr>
      <w:bookmarkStart w:id="698" w:name="_Toc11766054"/>
      <w:bookmarkStart w:id="699" w:name="_Toc11766709"/>
      <w:bookmarkStart w:id="700" w:name="_Toc11917277"/>
      <w:bookmarkStart w:id="701" w:name="_Toc11921715"/>
      <w:bookmarkStart w:id="702" w:name="_Toc12520971"/>
      <w:bookmarkStart w:id="703" w:name="_Toc12521197"/>
      <w:bookmarkStart w:id="704" w:name="_Toc12529167"/>
      <w:r w:rsidRPr="00B133C6">
        <w:t>References</w:t>
      </w:r>
      <w:bookmarkEnd w:id="698"/>
      <w:bookmarkEnd w:id="699"/>
      <w:bookmarkEnd w:id="700"/>
      <w:bookmarkEnd w:id="701"/>
      <w:bookmarkEnd w:id="702"/>
      <w:bookmarkEnd w:id="703"/>
      <w:bookmarkEnd w:id="704"/>
    </w:p>
    <w:p w:rsidR="00C90535" w:rsidRPr="00C90535" w:rsidRDefault="00C90535" w:rsidP="00C90535">
      <w:pPr>
        <w:pStyle w:val="NormalSS"/>
        <w:spacing w:after="0"/>
      </w:pPr>
    </w:p>
    <w:p w:rsidR="001324CA" w:rsidRPr="00E12150" w:rsidRDefault="001324CA" w:rsidP="00C90535">
      <w:pPr>
        <w:keepLines/>
        <w:spacing w:after="0" w:line="240" w:lineRule="auto"/>
        <w:ind w:left="432" w:hanging="432"/>
        <w:rPr>
          <w:rFonts w:ascii="Arial" w:hAnsi="Arial" w:cs="Arial"/>
          <w:sz w:val="24"/>
          <w:szCs w:val="24"/>
        </w:rPr>
      </w:pPr>
      <w:r w:rsidRPr="00E12150">
        <w:rPr>
          <w:rFonts w:ascii="Arial" w:hAnsi="Arial" w:cs="Arial"/>
          <w:sz w:val="24"/>
          <w:szCs w:val="24"/>
        </w:rPr>
        <w:t>Anderson, D. M., Hansen, B., &amp; Rees, D. I. (2013). Medical marijuana laws, traffic fatalities, and alcohol consumption. </w:t>
      </w:r>
      <w:r w:rsidRPr="00E12150">
        <w:rPr>
          <w:rFonts w:ascii="Arial" w:hAnsi="Arial" w:cs="Arial"/>
          <w:i/>
          <w:iCs/>
          <w:sz w:val="24"/>
          <w:szCs w:val="24"/>
        </w:rPr>
        <w:t>The Journal of Law and Economics</w:t>
      </w:r>
      <w:r w:rsidRPr="00E12150">
        <w:rPr>
          <w:rFonts w:ascii="Arial" w:hAnsi="Arial" w:cs="Arial"/>
          <w:sz w:val="24"/>
          <w:szCs w:val="24"/>
        </w:rPr>
        <w:t>, </w:t>
      </w:r>
      <w:r w:rsidRPr="00E12150">
        <w:rPr>
          <w:rFonts w:ascii="Arial" w:hAnsi="Arial" w:cs="Arial"/>
          <w:i/>
          <w:iCs/>
          <w:sz w:val="24"/>
          <w:szCs w:val="24"/>
        </w:rPr>
        <w:t>56</w:t>
      </w:r>
      <w:r w:rsidRPr="00E12150">
        <w:rPr>
          <w:rFonts w:ascii="Arial" w:hAnsi="Arial" w:cs="Arial"/>
          <w:sz w:val="24"/>
          <w:szCs w:val="24"/>
        </w:rPr>
        <w:t xml:space="preserve">(2), 333-369. </w:t>
      </w:r>
      <w:r w:rsidRPr="00E12150">
        <w:rPr>
          <w:rFonts w:ascii="Arial" w:hAnsi="Arial" w:cs="Arial"/>
          <w:sz w:val="24"/>
          <w:szCs w:val="24"/>
          <w:lang w:val="en"/>
        </w:rPr>
        <w:t>https://doi.org/10.1086/668812</w:t>
      </w:r>
    </w:p>
    <w:p w:rsidR="001324CA" w:rsidRPr="00E12150" w:rsidRDefault="001324CA" w:rsidP="006057BE">
      <w:pPr>
        <w:keepLines/>
        <w:spacing w:after="0" w:line="240" w:lineRule="auto"/>
        <w:ind w:left="432" w:hanging="432"/>
        <w:rPr>
          <w:rFonts w:ascii="Arial" w:hAnsi="Arial" w:cs="Arial"/>
          <w:sz w:val="24"/>
          <w:szCs w:val="24"/>
          <w:lang w:val="en"/>
        </w:rPr>
      </w:pPr>
      <w:r w:rsidRPr="00E12150">
        <w:rPr>
          <w:rFonts w:ascii="Arial" w:hAnsi="Arial" w:cs="Arial"/>
          <w:sz w:val="24"/>
          <w:szCs w:val="24"/>
        </w:rPr>
        <w:t>Anderson, D. M., Hansen, B., &amp; Rees, D. I. (2015). Medical marijuana laws and teen marijuana use. </w:t>
      </w:r>
      <w:r w:rsidRPr="00E12150">
        <w:rPr>
          <w:rFonts w:ascii="Arial" w:hAnsi="Arial" w:cs="Arial"/>
          <w:i/>
          <w:iCs/>
          <w:sz w:val="24"/>
          <w:szCs w:val="24"/>
        </w:rPr>
        <w:t>American Law and Economics Review</w:t>
      </w:r>
      <w:r w:rsidRPr="00E12150">
        <w:rPr>
          <w:rFonts w:ascii="Arial" w:hAnsi="Arial" w:cs="Arial"/>
          <w:sz w:val="24"/>
          <w:szCs w:val="24"/>
        </w:rPr>
        <w:t>, </w:t>
      </w:r>
      <w:r w:rsidRPr="00E12150">
        <w:rPr>
          <w:rFonts w:ascii="Arial" w:hAnsi="Arial" w:cs="Arial"/>
          <w:i/>
          <w:iCs/>
          <w:sz w:val="24"/>
          <w:szCs w:val="24"/>
        </w:rPr>
        <w:t>17</w:t>
      </w:r>
      <w:r w:rsidRPr="00E12150">
        <w:rPr>
          <w:rFonts w:ascii="Arial" w:hAnsi="Arial" w:cs="Arial"/>
          <w:sz w:val="24"/>
          <w:szCs w:val="24"/>
        </w:rPr>
        <w:t xml:space="preserve">(2), 495-528. </w:t>
      </w:r>
      <w:r w:rsidRPr="00E12150">
        <w:rPr>
          <w:rFonts w:ascii="Arial" w:hAnsi="Arial" w:cs="Arial"/>
          <w:sz w:val="24"/>
          <w:szCs w:val="24"/>
          <w:lang w:val="en"/>
        </w:rPr>
        <w:t>https://doi.org/10.1093/aler/ahv002</w:t>
      </w:r>
    </w:p>
    <w:p w:rsidR="001324CA" w:rsidRPr="00E12150" w:rsidRDefault="001324CA" w:rsidP="006057BE">
      <w:pPr>
        <w:pStyle w:val="References"/>
        <w:spacing w:after="0"/>
        <w:rPr>
          <w:rFonts w:ascii="Arial" w:hAnsi="Arial" w:cs="Arial"/>
          <w:sz w:val="24"/>
          <w:szCs w:val="24"/>
        </w:rPr>
      </w:pPr>
      <w:r w:rsidRPr="00E12150">
        <w:rPr>
          <w:rFonts w:ascii="Arial" w:hAnsi="Arial" w:cs="Arial"/>
          <w:sz w:val="24"/>
          <w:szCs w:val="24"/>
        </w:rPr>
        <w:t>Anderson, D. M., Rees, D. I., &amp; Sabia, J. J. (2014, December). Medical marijuana laws and suicides by gender and age. </w:t>
      </w:r>
      <w:r w:rsidRPr="00E12150">
        <w:rPr>
          <w:rFonts w:ascii="Arial" w:hAnsi="Arial" w:cs="Arial"/>
          <w:i/>
          <w:iCs/>
          <w:sz w:val="24"/>
          <w:szCs w:val="24"/>
        </w:rPr>
        <w:t>American Journal of Public Health</w:t>
      </w:r>
      <w:r w:rsidRPr="00E12150">
        <w:rPr>
          <w:rFonts w:ascii="Arial" w:hAnsi="Arial" w:cs="Arial"/>
          <w:sz w:val="24"/>
          <w:szCs w:val="24"/>
        </w:rPr>
        <w:t>, </w:t>
      </w:r>
      <w:r w:rsidRPr="00E12150">
        <w:rPr>
          <w:rFonts w:ascii="Arial" w:hAnsi="Arial" w:cs="Arial"/>
          <w:i/>
          <w:iCs/>
          <w:sz w:val="24"/>
          <w:szCs w:val="24"/>
        </w:rPr>
        <w:t>104</w:t>
      </w:r>
      <w:r w:rsidRPr="00E12150">
        <w:rPr>
          <w:rFonts w:ascii="Arial" w:hAnsi="Arial" w:cs="Arial"/>
          <w:sz w:val="24"/>
          <w:szCs w:val="24"/>
        </w:rPr>
        <w:t xml:space="preserve">(12), 2369-2376. </w:t>
      </w:r>
      <w:r w:rsidRPr="00E12150">
        <w:rPr>
          <w:rFonts w:ascii="Arial" w:hAnsi="Arial" w:cs="Arial"/>
          <w:sz w:val="24"/>
          <w:szCs w:val="24"/>
          <w:lang w:val="en"/>
        </w:rPr>
        <w:t>http://doi.org/10.2105/AJPH.2013.301612</w:t>
      </w:r>
    </w:p>
    <w:p w:rsidR="001324CA" w:rsidRPr="00E12150" w:rsidRDefault="001324CA" w:rsidP="006057BE">
      <w:pPr>
        <w:pStyle w:val="References"/>
        <w:spacing w:after="0"/>
        <w:rPr>
          <w:rFonts w:ascii="Arial" w:hAnsi="Arial" w:cs="Arial"/>
          <w:iCs/>
          <w:sz w:val="24"/>
          <w:szCs w:val="24"/>
        </w:rPr>
      </w:pPr>
      <w:r w:rsidRPr="00E12150">
        <w:rPr>
          <w:rFonts w:ascii="Arial" w:hAnsi="Arial" w:cs="Arial"/>
          <w:sz w:val="24"/>
          <w:szCs w:val="24"/>
        </w:rPr>
        <w:t xml:space="preserve">Aos, S., Phipps, P., Barnoski, R., &amp; Lieb, R. (2001). </w:t>
      </w:r>
      <w:r w:rsidRPr="00E12150">
        <w:rPr>
          <w:rFonts w:ascii="Arial" w:hAnsi="Arial" w:cs="Arial"/>
          <w:i/>
          <w:sz w:val="24"/>
          <w:szCs w:val="24"/>
        </w:rPr>
        <w:t xml:space="preserve">The comparative costs and benefits of programs to reduce crime. </w:t>
      </w:r>
      <w:r w:rsidRPr="00E12150">
        <w:rPr>
          <w:rFonts w:ascii="Arial" w:hAnsi="Arial" w:cs="Arial"/>
          <w:i/>
          <w:iCs/>
          <w:sz w:val="24"/>
          <w:szCs w:val="24"/>
        </w:rPr>
        <w:t>Version 4</w:t>
      </w:r>
      <w:r w:rsidRPr="00E12150">
        <w:rPr>
          <w:rFonts w:ascii="Arial" w:hAnsi="Arial" w:cs="Arial"/>
          <w:iCs/>
          <w:sz w:val="24"/>
          <w:szCs w:val="24"/>
        </w:rPr>
        <w:t xml:space="preserve"> (Washington State Institute of Public Policy). Retrieved from Education Resources Information Center website: https://eric.ed.gov/?id=ED453340</w:t>
      </w:r>
    </w:p>
    <w:p w:rsidR="001324CA" w:rsidRPr="00E12150" w:rsidRDefault="001324CA" w:rsidP="006057BE">
      <w:pPr>
        <w:pStyle w:val="References"/>
        <w:spacing w:after="0"/>
        <w:rPr>
          <w:rFonts w:ascii="Arial" w:hAnsi="Arial" w:cs="Arial"/>
          <w:sz w:val="24"/>
          <w:szCs w:val="24"/>
        </w:rPr>
      </w:pPr>
      <w:r w:rsidRPr="00E12150">
        <w:rPr>
          <w:rFonts w:ascii="Arial" w:hAnsi="Arial" w:cs="Arial"/>
          <w:sz w:val="24"/>
          <w:szCs w:val="24"/>
        </w:rPr>
        <w:t>Bachhuber, M. A., Saloner, B., Cunningham, C. O., &amp; Barry C. L. (2014). Medical cannabis laws and opioid analgesic overdose mortality in the United States, 1999–2010. </w:t>
      </w:r>
      <w:r w:rsidRPr="00E12150">
        <w:rPr>
          <w:rFonts w:ascii="Arial" w:hAnsi="Arial" w:cs="Arial"/>
          <w:i/>
          <w:iCs/>
          <w:sz w:val="24"/>
          <w:szCs w:val="24"/>
        </w:rPr>
        <w:t>JAMA Internal Medicine</w:t>
      </w:r>
      <w:r w:rsidRPr="00E12150">
        <w:rPr>
          <w:rFonts w:ascii="Arial" w:hAnsi="Arial" w:cs="Arial"/>
          <w:sz w:val="24"/>
          <w:szCs w:val="24"/>
        </w:rPr>
        <w:t>, </w:t>
      </w:r>
      <w:r w:rsidRPr="00E12150">
        <w:rPr>
          <w:rFonts w:ascii="Arial" w:hAnsi="Arial" w:cs="Arial"/>
          <w:i/>
          <w:iCs/>
          <w:sz w:val="24"/>
          <w:szCs w:val="24"/>
        </w:rPr>
        <w:t>174</w:t>
      </w:r>
      <w:r w:rsidRPr="00E12150">
        <w:rPr>
          <w:rFonts w:ascii="Arial" w:hAnsi="Arial" w:cs="Arial"/>
          <w:sz w:val="24"/>
          <w:szCs w:val="24"/>
        </w:rPr>
        <w:t>(10), 1668–1673. http://</w:t>
      </w:r>
      <w:r w:rsidRPr="00E12150">
        <w:rPr>
          <w:rFonts w:ascii="Arial" w:hAnsi="Arial" w:cs="Arial"/>
          <w:sz w:val="24"/>
          <w:szCs w:val="24"/>
          <w:lang w:val="en"/>
        </w:rPr>
        <w:t>doi.org/10.1001/jamainternmed.2014.4005</w:t>
      </w:r>
    </w:p>
    <w:p w:rsidR="001324CA" w:rsidRPr="00E12150" w:rsidRDefault="001324CA" w:rsidP="006057BE">
      <w:pPr>
        <w:pStyle w:val="References"/>
        <w:spacing w:after="0"/>
        <w:rPr>
          <w:rFonts w:ascii="Arial" w:hAnsi="Arial" w:cs="Arial"/>
          <w:sz w:val="24"/>
          <w:szCs w:val="24"/>
          <w:lang w:val="en"/>
        </w:rPr>
      </w:pPr>
      <w:r w:rsidRPr="00E12150">
        <w:rPr>
          <w:rFonts w:ascii="Arial" w:hAnsi="Arial" w:cs="Arial"/>
          <w:sz w:val="24"/>
          <w:szCs w:val="24"/>
        </w:rPr>
        <w:t xml:space="preserve">Birnbaum, H. G., White, A. G., Schiller, M., Waldman, T., Cleveland, J. M., &amp; Roland, C. L. (2011). Societal costs of prescription opioid abuse, dependence, and misuse in the United States. </w:t>
      </w:r>
      <w:r w:rsidRPr="00E12150">
        <w:rPr>
          <w:rFonts w:ascii="Arial" w:hAnsi="Arial" w:cs="Arial"/>
          <w:i/>
          <w:sz w:val="24"/>
          <w:szCs w:val="24"/>
        </w:rPr>
        <w:t>Pain Medicine, 12</w:t>
      </w:r>
      <w:r w:rsidRPr="00E12150">
        <w:rPr>
          <w:rFonts w:ascii="Arial" w:hAnsi="Arial" w:cs="Arial"/>
          <w:sz w:val="24"/>
          <w:szCs w:val="24"/>
        </w:rPr>
        <w:t>(4),</w:t>
      </w:r>
      <w:r w:rsidRPr="00E12150">
        <w:rPr>
          <w:rFonts w:ascii="Arial" w:hAnsi="Arial" w:cs="Arial"/>
          <w:i/>
          <w:sz w:val="24"/>
          <w:szCs w:val="24"/>
        </w:rPr>
        <w:t xml:space="preserve"> </w:t>
      </w:r>
      <w:r w:rsidRPr="00E12150">
        <w:rPr>
          <w:rFonts w:ascii="Arial" w:hAnsi="Arial" w:cs="Arial"/>
          <w:sz w:val="24"/>
          <w:szCs w:val="24"/>
        </w:rPr>
        <w:t>657–667. http://</w:t>
      </w:r>
      <w:r w:rsidRPr="00E12150">
        <w:rPr>
          <w:rFonts w:ascii="Arial" w:hAnsi="Arial" w:cs="Arial"/>
          <w:sz w:val="24"/>
          <w:szCs w:val="24"/>
          <w:lang w:val="en"/>
        </w:rPr>
        <w:t>doi.org/</w:t>
      </w:r>
      <w:r w:rsidRPr="00E12150">
        <w:rPr>
          <w:rFonts w:ascii="Arial" w:hAnsi="Arial" w:cs="Arial"/>
          <w:bCs/>
          <w:sz w:val="24"/>
          <w:szCs w:val="24"/>
          <w:lang w:val="en"/>
        </w:rPr>
        <w:t>10.1111/j.1526-4637.2011.01075.x</w:t>
      </w:r>
    </w:p>
    <w:p w:rsidR="001324CA" w:rsidRPr="00E12150" w:rsidRDefault="001324CA" w:rsidP="006057BE">
      <w:pPr>
        <w:pStyle w:val="References"/>
        <w:spacing w:after="0"/>
        <w:rPr>
          <w:rFonts w:ascii="Arial" w:hAnsi="Arial" w:cs="Arial"/>
          <w:sz w:val="24"/>
          <w:szCs w:val="24"/>
        </w:rPr>
      </w:pPr>
      <w:r w:rsidRPr="00E12150">
        <w:rPr>
          <w:rFonts w:ascii="Arial" w:hAnsi="Arial" w:cs="Arial"/>
          <w:sz w:val="24"/>
          <w:szCs w:val="24"/>
        </w:rPr>
        <w:t xml:space="preserve">Blincoe, L. J., Miller, T. R., Zaloshnja, E., &amp; Lawrence, B. A. (2015, May). </w:t>
      </w:r>
      <w:r w:rsidRPr="00E12150">
        <w:rPr>
          <w:rFonts w:ascii="Arial" w:hAnsi="Arial" w:cs="Arial"/>
          <w:i/>
          <w:sz w:val="24"/>
          <w:szCs w:val="24"/>
        </w:rPr>
        <w:t>The economic and societal impact of motor vehicle crashes, 2010 (revised)</w:t>
      </w:r>
      <w:r w:rsidRPr="00E12150">
        <w:rPr>
          <w:rFonts w:ascii="Arial" w:hAnsi="Arial" w:cs="Arial"/>
          <w:sz w:val="24"/>
          <w:szCs w:val="24"/>
        </w:rPr>
        <w:t xml:space="preserve"> (National Highway Traffic Safety Administration, DOT HS 812 013). Retrieved from U.S. Department of Transportation website: https://crashstats.nhtsa.dot.gov/Api/Public/ViewPublication/812013</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Bradford, A. C., &amp; Bradford, W. D. (2017). Medical marijuana laws may be associated with a decline in the number of prescriptions for Medicaid enrollees. </w:t>
      </w:r>
      <w:r w:rsidRPr="00E12150">
        <w:rPr>
          <w:rFonts w:ascii="Arial" w:hAnsi="Arial" w:cs="Arial"/>
          <w:i/>
          <w:sz w:val="24"/>
          <w:szCs w:val="24"/>
        </w:rPr>
        <w:t>Health Affairs (Project Hope</w:t>
      </w:r>
      <w:r w:rsidRPr="00E12150">
        <w:rPr>
          <w:rFonts w:ascii="Arial" w:hAnsi="Arial" w:cs="Arial"/>
          <w:sz w:val="24"/>
          <w:szCs w:val="24"/>
        </w:rPr>
        <w:t>)</w:t>
      </w:r>
      <w:r w:rsidRPr="00E12150">
        <w:rPr>
          <w:rFonts w:ascii="Arial" w:hAnsi="Arial" w:cs="Arial"/>
          <w:i/>
          <w:sz w:val="24"/>
          <w:szCs w:val="24"/>
        </w:rPr>
        <w:t>, 36</w:t>
      </w:r>
      <w:r w:rsidRPr="00E12150">
        <w:rPr>
          <w:rFonts w:ascii="Arial" w:hAnsi="Arial" w:cs="Arial"/>
          <w:sz w:val="24"/>
          <w:szCs w:val="24"/>
        </w:rPr>
        <w:t>(5), 945–951. http://</w:t>
      </w:r>
      <w:r w:rsidRPr="00E12150">
        <w:rPr>
          <w:rFonts w:ascii="Arial" w:hAnsi="Arial" w:cs="Arial"/>
          <w:sz w:val="24"/>
          <w:szCs w:val="24"/>
          <w:lang w:val="en"/>
        </w:rPr>
        <w:t>doi.org/10.1377/hlthaff.2016.1135</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Choo, E. K., Benz, M., Zaller, N., Warren, O., Rising, K. L., &amp; McConnell, K. J. (2014). The impact of state medical marijuana legislation on adolescent marijuana use. </w:t>
      </w:r>
      <w:r w:rsidRPr="00E12150">
        <w:rPr>
          <w:rFonts w:ascii="Arial" w:hAnsi="Arial" w:cs="Arial"/>
          <w:i/>
          <w:sz w:val="24"/>
          <w:szCs w:val="24"/>
        </w:rPr>
        <w:t>Journal of Adolescent Health,</w:t>
      </w:r>
      <w:r w:rsidRPr="00E12150">
        <w:rPr>
          <w:rFonts w:ascii="Arial" w:hAnsi="Arial" w:cs="Arial"/>
          <w:sz w:val="24"/>
          <w:szCs w:val="24"/>
        </w:rPr>
        <w:t xml:space="preserve"> </w:t>
      </w:r>
      <w:r w:rsidRPr="00E12150">
        <w:rPr>
          <w:rFonts w:ascii="Arial" w:hAnsi="Arial" w:cs="Arial"/>
          <w:i/>
          <w:sz w:val="24"/>
          <w:szCs w:val="24"/>
        </w:rPr>
        <w:t>55</w:t>
      </w:r>
      <w:r w:rsidRPr="00E12150">
        <w:rPr>
          <w:rFonts w:ascii="Arial" w:hAnsi="Arial" w:cs="Arial"/>
          <w:sz w:val="24"/>
          <w:szCs w:val="24"/>
        </w:rPr>
        <w:t>(2), 160–166. http://</w:t>
      </w:r>
      <w:r w:rsidRPr="00E12150">
        <w:rPr>
          <w:rFonts w:ascii="Arial" w:hAnsi="Arial" w:cs="Arial"/>
          <w:sz w:val="24"/>
          <w:szCs w:val="24"/>
          <w:lang w:val="en"/>
        </w:rPr>
        <w:t>doi.org/</w:t>
      </w:r>
      <w:r w:rsidRPr="00E12150">
        <w:rPr>
          <w:rFonts w:ascii="Arial" w:hAnsi="Arial" w:cs="Arial"/>
          <w:sz w:val="24"/>
          <w:szCs w:val="24"/>
        </w:rPr>
        <w:t>10.1016/j.jadohealth.2014.02.018</w:t>
      </w:r>
    </w:p>
    <w:p w:rsidR="001324CA" w:rsidRPr="00E12150" w:rsidRDefault="001324CA" w:rsidP="006057BE">
      <w:pPr>
        <w:pStyle w:val="References"/>
        <w:spacing w:after="0"/>
        <w:rPr>
          <w:rFonts w:ascii="Arial" w:hAnsi="Arial" w:cs="Arial"/>
          <w:sz w:val="24"/>
          <w:szCs w:val="24"/>
        </w:rPr>
      </w:pPr>
      <w:r w:rsidRPr="00E12150">
        <w:rPr>
          <w:rFonts w:ascii="Arial" w:hAnsi="Arial" w:cs="Arial"/>
          <w:sz w:val="24"/>
          <w:szCs w:val="24"/>
        </w:rPr>
        <w:t xml:space="preserve">Chu, Y.W.L. (2015). Do medical marijuana laws increase hard-drug use? </w:t>
      </w:r>
      <w:r w:rsidRPr="00E12150">
        <w:rPr>
          <w:rFonts w:ascii="Arial" w:hAnsi="Arial" w:cs="Arial"/>
          <w:i/>
          <w:sz w:val="24"/>
          <w:szCs w:val="24"/>
        </w:rPr>
        <w:t>The Journal of Law and Economics, 58</w:t>
      </w:r>
      <w:r w:rsidRPr="00E12150">
        <w:rPr>
          <w:rFonts w:ascii="Arial" w:hAnsi="Arial" w:cs="Arial"/>
          <w:sz w:val="24"/>
          <w:szCs w:val="24"/>
        </w:rPr>
        <w:t>(2), 481–517. http://</w:t>
      </w:r>
      <w:r w:rsidRPr="00E12150">
        <w:rPr>
          <w:rFonts w:ascii="Arial" w:hAnsi="Arial" w:cs="Arial"/>
          <w:sz w:val="24"/>
          <w:szCs w:val="24"/>
          <w:lang w:val="en"/>
        </w:rPr>
        <w:t>doi.org/</w:t>
      </w:r>
      <w:r w:rsidRPr="00E12150">
        <w:rPr>
          <w:rFonts w:ascii="Arial" w:hAnsi="Arial" w:cs="Arial"/>
          <w:sz w:val="24"/>
          <w:szCs w:val="24"/>
        </w:rPr>
        <w:t>10.1086/684043</w:t>
      </w:r>
    </w:p>
    <w:p w:rsidR="001324CA" w:rsidRPr="00E12150" w:rsidRDefault="001324CA" w:rsidP="006057BE">
      <w:pPr>
        <w:pStyle w:val="References"/>
        <w:spacing w:after="0"/>
        <w:rPr>
          <w:rFonts w:ascii="Arial" w:hAnsi="Arial" w:cs="Arial"/>
          <w:sz w:val="24"/>
          <w:szCs w:val="24"/>
        </w:rPr>
      </w:pPr>
      <w:r w:rsidRPr="00E12150">
        <w:rPr>
          <w:rFonts w:ascii="Arial" w:hAnsi="Arial" w:cs="Arial"/>
          <w:sz w:val="24"/>
          <w:szCs w:val="24"/>
        </w:rPr>
        <w:t xml:space="preserve">Colorado Department of Revenue. (2018). Marijuana tax data. Retrieved from Colorado State website: https://www.colorado.gov/pacific/revenue/colorado-marijuana-tax-data </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i/>
          <w:sz w:val="24"/>
          <w:szCs w:val="24"/>
        </w:rPr>
        <w:t>Committee on Foreign Affairs and International Trade</w:t>
      </w:r>
      <w:r w:rsidRPr="00E12150">
        <w:rPr>
          <w:rFonts w:ascii="Arial" w:hAnsi="Arial" w:cs="Arial"/>
          <w:sz w:val="24"/>
          <w:szCs w:val="24"/>
        </w:rPr>
        <w:t>, Senate of Canada, Ottawa, Canada (2018, March 22). Designing cannabis supply to promote temperance. (Testimony of Mark Kleiman) Retrieved from Marron Institute website: https://marroninstitute.nyu.edu/uploads/content/Designing_Cannabis_Supply_to_Promote_Temperance_-_Kleiman_Sep_2017.pdf</w:t>
      </w:r>
    </w:p>
    <w:p w:rsidR="001324CA" w:rsidRPr="00E12150" w:rsidRDefault="001324CA" w:rsidP="006057BE">
      <w:pPr>
        <w:pStyle w:val="References"/>
        <w:spacing w:after="0"/>
        <w:rPr>
          <w:rFonts w:ascii="Arial" w:hAnsi="Arial" w:cs="Arial"/>
          <w:sz w:val="24"/>
          <w:szCs w:val="24"/>
        </w:rPr>
      </w:pPr>
      <w:r w:rsidRPr="00E12150">
        <w:rPr>
          <w:rFonts w:ascii="Arial" w:hAnsi="Arial" w:cs="Arial"/>
          <w:sz w:val="24"/>
          <w:szCs w:val="24"/>
        </w:rPr>
        <w:t xml:space="preserve">Cooper, W., Johnston, E., &amp; Segal, K. (2016, April). </w:t>
      </w:r>
      <w:r w:rsidRPr="00E12150">
        <w:rPr>
          <w:rFonts w:ascii="Arial" w:hAnsi="Arial" w:cs="Arial"/>
          <w:i/>
          <w:sz w:val="24"/>
          <w:szCs w:val="24"/>
        </w:rPr>
        <w:t>The economic impacts of marijuana sales in the state of California</w:t>
      </w:r>
      <w:r w:rsidRPr="00E12150">
        <w:rPr>
          <w:rFonts w:ascii="Arial" w:hAnsi="Arial" w:cs="Arial"/>
          <w:sz w:val="24"/>
          <w:szCs w:val="24"/>
        </w:rPr>
        <w:t xml:space="preserve"> (ICF International white paper). Retrieved from ICF International website: https://www.icf.com/resources/white-papers/2016/economic-impact-of-marijuana-sales-in-california </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Darnell, A. J., &amp; Bitney, K. (2017). </w:t>
      </w:r>
      <w:r w:rsidRPr="00E12150">
        <w:rPr>
          <w:rFonts w:ascii="Arial" w:hAnsi="Arial" w:cs="Arial"/>
          <w:i/>
          <w:sz w:val="24"/>
          <w:szCs w:val="24"/>
        </w:rPr>
        <w:t>I-502</w:t>
      </w:r>
      <w:r w:rsidRPr="00E12150">
        <w:rPr>
          <w:rFonts w:ascii="Arial" w:hAnsi="Arial" w:cs="Arial"/>
          <w:sz w:val="24"/>
          <w:szCs w:val="24"/>
        </w:rPr>
        <w:t xml:space="preserve"> </w:t>
      </w:r>
      <w:r w:rsidRPr="00E12150">
        <w:rPr>
          <w:rFonts w:ascii="Arial" w:hAnsi="Arial" w:cs="Arial"/>
          <w:i/>
          <w:sz w:val="24"/>
          <w:szCs w:val="24"/>
        </w:rPr>
        <w:t>evaluation and benefit-cost analysis: Second required report</w:t>
      </w:r>
      <w:r w:rsidRPr="00E12150">
        <w:rPr>
          <w:rFonts w:ascii="Arial" w:hAnsi="Arial" w:cs="Arial"/>
          <w:sz w:val="24"/>
          <w:szCs w:val="24"/>
        </w:rPr>
        <w:t xml:space="preserve"> (Washington State Institute for Public Policy, 17-09-3201). Retrieved from Washington State Institute for Public Policy website: http://www.wsipp.wa.gov/ReportFile/1670/Wsipp_I-502-Evaluation-and-Benefit-Cost-Analysis-Second-Required-Report_Report.pdf</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Dills, A., Goffard, S., &amp; Miron, J. (2016, September 16). </w:t>
      </w:r>
      <w:r w:rsidRPr="00E12150">
        <w:rPr>
          <w:rFonts w:ascii="Arial" w:hAnsi="Arial" w:cs="Arial"/>
          <w:i/>
          <w:sz w:val="24"/>
          <w:szCs w:val="24"/>
        </w:rPr>
        <w:t xml:space="preserve">Dose of reality: The effect of state marijuana legalizations </w:t>
      </w:r>
      <w:r w:rsidRPr="00E12150">
        <w:rPr>
          <w:rFonts w:ascii="Arial" w:hAnsi="Arial" w:cs="Arial"/>
          <w:sz w:val="24"/>
          <w:szCs w:val="24"/>
        </w:rPr>
        <w:t>(CATO Institute Policy Analysis No. 799). Retrieved from the CATO website: https://object.cato.org/sites/cato.org/files/pubs/pdf/pa799.pdf</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Dills, A. K., Goffard, S., &amp; Miron, J. (2017). </w:t>
      </w:r>
      <w:r w:rsidRPr="00E12150">
        <w:rPr>
          <w:rFonts w:ascii="Arial" w:hAnsi="Arial" w:cs="Arial"/>
          <w:i/>
          <w:sz w:val="24"/>
          <w:szCs w:val="24"/>
        </w:rPr>
        <w:t>The effects of marijuana liberalizations: Evidence from monitoring the future</w:t>
      </w:r>
      <w:r w:rsidRPr="00E12150">
        <w:rPr>
          <w:rFonts w:ascii="Arial" w:hAnsi="Arial" w:cs="Arial"/>
          <w:sz w:val="24"/>
          <w:szCs w:val="24"/>
        </w:rPr>
        <w:t xml:space="preserve"> (National Bureau of Economic Research No. w23779).</w:t>
      </w:r>
      <w:r w:rsidRPr="00E12150">
        <w:rPr>
          <w:rFonts w:ascii="Arial" w:hAnsi="Arial" w:cs="Arial"/>
          <w:i/>
          <w:sz w:val="24"/>
          <w:szCs w:val="24"/>
        </w:rPr>
        <w:t xml:space="preserve"> </w:t>
      </w:r>
      <w:r w:rsidRPr="00E12150">
        <w:rPr>
          <w:rFonts w:ascii="Arial" w:hAnsi="Arial" w:cs="Arial"/>
          <w:sz w:val="24"/>
          <w:szCs w:val="24"/>
          <w:lang w:val="en"/>
        </w:rPr>
        <w:t>http://doi.org/</w:t>
      </w:r>
      <w:r w:rsidRPr="00E12150">
        <w:rPr>
          <w:rFonts w:ascii="Arial" w:hAnsi="Arial" w:cs="Arial"/>
          <w:sz w:val="24"/>
          <w:szCs w:val="24"/>
        </w:rPr>
        <w:t xml:space="preserve">10.3386/w23779 </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Friese, B., Grube, J. W., &amp; Moore, R. S. (2013). Youth acquisition of alcohol and drinking contexts: An in-depth look. </w:t>
      </w:r>
      <w:r w:rsidRPr="00E12150">
        <w:rPr>
          <w:rFonts w:ascii="Arial" w:hAnsi="Arial" w:cs="Arial"/>
          <w:i/>
          <w:iCs/>
          <w:sz w:val="24"/>
          <w:szCs w:val="24"/>
        </w:rPr>
        <w:t>Journal of drug education</w:t>
      </w:r>
      <w:r w:rsidRPr="00E12150">
        <w:rPr>
          <w:rFonts w:ascii="Arial" w:hAnsi="Arial" w:cs="Arial"/>
          <w:sz w:val="24"/>
          <w:szCs w:val="24"/>
        </w:rPr>
        <w:t>, </w:t>
      </w:r>
      <w:r w:rsidRPr="00E12150">
        <w:rPr>
          <w:rFonts w:ascii="Arial" w:hAnsi="Arial" w:cs="Arial"/>
          <w:i/>
          <w:iCs/>
          <w:sz w:val="24"/>
          <w:szCs w:val="24"/>
        </w:rPr>
        <w:t>43</w:t>
      </w:r>
      <w:r w:rsidRPr="00E12150">
        <w:rPr>
          <w:rFonts w:ascii="Arial" w:hAnsi="Arial" w:cs="Arial"/>
          <w:sz w:val="24"/>
          <w:szCs w:val="24"/>
        </w:rPr>
        <w:t>(4), 385-403. http://dx.doi.org/10.2190/DE.43.4.f</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Harrison, L. D., Martin, S. S., Enev, T., &amp; Harrington, D. (2007, May). </w:t>
      </w:r>
      <w:r w:rsidRPr="00E12150">
        <w:rPr>
          <w:rFonts w:ascii="Arial" w:hAnsi="Arial" w:cs="Arial"/>
          <w:i/>
          <w:sz w:val="24"/>
          <w:szCs w:val="24"/>
        </w:rPr>
        <w:t>Comparing drug testing and self-report of drug use among youths and young adults in the general population.</w:t>
      </w:r>
      <w:r w:rsidRPr="00E12150">
        <w:rPr>
          <w:rFonts w:ascii="Arial" w:hAnsi="Arial" w:cs="Arial"/>
          <w:sz w:val="24"/>
          <w:szCs w:val="24"/>
        </w:rPr>
        <w:t xml:space="preserve"> Retrieved from Buckley’s Renewal Center website: http://www.buckleysrenewalcenter.com/wp-content/uploads/2012/02/drugtest.pdf</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Hasin, D. S., Sarvet, A. L., Cerdá, M., Keyes, K. M., Stohl, M., Galea, S., &amp; Wall, M. M. (2017). U.S. adult illicit cannabis use, cannabis use disorder, and medical marijuana laws: 1991–1992 to 2012–2013. </w:t>
      </w:r>
      <w:r w:rsidRPr="00E12150">
        <w:rPr>
          <w:rFonts w:ascii="Arial" w:hAnsi="Arial" w:cs="Arial"/>
          <w:i/>
          <w:sz w:val="24"/>
          <w:szCs w:val="24"/>
        </w:rPr>
        <w:t>JAMA Psychiatry, 74</w:t>
      </w:r>
      <w:r w:rsidRPr="00E12150">
        <w:rPr>
          <w:rFonts w:ascii="Arial" w:hAnsi="Arial" w:cs="Arial"/>
          <w:sz w:val="24"/>
          <w:szCs w:val="24"/>
        </w:rPr>
        <w:t xml:space="preserve">(6), 579–588. </w:t>
      </w:r>
      <w:r w:rsidRPr="00E12150">
        <w:rPr>
          <w:rFonts w:ascii="Arial" w:hAnsi="Arial" w:cs="Arial"/>
          <w:sz w:val="24"/>
          <w:szCs w:val="24"/>
          <w:lang w:val="en"/>
        </w:rPr>
        <w:t>http://doi.org/</w:t>
      </w:r>
      <w:r w:rsidRPr="00E12150">
        <w:rPr>
          <w:rFonts w:ascii="Arial" w:hAnsi="Arial" w:cs="Arial"/>
          <w:sz w:val="24"/>
          <w:szCs w:val="24"/>
        </w:rPr>
        <w:t>10.1001/jamapsychiatry.2017.0724</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Hasin, D. S., Wall, M., Keyes, K. M., Cerdá, M., Schulenberg, J., O'Malley, P. M., Galea, S., Pacula, R., &amp; Feng., T. (2015). Medical marijuana laws and adolescent marijuana use in the USA from 1991 to 2014: Results from annual, repeated cross-sectional surveys. </w:t>
      </w:r>
      <w:r w:rsidRPr="00E12150">
        <w:rPr>
          <w:rFonts w:ascii="Arial" w:hAnsi="Arial" w:cs="Arial"/>
          <w:i/>
          <w:sz w:val="24"/>
          <w:szCs w:val="24"/>
        </w:rPr>
        <w:t>The Lancet Psychiatry, 2</w:t>
      </w:r>
      <w:r w:rsidRPr="00E12150">
        <w:rPr>
          <w:rFonts w:ascii="Arial" w:hAnsi="Arial" w:cs="Arial"/>
          <w:sz w:val="24"/>
          <w:szCs w:val="24"/>
        </w:rPr>
        <w:t xml:space="preserve">(7), 601–608. </w:t>
      </w:r>
      <w:r w:rsidRPr="00E12150">
        <w:rPr>
          <w:rFonts w:ascii="Arial" w:hAnsi="Arial" w:cs="Arial"/>
          <w:sz w:val="24"/>
          <w:szCs w:val="24"/>
          <w:lang w:val="en"/>
        </w:rPr>
        <w:t>http://doi.org/</w:t>
      </w:r>
      <w:r w:rsidRPr="00E12150">
        <w:rPr>
          <w:rFonts w:ascii="Arial" w:hAnsi="Arial" w:cs="Arial"/>
          <w:sz w:val="24"/>
          <w:szCs w:val="24"/>
        </w:rPr>
        <w:t>10.1016/S2215-0366(15)00217-5</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Hunt, P., &amp; Pacula, R. L. (2017). Early impacts of marijuana legalization: An evaluation of prices in Colorado and Washington. </w:t>
      </w:r>
      <w:r w:rsidRPr="00E12150">
        <w:rPr>
          <w:rFonts w:ascii="Arial" w:hAnsi="Arial" w:cs="Arial"/>
          <w:i/>
          <w:sz w:val="24"/>
          <w:szCs w:val="24"/>
        </w:rPr>
        <w:t>Journal of Primary Prevention,</w:t>
      </w:r>
      <w:r w:rsidRPr="00E12150">
        <w:rPr>
          <w:rFonts w:ascii="Arial" w:hAnsi="Arial" w:cs="Arial"/>
          <w:sz w:val="24"/>
          <w:szCs w:val="24"/>
        </w:rPr>
        <w:t xml:space="preserve"> </w:t>
      </w:r>
      <w:r w:rsidRPr="00E12150">
        <w:rPr>
          <w:rFonts w:ascii="Arial" w:hAnsi="Arial" w:cs="Arial"/>
          <w:i/>
          <w:sz w:val="24"/>
          <w:szCs w:val="24"/>
        </w:rPr>
        <w:t>38</w:t>
      </w:r>
      <w:r w:rsidRPr="00E12150">
        <w:rPr>
          <w:rFonts w:ascii="Arial" w:hAnsi="Arial" w:cs="Arial"/>
          <w:sz w:val="24"/>
          <w:szCs w:val="24"/>
        </w:rPr>
        <w:t xml:space="preserve">(3), 221–248. </w:t>
      </w:r>
      <w:r w:rsidRPr="00E12150">
        <w:rPr>
          <w:rFonts w:ascii="Arial" w:hAnsi="Arial" w:cs="Arial"/>
          <w:sz w:val="24"/>
          <w:szCs w:val="24"/>
          <w:lang w:val="en"/>
        </w:rPr>
        <w:t>http://doi.org/</w:t>
      </w:r>
      <w:r w:rsidRPr="00E12150">
        <w:rPr>
          <w:rFonts w:ascii="Arial" w:hAnsi="Arial" w:cs="Arial"/>
          <w:sz w:val="24"/>
          <w:szCs w:val="24"/>
        </w:rPr>
        <w:t>10.1007/s10935-017-0471-x</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Jamison, E., Mintz, S., Herndon, K., &amp; Bol, K. (2017, October). Suicide in Colorado, 2011-2015: A summary from the Colorado Violent Death Reporting System. </w:t>
      </w:r>
      <w:r w:rsidRPr="00E12150">
        <w:rPr>
          <w:rFonts w:ascii="Arial" w:hAnsi="Arial" w:cs="Arial"/>
          <w:i/>
          <w:sz w:val="24"/>
          <w:szCs w:val="24"/>
        </w:rPr>
        <w:t>Health Watch, 102</w:t>
      </w:r>
      <w:r w:rsidRPr="00E12150">
        <w:rPr>
          <w:rFonts w:ascii="Arial" w:hAnsi="Arial" w:cs="Arial"/>
          <w:sz w:val="24"/>
          <w:szCs w:val="24"/>
        </w:rPr>
        <w:t>. Retrieved from Colorado State website: https://www.colorado.gov/pacific/sites/default/files/CHED_CoVDRS_HealthWatch_Suicide-in-Colorado-2011-2015-Colorado-Violent-Death-Reporting-System_1017%20.pdf</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i/>
          <w:sz w:val="24"/>
          <w:szCs w:val="24"/>
        </w:rPr>
        <w:t xml:space="preserve">Joint Committee on Marijuana Policy </w:t>
      </w:r>
      <w:r w:rsidRPr="00E12150">
        <w:rPr>
          <w:rFonts w:ascii="Arial" w:hAnsi="Arial" w:cs="Arial"/>
          <w:sz w:val="24"/>
          <w:szCs w:val="24"/>
        </w:rPr>
        <w:t>(2017, March 20) (Testimony of Commissioner Michael Heffernan, Massachusetts Department of Revenue).</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Kilmer, B., Caulkins, J. P., Midgette, G., Dahlkemper, L., MacCoun, R. J., &amp; Pacula, R. L. (2013). </w:t>
      </w:r>
      <w:r w:rsidRPr="00E12150">
        <w:rPr>
          <w:rFonts w:ascii="Arial" w:hAnsi="Arial" w:cs="Arial"/>
          <w:i/>
          <w:sz w:val="24"/>
          <w:szCs w:val="24"/>
        </w:rPr>
        <w:t>Before the grand opening: Measuring Washington State’s marijuana market in the last year before legalized commercial sales.</w:t>
      </w:r>
      <w:r w:rsidRPr="00E12150">
        <w:rPr>
          <w:rFonts w:ascii="Arial" w:hAnsi="Arial" w:cs="Arial"/>
          <w:sz w:val="24"/>
          <w:szCs w:val="24"/>
        </w:rPr>
        <w:t xml:space="preserve"> </w:t>
      </w:r>
      <w:r w:rsidRPr="00E12150">
        <w:rPr>
          <w:rFonts w:ascii="Arial" w:hAnsi="Arial" w:cs="Arial"/>
          <w:sz w:val="24"/>
          <w:szCs w:val="24"/>
          <w:lang w:val="en"/>
        </w:rPr>
        <w:t>Retrieved from RAND Corporation website: https://www.rand.org/pubs/research_reports/RR466.html</w:t>
      </w:r>
    </w:p>
    <w:p w:rsidR="001324CA" w:rsidRPr="00E12150" w:rsidRDefault="001324CA" w:rsidP="006057BE">
      <w:pPr>
        <w:pStyle w:val="References"/>
        <w:spacing w:after="0"/>
        <w:rPr>
          <w:rFonts w:ascii="Arial" w:hAnsi="Arial" w:cs="Arial"/>
          <w:sz w:val="24"/>
          <w:szCs w:val="24"/>
        </w:rPr>
      </w:pPr>
      <w:r w:rsidRPr="00E12150">
        <w:rPr>
          <w:rFonts w:ascii="Arial" w:hAnsi="Arial" w:cs="Arial"/>
          <w:sz w:val="24"/>
          <w:szCs w:val="24"/>
        </w:rPr>
        <w:t xml:space="preserve">Light, M., Orens, A., Rowberry, J., &amp; Saloga, C.W. (2016, October). </w:t>
      </w:r>
      <w:r w:rsidRPr="00E12150">
        <w:rPr>
          <w:rFonts w:ascii="Arial" w:hAnsi="Arial" w:cs="Arial"/>
          <w:i/>
          <w:sz w:val="24"/>
          <w:szCs w:val="24"/>
        </w:rPr>
        <w:t>The economic impact of marijuana legalization in Colorado.</w:t>
      </w:r>
      <w:r w:rsidRPr="00E12150">
        <w:rPr>
          <w:rFonts w:ascii="Arial" w:hAnsi="Arial" w:cs="Arial"/>
          <w:sz w:val="24"/>
          <w:szCs w:val="24"/>
        </w:rPr>
        <w:t xml:space="preserve"> Retrieved from Marijuana Policy Group website: http://mjpolicygroup.com/pubs/MPG%20Impact%20of%20Marijuana%20on%20Colorado-Final.pdf</w:t>
      </w:r>
    </w:p>
    <w:p w:rsidR="001324CA" w:rsidRPr="00E12150" w:rsidRDefault="001324CA" w:rsidP="006057BE">
      <w:pPr>
        <w:pStyle w:val="References"/>
        <w:spacing w:after="0"/>
        <w:rPr>
          <w:rFonts w:ascii="Arial" w:hAnsi="Arial" w:cs="Arial"/>
          <w:sz w:val="24"/>
          <w:szCs w:val="24"/>
        </w:rPr>
      </w:pPr>
      <w:r w:rsidRPr="00E12150">
        <w:rPr>
          <w:rFonts w:ascii="Arial" w:hAnsi="Arial" w:cs="Arial"/>
          <w:sz w:val="24"/>
          <w:szCs w:val="24"/>
        </w:rPr>
        <w:t xml:space="preserve">Marijuana Policy Project. (2018, February 26). </w:t>
      </w:r>
      <w:r w:rsidRPr="00E12150">
        <w:rPr>
          <w:rFonts w:ascii="Arial" w:hAnsi="Arial" w:cs="Arial"/>
          <w:i/>
          <w:sz w:val="24"/>
          <w:szCs w:val="24"/>
        </w:rPr>
        <w:t>Medical marijuana patient numbers.</w:t>
      </w:r>
      <w:r w:rsidRPr="00E12150">
        <w:rPr>
          <w:rFonts w:ascii="Arial" w:hAnsi="Arial" w:cs="Arial"/>
          <w:sz w:val="24"/>
          <w:szCs w:val="24"/>
        </w:rPr>
        <w:t xml:space="preserve"> Retrieved from MPP website: https://www.mpp.org/issues/medical-marijuana/state-by-state-medical-marijuana-laws/medical-marijuana-patient-numbers/</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Migoya, D. (2017, August 27). Traffic fatalities linked to marijuana are up sharply in Colorado. Is legalization to blame? </w:t>
      </w:r>
      <w:r w:rsidRPr="00E12150">
        <w:rPr>
          <w:rFonts w:ascii="Arial" w:hAnsi="Arial" w:cs="Arial"/>
          <w:i/>
          <w:sz w:val="24"/>
          <w:szCs w:val="24"/>
        </w:rPr>
        <w:t xml:space="preserve">The Denver Post. </w:t>
      </w:r>
      <w:r w:rsidRPr="00E12150">
        <w:rPr>
          <w:rFonts w:ascii="Arial" w:hAnsi="Arial" w:cs="Arial"/>
          <w:sz w:val="24"/>
          <w:szCs w:val="24"/>
        </w:rPr>
        <w:t>Retrieved from https://www.denverpost.com/2017/08/25/colorado-marijuana-traffic-fatalities/</w:t>
      </w:r>
    </w:p>
    <w:p w:rsidR="001324CA" w:rsidRPr="00E12150" w:rsidRDefault="001324CA" w:rsidP="006057BE">
      <w:pPr>
        <w:pStyle w:val="References"/>
        <w:spacing w:after="0"/>
        <w:rPr>
          <w:rFonts w:ascii="Arial" w:hAnsi="Arial" w:cs="Arial"/>
          <w:sz w:val="24"/>
          <w:szCs w:val="24"/>
        </w:rPr>
      </w:pPr>
      <w:r w:rsidRPr="00E12150">
        <w:rPr>
          <w:rFonts w:ascii="Arial" w:hAnsi="Arial" w:cs="Arial"/>
          <w:sz w:val="24"/>
          <w:szCs w:val="24"/>
        </w:rPr>
        <w:t xml:space="preserve">Nicholas, L. H. &amp; Maclean, J. C. (2016). </w:t>
      </w:r>
      <w:r w:rsidRPr="00E12150">
        <w:rPr>
          <w:rFonts w:ascii="Arial" w:hAnsi="Arial" w:cs="Arial"/>
          <w:i/>
          <w:sz w:val="24"/>
          <w:szCs w:val="24"/>
        </w:rPr>
        <w:t>The impact of medical marijuana laws on the labor supply and health of older adults: Evidence from the Health and Retirement Study</w:t>
      </w:r>
      <w:r w:rsidRPr="00E12150">
        <w:rPr>
          <w:rFonts w:ascii="Arial" w:hAnsi="Arial" w:cs="Arial"/>
          <w:sz w:val="24"/>
          <w:szCs w:val="24"/>
        </w:rPr>
        <w:t xml:space="preserve"> (National Bureau of Economic Research, No. w22688). Retrieved from Social Science Research Network website: https://papers.ssrn.com/sol3/papers.cfm?abstract_id=2846904</w:t>
      </w:r>
    </w:p>
    <w:p w:rsidR="001324CA" w:rsidRPr="00E12150" w:rsidRDefault="001324CA" w:rsidP="006057BE">
      <w:pPr>
        <w:pStyle w:val="References"/>
        <w:spacing w:after="0"/>
        <w:rPr>
          <w:rFonts w:ascii="Arial" w:hAnsi="Arial" w:cs="Arial"/>
          <w:sz w:val="24"/>
          <w:szCs w:val="24"/>
        </w:rPr>
      </w:pPr>
      <w:r w:rsidRPr="00E12150">
        <w:rPr>
          <w:rFonts w:ascii="Arial" w:hAnsi="Arial" w:cs="Arial"/>
          <w:sz w:val="24"/>
          <w:szCs w:val="24"/>
        </w:rPr>
        <w:t xml:space="preserve">Oregon Department of Revenue. (n.d.). </w:t>
      </w:r>
      <w:r w:rsidRPr="00E12150">
        <w:rPr>
          <w:rFonts w:ascii="Arial" w:hAnsi="Arial" w:cs="Arial"/>
          <w:i/>
          <w:sz w:val="24"/>
          <w:szCs w:val="24"/>
        </w:rPr>
        <w:t>Oregon marijuana tax statistics.</w:t>
      </w:r>
      <w:r w:rsidRPr="00E12150">
        <w:rPr>
          <w:rFonts w:ascii="Arial" w:hAnsi="Arial" w:cs="Arial"/>
          <w:sz w:val="24"/>
          <w:szCs w:val="24"/>
        </w:rPr>
        <w:t xml:space="preserve"> Retrieved from Oregon State website: http://www.oregon.gov/dor/programs/gov-research/pages/research-marijuana.aspx </w:t>
      </w:r>
    </w:p>
    <w:p w:rsidR="001324CA" w:rsidRPr="00E12150" w:rsidRDefault="001324CA" w:rsidP="006057BE">
      <w:pPr>
        <w:pStyle w:val="References"/>
        <w:spacing w:after="0"/>
        <w:rPr>
          <w:rFonts w:ascii="Arial" w:hAnsi="Arial" w:cs="Arial"/>
          <w:sz w:val="24"/>
          <w:szCs w:val="24"/>
        </w:rPr>
      </w:pPr>
      <w:r w:rsidRPr="00E12150">
        <w:rPr>
          <w:rFonts w:ascii="Arial" w:hAnsi="Arial" w:cs="Arial"/>
          <w:sz w:val="24"/>
          <w:szCs w:val="24"/>
        </w:rPr>
        <w:t xml:space="preserve">Powell, D., Pacula, R. L., &amp; Jacobson, M. (2015). </w:t>
      </w:r>
      <w:r w:rsidRPr="00E12150">
        <w:rPr>
          <w:rFonts w:ascii="Arial" w:hAnsi="Arial" w:cs="Arial"/>
          <w:i/>
          <w:sz w:val="24"/>
          <w:szCs w:val="24"/>
        </w:rPr>
        <w:t xml:space="preserve">Do medical marijuana laws reduce addictions and deaths related to pain killers? </w:t>
      </w:r>
      <w:r w:rsidRPr="00E12150">
        <w:rPr>
          <w:rFonts w:ascii="Arial" w:hAnsi="Arial" w:cs="Arial"/>
          <w:sz w:val="24"/>
          <w:szCs w:val="24"/>
        </w:rPr>
        <w:t>(National Bureau of Economic Research, No. w21345). http://dx.doi.org/10.3386/w21345</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Pozzi, F., &amp; Small, C. (2005, June). Analysis of urban land cover and population density in the United States. </w:t>
      </w:r>
      <w:r w:rsidRPr="00E12150">
        <w:rPr>
          <w:rFonts w:ascii="Arial" w:hAnsi="Arial" w:cs="Arial"/>
          <w:i/>
          <w:sz w:val="24"/>
          <w:szCs w:val="24"/>
        </w:rPr>
        <w:t>Photogrammetric Engineering &amp; Remote Sensing,</w:t>
      </w:r>
      <w:r w:rsidRPr="00E12150">
        <w:rPr>
          <w:rFonts w:ascii="Arial" w:hAnsi="Arial" w:cs="Arial"/>
          <w:sz w:val="24"/>
          <w:szCs w:val="24"/>
        </w:rPr>
        <w:t xml:space="preserve"> </w:t>
      </w:r>
      <w:r w:rsidRPr="00E12150">
        <w:rPr>
          <w:rFonts w:ascii="Arial" w:hAnsi="Arial" w:cs="Arial"/>
          <w:i/>
          <w:sz w:val="24"/>
          <w:szCs w:val="24"/>
        </w:rPr>
        <w:t>71</w:t>
      </w:r>
      <w:r w:rsidRPr="00E12150">
        <w:rPr>
          <w:rFonts w:ascii="Arial" w:hAnsi="Arial" w:cs="Arial"/>
          <w:sz w:val="24"/>
          <w:szCs w:val="24"/>
        </w:rPr>
        <w:t>(6), 719–726. Retrieved from American Society for Photogrammetry and Remote Sensing website: https://www.asprs.org/wp-content/uploads/pers/2005journal/jun/2005_jun_719-726.pdf</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ProCon. (2016, March 3). </w:t>
      </w:r>
      <w:r w:rsidRPr="00E12150">
        <w:rPr>
          <w:rFonts w:ascii="Arial" w:hAnsi="Arial" w:cs="Arial"/>
          <w:i/>
          <w:sz w:val="24"/>
          <w:szCs w:val="24"/>
        </w:rPr>
        <w:t>Number of legal medical marijuana patients.</w:t>
      </w:r>
      <w:r w:rsidRPr="00E12150">
        <w:rPr>
          <w:rFonts w:ascii="Arial" w:hAnsi="Arial" w:cs="Arial"/>
          <w:sz w:val="24"/>
          <w:szCs w:val="24"/>
        </w:rPr>
        <w:t xml:space="preserve"> Retrieved from ProCon website: https://medicalmarijuana.procon.org/view.resource.php?resourceID=005889</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ProCon. (2017, November 20). </w:t>
      </w:r>
      <w:r w:rsidRPr="00E12150">
        <w:rPr>
          <w:rFonts w:ascii="Arial" w:hAnsi="Arial" w:cs="Arial"/>
          <w:i/>
          <w:sz w:val="24"/>
          <w:szCs w:val="24"/>
        </w:rPr>
        <w:t xml:space="preserve">29 legal medical marijuana state and DC: Laws, fees, and possession limits. </w:t>
      </w:r>
      <w:r w:rsidRPr="00E12150">
        <w:rPr>
          <w:rFonts w:ascii="Arial" w:hAnsi="Arial" w:cs="Arial"/>
          <w:sz w:val="24"/>
          <w:szCs w:val="24"/>
        </w:rPr>
        <w:t xml:space="preserve">Retrieved from ProCon website: https://medicalmarijuana.procon.org/view.resource.php?resourceID=000881Massachusetts </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Ruggles, S., Genadek, K., Goeken, R., Grover, J., &amp; Sobek, M. (2017).</w:t>
      </w:r>
      <w:r w:rsidRPr="00E12150">
        <w:rPr>
          <w:rFonts w:ascii="Arial" w:hAnsi="Arial" w:cs="Arial"/>
          <w:i/>
          <w:sz w:val="24"/>
          <w:szCs w:val="24"/>
        </w:rPr>
        <w:t xml:space="preserve"> Integrated public use microdata series: Version 7.0</w:t>
      </w:r>
      <w:r w:rsidRPr="00E12150">
        <w:rPr>
          <w:rFonts w:ascii="Arial" w:hAnsi="Arial" w:cs="Arial"/>
          <w:sz w:val="24"/>
          <w:szCs w:val="24"/>
        </w:rPr>
        <w:t xml:space="preserve"> [Data file]. Minneapolis: University of Minnesota.</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Russell, E. M., Cook, K. R., Gold-Alexander, D., Rollins, R. S., Wilson, P., Wong, L., &amp; Cerasoli, R. (2017, December 27). </w:t>
      </w:r>
      <w:r w:rsidRPr="00E12150">
        <w:rPr>
          <w:rFonts w:ascii="Arial" w:hAnsi="Arial" w:cs="Arial"/>
          <w:i/>
          <w:sz w:val="24"/>
          <w:szCs w:val="24"/>
        </w:rPr>
        <w:t>Alcoholic Beverages Control Commission of Massachusetts: Task force report.</w:t>
      </w:r>
      <w:r w:rsidRPr="00E12150">
        <w:rPr>
          <w:rFonts w:ascii="Arial" w:hAnsi="Arial" w:cs="Arial"/>
          <w:sz w:val="24"/>
          <w:szCs w:val="24"/>
        </w:rPr>
        <w:t xml:space="preserve"> Retrieved from Massachusetts State website: https://www.mass.gov/files/documents/2017/12/28/Alcohol%20Task%20Force%20Report_0.pdf</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Sabia, J., &amp; Nguyen, T. T. (2016, March). </w:t>
      </w:r>
      <w:r w:rsidRPr="00E12150">
        <w:rPr>
          <w:rFonts w:ascii="Arial" w:hAnsi="Arial" w:cs="Arial"/>
          <w:i/>
          <w:sz w:val="24"/>
          <w:szCs w:val="24"/>
        </w:rPr>
        <w:t xml:space="preserve">The effect of medical marijuana laws on labor market outcomes </w:t>
      </w:r>
      <w:r w:rsidRPr="00E12150">
        <w:rPr>
          <w:rFonts w:ascii="Arial" w:hAnsi="Arial" w:cs="Arial"/>
          <w:sz w:val="24"/>
          <w:szCs w:val="24"/>
        </w:rPr>
        <w:t>(IZA Discussion Paper, 9831). Retrieved from IZA Institute of Labor Economics website: http://ftp.iza.org/dp9831.pdf</w:t>
      </w:r>
    </w:p>
    <w:p w:rsidR="001324CA" w:rsidRPr="00E12150" w:rsidRDefault="001324CA" w:rsidP="006057BE">
      <w:pPr>
        <w:pStyle w:val="References"/>
        <w:spacing w:after="0"/>
        <w:rPr>
          <w:rFonts w:ascii="Arial" w:hAnsi="Arial" w:cs="Arial"/>
          <w:sz w:val="24"/>
          <w:szCs w:val="24"/>
        </w:rPr>
      </w:pPr>
      <w:r w:rsidRPr="00E12150">
        <w:rPr>
          <w:rFonts w:ascii="Arial" w:hAnsi="Arial" w:cs="Arial"/>
          <w:sz w:val="24"/>
          <w:szCs w:val="24"/>
        </w:rPr>
        <w:t xml:space="preserve">Santaella-Tenorio, J., Mauro, C., Wall, M., Kim, J., &amp; Martins, S. (2017). Reductions in traffic fatalities rates across states with operational dispensaries of marijuana. </w:t>
      </w:r>
      <w:r w:rsidRPr="00E12150">
        <w:rPr>
          <w:rFonts w:ascii="Arial" w:hAnsi="Arial" w:cs="Arial"/>
          <w:i/>
          <w:sz w:val="24"/>
          <w:szCs w:val="24"/>
        </w:rPr>
        <w:t>Drug and Alcohol Dependence, 171</w:t>
      </w:r>
      <w:r w:rsidRPr="00E12150">
        <w:rPr>
          <w:rFonts w:ascii="Arial" w:hAnsi="Arial" w:cs="Arial"/>
          <w:sz w:val="24"/>
          <w:szCs w:val="24"/>
        </w:rPr>
        <w:t xml:space="preserve">. </w:t>
      </w:r>
      <w:r w:rsidRPr="00E12150">
        <w:rPr>
          <w:rFonts w:ascii="Arial" w:hAnsi="Arial" w:cs="Arial"/>
          <w:sz w:val="24"/>
          <w:szCs w:val="24"/>
          <w:lang w:val="en"/>
        </w:rPr>
        <w:t>http://doi.org/</w:t>
      </w:r>
      <w:r w:rsidRPr="00E12150">
        <w:rPr>
          <w:rFonts w:ascii="Arial" w:hAnsi="Arial" w:cs="Arial"/>
          <w:sz w:val="24"/>
          <w:szCs w:val="24"/>
        </w:rPr>
        <w:t>10.1016/j.drugalcdep.2016.08.500</w:t>
      </w:r>
    </w:p>
    <w:p w:rsidR="001324CA" w:rsidRPr="00E12150" w:rsidRDefault="001324CA" w:rsidP="006057BE">
      <w:pPr>
        <w:keepLines/>
        <w:spacing w:after="0" w:line="240" w:lineRule="auto"/>
        <w:ind w:left="432" w:hanging="432"/>
        <w:rPr>
          <w:rFonts w:ascii="Arial" w:hAnsi="Arial" w:cs="Arial"/>
          <w:sz w:val="24"/>
          <w:szCs w:val="24"/>
          <w:lang w:val="en"/>
        </w:rPr>
      </w:pPr>
      <w:r w:rsidRPr="00E12150">
        <w:rPr>
          <w:rFonts w:ascii="Arial" w:hAnsi="Arial" w:cs="Arial"/>
          <w:sz w:val="24"/>
          <w:szCs w:val="24"/>
        </w:rPr>
        <w:t xml:space="preserve">Shepard, D. S., Gurewich, D., Lwin, A. K., Reed, G. A., Jr., &amp; Silverman, M. M. (2015). Suicide and suicidal attempts in the United States: Costs and policy implications. </w:t>
      </w:r>
      <w:r w:rsidRPr="00E12150">
        <w:rPr>
          <w:rFonts w:ascii="Arial" w:hAnsi="Arial" w:cs="Arial"/>
          <w:i/>
          <w:sz w:val="24"/>
          <w:szCs w:val="24"/>
        </w:rPr>
        <w:t>Suicide and Life-Threatening Behavior</w:t>
      </w:r>
      <w:r w:rsidRPr="00E12150">
        <w:rPr>
          <w:rFonts w:ascii="Arial" w:hAnsi="Arial" w:cs="Arial"/>
          <w:sz w:val="24"/>
          <w:szCs w:val="24"/>
        </w:rPr>
        <w:t xml:space="preserve">, </w:t>
      </w:r>
      <w:r w:rsidRPr="00E12150">
        <w:rPr>
          <w:rFonts w:ascii="Arial" w:hAnsi="Arial" w:cs="Arial"/>
          <w:i/>
          <w:sz w:val="24"/>
          <w:szCs w:val="24"/>
        </w:rPr>
        <w:t>46</w:t>
      </w:r>
      <w:r w:rsidRPr="00E12150">
        <w:rPr>
          <w:rFonts w:ascii="Arial" w:hAnsi="Arial" w:cs="Arial"/>
          <w:sz w:val="24"/>
          <w:szCs w:val="24"/>
        </w:rPr>
        <w:t xml:space="preserve">(3), 352–362. </w:t>
      </w:r>
      <w:r w:rsidRPr="00E12150">
        <w:rPr>
          <w:rFonts w:ascii="Arial" w:hAnsi="Arial" w:cs="Arial"/>
          <w:bCs/>
          <w:sz w:val="24"/>
          <w:szCs w:val="24"/>
          <w:lang w:val="en"/>
        </w:rPr>
        <w:t>https://doi.org/10.1111/sltb.12225</w:t>
      </w:r>
    </w:p>
    <w:p w:rsidR="001324CA" w:rsidRPr="00E12150" w:rsidRDefault="001324CA" w:rsidP="006057BE">
      <w:pPr>
        <w:keepLines/>
        <w:spacing w:after="0" w:line="240" w:lineRule="auto"/>
        <w:ind w:left="432" w:hanging="432"/>
        <w:rPr>
          <w:rFonts w:ascii="Arial" w:hAnsi="Arial" w:cs="Arial"/>
          <w:iCs/>
          <w:sz w:val="24"/>
          <w:szCs w:val="24"/>
        </w:rPr>
      </w:pPr>
      <w:r w:rsidRPr="00E12150">
        <w:rPr>
          <w:rFonts w:ascii="Arial" w:hAnsi="Arial" w:cs="Arial"/>
          <w:sz w:val="24"/>
          <w:szCs w:val="24"/>
        </w:rPr>
        <w:t xml:space="preserve">Tefft, B. C., Arnold, L. S., &amp; Grabowski, J. G. (2016). </w:t>
      </w:r>
      <w:r w:rsidRPr="00E12150">
        <w:rPr>
          <w:rFonts w:ascii="Arial" w:hAnsi="Arial" w:cs="Arial"/>
          <w:i/>
          <w:sz w:val="24"/>
          <w:szCs w:val="24"/>
        </w:rPr>
        <w:t>Prevalence of marijuana use among drivers in fatal crashes: Washington, 2010-2014.</w:t>
      </w:r>
      <w:r w:rsidRPr="00E12150">
        <w:rPr>
          <w:rFonts w:ascii="Arial" w:hAnsi="Arial" w:cs="Arial"/>
          <w:sz w:val="24"/>
          <w:szCs w:val="24"/>
        </w:rPr>
        <w:t xml:space="preserve"> </w:t>
      </w:r>
      <w:r w:rsidRPr="00E12150">
        <w:rPr>
          <w:rFonts w:ascii="Arial" w:hAnsi="Arial" w:cs="Arial"/>
          <w:iCs/>
          <w:sz w:val="24"/>
          <w:szCs w:val="24"/>
        </w:rPr>
        <w:t>Retrieved from AAA Foundation for Traffic Safety website:</w:t>
      </w:r>
      <w:r w:rsidRPr="00E12150">
        <w:rPr>
          <w:rFonts w:ascii="Arial" w:hAnsi="Arial" w:cs="Arial"/>
          <w:i/>
          <w:iCs/>
          <w:sz w:val="24"/>
          <w:szCs w:val="24"/>
          <w:u w:val="single"/>
        </w:rPr>
        <w:t xml:space="preserve"> </w:t>
      </w:r>
      <w:r w:rsidRPr="00E12150">
        <w:rPr>
          <w:rFonts w:ascii="Arial" w:hAnsi="Arial" w:cs="Arial"/>
          <w:iCs/>
          <w:sz w:val="24"/>
          <w:szCs w:val="24"/>
        </w:rPr>
        <w:t>https://aaafoundation.org/prevalence-marijuana-use-among-drivers-fatal-crashes-washington-2010-2014/</w:t>
      </w:r>
    </w:p>
    <w:p w:rsidR="001324CA" w:rsidRPr="00E12150" w:rsidRDefault="001324CA" w:rsidP="006057BE">
      <w:pPr>
        <w:keepLines/>
        <w:spacing w:after="0" w:line="240" w:lineRule="auto"/>
        <w:ind w:left="432" w:hanging="432"/>
        <w:rPr>
          <w:rFonts w:ascii="Arial" w:hAnsi="Arial" w:cs="Arial"/>
          <w:iCs/>
          <w:sz w:val="24"/>
          <w:szCs w:val="24"/>
        </w:rPr>
      </w:pPr>
      <w:r w:rsidRPr="00E12150">
        <w:rPr>
          <w:rFonts w:ascii="Arial" w:hAnsi="Arial" w:cs="Arial"/>
          <w:iCs/>
          <w:sz w:val="24"/>
          <w:szCs w:val="24"/>
        </w:rPr>
        <w:t xml:space="preserve">United States Census Bureau. (2015). </w:t>
      </w:r>
      <w:r w:rsidRPr="00E12150">
        <w:rPr>
          <w:rFonts w:ascii="Arial" w:hAnsi="Arial" w:cs="Arial"/>
          <w:i/>
          <w:iCs/>
          <w:sz w:val="24"/>
          <w:szCs w:val="24"/>
        </w:rPr>
        <w:t>B01001: Sex by age. 2011–2015 American Community Survey</w:t>
      </w:r>
      <w:r w:rsidRPr="00E12150">
        <w:rPr>
          <w:rFonts w:ascii="Arial" w:hAnsi="Arial" w:cs="Arial"/>
          <w:iCs/>
          <w:sz w:val="24"/>
          <w:szCs w:val="24"/>
        </w:rPr>
        <w:t xml:space="preserve">. Washington, DC: U.S. Census Bureau, American Community Survey. </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iCs/>
          <w:sz w:val="24"/>
          <w:szCs w:val="24"/>
        </w:rPr>
        <w:t xml:space="preserve">Washington State Liquor and Cannabis Board. (n.d.). </w:t>
      </w:r>
      <w:r w:rsidRPr="00E12150">
        <w:rPr>
          <w:rFonts w:ascii="Arial" w:hAnsi="Arial" w:cs="Arial"/>
          <w:i/>
          <w:iCs/>
          <w:sz w:val="24"/>
          <w:szCs w:val="24"/>
        </w:rPr>
        <w:t>Marijuana dashboard.</w:t>
      </w:r>
      <w:r w:rsidRPr="00E12150">
        <w:rPr>
          <w:rFonts w:ascii="Arial" w:hAnsi="Arial" w:cs="Arial"/>
          <w:iCs/>
          <w:sz w:val="24"/>
          <w:szCs w:val="24"/>
        </w:rPr>
        <w:t xml:space="preserve"> Retrieved from Washington State website: https://data.lcb.wa.gov/stories/s/%20WSLCB-Marijuana-Dashboard/hbnp-ia6v/</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Wen, H., Hockenberry, J., &amp; Cummings, J. R. (2014). </w:t>
      </w:r>
      <w:r w:rsidRPr="00E12150">
        <w:rPr>
          <w:rFonts w:ascii="Arial" w:hAnsi="Arial" w:cs="Arial"/>
          <w:i/>
          <w:sz w:val="24"/>
          <w:szCs w:val="24"/>
        </w:rPr>
        <w:t>The effect of medical marijuana laws on marijuana, alcohol, and hard drug use</w:t>
      </w:r>
      <w:r w:rsidRPr="00E12150">
        <w:rPr>
          <w:rFonts w:ascii="Arial" w:hAnsi="Arial" w:cs="Arial"/>
          <w:sz w:val="24"/>
          <w:szCs w:val="24"/>
        </w:rPr>
        <w:t xml:space="preserve"> (National Bureau of Economic Research, No. w20085). </w:t>
      </w:r>
      <w:r w:rsidRPr="00E12150">
        <w:rPr>
          <w:rFonts w:ascii="Arial" w:hAnsi="Arial" w:cs="Arial"/>
          <w:sz w:val="24"/>
          <w:szCs w:val="24"/>
          <w:lang w:val="en"/>
        </w:rPr>
        <w:t>http://doi.org/</w:t>
      </w:r>
      <w:r w:rsidRPr="00E12150">
        <w:rPr>
          <w:rFonts w:ascii="Arial" w:hAnsi="Arial" w:cs="Arial"/>
          <w:sz w:val="24"/>
          <w:szCs w:val="24"/>
        </w:rPr>
        <w:t>10.3386/w20085</w:t>
      </w:r>
    </w:p>
    <w:p w:rsidR="001324CA" w:rsidRPr="00E12150"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Wen, H., Hockenberry, J. M., &amp; Cummings, J. R. (2015). The effect of medical marijuana laws on adolescent and adult use of marijuana, alcohol, and other substances. </w:t>
      </w:r>
      <w:r w:rsidRPr="00E12150">
        <w:rPr>
          <w:rFonts w:ascii="Arial" w:hAnsi="Arial" w:cs="Arial"/>
          <w:i/>
          <w:sz w:val="24"/>
          <w:szCs w:val="24"/>
        </w:rPr>
        <w:t>Journal of Health Economics,</w:t>
      </w:r>
      <w:r w:rsidRPr="00E12150">
        <w:rPr>
          <w:rFonts w:ascii="Arial" w:hAnsi="Arial" w:cs="Arial"/>
          <w:sz w:val="24"/>
          <w:szCs w:val="24"/>
        </w:rPr>
        <w:t xml:space="preserve"> </w:t>
      </w:r>
      <w:r w:rsidRPr="00E12150">
        <w:rPr>
          <w:rFonts w:ascii="Arial" w:hAnsi="Arial" w:cs="Arial"/>
          <w:i/>
          <w:sz w:val="24"/>
          <w:szCs w:val="24"/>
        </w:rPr>
        <w:t>42,</w:t>
      </w:r>
      <w:r w:rsidRPr="00E12150">
        <w:rPr>
          <w:rFonts w:ascii="Arial" w:hAnsi="Arial" w:cs="Arial"/>
          <w:sz w:val="24"/>
          <w:szCs w:val="24"/>
        </w:rPr>
        <w:t xml:space="preserve"> 64–80. </w:t>
      </w:r>
      <w:r w:rsidRPr="00E12150">
        <w:rPr>
          <w:rFonts w:ascii="Arial" w:hAnsi="Arial" w:cs="Arial"/>
          <w:sz w:val="24"/>
          <w:szCs w:val="24"/>
          <w:lang w:val="en"/>
        </w:rPr>
        <w:t>http://doi.org/</w:t>
      </w:r>
      <w:r w:rsidRPr="00E12150">
        <w:rPr>
          <w:rFonts w:ascii="Arial" w:hAnsi="Arial" w:cs="Arial"/>
          <w:sz w:val="24"/>
          <w:szCs w:val="24"/>
        </w:rPr>
        <w:t>10.1016/j.jhealeco.2015.03.007</w:t>
      </w:r>
    </w:p>
    <w:p w:rsidR="001324CA" w:rsidRDefault="001324CA" w:rsidP="006057BE">
      <w:pPr>
        <w:keepLines/>
        <w:spacing w:after="0" w:line="240" w:lineRule="auto"/>
        <w:ind w:left="432" w:hanging="432"/>
        <w:rPr>
          <w:rFonts w:ascii="Arial" w:hAnsi="Arial" w:cs="Arial"/>
          <w:sz w:val="24"/>
          <w:szCs w:val="24"/>
        </w:rPr>
      </w:pPr>
      <w:r w:rsidRPr="00E12150">
        <w:rPr>
          <w:rFonts w:ascii="Arial" w:hAnsi="Arial" w:cs="Arial"/>
          <w:sz w:val="24"/>
          <w:szCs w:val="24"/>
        </w:rPr>
        <w:t xml:space="preserve">Wide Open Eats. (2017). </w:t>
      </w:r>
      <w:r w:rsidRPr="00E12150">
        <w:rPr>
          <w:rFonts w:ascii="Arial" w:hAnsi="Arial" w:cs="Arial"/>
          <w:i/>
          <w:sz w:val="24"/>
          <w:szCs w:val="24"/>
        </w:rPr>
        <w:t>How much each state pays for a case of beer on average.</w:t>
      </w:r>
      <w:r w:rsidRPr="00E12150">
        <w:rPr>
          <w:rFonts w:ascii="Arial" w:hAnsi="Arial" w:cs="Arial"/>
          <w:sz w:val="24"/>
          <w:szCs w:val="24"/>
        </w:rPr>
        <w:t xml:space="preserve"> Retrieved from Wide Open Eats website: </w:t>
      </w:r>
      <w:hyperlink r:id="rId114" w:history="1">
        <w:r w:rsidR="00E3428E" w:rsidRPr="00674309">
          <w:rPr>
            <w:rStyle w:val="Hyperlink"/>
            <w:rFonts w:ascii="Arial" w:hAnsi="Arial" w:cs="Arial"/>
            <w:sz w:val="24"/>
            <w:szCs w:val="24"/>
          </w:rPr>
          <w:t>http://www.wideopeneats.com/much-case-beer-costs-state/</w:t>
        </w:r>
      </w:hyperlink>
    </w:p>
    <w:p w:rsidR="00E3428E" w:rsidRDefault="00E3428E" w:rsidP="006057BE">
      <w:pPr>
        <w:keepLines/>
        <w:spacing w:after="0" w:line="240" w:lineRule="auto"/>
        <w:ind w:left="432" w:hanging="432"/>
        <w:rPr>
          <w:rFonts w:ascii="Arial" w:hAnsi="Arial" w:cs="Arial"/>
          <w:sz w:val="24"/>
          <w:szCs w:val="24"/>
        </w:rPr>
      </w:pPr>
    </w:p>
    <w:p w:rsidR="006057BE" w:rsidRDefault="006057BE" w:rsidP="006057BE">
      <w:pPr>
        <w:keepLines/>
        <w:spacing w:after="0" w:line="240" w:lineRule="auto"/>
        <w:ind w:left="432" w:hanging="432"/>
        <w:rPr>
          <w:rFonts w:ascii="Arial" w:hAnsi="Arial" w:cs="Arial"/>
          <w:sz w:val="24"/>
          <w:szCs w:val="24"/>
        </w:rPr>
      </w:pPr>
    </w:p>
    <w:p w:rsidR="006057BE" w:rsidRDefault="006057BE" w:rsidP="006057BE">
      <w:pPr>
        <w:keepLines/>
        <w:spacing w:after="0" w:line="240" w:lineRule="auto"/>
        <w:ind w:left="432" w:hanging="432"/>
        <w:rPr>
          <w:rFonts w:ascii="Arial" w:hAnsi="Arial" w:cs="Arial"/>
          <w:sz w:val="24"/>
          <w:szCs w:val="24"/>
        </w:rPr>
      </w:pPr>
    </w:p>
    <w:p w:rsidR="006057BE" w:rsidRDefault="006057BE" w:rsidP="006057BE">
      <w:pPr>
        <w:keepLines/>
        <w:spacing w:after="0" w:line="240" w:lineRule="auto"/>
        <w:ind w:left="432" w:hanging="432"/>
        <w:rPr>
          <w:rFonts w:ascii="Arial" w:hAnsi="Arial" w:cs="Arial"/>
          <w:sz w:val="24"/>
          <w:szCs w:val="24"/>
        </w:rPr>
      </w:pPr>
    </w:p>
    <w:p w:rsidR="006057BE" w:rsidRDefault="006057BE" w:rsidP="006057BE">
      <w:pPr>
        <w:keepLines/>
        <w:spacing w:after="0" w:line="240" w:lineRule="auto"/>
        <w:ind w:left="432" w:hanging="432"/>
        <w:rPr>
          <w:rFonts w:ascii="Arial" w:hAnsi="Arial" w:cs="Arial"/>
          <w:sz w:val="24"/>
          <w:szCs w:val="24"/>
        </w:rPr>
      </w:pPr>
    </w:p>
    <w:p w:rsidR="006057BE" w:rsidRDefault="006057BE" w:rsidP="006057BE">
      <w:pPr>
        <w:keepLines/>
        <w:spacing w:after="0" w:line="240" w:lineRule="auto"/>
        <w:ind w:left="432" w:hanging="432"/>
        <w:rPr>
          <w:rFonts w:ascii="Arial" w:hAnsi="Arial" w:cs="Arial"/>
          <w:sz w:val="24"/>
          <w:szCs w:val="24"/>
        </w:rPr>
      </w:pPr>
    </w:p>
    <w:p w:rsidR="006057BE" w:rsidRDefault="006057BE" w:rsidP="006057BE">
      <w:pPr>
        <w:keepLines/>
        <w:spacing w:after="0" w:line="240" w:lineRule="auto"/>
        <w:ind w:left="432" w:hanging="432"/>
        <w:rPr>
          <w:rFonts w:ascii="Arial" w:hAnsi="Arial" w:cs="Arial"/>
          <w:sz w:val="24"/>
          <w:szCs w:val="24"/>
        </w:rPr>
      </w:pPr>
    </w:p>
    <w:p w:rsidR="006057BE" w:rsidRDefault="006057BE" w:rsidP="006057BE">
      <w:pPr>
        <w:keepLines/>
        <w:spacing w:after="0" w:line="240" w:lineRule="auto"/>
        <w:ind w:left="432" w:hanging="432"/>
        <w:rPr>
          <w:rFonts w:ascii="Arial" w:hAnsi="Arial" w:cs="Arial"/>
          <w:sz w:val="24"/>
          <w:szCs w:val="24"/>
        </w:rPr>
      </w:pPr>
    </w:p>
    <w:p w:rsidR="006057BE" w:rsidRDefault="006057BE" w:rsidP="006057BE">
      <w:pPr>
        <w:keepLines/>
        <w:spacing w:after="0" w:line="240" w:lineRule="auto"/>
        <w:ind w:left="432" w:hanging="432"/>
        <w:rPr>
          <w:rFonts w:ascii="Arial" w:hAnsi="Arial" w:cs="Arial"/>
          <w:sz w:val="24"/>
          <w:szCs w:val="24"/>
        </w:rPr>
      </w:pPr>
    </w:p>
    <w:p w:rsidR="006057BE" w:rsidRDefault="006057BE" w:rsidP="006057BE">
      <w:pPr>
        <w:keepLines/>
        <w:spacing w:after="0" w:line="240" w:lineRule="auto"/>
        <w:ind w:left="432" w:hanging="432"/>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rPr>
          <w:rFonts w:ascii="Arial" w:hAnsi="Arial" w:cs="Arial"/>
          <w:sz w:val="24"/>
          <w:szCs w:val="24"/>
        </w:rPr>
      </w:pPr>
    </w:p>
    <w:p w:rsidR="00060A55" w:rsidRDefault="00060A55" w:rsidP="00060A55">
      <w:pPr>
        <w:spacing w:after="0" w:line="240" w:lineRule="auto"/>
        <w:jc w:val="center"/>
        <w:rPr>
          <w:rFonts w:ascii="Arial" w:hAnsi="Arial" w:cs="Arial"/>
          <w:b/>
          <w:sz w:val="28"/>
          <w:szCs w:val="28"/>
        </w:rPr>
      </w:pPr>
    </w:p>
    <w:p w:rsidR="00060A55" w:rsidRDefault="00060A55" w:rsidP="00060A55">
      <w:pPr>
        <w:spacing w:after="0" w:line="240" w:lineRule="auto"/>
        <w:jc w:val="center"/>
        <w:rPr>
          <w:rFonts w:ascii="Arial" w:hAnsi="Arial" w:cs="Arial"/>
          <w:b/>
          <w:sz w:val="28"/>
          <w:szCs w:val="28"/>
        </w:rPr>
      </w:pPr>
    </w:p>
    <w:p w:rsidR="00060A55" w:rsidRDefault="00060A55" w:rsidP="00060A55">
      <w:pPr>
        <w:spacing w:after="0" w:line="240" w:lineRule="auto"/>
        <w:jc w:val="center"/>
        <w:rPr>
          <w:rFonts w:ascii="Arial" w:hAnsi="Arial" w:cs="Arial"/>
          <w:b/>
          <w:sz w:val="28"/>
          <w:szCs w:val="28"/>
        </w:rPr>
      </w:pPr>
    </w:p>
    <w:p w:rsidR="00060A55" w:rsidRDefault="00060A55" w:rsidP="00060A55">
      <w:pPr>
        <w:spacing w:after="0" w:line="240" w:lineRule="auto"/>
        <w:jc w:val="center"/>
        <w:rPr>
          <w:rFonts w:ascii="Arial" w:hAnsi="Arial" w:cs="Arial"/>
          <w:b/>
          <w:sz w:val="28"/>
          <w:szCs w:val="28"/>
        </w:rPr>
      </w:pPr>
    </w:p>
    <w:p w:rsidR="00060A55" w:rsidRDefault="00060A55" w:rsidP="00060A55">
      <w:pPr>
        <w:spacing w:after="0" w:line="240" w:lineRule="auto"/>
        <w:jc w:val="center"/>
        <w:rPr>
          <w:rFonts w:ascii="Arial" w:hAnsi="Arial" w:cs="Arial"/>
          <w:b/>
          <w:sz w:val="28"/>
          <w:szCs w:val="28"/>
        </w:rPr>
      </w:pPr>
    </w:p>
    <w:p w:rsidR="00060A55" w:rsidRDefault="00060A55" w:rsidP="00060A55">
      <w:pPr>
        <w:spacing w:after="0" w:line="240" w:lineRule="auto"/>
        <w:jc w:val="center"/>
        <w:rPr>
          <w:rFonts w:ascii="Arial" w:hAnsi="Arial" w:cs="Arial"/>
          <w:b/>
          <w:sz w:val="28"/>
          <w:szCs w:val="28"/>
        </w:rPr>
      </w:pPr>
    </w:p>
    <w:p w:rsidR="00060A55" w:rsidRDefault="00060A55" w:rsidP="00060A55">
      <w:pPr>
        <w:spacing w:after="0" w:line="240" w:lineRule="auto"/>
        <w:jc w:val="center"/>
        <w:rPr>
          <w:rFonts w:ascii="Arial" w:hAnsi="Arial" w:cs="Arial"/>
          <w:b/>
          <w:sz w:val="28"/>
          <w:szCs w:val="28"/>
        </w:rPr>
      </w:pPr>
    </w:p>
    <w:p w:rsidR="00060A55" w:rsidRDefault="00060A55" w:rsidP="00060A55">
      <w:pPr>
        <w:spacing w:after="0" w:line="240" w:lineRule="auto"/>
        <w:jc w:val="center"/>
        <w:rPr>
          <w:rFonts w:ascii="Arial" w:hAnsi="Arial" w:cs="Arial"/>
          <w:b/>
          <w:sz w:val="28"/>
          <w:szCs w:val="28"/>
        </w:rPr>
      </w:pPr>
    </w:p>
    <w:p w:rsidR="005D6C32" w:rsidRDefault="006744D5" w:rsidP="005D6C32">
      <w:pPr>
        <w:pStyle w:val="Heading1"/>
      </w:pPr>
      <w:bookmarkStart w:id="705" w:name="_Toc12529168"/>
      <w:r w:rsidRPr="006744D5">
        <w:t>Appendix</w:t>
      </w:r>
      <w:bookmarkEnd w:id="705"/>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C15012" w:rsidRDefault="005D6C32" w:rsidP="005D6C32">
      <w:pPr>
        <w:pStyle w:val="Heading1"/>
      </w:pPr>
      <w:bookmarkStart w:id="706" w:name="_Toc12529169"/>
      <w:r>
        <w:t>Appendix A</w:t>
      </w:r>
      <w:bookmarkEnd w:id="706"/>
    </w:p>
    <w:p w:rsidR="005D6C32" w:rsidRPr="005D6C32" w:rsidRDefault="00485527" w:rsidP="005D6C32">
      <w:pPr>
        <w:pStyle w:val="Heading1"/>
      </w:pPr>
      <w:bookmarkStart w:id="707" w:name="_Toc12521200"/>
      <w:bookmarkStart w:id="708" w:name="_Toc12529170"/>
      <w:r>
        <w:t>DPH</w:t>
      </w:r>
      <w:r w:rsidR="005D6C32">
        <w:t xml:space="preserve"> Statewide Survey</w:t>
      </w:r>
      <w:bookmarkEnd w:id="707"/>
      <w:r>
        <w:t xml:space="preserve"> Tool</w:t>
      </w:r>
      <w:bookmarkEnd w:id="708"/>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5D6C32" w:rsidRDefault="005D6C32" w:rsidP="005D6C32">
      <w:pPr>
        <w:pStyle w:val="BodyText"/>
      </w:pPr>
    </w:p>
    <w:p w:rsidR="00C15012" w:rsidRDefault="00C351BA" w:rsidP="00C15012">
      <w:r>
        <w:rPr>
          <w:noProof/>
        </w:rPr>
        <w:drawing>
          <wp:inline distT="0" distB="0" distL="0" distR="0" wp14:anchorId="49191DBA" wp14:editId="63963BAA">
            <wp:extent cx="6305690" cy="825335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6307719" cy="8256007"/>
                    </a:xfrm>
                    <a:prstGeom prst="rect">
                      <a:avLst/>
                    </a:prstGeom>
                  </pic:spPr>
                </pic:pic>
              </a:graphicData>
            </a:graphic>
          </wp:inline>
        </w:drawing>
      </w:r>
    </w:p>
    <w:p w:rsidR="00C15012" w:rsidRDefault="00C351BA" w:rsidP="00C15012">
      <w:r>
        <w:rPr>
          <w:noProof/>
        </w:rPr>
        <w:drawing>
          <wp:inline distT="0" distB="0" distL="0" distR="0" wp14:anchorId="157BD375" wp14:editId="4A6BFC28">
            <wp:extent cx="6269179" cy="817022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6275598" cy="8178589"/>
                    </a:xfrm>
                    <a:prstGeom prst="rect">
                      <a:avLst/>
                    </a:prstGeom>
                  </pic:spPr>
                </pic:pic>
              </a:graphicData>
            </a:graphic>
          </wp:inline>
        </w:drawing>
      </w:r>
    </w:p>
    <w:p w:rsidR="00C15012" w:rsidRDefault="00C351BA" w:rsidP="00C15012">
      <w:r>
        <w:rPr>
          <w:noProof/>
        </w:rPr>
        <w:drawing>
          <wp:inline distT="0" distB="0" distL="0" distR="0" wp14:anchorId="2BB55D67" wp14:editId="67CD0E35">
            <wp:extent cx="6262577" cy="8182099"/>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6274565" cy="8197761"/>
                    </a:xfrm>
                    <a:prstGeom prst="rect">
                      <a:avLst/>
                    </a:prstGeom>
                  </pic:spPr>
                </pic:pic>
              </a:graphicData>
            </a:graphic>
          </wp:inline>
        </w:drawing>
      </w:r>
    </w:p>
    <w:p w:rsidR="00C15012" w:rsidRDefault="00C351BA" w:rsidP="00C15012">
      <w:r>
        <w:rPr>
          <w:noProof/>
        </w:rPr>
        <w:drawing>
          <wp:inline distT="0" distB="0" distL="0" distR="0" wp14:anchorId="40A706A2" wp14:editId="62B64699">
            <wp:extent cx="6298113" cy="8193974"/>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304630" cy="8202453"/>
                    </a:xfrm>
                    <a:prstGeom prst="rect">
                      <a:avLst/>
                    </a:prstGeom>
                  </pic:spPr>
                </pic:pic>
              </a:graphicData>
            </a:graphic>
          </wp:inline>
        </w:drawing>
      </w:r>
    </w:p>
    <w:p w:rsidR="00C15012" w:rsidRDefault="00C15012" w:rsidP="00C15012"/>
    <w:p w:rsidR="00C15012" w:rsidRDefault="00C15012" w:rsidP="00C15012"/>
    <w:p w:rsidR="00BC0136" w:rsidRDefault="00BC0136" w:rsidP="00CF05B3">
      <w:pPr>
        <w:pStyle w:val="BodyText"/>
      </w:pPr>
    </w:p>
    <w:p w:rsidR="00BC0136" w:rsidRDefault="00BC0136" w:rsidP="00CF05B3">
      <w:pPr>
        <w:pStyle w:val="BodyText"/>
      </w:pPr>
    </w:p>
    <w:p w:rsidR="00BC0136" w:rsidRDefault="00BC0136" w:rsidP="00CF05B3">
      <w:pPr>
        <w:pStyle w:val="BodyText"/>
      </w:pPr>
    </w:p>
    <w:p w:rsidR="00BC0136" w:rsidRDefault="00BC0136" w:rsidP="00CF05B3">
      <w:pPr>
        <w:pStyle w:val="BodyText"/>
      </w:pPr>
    </w:p>
    <w:p w:rsidR="00BC0136" w:rsidRDefault="00BC0136" w:rsidP="00CF05B3">
      <w:pPr>
        <w:pStyle w:val="BodyText"/>
      </w:pPr>
    </w:p>
    <w:p w:rsidR="00BC0136" w:rsidRDefault="00BC0136" w:rsidP="00CF05B3">
      <w:pPr>
        <w:pStyle w:val="BodyText"/>
      </w:pPr>
    </w:p>
    <w:p w:rsidR="00BC0136" w:rsidRPr="00CF05B3" w:rsidRDefault="00BC0136" w:rsidP="00CF05B3">
      <w:pPr>
        <w:pStyle w:val="BodyText"/>
      </w:pPr>
    </w:p>
    <w:p w:rsidR="00BC0136" w:rsidRDefault="00BC0136" w:rsidP="00CF05B3">
      <w:pPr>
        <w:pStyle w:val="BodyText"/>
      </w:pPr>
    </w:p>
    <w:p w:rsidR="00CF05B3" w:rsidRDefault="00CF05B3" w:rsidP="00CF05B3">
      <w:pPr>
        <w:pStyle w:val="BodyText"/>
      </w:pPr>
    </w:p>
    <w:p w:rsidR="00CF05B3" w:rsidRDefault="00CF05B3" w:rsidP="00CF05B3">
      <w:pPr>
        <w:pStyle w:val="BodyText"/>
      </w:pPr>
    </w:p>
    <w:p w:rsidR="00CF05B3" w:rsidRDefault="00CF05B3" w:rsidP="00CF05B3">
      <w:pPr>
        <w:pStyle w:val="BodyText"/>
      </w:pPr>
    </w:p>
    <w:p w:rsidR="00CF05B3" w:rsidRDefault="00CF05B3" w:rsidP="00CF05B3">
      <w:pPr>
        <w:pStyle w:val="BodyText"/>
      </w:pPr>
    </w:p>
    <w:p w:rsidR="00CF05B3" w:rsidRDefault="00CF05B3" w:rsidP="00CF05B3">
      <w:pPr>
        <w:pStyle w:val="BodyText"/>
      </w:pPr>
    </w:p>
    <w:p w:rsidR="00CF05B3" w:rsidRDefault="00CF05B3" w:rsidP="00CF05B3">
      <w:pPr>
        <w:pStyle w:val="BodyText"/>
      </w:pPr>
    </w:p>
    <w:p w:rsidR="00CF05B3" w:rsidRDefault="00CF05B3" w:rsidP="00CF05B3">
      <w:pPr>
        <w:pStyle w:val="BodyText"/>
      </w:pPr>
    </w:p>
    <w:p w:rsidR="00CF05B3" w:rsidRDefault="00CF05B3" w:rsidP="00CF05B3">
      <w:pPr>
        <w:pStyle w:val="BodyText"/>
      </w:pPr>
    </w:p>
    <w:p w:rsidR="00C15012" w:rsidRDefault="00C15012" w:rsidP="00C15012">
      <w:pPr>
        <w:pStyle w:val="Heading1"/>
        <w:rPr>
          <w:rFonts w:eastAsia="Times New Roman"/>
        </w:rPr>
      </w:pPr>
      <w:bookmarkStart w:id="709" w:name="_Toc12529171"/>
      <w:r w:rsidRPr="000E5D59">
        <w:rPr>
          <w:rFonts w:eastAsia="Times New Roman"/>
        </w:rPr>
        <w:t>Appendix</w:t>
      </w:r>
      <w:r>
        <w:rPr>
          <w:rFonts w:eastAsia="Times New Roman"/>
        </w:rPr>
        <w:t xml:space="preserve"> </w:t>
      </w:r>
      <w:r w:rsidR="005D6C32">
        <w:rPr>
          <w:rFonts w:eastAsia="Times New Roman"/>
        </w:rPr>
        <w:t>B</w:t>
      </w:r>
      <w:bookmarkEnd w:id="709"/>
    </w:p>
    <w:p w:rsidR="00C15012" w:rsidRPr="000E5D59" w:rsidRDefault="00C15012" w:rsidP="00C15012">
      <w:pPr>
        <w:pStyle w:val="Heading1"/>
        <w:rPr>
          <w:rFonts w:eastAsia="Times New Roman"/>
        </w:rPr>
      </w:pPr>
      <w:r w:rsidRPr="000E5D59">
        <w:rPr>
          <w:rFonts w:eastAsia="Times New Roman"/>
        </w:rPr>
        <w:t xml:space="preserve"> </w:t>
      </w:r>
      <w:bookmarkStart w:id="710" w:name="_Toc11921718"/>
      <w:bookmarkStart w:id="711" w:name="_Toc12521202"/>
      <w:bookmarkStart w:id="712" w:name="_Toc12529172"/>
      <w:r w:rsidRPr="000E5D59">
        <w:rPr>
          <w:rFonts w:eastAsia="Times New Roman"/>
        </w:rPr>
        <w:t>DPH Patient Survey</w:t>
      </w:r>
      <w:bookmarkEnd w:id="710"/>
      <w:bookmarkEnd w:id="711"/>
      <w:r w:rsidR="00485527">
        <w:rPr>
          <w:rFonts w:eastAsia="Times New Roman"/>
        </w:rPr>
        <w:t xml:space="preserve"> Tool</w:t>
      </w:r>
      <w:bookmarkEnd w:id="712"/>
    </w:p>
    <w:p w:rsidR="00C15012" w:rsidRPr="00C15012" w:rsidRDefault="00C15012" w:rsidP="00C15012"/>
    <w:p w:rsidR="006744D5" w:rsidRDefault="006744D5"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10613B" w:rsidRDefault="0010613B" w:rsidP="006744D5">
      <w:pPr>
        <w:spacing w:after="0" w:line="240" w:lineRule="auto"/>
        <w:jc w:val="center"/>
        <w:rPr>
          <w:rFonts w:ascii="Arial" w:hAnsi="Arial" w:cs="Arial"/>
          <w:b/>
          <w:sz w:val="28"/>
          <w:szCs w:val="28"/>
        </w:rPr>
      </w:pPr>
    </w:p>
    <w:p w:rsidR="00026674" w:rsidRDefault="00026674" w:rsidP="006744D5">
      <w:pPr>
        <w:spacing w:after="0" w:line="240" w:lineRule="auto"/>
        <w:jc w:val="center"/>
        <w:rPr>
          <w:rFonts w:ascii="Arial" w:hAnsi="Arial" w:cs="Arial"/>
          <w:b/>
          <w:sz w:val="28"/>
          <w:szCs w:val="28"/>
        </w:rPr>
      </w:pPr>
    </w:p>
    <w:p w:rsidR="00026674" w:rsidRPr="000E5D59" w:rsidRDefault="000F38C4" w:rsidP="00026674">
      <w:pPr>
        <w:spacing w:after="0" w:line="240" w:lineRule="auto"/>
        <w:rPr>
          <w:rFonts w:ascii="Arial" w:eastAsia="Times New Roman" w:hAnsi="Arial" w:cs="Arial"/>
          <w:sz w:val="24"/>
          <w:szCs w:val="24"/>
        </w:rPr>
      </w:pPr>
      <w:r>
        <w:rPr>
          <w:rFonts w:ascii="Arial" w:eastAsia="Times New Roman" w:hAnsi="Arial" w:cs="Arial"/>
          <w:sz w:val="24"/>
          <w:szCs w:val="24"/>
        </w:rPr>
        <w:pict>
          <v:rect id="_x0000_i1025" style="width:10in;height:1.2pt" o:hralign="center" o:hrstd="t" o:hr="t" fillcolor="#a0a0a0" stroked="f"/>
        </w:pict>
      </w:r>
    </w:p>
    <w:p w:rsidR="00026674" w:rsidRPr="000E5D59" w:rsidRDefault="00026674" w:rsidP="00026674">
      <w:pPr>
        <w:spacing w:after="0" w:line="240" w:lineRule="auto"/>
        <w:rPr>
          <w:rFonts w:ascii="Arial" w:eastAsia="Times New Roman" w:hAnsi="Arial" w:cs="Arial"/>
          <w:sz w:val="24"/>
          <w:szCs w:val="24"/>
        </w:rPr>
      </w:pPr>
    </w:p>
    <w:p w:rsidR="00026674" w:rsidRPr="000E5D59" w:rsidRDefault="00026674" w:rsidP="00026674">
      <w:pPr>
        <w:spacing w:after="0" w:line="240" w:lineRule="auto"/>
        <w:rPr>
          <w:rFonts w:ascii="Arial" w:eastAsia="Calibri" w:hAnsi="Arial" w:cs="Arial"/>
          <w:b/>
          <w:bCs/>
          <w:sz w:val="24"/>
          <w:szCs w:val="24"/>
        </w:rPr>
      </w:pPr>
    </w:p>
    <w:p w:rsidR="00026674" w:rsidRPr="000E5D59" w:rsidRDefault="00026674" w:rsidP="00026674">
      <w:pPr>
        <w:spacing w:after="0" w:line="240" w:lineRule="auto"/>
        <w:rPr>
          <w:rFonts w:ascii="Arial" w:eastAsia="Calibri" w:hAnsi="Arial" w:cs="Arial"/>
          <w:b/>
          <w:bCs/>
          <w:sz w:val="24"/>
          <w:szCs w:val="24"/>
        </w:rPr>
      </w:pPr>
      <w:r w:rsidRPr="000E5D59">
        <w:rPr>
          <w:rFonts w:ascii="Arial" w:eastAsia="Calibri" w:hAnsi="Arial" w:cs="Arial"/>
          <w:b/>
          <w:bCs/>
          <w:sz w:val="24"/>
          <w:szCs w:val="24"/>
        </w:rPr>
        <w:br/>
      </w:r>
      <w:r w:rsidRPr="000E5D59">
        <w:rPr>
          <w:rFonts w:ascii="Arial" w:eastAsia="Calibri" w:hAnsi="Arial" w:cs="Arial"/>
          <w:b/>
          <w:bCs/>
          <w:sz w:val="24"/>
          <w:szCs w:val="24"/>
        </w:rPr>
        <w:br/>
      </w:r>
      <w:r w:rsidRPr="000E5D59">
        <w:rPr>
          <w:rFonts w:ascii="Arial" w:eastAsia="Calibri" w:hAnsi="Arial" w:cs="Arial"/>
          <w:b/>
          <w:bCs/>
          <w:noProof/>
          <w:sz w:val="24"/>
          <w:szCs w:val="24"/>
        </w:rPr>
        <w:t xml:space="preserve">               </w:t>
      </w:r>
      <w:r>
        <w:rPr>
          <w:rFonts w:ascii="Arial" w:eastAsia="Calibri" w:hAnsi="Arial" w:cs="Arial"/>
          <w:b/>
          <w:noProof/>
          <w:sz w:val="24"/>
          <w:szCs w:val="24"/>
        </w:rPr>
        <w:drawing>
          <wp:inline distT="0" distB="0" distL="0" distR="0" wp14:anchorId="05BF3BF2" wp14:editId="146B56A8">
            <wp:extent cx="914400" cy="876300"/>
            <wp:effectExtent l="0" t="0" r="0" b="0"/>
            <wp:docPr id="37" name="Picture 37" descr="The image is the state seal of Massachusetts.&#10;&#10;https://surveygizmolibrary.s3.amazonaws.com/library/223302/MES_CHIA_logo.png" title="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rveygizmolibrary.s3.amazonaws.com/library/223302/MES_CHIA_logo.png"/>
                    <pic:cNvPicPr>
                      <a:picLocks noChangeAspect="1" noChangeArrowheads="1"/>
                    </pic:cNvPicPr>
                  </pic:nvPicPr>
                  <pic:blipFill>
                    <a:blip r:link="rId119">
                      <a:extLst>
                        <a:ext uri="{28A0092B-C50C-407E-A947-70E740481C1C}">
                          <a14:useLocalDpi xmlns:a14="http://schemas.microsoft.com/office/drawing/2010/main" val="0"/>
                        </a:ext>
                      </a:extLst>
                    </a:blip>
                    <a:srcRect/>
                    <a:stretch>
                      <a:fillRect/>
                    </a:stretch>
                  </pic:blipFill>
                  <pic:spPr bwMode="auto">
                    <a:xfrm>
                      <a:off x="0" y="0"/>
                      <a:ext cx="914400" cy="876300"/>
                    </a:xfrm>
                    <a:prstGeom prst="rect">
                      <a:avLst/>
                    </a:prstGeom>
                    <a:noFill/>
                    <a:ln>
                      <a:noFill/>
                    </a:ln>
                  </pic:spPr>
                </pic:pic>
              </a:graphicData>
            </a:graphic>
          </wp:inline>
        </w:drawing>
      </w:r>
      <w:r w:rsidRPr="000E5D59">
        <w:rPr>
          <w:rFonts w:ascii="Arial" w:eastAsia="Calibri" w:hAnsi="Arial" w:cs="Arial"/>
          <w:b/>
          <w:bCs/>
          <w:noProof/>
          <w:sz w:val="24"/>
          <w:szCs w:val="24"/>
        </w:rPr>
        <w:t xml:space="preserve">                                                                         </w:t>
      </w:r>
      <w:r>
        <w:rPr>
          <w:rFonts w:ascii="Arial" w:eastAsia="Calibri" w:hAnsi="Arial" w:cs="Arial"/>
          <w:b/>
          <w:noProof/>
          <w:sz w:val="24"/>
          <w:szCs w:val="24"/>
        </w:rPr>
        <w:drawing>
          <wp:inline distT="0" distB="0" distL="0" distR="0" wp14:anchorId="74E83728" wp14:editId="0B98E85B">
            <wp:extent cx="866775" cy="828675"/>
            <wp:effectExtent l="0" t="0" r="9525" b="9525"/>
            <wp:docPr id="38" name="Picture 38" descr="The image is the seal of the Massachusetts Department of Public Health.&#10;&#10;https://surveygizmolibrary.s3.amazonaws.com/library/223302/MADepartmentofPublicHealth2.jpg" title="DPH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rveygizmolibrary.s3.amazonaws.com/library/223302/MADepartmentofPublicHealth2.jpg"/>
                    <pic:cNvPicPr>
                      <a:picLocks noChangeAspect="1" noChangeArrowheads="1"/>
                    </pic:cNvPicPr>
                  </pic:nvPicPr>
                  <pic:blipFill>
                    <a:blip r:link="rId120">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b/>
          <w:bCs/>
          <w:sz w:val="24"/>
          <w:szCs w:val="24"/>
        </w:rPr>
      </w:pPr>
    </w:p>
    <w:p w:rsidR="00026674" w:rsidRPr="000E5D59" w:rsidRDefault="00026674" w:rsidP="00026674">
      <w:pPr>
        <w:spacing w:after="0" w:line="240" w:lineRule="auto"/>
        <w:jc w:val="center"/>
        <w:rPr>
          <w:rFonts w:ascii="Arial" w:eastAsia="Calibri" w:hAnsi="Arial" w:cs="Arial"/>
          <w:b/>
          <w:bCs/>
          <w:sz w:val="24"/>
          <w:szCs w:val="24"/>
        </w:rPr>
      </w:pPr>
      <w:r w:rsidRPr="000E5D59">
        <w:rPr>
          <w:rFonts w:ascii="Arial" w:eastAsia="Calibri" w:hAnsi="Arial" w:cs="Arial"/>
          <w:b/>
          <w:bCs/>
          <w:sz w:val="24"/>
          <w:szCs w:val="24"/>
        </w:rPr>
        <w:t>MASSACHUSETTS DEPARTMENT</w:t>
      </w:r>
    </w:p>
    <w:p w:rsidR="00026674" w:rsidRPr="000E5D59" w:rsidRDefault="00026674" w:rsidP="00026674">
      <w:pPr>
        <w:spacing w:after="0" w:line="240" w:lineRule="auto"/>
        <w:jc w:val="center"/>
        <w:rPr>
          <w:rFonts w:ascii="Arial" w:eastAsia="Calibri" w:hAnsi="Arial" w:cs="Arial"/>
          <w:b/>
          <w:bCs/>
          <w:sz w:val="24"/>
          <w:szCs w:val="24"/>
        </w:rPr>
      </w:pPr>
      <w:r w:rsidRPr="000E5D59">
        <w:rPr>
          <w:rFonts w:ascii="Arial" w:eastAsia="Calibri" w:hAnsi="Arial" w:cs="Arial"/>
          <w:b/>
          <w:bCs/>
          <w:sz w:val="24"/>
          <w:szCs w:val="24"/>
        </w:rPr>
        <w:t>OF PUBLIC HEALTH</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jc w:val="center"/>
        <w:rPr>
          <w:rFonts w:ascii="Arial" w:eastAsia="Calibri" w:hAnsi="Arial" w:cs="Arial"/>
          <w:b/>
          <w:bCs/>
          <w:sz w:val="24"/>
          <w:szCs w:val="24"/>
        </w:rPr>
      </w:pPr>
      <w:r w:rsidRPr="000E5D59">
        <w:rPr>
          <w:rFonts w:ascii="Arial" w:eastAsia="Calibri" w:hAnsi="Arial" w:cs="Arial"/>
          <w:b/>
          <w:bCs/>
          <w:sz w:val="24"/>
          <w:szCs w:val="24"/>
        </w:rPr>
        <w:t>MARIJUANA BASELINE HEALTH STUDY</w:t>
      </w:r>
    </w:p>
    <w:p w:rsidR="00026674" w:rsidRPr="000E5D59" w:rsidRDefault="00026674" w:rsidP="00026674">
      <w:pPr>
        <w:spacing w:after="0" w:line="240" w:lineRule="auto"/>
        <w:jc w:val="center"/>
        <w:rPr>
          <w:rFonts w:ascii="Arial" w:eastAsia="Calibri" w:hAnsi="Arial" w:cs="Arial"/>
          <w:b/>
          <w:bCs/>
          <w:sz w:val="24"/>
          <w:szCs w:val="24"/>
        </w:rPr>
      </w:pPr>
      <w:r w:rsidRPr="000E5D59">
        <w:rPr>
          <w:rFonts w:ascii="Arial" w:eastAsia="Calibri" w:hAnsi="Arial" w:cs="Arial"/>
          <w:b/>
          <w:bCs/>
          <w:sz w:val="24"/>
          <w:szCs w:val="24"/>
        </w:rPr>
        <w:br/>
        <w:t>MEDICAL USE OF MARIJUANA PATIENT SURVEY</w:t>
      </w:r>
    </w:p>
    <w:p w:rsidR="00026674" w:rsidRPr="000E5D59" w:rsidRDefault="00026674" w:rsidP="00026674">
      <w:pPr>
        <w:spacing w:after="0" w:line="240" w:lineRule="auto"/>
        <w:rPr>
          <w:rFonts w:ascii="Arial" w:eastAsia="Calibri" w:hAnsi="Arial" w:cs="Arial"/>
          <w:b/>
          <w:bCs/>
          <w:sz w:val="24"/>
          <w:szCs w:val="24"/>
        </w:rPr>
      </w:pPr>
      <w:r w:rsidRPr="000E5D59">
        <w:rPr>
          <w:rFonts w:ascii="Arial" w:eastAsia="Calibri" w:hAnsi="Arial" w:cs="Arial"/>
          <w:b/>
          <w:bCs/>
          <w:sz w:val="24"/>
          <w:szCs w:val="24"/>
        </w:rPr>
        <w:br/>
      </w:r>
      <w:r w:rsidRPr="000E5D59">
        <w:rPr>
          <w:rFonts w:ascii="Arial" w:eastAsia="Calibri" w:hAnsi="Arial" w:cs="Arial"/>
          <w:b/>
          <w:bCs/>
          <w:sz w:val="24"/>
          <w:szCs w:val="24"/>
        </w:rPr>
        <w:br/>
        <w:t> </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0E5D59" w:rsidRDefault="000F38C4" w:rsidP="00026674">
      <w:pPr>
        <w:spacing w:after="0" w:line="240" w:lineRule="auto"/>
        <w:rPr>
          <w:rFonts w:ascii="Arial" w:eastAsia="Times New Roman" w:hAnsi="Arial" w:cs="Arial"/>
          <w:sz w:val="24"/>
          <w:szCs w:val="24"/>
        </w:rPr>
      </w:pPr>
      <w:r>
        <w:rPr>
          <w:rFonts w:ascii="Arial" w:eastAsia="Times New Roman" w:hAnsi="Arial" w:cs="Arial"/>
          <w:sz w:val="24"/>
          <w:szCs w:val="24"/>
        </w:rPr>
        <w:pict>
          <v:rect id="_x0000_i1026" style="width:10in;height:1.2pt" o:hralign="center" o:hrstd="t" o:hr="t" fillcolor="#a0a0a0" stroked="f"/>
        </w:pic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Dear Participant, </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r w:rsidRPr="000E5D59">
        <w:rPr>
          <w:rFonts w:ascii="Arial" w:eastAsia="Times New Roman" w:hAnsi="Arial" w:cs="Arial"/>
          <w:sz w:val="24"/>
          <w:szCs w:val="24"/>
        </w:rPr>
        <w:t>Thank you for taking the time to complete this surv</w:t>
      </w:r>
      <w:r w:rsidRPr="000E5D59">
        <w:rPr>
          <w:rFonts w:ascii="Arial" w:eastAsia="Calibri" w:hAnsi="Arial" w:cs="Arial"/>
          <w:sz w:val="24"/>
          <w:szCs w:val="24"/>
        </w:rPr>
        <w:t>ey on medical use of marijuana.</w:t>
      </w:r>
    </w:p>
    <w:p w:rsidR="00026674" w:rsidRPr="000E5D59" w:rsidRDefault="00026674" w:rsidP="00026674">
      <w:pPr>
        <w:spacing w:after="0" w:line="240" w:lineRule="auto"/>
        <w:rPr>
          <w:rFonts w:ascii="Arial" w:eastAsia="Calibri" w:hAnsi="Arial" w:cs="Arial"/>
          <w:sz w:val="24"/>
          <w:szCs w:val="24"/>
        </w:rPr>
      </w:pPr>
      <w:r w:rsidRPr="000E5D59">
        <w:rPr>
          <w:rFonts w:ascii="Arial" w:eastAsia="Times New Roman" w:hAnsi="Arial" w:cs="Arial"/>
          <w:sz w:val="24"/>
          <w:szCs w:val="24"/>
        </w:rPr>
        <w:br/>
        <w:t>The purpose of this survey is to better understand the patterns of use and perceptions among medical use of marijuana patients in Massachusetts. The information you provide will help to inform the safe use and implementation of marijuana legalization in Massachusetts. This survey will ask questions about your use of marijuana and other substances. There is a small risk that some of the questions may make you feel uncomfortable. </w:t>
      </w:r>
      <w:r w:rsidRPr="000E5D59">
        <w:rPr>
          <w:rFonts w:ascii="Arial" w:eastAsia="Times New Roman" w:hAnsi="Arial" w:cs="Arial"/>
          <w:sz w:val="24"/>
          <w:szCs w:val="24"/>
        </w:rPr>
        <w:br/>
      </w:r>
      <w:r w:rsidRPr="000E5D59">
        <w:rPr>
          <w:rFonts w:ascii="Arial" w:eastAsia="Times New Roman" w:hAnsi="Arial" w:cs="Arial"/>
          <w:sz w:val="24"/>
          <w:szCs w:val="24"/>
        </w:rPr>
        <w:br/>
        <w:t>Filling out this survey is completely voluntary. You do not have to answer any question you do not want to. You can stop this survey at any time. Choosing to not participate in this survey will not affect your access to marijuana or any other related service. </w:t>
      </w:r>
      <w:r w:rsidRPr="000E5D59">
        <w:rPr>
          <w:rFonts w:ascii="Arial" w:eastAsia="Times New Roman" w:hAnsi="Arial" w:cs="Arial"/>
          <w:sz w:val="24"/>
          <w:szCs w:val="24"/>
        </w:rPr>
        <w:br/>
      </w:r>
      <w:r w:rsidRPr="000E5D59">
        <w:rPr>
          <w:rFonts w:ascii="Arial" w:eastAsia="Times New Roman" w:hAnsi="Arial" w:cs="Arial"/>
          <w:sz w:val="24"/>
          <w:szCs w:val="24"/>
        </w:rPr>
        <w:br/>
        <w:t>All information that you provide is confidential. You will be asked to provide your unique Registration Number that is visible on your Program ID card to complete the survey. You will not be asked to provide your name or any other identifying information. Your responses will not be tied back to you in a way that can be identified. Your name or any other identifying information will not be tied to your responses.</w:t>
      </w:r>
      <w:r w:rsidRPr="000E5D59">
        <w:rPr>
          <w:rFonts w:ascii="Arial" w:eastAsia="Times New Roman" w:hAnsi="Arial" w:cs="Arial"/>
          <w:sz w:val="24"/>
          <w:szCs w:val="24"/>
        </w:rPr>
        <w:br/>
      </w:r>
      <w:r w:rsidRPr="000E5D59">
        <w:rPr>
          <w:rFonts w:ascii="Arial" w:eastAsia="Times New Roman" w:hAnsi="Arial" w:cs="Arial"/>
          <w:sz w:val="24"/>
          <w:szCs w:val="24"/>
        </w:rPr>
        <w:br/>
        <w:t>This research study has been reviewed by the Massachusetts Department of Public Health (MDPH) Institutional Review Board (IRB). The Commissioner of the Massachusetts Department of Public Health has approved this study in accordance with Massachusetts General Law c. 111 s. 24A. This law protects the confidentiality of all information collected for this study. This law states that the information we collect is not available as a public record. It may not be used as evidence in any legal proceedings. This means that individually identifying information about you will not be shared with anyone outside the study team. It will not be used for any purpose other than for this study. </w:t>
      </w:r>
      <w:r w:rsidRPr="000E5D59">
        <w:rPr>
          <w:rFonts w:ascii="Arial" w:eastAsia="Times New Roman" w:hAnsi="Arial" w:cs="Arial"/>
          <w:sz w:val="24"/>
          <w:szCs w:val="24"/>
        </w:rPr>
        <w:br/>
      </w:r>
      <w:r w:rsidRPr="000E5D59">
        <w:rPr>
          <w:rFonts w:ascii="Arial" w:eastAsia="Times New Roman" w:hAnsi="Arial" w:cs="Arial"/>
          <w:sz w:val="24"/>
          <w:szCs w:val="24"/>
        </w:rPr>
        <w:br/>
        <w:t xml:space="preserve">This survey will include questions on the following topics: </w:t>
      </w:r>
    </w:p>
    <w:p w:rsidR="00026674" w:rsidRPr="000E5D59" w:rsidRDefault="00026674" w:rsidP="00026674">
      <w:pPr>
        <w:spacing w:after="0" w:line="240" w:lineRule="auto"/>
        <w:rPr>
          <w:rFonts w:ascii="Arial" w:eastAsia="Times New Roman" w:hAnsi="Arial" w:cs="Arial"/>
          <w:sz w:val="24"/>
          <w:szCs w:val="24"/>
        </w:rPr>
      </w:pPr>
    </w:p>
    <w:p w:rsidR="00026674" w:rsidRPr="000E5D59" w:rsidRDefault="00026674" w:rsidP="00026674">
      <w:pPr>
        <w:spacing w:after="0" w:line="240" w:lineRule="auto"/>
        <w:rPr>
          <w:rFonts w:ascii="Arial" w:eastAsia="Times New Roman" w:hAnsi="Arial" w:cs="Arial"/>
          <w:sz w:val="24"/>
          <w:szCs w:val="24"/>
        </w:rPr>
      </w:pPr>
      <w:r w:rsidRPr="000E5D59">
        <w:rPr>
          <w:rFonts w:ascii="Arial" w:eastAsia="Times New Roman" w:hAnsi="Arial" w:cs="Arial"/>
          <w:sz w:val="24"/>
          <w:szCs w:val="24"/>
        </w:rPr>
        <w:t>Basic information about you (your age, your racial identity, and what county you live in)</w:t>
      </w:r>
    </w:p>
    <w:p w:rsidR="00026674" w:rsidRPr="000E5D59" w:rsidRDefault="00026674" w:rsidP="00026674">
      <w:pPr>
        <w:spacing w:after="0" w:line="240" w:lineRule="auto"/>
        <w:rPr>
          <w:rFonts w:ascii="Arial" w:eastAsia="Times New Roman" w:hAnsi="Arial" w:cs="Arial"/>
          <w:sz w:val="24"/>
          <w:szCs w:val="24"/>
        </w:rPr>
      </w:pPr>
      <w:r w:rsidRPr="000E5D59">
        <w:rPr>
          <w:rFonts w:ascii="Arial" w:eastAsia="Times New Roman" w:hAnsi="Arial" w:cs="Arial"/>
          <w:sz w:val="24"/>
          <w:szCs w:val="24"/>
        </w:rPr>
        <w:t>Your current and past experiences regarding the use of marijuana for medical purposes</w:t>
      </w:r>
    </w:p>
    <w:p w:rsidR="00026674" w:rsidRPr="000E5D59" w:rsidRDefault="00026674" w:rsidP="00026674">
      <w:pPr>
        <w:spacing w:after="0" w:line="240" w:lineRule="auto"/>
        <w:rPr>
          <w:rFonts w:ascii="Arial" w:eastAsia="Times New Roman" w:hAnsi="Arial" w:cs="Arial"/>
          <w:sz w:val="24"/>
          <w:szCs w:val="24"/>
        </w:rPr>
      </w:pPr>
      <w:r w:rsidRPr="000E5D59">
        <w:rPr>
          <w:rFonts w:ascii="Arial" w:eastAsia="Times New Roman" w:hAnsi="Arial" w:cs="Arial"/>
          <w:sz w:val="24"/>
          <w:szCs w:val="24"/>
        </w:rPr>
        <w:t>Your current and past experiences using other drugs</w:t>
      </w:r>
    </w:p>
    <w:p w:rsidR="00026674" w:rsidRPr="000E5D59" w:rsidRDefault="00026674" w:rsidP="00026674">
      <w:pPr>
        <w:spacing w:after="0" w:line="240" w:lineRule="auto"/>
        <w:rPr>
          <w:rFonts w:ascii="Arial" w:eastAsia="Times New Roman" w:hAnsi="Arial" w:cs="Arial"/>
          <w:bCs/>
          <w:sz w:val="24"/>
          <w:szCs w:val="24"/>
        </w:rPr>
      </w:pPr>
    </w:p>
    <w:p w:rsidR="00026674" w:rsidRPr="000E5D59" w:rsidRDefault="00026674" w:rsidP="00026674">
      <w:pPr>
        <w:spacing w:after="0" w:line="240" w:lineRule="auto"/>
        <w:rPr>
          <w:rFonts w:ascii="Arial" w:eastAsia="Times New Roman" w:hAnsi="Arial" w:cs="Arial"/>
          <w:sz w:val="24"/>
          <w:szCs w:val="24"/>
        </w:rPr>
        <w:sectPr w:rsidR="00026674" w:rsidRPr="000E5D59" w:rsidSect="00465399">
          <w:pgSz w:w="12240" w:h="15840"/>
          <w:pgMar w:top="1440" w:right="1440" w:bottom="1440" w:left="1440" w:header="630" w:footer="78" w:gutter="0"/>
          <w:cols w:space="720"/>
          <w:docGrid w:linePitch="360"/>
        </w:sectPr>
      </w:pPr>
      <w:r w:rsidRPr="000E5D59">
        <w:rPr>
          <w:rFonts w:ascii="Arial" w:eastAsia="Times New Roman" w:hAnsi="Arial" w:cs="Arial"/>
          <w:b/>
          <w:sz w:val="24"/>
          <w:szCs w:val="24"/>
        </w:rPr>
        <w:t>This survey should take between 20-30 minutes to complete</w:t>
      </w:r>
      <w:r w:rsidRPr="000E5D59">
        <w:rPr>
          <w:rFonts w:ascii="Arial" w:eastAsia="Times New Roman" w:hAnsi="Arial" w:cs="Arial"/>
          <w:sz w:val="24"/>
          <w:szCs w:val="24"/>
        </w:rPr>
        <w:t>.</w:t>
      </w:r>
      <w:r w:rsidRPr="000E5D59">
        <w:rPr>
          <w:rFonts w:ascii="Arial" w:eastAsia="Times New Roman" w:hAnsi="Arial" w:cs="Arial"/>
          <w:sz w:val="24"/>
          <w:szCs w:val="24"/>
        </w:rPr>
        <w:br/>
      </w:r>
      <w:r w:rsidRPr="000E5D59">
        <w:rPr>
          <w:rFonts w:ascii="Arial" w:eastAsia="Times New Roman" w:hAnsi="Arial" w:cs="Arial"/>
          <w:sz w:val="24"/>
          <w:szCs w:val="24"/>
        </w:rPr>
        <w:br/>
        <w:t>There are no direct benefits to all participants as a result of participating in this survey. However, as an incentive for your participation, you will be asked at the end of this survey if you would like to be entered into a drawing to win a gift card worth $100, $250, or $500. If you would like to participate, your identifier will be entered into a pool with other participants for the chance to win a gift card. If your identifier is chosen as a winner you will be contacted through email to receive your gift. </w:t>
      </w:r>
      <w:r w:rsidRPr="000E5D59">
        <w:rPr>
          <w:rFonts w:ascii="Arial" w:eastAsia="Times New Roman" w:hAnsi="Arial" w:cs="Arial"/>
          <w:sz w:val="24"/>
          <w:szCs w:val="24"/>
        </w:rPr>
        <w:br/>
      </w:r>
      <w:r w:rsidRPr="000E5D59">
        <w:rPr>
          <w:rFonts w:ascii="Arial" w:eastAsia="Times New Roman" w:hAnsi="Arial" w:cs="Arial"/>
          <w:sz w:val="24"/>
          <w:szCs w:val="24"/>
        </w:rPr>
        <w:br/>
      </w:r>
      <w:r w:rsidRPr="000E5D59">
        <w:rPr>
          <w:rFonts w:ascii="Arial" w:eastAsia="Times New Roman" w:hAnsi="Arial" w:cs="Arial"/>
          <w:b/>
          <w:sz w:val="24"/>
          <w:szCs w:val="24"/>
        </w:rPr>
        <w:t xml:space="preserve">If you have any questions about this survey, please contact </w:t>
      </w:r>
      <w:r w:rsidRPr="000E5D59">
        <w:rPr>
          <w:rFonts w:ascii="Arial" w:eastAsia="Times New Roman" w:hAnsi="Arial" w:cs="Arial"/>
          <w:b/>
          <w:sz w:val="24"/>
          <w:szCs w:val="24"/>
          <w:highlight w:val="black"/>
        </w:rPr>
        <w:t>Dr. Marc A. Nascarella, Principal Investigator, at (617) 624-5757</w:t>
      </w:r>
      <w:r w:rsidRPr="000E5D59">
        <w:rPr>
          <w:rFonts w:ascii="Arial" w:eastAsia="Times New Roman" w:hAnsi="Arial" w:cs="Arial"/>
          <w:b/>
          <w:sz w:val="24"/>
          <w:szCs w:val="24"/>
        </w:rPr>
        <w:t xml:space="preserve"> or at MBHS@state.ma.us.</w:t>
      </w:r>
      <w:r w:rsidRPr="000E5D59">
        <w:rPr>
          <w:rFonts w:ascii="Arial" w:eastAsia="Times New Roman" w:hAnsi="Arial" w:cs="Arial"/>
          <w:sz w:val="24"/>
          <w:szCs w:val="24"/>
        </w:rPr>
        <w:br/>
      </w:r>
      <w:r w:rsidRPr="000E5D59">
        <w:rPr>
          <w:rFonts w:ascii="Arial" w:eastAsia="Times New Roman" w:hAnsi="Arial" w:cs="Arial"/>
          <w:sz w:val="24"/>
          <w:szCs w:val="24"/>
        </w:rPr>
        <w:br/>
      </w:r>
      <w:r w:rsidRPr="000E5D59">
        <w:rPr>
          <w:rFonts w:ascii="Arial" w:eastAsia="Times New Roman" w:hAnsi="Arial" w:cs="Arial"/>
          <w:b/>
          <w:sz w:val="24"/>
          <w:szCs w:val="24"/>
        </w:rPr>
        <w:t>For more information about your rights as a research participant, please contact the MDPH IRB at (617) 624-5621.</w:t>
      </w:r>
      <w:r w:rsidRPr="000E5D59">
        <w:rPr>
          <w:rFonts w:ascii="Arial" w:eastAsia="Times New Roman" w:hAnsi="Arial" w:cs="Arial"/>
          <w:sz w:val="24"/>
          <w:szCs w:val="24"/>
        </w:rPr>
        <w:br/>
      </w:r>
      <w:r w:rsidRPr="000E5D59">
        <w:rPr>
          <w:rFonts w:ascii="Arial" w:eastAsia="Times New Roman" w:hAnsi="Arial" w:cs="Arial"/>
          <w:sz w:val="24"/>
          <w:szCs w:val="24"/>
        </w:rPr>
        <w:br/>
        <w:t>Thank you again for your time today.</w:t>
      </w:r>
    </w:p>
    <w:p w:rsidR="00026674" w:rsidRPr="000E5D59" w:rsidRDefault="00026674" w:rsidP="00026674">
      <w:pPr>
        <w:pBdr>
          <w:top w:val="single" w:sz="4" w:space="1" w:color="auto"/>
          <w:bottom w:val="single" w:sz="4" w:space="1" w:color="auto"/>
        </w:pBdr>
        <w:spacing w:after="0" w:line="240" w:lineRule="auto"/>
        <w:rPr>
          <w:rFonts w:ascii="Arial" w:eastAsia="Calibri" w:hAnsi="Arial" w:cs="Arial"/>
          <w:b/>
          <w:sz w:val="24"/>
          <w:szCs w:val="24"/>
        </w:rPr>
      </w:pPr>
      <w:r w:rsidRPr="000E5D59">
        <w:rPr>
          <w:rFonts w:ascii="Arial" w:eastAsia="Calibri" w:hAnsi="Arial" w:cs="Arial"/>
          <w:b/>
          <w:sz w:val="24"/>
          <w:szCs w:val="24"/>
        </w:rPr>
        <w:t>Demographics</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What is your age?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18 to 25</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26 to 35</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36 to 50</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51 to 64</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65+</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What is your gender?</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Male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Female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Other,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b/>
          <w:sz w:val="24"/>
          <w:szCs w:val="24"/>
        </w:rPr>
      </w:pPr>
      <w:r w:rsidRPr="000E5D59">
        <w:rPr>
          <w:rFonts w:ascii="Arial" w:eastAsia="Calibri" w:hAnsi="Arial" w:cs="Arial"/>
          <w:b/>
          <w:sz w:val="24"/>
          <w:szCs w:val="24"/>
        </w:rPr>
        <w:t>Are you currently pregnant?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Yes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b/>
          <w:sz w:val="24"/>
          <w:szCs w:val="24"/>
        </w:rPr>
      </w:pPr>
      <w:r w:rsidRPr="000E5D59">
        <w:rPr>
          <w:rFonts w:ascii="Arial" w:eastAsia="Calibri" w:hAnsi="Arial" w:cs="Arial"/>
          <w:b/>
          <w:sz w:val="24"/>
          <w:szCs w:val="24"/>
        </w:rPr>
        <w:t>Are you currently breastfeeding?</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Yes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Are you Hispanic or Latino?</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Yes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What is your race? </w:t>
      </w:r>
      <w:r w:rsidRPr="000E5D59">
        <w:rPr>
          <w:rFonts w:ascii="Arial" w:eastAsia="Times New Roman" w:hAnsi="Arial" w:cs="Arial"/>
          <w:i/>
          <w:iCs/>
          <w:sz w:val="24"/>
          <w:szCs w:val="24"/>
        </w:rPr>
        <w:t>Please select all that apply</w:t>
      </w:r>
      <w:r w:rsidRPr="000E5D59">
        <w:rPr>
          <w:rFonts w:ascii="Arial" w:eastAsia="Calibri" w:hAnsi="Arial" w:cs="Arial"/>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White or Caucasian</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Black or African American</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Asian</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Native Hawaiian or Other Pacific Islander</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American Indian or Alaska Native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Other,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5D614A" w:rsidRDefault="005D614A"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Pr="000E5D59" w:rsidRDefault="005D614A"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8976A8" w:rsidRDefault="00026674" w:rsidP="00026674">
      <w:pPr>
        <w:numPr>
          <w:ilvl w:val="0"/>
          <w:numId w:val="10"/>
        </w:numPr>
        <w:spacing w:after="0" w:line="240" w:lineRule="auto"/>
        <w:rPr>
          <w:rFonts w:ascii="Arial" w:eastAsia="Calibri" w:hAnsi="Arial" w:cs="Arial"/>
          <w:sz w:val="24"/>
          <w:szCs w:val="24"/>
        </w:rPr>
      </w:pPr>
      <w:r w:rsidRPr="008976A8">
        <w:rPr>
          <w:rFonts w:ascii="Arial" w:eastAsia="Times New Roman" w:hAnsi="Arial" w:cs="Arial"/>
          <w:b/>
          <w:sz w:val="24"/>
          <w:szCs w:val="24"/>
        </w:rPr>
        <w:t>What is the highest grade or year of school you have completed?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Never attended school or only attended kindergarten</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Grades 1-8</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Grades 9-11</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Regular high school diploma or GED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Trade school certificate/diploma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Some college credit, but less than one year of college credit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One or more years of college credit, no degree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Associate degree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Bachelor's degree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Master's degree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Professional degree beyond a Bachelor's degree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Professional degree beyond a Master’s degree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Doctoral degree</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What is your annual household income from all sources?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$15,000</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$15,000 to $24,999</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$25,000 to $39,999</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$40,000 to $59,999</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$60,000 to $74,999</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$75,000 to $99,999</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$100,000 to $149,999</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$150,000 to $199,999</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$200,000 or more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What is the county where you currently live?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Barnstable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Berkshire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Bristol</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Dukes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Essex</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Franklin</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Hampden</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Hampshire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Middlesex</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Nantucket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Norfolk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Plymouth</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Suffolk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Worcester</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Do you currently identify as having an ambulatory disability that limits your ability to be mobile?</w:t>
      </w:r>
      <w:r w:rsidRPr="000E5D59">
        <w:rPr>
          <w:rFonts w:ascii="Arial" w:eastAsia="Calibri" w:hAnsi="Arial" w:cs="Arial"/>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Yes, I have an ambulatory disability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 I do not have an ambulatory disability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pBdr>
          <w:bottom w:val="single" w:sz="4" w:space="1" w:color="auto"/>
        </w:pBd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b/>
          <w:sz w:val="24"/>
          <w:szCs w:val="24"/>
        </w:rPr>
      </w:pPr>
      <w:r w:rsidRPr="000E5D59">
        <w:rPr>
          <w:rFonts w:ascii="Arial" w:eastAsia="Calibri" w:hAnsi="Arial" w:cs="Arial"/>
          <w:b/>
          <w:sz w:val="24"/>
          <w:szCs w:val="24"/>
        </w:rPr>
        <w:t>Marijuana and Marijuana Product Use</w:t>
      </w:r>
    </w:p>
    <w:p w:rsidR="00026674" w:rsidRPr="000E5D59" w:rsidRDefault="00026674" w:rsidP="00026674">
      <w:pPr>
        <w:pBdr>
          <w:top w:val="single" w:sz="4" w:space="1" w:color="auto"/>
        </w:pBd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During the past 30 days, on how many days did you use marijuana or marijuana products?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Number of days (1-30):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(0 days) – Skip to Q53</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During the past 30 days, which of the following purpose(s) did you use marijuana or marijuana products for and on how many days? </w:t>
      </w:r>
      <w:r w:rsidRPr="000E5D59">
        <w:rPr>
          <w:rFonts w:ascii="Arial" w:eastAsia="Times New Roman" w:hAnsi="Arial" w:cs="Arial"/>
          <w:i/>
          <w:iCs/>
          <w:sz w:val="24"/>
          <w:szCs w:val="24"/>
        </w:rPr>
        <w:t>Please select all that apply.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Cs/>
          <w:sz w:val="24"/>
          <w:szCs w:val="24"/>
        </w:rPr>
        <w:t>Recreational use (Non-medical, e.g., to get high).</w:t>
      </w:r>
      <w:r w:rsidRPr="000E5D59">
        <w:rPr>
          <w:rFonts w:ascii="Arial" w:eastAsia="Calibri" w:hAnsi="Arial" w:cs="Arial"/>
          <w:sz w:val="24"/>
          <w:szCs w:val="24"/>
        </w:rPr>
        <w:t xml:space="preserve"> Number of days (1-30): 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Cs/>
          <w:sz w:val="24"/>
          <w:szCs w:val="24"/>
        </w:rPr>
        <w:t>Medical use certified by a qualified practitioner.</w:t>
      </w:r>
      <w:r w:rsidRPr="000E5D59">
        <w:rPr>
          <w:rFonts w:ascii="Arial" w:eastAsia="Calibri" w:hAnsi="Arial" w:cs="Arial"/>
          <w:sz w:val="24"/>
          <w:szCs w:val="24"/>
        </w:rPr>
        <w:t xml:space="preserve"> Number of days (1-30): 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Cs/>
          <w:sz w:val="24"/>
          <w:szCs w:val="24"/>
        </w:rPr>
        <w:t>Medical use NOT certified by a qualified practitioner.</w:t>
      </w:r>
      <w:r w:rsidRPr="000E5D59">
        <w:rPr>
          <w:rFonts w:ascii="Arial" w:eastAsia="Calibri" w:hAnsi="Arial" w:cs="Arial"/>
          <w:sz w:val="24"/>
          <w:szCs w:val="24"/>
        </w:rPr>
        <w:t xml:space="preserve"> Number of days (1-30): 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bottom w:val="single" w:sz="4" w:space="1" w:color="auto"/>
        </w:pBdr>
        <w:spacing w:after="0" w:line="240" w:lineRule="auto"/>
        <w:rPr>
          <w:rFonts w:ascii="Arial" w:eastAsia="Calibri" w:hAnsi="Arial" w:cs="Arial"/>
          <w:sz w:val="24"/>
          <w:szCs w:val="24"/>
        </w:rPr>
      </w:pPr>
      <w:r w:rsidRPr="000E5D59">
        <w:rPr>
          <w:rFonts w:ascii="Arial" w:eastAsia="Calibri" w:hAnsi="Arial" w:cs="Arial"/>
          <w:sz w:val="24"/>
          <w:szCs w:val="24"/>
        </w:rPr>
        <w:t>If you do not use marijuana or marijuana products for medical use (certified or not certified), then skip to Q15.</w:t>
      </w:r>
    </w:p>
    <w:p w:rsidR="00026674" w:rsidRPr="000E5D59" w:rsidRDefault="00026674" w:rsidP="00026674">
      <w:pPr>
        <w:spacing w:after="0" w:line="240" w:lineRule="auto"/>
        <w:rPr>
          <w:rFonts w:ascii="Arial" w:eastAsia="Times New Roman" w:hAnsi="Arial" w:cs="Arial"/>
          <w:sz w:val="24"/>
          <w:szCs w:val="24"/>
        </w:rPr>
      </w:pPr>
      <w:r w:rsidRPr="000E5D59">
        <w:rPr>
          <w:rFonts w:ascii="Arial" w:eastAsia="Times New Roman" w:hAnsi="Arial" w:cs="Arial"/>
          <w:sz w:val="24"/>
          <w:szCs w:val="24"/>
        </w:rPr>
        <w:t xml:space="preserve">If you are not taking this survey with a computer or tablet, then skip to Q14. </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Times New Roman" w:hAnsi="Arial" w:cs="Arial"/>
          <w:b/>
          <w:i/>
          <w:iCs/>
          <w:sz w:val="24"/>
          <w:szCs w:val="24"/>
        </w:rPr>
      </w:pPr>
      <w:r w:rsidRPr="000E5D59">
        <w:rPr>
          <w:rFonts w:ascii="Arial" w:eastAsia="Times New Roman" w:hAnsi="Arial" w:cs="Arial"/>
          <w:b/>
          <w:sz w:val="24"/>
          <w:szCs w:val="24"/>
        </w:rPr>
        <w:t xml:space="preserve">If you use marijuana for medical purposes, please indicate which medical condition(s) you use marijuana or marijuana products for. </w:t>
      </w:r>
      <w:r w:rsidRPr="000E5D59">
        <w:rPr>
          <w:rFonts w:ascii="Arial" w:eastAsia="Times New Roman" w:hAnsi="Arial" w:cs="Arial"/>
          <w:b/>
          <w:i/>
          <w:iCs/>
          <w:sz w:val="24"/>
          <w:szCs w:val="24"/>
        </w:rPr>
        <w:t>Please select all that apply.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ADHD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Alcohol Dependency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Anxiety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Arthritis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Asthma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Bipolar Disorder</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Bowel Distress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Cancer</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Carpal Tunnel</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Chronic Pain</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Crohn’s Disease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Depression</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Diabetes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Fibromyalgia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Glaucoma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Headaches/Migraines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Hepatitis 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HIV/AIDS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Huntington’s Disease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Hypertension</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Insomnia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Loss of Appetite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Multiple Sclerosis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Muscle Spasms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Muscular Dystrophy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Nausea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Neuropathy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OCD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Opioid Use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Osteoarthritis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PTSD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Schizophrenia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Seizures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Skin Conditions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Sleep Apnea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Stress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Tourette’s Syndrome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Tremors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Vomiting</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Wasting</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Weight Loss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Other, please specify: ________________*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r w:rsidRPr="000E5D59">
        <w:rPr>
          <w:rFonts w:ascii="Arial" w:eastAsia="Times New Roman" w:hAnsi="Arial" w:cs="Arial"/>
          <w:sz w:val="24"/>
          <w:szCs w:val="24"/>
        </w:rPr>
        <w:t>If you are not taking this survey with a smartphone, then skip to Q15.</w:t>
      </w: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If you use marijuana for medical purposes, please indicate which medical condition(s) you use marijuana or marijuana products for.</w:t>
      </w:r>
      <w:r w:rsidRPr="000E5D59">
        <w:rPr>
          <w:rFonts w:ascii="Arial" w:eastAsia="Times New Roman" w:hAnsi="Arial" w:cs="Arial"/>
          <w:sz w:val="24"/>
          <w:szCs w:val="24"/>
        </w:rPr>
        <w:t xml:space="preserve"> </w:t>
      </w:r>
      <w:r w:rsidRPr="000E5D59">
        <w:rPr>
          <w:rFonts w:ascii="Arial" w:eastAsia="Times New Roman" w:hAnsi="Arial" w:cs="Arial"/>
          <w:b/>
          <w:i/>
          <w:iCs/>
          <w:sz w:val="24"/>
          <w:szCs w:val="24"/>
        </w:rPr>
        <w:t>Please select all that apply.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ADHD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Alcohol Dependency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Anxiety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Arthritis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Asthma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Bipolar Disorder</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Bowel Distress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Cancer</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Carpal Tunnel</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Chronic Pain</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Crohn’s Disease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Depression</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Diabetes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Fibromyalgia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Glaucoma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Headaches/Migraines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Hepatitis 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HIV/AIDS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Huntington’s Disease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Hypertension</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Insomnia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Loss of Appetite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Multiple Sclerosis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Muscle Spasms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Muscular Dystrophy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Nausea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Neuropathy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OCD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Opioid Use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Osteoarthritis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PTSD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Schizophrenia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Seizures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Skin Conditions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Sleep Apnea</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Stress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Tourette’s Syndrome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Tremors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Vomiting</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Wasting</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Weight Loss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Other, please specify: ________________*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Do you typically use marijuana or marijuana products that are higher in THC (delta-9-tetrahydrocannabinol), higher in CBD (cannabidiol), or that contain somewhat equal amounts of THC and CBD?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Higher in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Higher in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Contain somewhat equal amounts of THC and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r w:rsidRPr="000E5D59">
        <w:rPr>
          <w:rFonts w:ascii="Arial" w:eastAsia="Times New Roman" w:hAnsi="Arial" w:cs="Arial"/>
          <w:sz w:val="24"/>
          <w:szCs w:val="24"/>
        </w:rPr>
        <w:t xml:space="preserve">If you are not taking this survey with a computer or tablet, then skip to Q17. </w:t>
      </w:r>
    </w:p>
    <w:p w:rsidR="00026674" w:rsidRPr="000E5D59" w:rsidRDefault="00026674" w:rsidP="00026674">
      <w:pPr>
        <w:numPr>
          <w:ilvl w:val="0"/>
          <w:numId w:val="10"/>
        </w:numPr>
        <w:spacing w:after="0" w:line="240" w:lineRule="auto"/>
        <w:rPr>
          <w:rFonts w:ascii="Arial" w:eastAsia="Times New Roman" w:hAnsi="Arial" w:cs="Arial"/>
          <w:b/>
          <w:i/>
          <w:iCs/>
          <w:sz w:val="24"/>
          <w:szCs w:val="24"/>
        </w:rPr>
      </w:pPr>
      <w:r w:rsidRPr="000E5D59">
        <w:rPr>
          <w:rFonts w:ascii="Arial" w:eastAsia="Times New Roman" w:hAnsi="Arial" w:cs="Arial"/>
          <w:b/>
          <w:sz w:val="24"/>
          <w:szCs w:val="24"/>
        </w:rPr>
        <w:t>What method(s) of marijuana administration have you used (one time or more) in the past 30 days?</w:t>
      </w:r>
      <w:r w:rsidRPr="000E5D59">
        <w:rPr>
          <w:rFonts w:ascii="Arial" w:eastAsia="Calibri" w:hAnsi="Arial" w:cs="Arial"/>
          <w:sz w:val="24"/>
          <w:szCs w:val="24"/>
        </w:rPr>
        <w:t xml:space="preserve"> </w:t>
      </w:r>
      <w:r w:rsidRPr="000E5D59">
        <w:rPr>
          <w:rFonts w:ascii="Arial" w:eastAsia="Times New Roman" w:hAnsi="Arial" w:cs="Arial"/>
          <w:b/>
          <w:i/>
          <w:iCs/>
          <w:sz w:val="24"/>
          <w:szCs w:val="24"/>
        </w:rPr>
        <w:t>Please select all that apply.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Smoked dried flower</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0416910D" wp14:editId="70C756B8">
            <wp:extent cx="723900" cy="647700"/>
            <wp:effectExtent l="0" t="0" r="0" b="0"/>
            <wp:docPr id="39" name="Picture 39" descr="Image of a bowl and three pre-rolled marijuana cigarettes (joints).&#10;&#10;https://surveygizmolibrary.s3.amazonaws.com/library/223302/MM_Smoking.png" title="Dri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rveygizmolibrary.s3.amazonaws.com/library/223302/MM_Smoking.png"/>
                    <pic:cNvPicPr>
                      <a:picLocks noChangeAspect="1" noChangeArrowheads="1"/>
                    </pic:cNvPicPr>
                  </pic:nvPicPr>
                  <pic:blipFill>
                    <a:blip r:link="rId121">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Vaporized dried flower</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2A56B71F" wp14:editId="5BBBF7DA">
            <wp:extent cx="723900" cy="647700"/>
            <wp:effectExtent l="0" t="0" r="0" b="0"/>
            <wp:docPr id="40" name="Picture 40" descr="A hand is holding a vape pen that is used for smoking vaporized dried marijuana flower. There is smoke billowing from the mouthpiece.&#10;&#10;https://surveygizmolibrary.s3.amazonaws.com/library/223302/MM_VaporizingFlower.png" title="Vaporizing Dr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rveygizmolibrary.s3.amazonaws.com/library/223302/MM_VaporizingFlower.png"/>
                    <pic:cNvPicPr>
                      <a:picLocks noChangeAspect="1" noChangeArrowheads="1"/>
                    </pic:cNvPicPr>
                  </pic:nvPicPr>
                  <pic:blipFill>
                    <a:blip r:link="rId122">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Vaporized concentrate (cartridge/vape oil)</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55204CFF" wp14:editId="5336B491">
            <wp:extent cx="714375" cy="647700"/>
            <wp:effectExtent l="0" t="0" r="9525" b="0"/>
            <wp:docPr id="41" name="Picture 41" descr="Image of a vape pen used for smoking vaporized concentrate or vape oil.&#10;&#10;https://surveygizmolibrary.s3.amazonaws.com/library/223302/MM_VaporizingConcentrate.png" title="Vaporized Concen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rveygizmolibrary.s3.amazonaws.com/library/223302/MM_VaporizingConcentrate.png"/>
                    <pic:cNvPicPr>
                      <a:picLocks noChangeAspect="1" noChangeArrowheads="1"/>
                    </pic:cNvPicPr>
                  </pic:nvPicPr>
                  <pic:blipFill>
                    <a:blip r:link="rId123">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Dabbed marijuana products (butane hash oil, wax, shatter, etc.)</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74BA0806" wp14:editId="1FD2B6DB">
            <wp:extent cx="714375" cy="647700"/>
            <wp:effectExtent l="0" t="0" r="9525" b="0"/>
            <wp:docPr id="42" name="Picture 42" descr="Image of tools used for dabbing marijuana products.&#10;&#10;https://surveygizmolibrary.s3.amazonaws.com/library/223302/MM_Dabbing.png" title="Dab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rveygizmolibrary.s3.amazonaws.com/library/223302/MM_Dabbing.png"/>
                    <pic:cNvPicPr>
                      <a:picLocks noChangeAspect="1" noChangeArrowheads="1"/>
                    </pic:cNvPicPr>
                  </pic:nvPicPr>
                  <pic:blipFill>
                    <a:blip r:link="rId124">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Ate marijuana products (brownies, cakes, cookies, etc.)</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71BDBFF4" wp14:editId="1779F006">
            <wp:extent cx="714375" cy="647700"/>
            <wp:effectExtent l="0" t="0" r="9525" b="0"/>
            <wp:docPr id="43" name="Picture 43" descr="Image of chocolate bar and candies that have been infused with marijuana.&#10;&#10;https://surveygizmolibrary.s3.amazonaws.com/library/223302/MM_Edible.png" title="Edible Marijuana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rveygizmolibrary.s3.amazonaws.com/library/223302/MM_Edible.png"/>
                    <pic:cNvPicPr>
                      <a:picLocks noChangeAspect="1"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Drank marijuana infused products (tea, cola, alcohol, etc.)</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3BF9DDBD" wp14:editId="7BBC610A">
            <wp:extent cx="714375" cy="647700"/>
            <wp:effectExtent l="0" t="0" r="9525" b="0"/>
            <wp:docPr id="44" name="Picture 44" descr="Image shows a box of tea and bottles of soda, products which have been infused with marijuana.&#10;&#10;https://surveygizmolibrary.s3.amazonaws.com/library/223302/MM_Drinks.png" title="Marijuana-infused Be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rveygizmolibrary.s3.amazonaws.com/library/223302/MM_Drinks.png"/>
                    <pic:cNvPicPr>
                      <a:picLocks noChangeAspect="1"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Used sublingual (under the tongue) or orally administered uptake products (dissolvable strips, sublingual sprays, oils, tinctures, medicated lozenges, etc.)</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04E3C47B" wp14:editId="30F5624D">
            <wp:extent cx="714375" cy="647700"/>
            <wp:effectExtent l="0" t="0" r="9525" b="0"/>
            <wp:docPr id="45" name="Picture 45" descr="Image of sublingual product packages and a person spraying marijuana-infused spray under their tongue.&#10;&#10;https://surveygizmolibrary.s3.amazonaws.com/library/223302/MM_Sublingual.png" title="Sublingua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rveygizmolibrary.s3.amazonaws.com/library/223302/MM_Sublingual.png"/>
                    <pic:cNvPicPr>
                      <a:picLocks noChangeAspect="1"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Used oral capsules/tablets</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50C8DF9D" wp14:editId="45377A5A">
            <wp:extent cx="714375" cy="647700"/>
            <wp:effectExtent l="0" t="0" r="9525" b="0"/>
            <wp:docPr id="47" name="Picture 47" descr="Image of capsules broken open in half to show marijuana product inside.&#10;&#10;https://surveygizmolibrary.s3.amazonaws.com/library/223302/MM_Pills.png" title="Oral Capsules and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rveygizmolibrary.s3.amazonaws.com/library/223302/MM_Pills.png"/>
                    <pic:cNvPicPr>
                      <a:picLocks noChangeAspect="1" noChangeArrowheads="1"/>
                    </pic:cNvPicPr>
                  </pic:nvPicPr>
                  <pic:blipFill>
                    <a:blip r:link="rId128">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Applied topical cannabis oil, ointment, lotion, cream, salve, etc. to your skin</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7C5DB33F" wp14:editId="31B26EF3">
            <wp:extent cx="714375" cy="647700"/>
            <wp:effectExtent l="0" t="0" r="9525" b="0"/>
            <wp:docPr id="48" name="Picture 48" descr="Image of a circular container with marijuana-infused balm inside. The lid is removed, showing a topical balm with a yellow color.&#10;&#10;https://surveygizmolibrary.s3.amazonaws.com/library/223302/MM_Balm.png" title="Topical Marijuana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rveygizmolibrary.s3.amazonaws.com/library/223302/MM_Balm.png"/>
                    <pic:cNvPicPr>
                      <a:picLocks noChangeAspect="1" noChangeArrowheads="1"/>
                    </pic:cNvPicPr>
                  </pic:nvPicPr>
                  <pic:blipFill>
                    <a:blip r:link="rId129">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Used rectal/vaginal cannabis suppositories</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25572BE2" wp14:editId="1C3B3B25">
            <wp:extent cx="714375" cy="647700"/>
            <wp:effectExtent l="0" t="0" r="9525" b="0"/>
            <wp:docPr id="49" name="Picture 49" descr="Image of a suppository with a marijuana leaf icon on it.&#10;&#10;https://surveygizmolibrary.s3.amazonaws.com/library/223302/MM_Suppository.png" title="Marijuana Suppos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rveygizmolibrary.s3.amazonaws.com/library/223302/MM_Suppository.png"/>
                    <pic:cNvPicPr>
                      <a:picLocks noChangeAspect="1" noChangeArrowheads="1"/>
                    </pic:cNvPicPr>
                  </pic:nvPicPr>
                  <pic:blipFill>
                    <a:blip r:link="rId130">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Other</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2758BD34" wp14:editId="125F47AA">
            <wp:extent cx="714375" cy="647700"/>
            <wp:effectExtent l="0" t="0" r="9525" b="0"/>
            <wp:docPr id="63" name="Picture 63" descr="Icon of a person with a thought cloud over their head, encouraging the reader to think of other methods of marijuana use.&#10;https://surveygizmolibrary.s3.amazonaws.com/library/223302/MM_Other.png" title="Thinki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rveygizmolibrary.s3.amazonaws.com/library/223302/MM_Other.png"/>
                    <pic:cNvPicPr>
                      <a:picLocks noChangeAspect="1" noChangeArrowheads="1"/>
                    </pic:cNvPicPr>
                  </pic:nvPicPr>
                  <pic:blipFill>
                    <a:blip r:link="rId131">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r w:rsidRPr="000E5D59">
        <w:rPr>
          <w:rFonts w:ascii="Arial" w:eastAsia="Times New Roman" w:hAnsi="Arial" w:cs="Arial"/>
          <w:sz w:val="24"/>
          <w:szCs w:val="24"/>
        </w:rPr>
        <w:t>If you are not taking this survey with a smartphone, then skip to Q18.</w:t>
      </w: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What method(s) of marijuana administration have you used (one time or more) in the past 30 days?</w:t>
      </w:r>
      <w:r w:rsidRPr="000E5D59">
        <w:rPr>
          <w:rFonts w:ascii="Arial" w:eastAsia="Times New Roman" w:hAnsi="Arial" w:cs="Arial"/>
          <w:sz w:val="24"/>
          <w:szCs w:val="24"/>
        </w:rPr>
        <w:t xml:space="preserve"> </w:t>
      </w:r>
      <w:r w:rsidRPr="000E5D59">
        <w:rPr>
          <w:rFonts w:ascii="Arial" w:eastAsia="Times New Roman" w:hAnsi="Arial" w:cs="Arial"/>
          <w:b/>
          <w:i/>
          <w:iCs/>
          <w:sz w:val="24"/>
          <w:szCs w:val="24"/>
        </w:rPr>
        <w:t>Please select all that apply.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Smoked dried flower</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6C4CFB14" wp14:editId="6049228D">
            <wp:extent cx="714375" cy="647700"/>
            <wp:effectExtent l="0" t="0" r="9525" b="0"/>
            <wp:docPr id="71" name="Picture 71" descr="Image of a bowl and three pre-rolled marijuana cigarettes (joints).&#10;&#10;https://surveygizmolibrary.s3.amazonaws.com/library/223302/MM_Smoking.png" title="Dri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rveygizmolibrary.s3.amazonaws.com/library/223302/MM_Smoking.png"/>
                    <pic:cNvPicPr>
                      <a:picLocks noChangeAspect="1" noChangeArrowheads="1"/>
                    </pic:cNvPicPr>
                  </pic:nvPicPr>
                  <pic:blipFill>
                    <a:blip r:link="rId121">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Vaporized dried flower</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70BF77D3" wp14:editId="7C64DC79">
            <wp:extent cx="714375" cy="647700"/>
            <wp:effectExtent l="0" t="0" r="9525" b="0"/>
            <wp:docPr id="72" name="Picture 72" descr="A hand is holding a vape pen that is used for smoking vaporized dried marijuana flower. There is smoke billowing from the mouthpiece.&#10;&#10;https://surveygizmolibrary.s3.amazonaws.com/library/223302/MM_VaporizingFlower.png" title="Vaporizing Dri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rveygizmolibrary.s3.amazonaws.com/library/223302/MM_VaporizingFlower.png"/>
                    <pic:cNvPicPr>
                      <a:picLocks noChangeAspect="1" noChangeArrowheads="1"/>
                    </pic:cNvPicPr>
                  </pic:nvPicPr>
                  <pic:blipFill>
                    <a:blip r:link="rId122">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Vaporized concentrate (cartridge/vape oil)</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446B13B4" wp14:editId="5ADFC312">
            <wp:extent cx="714375" cy="647700"/>
            <wp:effectExtent l="0" t="0" r="9525" b="0"/>
            <wp:docPr id="73" name="Picture 73" descr="Image of a vape pen used for smoking vaporized concentrate or vape oil.&#10;&#10;https://surveygizmolibrary.s3.amazonaws.com/library/223302/MM_VaporizingConcentrate.png" title="Vaporizing Concen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rveygizmolibrary.s3.amazonaws.com/library/223302/MM_VaporizingConcentrate.png"/>
                    <pic:cNvPicPr>
                      <a:picLocks noChangeAspect="1" noChangeArrowheads="1"/>
                    </pic:cNvPicPr>
                  </pic:nvPicPr>
                  <pic:blipFill>
                    <a:blip r:link="rId123">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Dabbed marijuana products (butane hash oil, wax, shatter, etc.)</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554B6BD8" wp14:editId="4975234C">
            <wp:extent cx="714375" cy="647700"/>
            <wp:effectExtent l="0" t="0" r="9525" b="0"/>
            <wp:docPr id="74" name="Picture 74" descr="Image of tools used for dabbing marijuana products.&#10;&#10;https://surveygizmolibrary.s3.amazonaws.com/library/223302/MM_Dabbing.png" title="Dab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rveygizmolibrary.s3.amazonaws.com/library/223302/MM_Dabbing.png"/>
                    <pic:cNvPicPr>
                      <a:picLocks noChangeAspect="1" noChangeArrowheads="1"/>
                    </pic:cNvPicPr>
                  </pic:nvPicPr>
                  <pic:blipFill>
                    <a:blip r:link="rId124">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Ate marijuana products (brownies, cakes, cookies, etc.)</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2DD7EEAE" wp14:editId="4FEC5B68">
            <wp:extent cx="714375" cy="647700"/>
            <wp:effectExtent l="0" t="0" r="9525" b="0"/>
            <wp:docPr id="75" name="Picture 75" descr="Image of chocolate bar and candies that have been infused with marijuana.&#10;&#10;https://surveygizmolibrary.s3.amazonaws.com/library/223302/MM_Edible.png" title="Edible Marijuana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rveygizmolibrary.s3.amazonaws.com/library/223302/MM_Edible.png"/>
                    <pic:cNvPicPr>
                      <a:picLocks noChangeAspect="1"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Drank marijuana infused products (tea, cola, alcohol, etc.)</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397B8896" wp14:editId="5333BA3B">
            <wp:extent cx="647700" cy="590550"/>
            <wp:effectExtent l="0" t="0" r="0" b="0"/>
            <wp:docPr id="76" name="Picture 76" descr="Image shows a box of tea and bottles of soda, products which have been infused with marijuana.&#10;&#10;https://surveygizmolibrary.s3.amazonaws.com/library/223302/MM_Drinks.png" title="Marijuana-infused Be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rveygizmolibrary.s3.amazonaws.com/library/223302/MM_Drinks.png"/>
                    <pic:cNvPicPr>
                      <a:picLocks noChangeAspect="1"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647700" cy="59055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Used sublingual (under the tongue) or orally administered uptake products (dissolvable strips, sublingual sprays, oils, tinctures, medicated lozenges, etc.)</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027C5E2D" wp14:editId="783597AC">
            <wp:extent cx="714375" cy="647700"/>
            <wp:effectExtent l="0" t="0" r="9525" b="0"/>
            <wp:docPr id="77" name="Picture 77" descr="Image of sublingual product packages and a person spraying marijuana-infused spray under their tongue.&#10;&#10;https://surveygizmolibrary.s3.amazonaws.com/library/223302/MM_Sublingual.png" title="Sunlingua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rveygizmolibrary.s3.amazonaws.com/library/223302/MM_Sublingual.png"/>
                    <pic:cNvPicPr>
                      <a:picLocks noChangeAspect="1"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Used oral capsules/tablets</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3B088B96" wp14:editId="51DFCBB0">
            <wp:extent cx="647700" cy="590550"/>
            <wp:effectExtent l="0" t="0" r="0" b="0"/>
            <wp:docPr id="78" name="Picture 78" descr="Image of capsules broken open in half to show marijuana product inside.&#10;&#10;https://surveygizmolibrary.s3.amazonaws.com/library/223302/MM_Pills.png" title="Oral Capsules and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rveygizmolibrary.s3.amazonaws.com/library/223302/MM_Pills.png"/>
                    <pic:cNvPicPr>
                      <a:picLocks noChangeAspect="1" noChangeArrowheads="1"/>
                    </pic:cNvPicPr>
                  </pic:nvPicPr>
                  <pic:blipFill>
                    <a:blip r:link="rId128">
                      <a:extLst>
                        <a:ext uri="{28A0092B-C50C-407E-A947-70E740481C1C}">
                          <a14:useLocalDpi xmlns:a14="http://schemas.microsoft.com/office/drawing/2010/main" val="0"/>
                        </a:ext>
                      </a:extLst>
                    </a:blip>
                    <a:srcRect/>
                    <a:stretch>
                      <a:fillRect/>
                    </a:stretch>
                  </pic:blipFill>
                  <pic:spPr bwMode="auto">
                    <a:xfrm>
                      <a:off x="0" y="0"/>
                      <a:ext cx="647700" cy="59055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Applied topical cannabis oil, ointment, lotion, cream, salve, etc. to your skin</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119602BF" wp14:editId="42F40AC4">
            <wp:extent cx="647700" cy="590550"/>
            <wp:effectExtent l="0" t="0" r="0" b="0"/>
            <wp:docPr id="79" name="Picture 79" descr="Image of a circular container with marijuana-infused balm inside. The lid is removed, showing a topical balm with a yellow color.&#10;&#10;https://surveygizmolibrary.s3.amazonaws.com/library/223302/MM_Balm.png" title="Topical Marijuana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rveygizmolibrary.s3.amazonaws.com/library/223302/MM_Balm.png"/>
                    <pic:cNvPicPr>
                      <a:picLocks noChangeAspect="1" noChangeArrowheads="1"/>
                    </pic:cNvPicPr>
                  </pic:nvPicPr>
                  <pic:blipFill>
                    <a:blip r:link="rId129">
                      <a:extLst>
                        <a:ext uri="{28A0092B-C50C-407E-A947-70E740481C1C}">
                          <a14:useLocalDpi xmlns:a14="http://schemas.microsoft.com/office/drawing/2010/main" val="0"/>
                        </a:ext>
                      </a:extLst>
                    </a:blip>
                    <a:srcRect/>
                    <a:stretch>
                      <a:fillRect/>
                    </a:stretch>
                  </pic:blipFill>
                  <pic:spPr bwMode="auto">
                    <a:xfrm>
                      <a:off x="0" y="0"/>
                      <a:ext cx="647700" cy="59055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Used rectal/vaginal cannabis suppositories</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274DCF94" wp14:editId="6F213A74">
            <wp:extent cx="647700" cy="590550"/>
            <wp:effectExtent l="0" t="0" r="0" b="0"/>
            <wp:docPr id="80" name="Picture 80" descr="Image of a suppository with a marijuana leaf icon on it.&#10;&#10;https://surveygizmolibrary.s3.amazonaws.com/library/223302/MM_Suppository.png" title="Marijuana Suppos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rveygizmolibrary.s3.amazonaws.com/library/223302/MM_Suppository.png"/>
                    <pic:cNvPicPr>
                      <a:picLocks noChangeAspect="1" noChangeArrowheads="1"/>
                    </pic:cNvPicPr>
                  </pic:nvPicPr>
                  <pic:blipFill>
                    <a:blip r:link="rId130">
                      <a:extLst>
                        <a:ext uri="{28A0092B-C50C-407E-A947-70E740481C1C}">
                          <a14:useLocalDpi xmlns:a14="http://schemas.microsoft.com/office/drawing/2010/main" val="0"/>
                        </a:ext>
                      </a:extLst>
                    </a:blip>
                    <a:srcRect/>
                    <a:stretch>
                      <a:fillRect/>
                    </a:stretch>
                  </pic:blipFill>
                  <pic:spPr bwMode="auto">
                    <a:xfrm>
                      <a:off x="0" y="0"/>
                      <a:ext cx="647700" cy="59055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Other</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68CC5E3D" wp14:editId="03482BCC">
            <wp:extent cx="647700" cy="600075"/>
            <wp:effectExtent l="0" t="0" r="0" b="9525"/>
            <wp:docPr id="81" name="Picture 81" descr="Icon of a person with a thought cloud over their head, encouraging the reader to think of other methods of marijuana use.&#10;https://surveygizmolibrary.s3.amazonaws.com/library/223302/MM_Other.png" title="Thinki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rveygizmolibrary.s3.amazonaws.com/library/223302/MM_Other.png"/>
                    <pic:cNvPicPr>
                      <a:picLocks noChangeAspect="1" noChangeArrowheads="1"/>
                    </pic:cNvPicPr>
                  </pic:nvPicPr>
                  <pic:blipFill>
                    <a:blip r:link="rId131">
                      <a:extLst>
                        <a:ext uri="{28A0092B-C50C-407E-A947-70E740481C1C}">
                          <a14:useLocalDpi xmlns:a14="http://schemas.microsoft.com/office/drawing/2010/main" val="0"/>
                        </a:ext>
                      </a:extLst>
                    </a:blip>
                    <a:srcRect/>
                    <a:stretch>
                      <a:fillRect/>
                    </a:stretch>
                  </pic:blipFill>
                  <pic:spPr bwMode="auto">
                    <a:xfrm>
                      <a:off x="0" y="0"/>
                      <a:ext cx="647700" cy="600075"/>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b/>
          <w:sz w:val="24"/>
          <w:szCs w:val="24"/>
        </w:rPr>
      </w:pPr>
      <w:r w:rsidRPr="000E5D59">
        <w:rPr>
          <w:rFonts w:ascii="Arial" w:eastAsia="Calibri" w:hAnsi="Arial" w:cs="Arial"/>
          <w:b/>
          <w:sz w:val="24"/>
          <w:szCs w:val="24"/>
        </w:rPr>
        <w:t>If you are do not administer marijuana or marijuana products in and “Other” way, skip to Q19.</w:t>
      </w:r>
    </w:p>
    <w:p w:rsidR="00026674" w:rsidRPr="000E5D59" w:rsidRDefault="00026674" w:rsidP="00026674">
      <w:pPr>
        <w:numPr>
          <w:ilvl w:val="0"/>
          <w:numId w:val="10"/>
        </w:numPr>
        <w:spacing w:after="0" w:line="240" w:lineRule="auto"/>
        <w:rPr>
          <w:rFonts w:ascii="Arial" w:eastAsia="Calibri" w:hAnsi="Arial" w:cs="Arial"/>
          <w:b/>
          <w:sz w:val="24"/>
          <w:szCs w:val="24"/>
        </w:rPr>
      </w:pPr>
      <w:r w:rsidRPr="000E5D59">
        <w:rPr>
          <w:rFonts w:ascii="Arial" w:eastAsia="Calibri" w:hAnsi="Arial" w:cs="Arial"/>
          <w:b/>
          <w:sz w:val="24"/>
          <w:szCs w:val="24"/>
        </w:rPr>
        <w:t>Please specify the "Other" form marijuana administration you have used (one time or more)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 xml:space="preserve">       __________________</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pBdr>
        <w:spacing w:after="0" w:line="240" w:lineRule="auto"/>
        <w:rPr>
          <w:rFonts w:ascii="Arial" w:eastAsia="Calibri" w:hAnsi="Arial" w:cs="Arial"/>
          <w:sz w:val="24"/>
          <w:szCs w:val="24"/>
        </w:rPr>
      </w:pPr>
      <w:r w:rsidRPr="000E5D59">
        <w:rPr>
          <w:rFonts w:ascii="Arial" w:eastAsia="Calibri" w:hAnsi="Arial" w:cs="Arial"/>
          <w:b/>
          <w:sz w:val="24"/>
          <w:szCs w:val="24"/>
        </w:rPr>
        <w:t xml:space="preserve">Marijuana and Marijuana Product Use </w:t>
      </w:r>
    </w:p>
    <w:p w:rsidR="00026674" w:rsidRPr="000E5D59" w:rsidRDefault="00026674" w:rsidP="00026674">
      <w:pPr>
        <w:pBdr>
          <w:bottom w:val="single" w:sz="4" w:space="1" w:color="auto"/>
        </w:pBdr>
        <w:spacing w:after="0" w:line="240" w:lineRule="auto"/>
        <w:rPr>
          <w:rFonts w:ascii="Arial" w:eastAsia="Calibri" w:hAnsi="Arial" w:cs="Arial"/>
          <w:sz w:val="24"/>
          <w:szCs w:val="24"/>
        </w:rPr>
      </w:pPr>
      <w:r w:rsidRPr="000E5D59">
        <w:rPr>
          <w:rFonts w:ascii="Arial" w:eastAsia="Calibri" w:hAnsi="Arial" w:cs="Arial"/>
          <w:b/>
          <w:sz w:val="24"/>
          <w:szCs w:val="24"/>
        </w:rPr>
        <w:t>If you have not “Smoked dried flower” in the past 30 days, skip to Q22.</w:t>
      </w:r>
      <w:r w:rsidRPr="000E5D59">
        <w:rPr>
          <w:rFonts w:ascii="Arial" w:eastAsia="Calibri" w:hAnsi="Arial" w:cs="Arial"/>
          <w:sz w:val="24"/>
          <w:szCs w:val="24"/>
        </w:rPr>
        <w:t xml:space="preserve"> </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frequently did you </w:t>
      </w:r>
      <w:r w:rsidRPr="000E5D59">
        <w:rPr>
          <w:rFonts w:ascii="Arial" w:eastAsia="Times New Roman" w:hAnsi="Arial" w:cs="Arial"/>
          <w:b/>
          <w:sz w:val="24"/>
          <w:szCs w:val="24"/>
          <w:u w:val="single"/>
        </w:rPr>
        <w:t>smoke dried flower</w:t>
      </w:r>
      <w:r w:rsidRPr="000E5D59">
        <w:rPr>
          <w:rFonts w:ascii="Arial" w:eastAsia="Times New Roman" w:hAnsi="Arial" w:cs="Arial"/>
          <w:b/>
          <w:sz w:val="24"/>
          <w:szCs w:val="24"/>
        </w:rPr>
        <w:t xml:space="preserve"> in a joint, bong, pipe, blunt, etc.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4-6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Several times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Default="00026674" w:rsidP="00026674">
      <w:pPr>
        <w:spacing w:after="0" w:line="240" w:lineRule="auto"/>
        <w:rPr>
          <w:rFonts w:ascii="Arial" w:eastAsia="Times New Roman" w:hAnsi="Arial" w:cs="Arial"/>
          <w:sz w:val="24"/>
          <w:szCs w:val="24"/>
        </w:rPr>
      </w:pPr>
      <w:r w:rsidRPr="000E5D59">
        <w:rPr>
          <w:rFonts w:ascii="Arial" w:eastAsia="Times New Roman" w:hAnsi="Arial" w:cs="Arial"/>
          <w:sz w:val="24"/>
          <w:szCs w:val="24"/>
        </w:rPr>
        <w:t xml:space="preserve">If you are not taking this survey with a computer or tablet, then skip to Q21. </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dried flower</w:t>
      </w:r>
      <w:r w:rsidRPr="000E5D59">
        <w:rPr>
          <w:rFonts w:ascii="Arial" w:eastAsia="Times New Roman" w:hAnsi="Arial" w:cs="Arial"/>
          <w:b/>
          <w:sz w:val="24"/>
          <w:szCs w:val="24"/>
        </w:rPr>
        <w:t> did you smoke in the past 30 days?</w:t>
      </w:r>
      <w:r w:rsidRPr="000E5D59">
        <w:rPr>
          <w:rFonts w:ascii="Arial" w:eastAsia="Times New Roman" w:hAnsi="Arial" w:cs="Arial"/>
          <w:sz w:val="24"/>
          <w:szCs w:val="24"/>
        </w:rPr>
        <w:t> </w:t>
      </w:r>
      <w:r w:rsidRPr="000E5D59">
        <w:rPr>
          <w:rFonts w:ascii="Arial" w:eastAsia="Times New Roman" w:hAnsi="Arial" w:cs="Arial"/>
          <w:b/>
          <w:i/>
          <w:iCs/>
          <w:sz w:val="24"/>
          <w:szCs w:val="24"/>
        </w:rPr>
        <w:t>Below is a visual guide for dried flower quantities.</w:t>
      </w:r>
    </w:p>
    <w:p w:rsidR="00026674" w:rsidRPr="000E5D59" w:rsidRDefault="00026674" w:rsidP="00026674">
      <w:pPr>
        <w:spacing w:after="0" w:line="240" w:lineRule="auto"/>
        <w:ind w:left="360"/>
        <w:rPr>
          <w:rFonts w:ascii="Arial" w:eastAsia="Calibri" w:hAnsi="Arial" w:cs="Arial"/>
          <w:sz w:val="24"/>
          <w:szCs w:val="24"/>
        </w:rPr>
      </w:pPr>
      <w:r>
        <w:rPr>
          <w:rFonts w:ascii="Arial" w:eastAsia="Times New Roman" w:hAnsi="Arial" w:cs="Arial"/>
          <w:noProof/>
          <w:sz w:val="24"/>
          <w:szCs w:val="24"/>
        </w:rPr>
        <w:drawing>
          <wp:inline distT="0" distB="0" distL="0" distR="0" wp14:anchorId="02C4D83A" wp14:editId="54A7D581">
            <wp:extent cx="1676400" cy="2324100"/>
            <wp:effectExtent l="0" t="0" r="0" b="0"/>
            <wp:docPr id="82" name="Picture 82" descr="Image of six different sizes of dried marijuana flower and labels of grams.  A bottle cap is included for scale. Amounts include one half gram, one gram, an eighth of an ounce, a quarter of an ounce, half an ounce, and a whole ounce. &#10;&#10;https://surveygizmolibrary.s3.amazonaws.com/library/223302/MM_FlowerAmounts.png" title="Visual Guide for Dri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rveygizmolibrary.s3.amazonaws.com/library/223302/MM_FlowerAmounts.png"/>
                    <pic:cNvPicPr>
                      <a:picLocks noChangeAspect="1" noChangeArrowheads="1"/>
                    </pic:cNvPicPr>
                  </pic:nvPicPr>
                  <pic:blipFill>
                    <a:blip r:link="rId132">
                      <a:extLst>
                        <a:ext uri="{28A0092B-C50C-407E-A947-70E740481C1C}">
                          <a14:useLocalDpi xmlns:a14="http://schemas.microsoft.com/office/drawing/2010/main" val="0"/>
                        </a:ext>
                      </a:extLst>
                    </a:blip>
                    <a:srcRect/>
                    <a:stretch>
                      <a:fillRect/>
                    </a:stretch>
                  </pic:blipFill>
                  <pic:spPr bwMode="auto">
                    <a:xfrm>
                      <a:off x="0" y="0"/>
                      <a:ext cx="1676400" cy="23241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 gram</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to 3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1/8 ounce (or about 3.5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1/4 ounce (or about 7.0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1/2 ounce (or about 14.2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3/4 ounce (or about 21.3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ounce (or about 28.4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1 ounce (more than 28.4 grams),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Default="00026674" w:rsidP="00026674">
      <w:pPr>
        <w:spacing w:after="0" w:line="240" w:lineRule="auto"/>
        <w:rPr>
          <w:rFonts w:ascii="Arial" w:eastAsia="Times New Roman" w:hAnsi="Arial" w:cs="Arial"/>
          <w:sz w:val="24"/>
          <w:szCs w:val="24"/>
        </w:rPr>
      </w:pPr>
      <w:r w:rsidRPr="000E5D59">
        <w:rPr>
          <w:rFonts w:ascii="Arial" w:eastAsia="Times New Roman" w:hAnsi="Arial" w:cs="Arial"/>
          <w:sz w:val="24"/>
          <w:szCs w:val="24"/>
        </w:rPr>
        <w:t>If you are not taking this survey with a smartphone, then skip to Q22.</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dried flower</w:t>
      </w:r>
      <w:r w:rsidRPr="000E5D59">
        <w:rPr>
          <w:rFonts w:ascii="Arial" w:eastAsia="Times New Roman" w:hAnsi="Arial" w:cs="Arial"/>
          <w:b/>
          <w:sz w:val="24"/>
          <w:szCs w:val="24"/>
        </w:rPr>
        <w:t> did you smoke in the past 30 days?</w:t>
      </w:r>
      <w:r w:rsidRPr="000E5D59">
        <w:rPr>
          <w:rFonts w:ascii="Arial" w:eastAsia="Times New Roman" w:hAnsi="Arial" w:cs="Arial"/>
          <w:sz w:val="24"/>
          <w:szCs w:val="24"/>
        </w:rPr>
        <w:t> </w:t>
      </w:r>
      <w:r w:rsidRPr="000E5D59">
        <w:rPr>
          <w:rFonts w:ascii="Arial" w:eastAsia="Times New Roman" w:hAnsi="Arial" w:cs="Arial"/>
          <w:b/>
          <w:i/>
          <w:iCs/>
          <w:sz w:val="24"/>
          <w:szCs w:val="24"/>
        </w:rPr>
        <w:t>Below is a visual guide for dried flower quantities.</w:t>
      </w:r>
    </w:p>
    <w:p w:rsidR="00026674" w:rsidRPr="000E5D59" w:rsidRDefault="00026674" w:rsidP="00026674">
      <w:pPr>
        <w:spacing w:after="0" w:line="240" w:lineRule="auto"/>
        <w:ind w:left="360"/>
        <w:rPr>
          <w:rFonts w:ascii="Arial" w:eastAsia="Calibri" w:hAnsi="Arial" w:cs="Arial"/>
          <w:sz w:val="24"/>
          <w:szCs w:val="24"/>
        </w:rPr>
      </w:pPr>
      <w:r>
        <w:rPr>
          <w:rFonts w:ascii="Arial" w:eastAsia="Times New Roman" w:hAnsi="Arial" w:cs="Arial"/>
          <w:noProof/>
          <w:sz w:val="24"/>
          <w:szCs w:val="24"/>
        </w:rPr>
        <w:drawing>
          <wp:inline distT="0" distB="0" distL="0" distR="0" wp14:anchorId="45B69BB0" wp14:editId="097F7B5E">
            <wp:extent cx="1381125" cy="1905000"/>
            <wp:effectExtent l="0" t="0" r="9525" b="0"/>
            <wp:docPr id="83" name="Picture 83" descr="Image of six different sizes of dried marijuana flower and labels of grams.  A bottle cap is included for scale. Amounts include one half gram, one gram, an eighth of an ounce, a quarter of an ounce, half an ounce, and a whole ounce. &#10;&#10;https://surveygizmolibrary.s3.amazonaws.com/library/223302/MM_FlowerAmounts.png" title="Visual Guide for Dri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rveygizmolibrary.s3.amazonaws.com/library/223302/MM_FlowerAmounts.png"/>
                    <pic:cNvPicPr>
                      <a:picLocks noChangeAspect="1" noChangeArrowheads="1"/>
                    </pic:cNvPicPr>
                  </pic:nvPicPr>
                  <pic:blipFill>
                    <a:blip r:link="rId132">
                      <a:extLst>
                        <a:ext uri="{28A0092B-C50C-407E-A947-70E740481C1C}">
                          <a14:useLocalDpi xmlns:a14="http://schemas.microsoft.com/office/drawing/2010/main" val="0"/>
                        </a:ext>
                      </a:extLst>
                    </a:blip>
                    <a:srcRect/>
                    <a:stretch>
                      <a:fillRect/>
                    </a:stretch>
                  </pic:blipFill>
                  <pic:spPr bwMode="auto">
                    <a:xfrm>
                      <a:off x="0" y="0"/>
                      <a:ext cx="1381125" cy="19050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 gram</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to 3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1/8 ounce (or about 3.5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1/4 ounce (or about 7.0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1/2 ounce (or about 14.2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3/4 ounce (or about 21.3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ounce (or about 28.4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1 ounce (more than 28.4 grams),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Pr>
          <w:rFonts w:ascii="Arial" w:eastAsia="Calibri" w:hAnsi="Arial" w:cs="Arial"/>
          <w:sz w:val="24"/>
          <w:szCs w:val="24"/>
        </w:rPr>
        <w:t>Refuse to answer</w:t>
      </w:r>
    </w:p>
    <w:p w:rsidR="00026674" w:rsidRPr="000E5D59" w:rsidRDefault="000F38C4" w:rsidP="00026674">
      <w:pPr>
        <w:spacing w:after="0" w:line="240" w:lineRule="auto"/>
        <w:rPr>
          <w:rFonts w:ascii="Arial" w:eastAsia="Calibri" w:hAnsi="Arial" w:cs="Arial"/>
          <w:sz w:val="24"/>
          <w:szCs w:val="24"/>
        </w:rPr>
      </w:pPr>
      <w:r>
        <w:rPr>
          <w:rFonts w:ascii="Arial" w:eastAsia="Calibri" w:hAnsi="Arial" w:cs="Arial"/>
          <w:sz w:val="24"/>
          <w:szCs w:val="24"/>
        </w:rPr>
        <w:pict>
          <v:rect id="_x0000_i1027" style="width:10in;height:1.2pt" o:hralign="center" o:hrstd="t" o:hr="t" fillcolor="#a0a0a0" stroked="f"/>
        </w:pic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
          <w:sz w:val="24"/>
          <w:szCs w:val="24"/>
        </w:rPr>
        <w:t xml:space="preserve">Marijuana and Marijuana Product Use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
          <w:sz w:val="24"/>
          <w:szCs w:val="24"/>
        </w:rPr>
        <w:t>If you have not “Vaporized dried flower” in the past 30 days, skip to Q25.</w:t>
      </w:r>
      <w:r w:rsidRPr="000E5D59">
        <w:rPr>
          <w:rFonts w:ascii="Arial" w:eastAsia="Calibri" w:hAnsi="Arial" w:cs="Arial"/>
          <w:sz w:val="24"/>
          <w:szCs w:val="24"/>
        </w:rPr>
        <w:t xml:space="preserve"> </w:t>
      </w:r>
    </w:p>
    <w:p w:rsidR="00026674" w:rsidRPr="000E5D59" w:rsidRDefault="000F38C4" w:rsidP="00026674">
      <w:pPr>
        <w:spacing w:after="0" w:line="240" w:lineRule="auto"/>
        <w:rPr>
          <w:rFonts w:ascii="Arial" w:eastAsia="Calibri" w:hAnsi="Arial" w:cs="Arial"/>
          <w:sz w:val="24"/>
          <w:szCs w:val="24"/>
        </w:rPr>
      </w:pPr>
      <w:r>
        <w:rPr>
          <w:rFonts w:ascii="Arial" w:eastAsia="Calibri" w:hAnsi="Arial" w:cs="Arial"/>
          <w:sz w:val="24"/>
          <w:szCs w:val="24"/>
        </w:rPr>
        <w:pict>
          <v:rect id="_x0000_i1028" style="width:10in;height:1.2pt" o:hralign="center" o:hrstd="t" o:hr="t" fillcolor="#a0a0a0" stroked="f"/>
        </w:pict>
      </w: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frequently did you </w:t>
      </w:r>
      <w:r w:rsidRPr="000E5D59">
        <w:rPr>
          <w:rFonts w:ascii="Arial" w:eastAsia="Times New Roman" w:hAnsi="Arial" w:cs="Arial"/>
          <w:b/>
          <w:sz w:val="24"/>
          <w:szCs w:val="24"/>
          <w:u w:val="single"/>
        </w:rPr>
        <w:t>vaporize dried flower</w:t>
      </w:r>
      <w:r w:rsidRPr="000E5D59">
        <w:rPr>
          <w:rFonts w:ascii="Arial" w:eastAsia="Times New Roman" w:hAnsi="Arial" w:cs="Arial"/>
          <w:b/>
          <w:sz w:val="24"/>
          <w:szCs w:val="24"/>
        </w:rPr>
        <w:t xml:space="preserve"> in an e-cigarette-like vaporizer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4-6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Several times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r w:rsidRPr="000E5D59">
        <w:rPr>
          <w:rFonts w:ascii="Arial" w:eastAsia="Times New Roman" w:hAnsi="Arial" w:cs="Arial"/>
          <w:sz w:val="24"/>
          <w:szCs w:val="24"/>
        </w:rPr>
        <w:t xml:space="preserve">If you are not taking this survey with a computer or tablet, then skip to Q24. </w:t>
      </w: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dried flower</w:t>
      </w:r>
      <w:r w:rsidRPr="000E5D59">
        <w:rPr>
          <w:rFonts w:ascii="Arial" w:eastAsia="Times New Roman" w:hAnsi="Arial" w:cs="Arial"/>
          <w:b/>
          <w:sz w:val="24"/>
          <w:szCs w:val="24"/>
        </w:rPr>
        <w:t> did you vaporize in the past 30 days?</w:t>
      </w:r>
      <w:r w:rsidRPr="000E5D59">
        <w:rPr>
          <w:rFonts w:ascii="Arial" w:eastAsia="Times New Roman" w:hAnsi="Arial" w:cs="Arial"/>
          <w:sz w:val="24"/>
          <w:szCs w:val="24"/>
        </w:rPr>
        <w:t> </w:t>
      </w:r>
      <w:r w:rsidRPr="000E5D59">
        <w:rPr>
          <w:rFonts w:ascii="Arial" w:eastAsia="Times New Roman" w:hAnsi="Arial" w:cs="Arial"/>
          <w:b/>
          <w:i/>
          <w:iCs/>
          <w:sz w:val="24"/>
          <w:szCs w:val="24"/>
        </w:rPr>
        <w:t>Below is a visual guide for dried flower quantities.</w:t>
      </w:r>
    </w:p>
    <w:p w:rsidR="00026674" w:rsidRPr="000E5D59" w:rsidRDefault="00026674" w:rsidP="00026674">
      <w:pPr>
        <w:spacing w:after="0" w:line="240" w:lineRule="auto"/>
        <w:ind w:left="360"/>
        <w:rPr>
          <w:rFonts w:ascii="Arial" w:eastAsia="Calibri" w:hAnsi="Arial" w:cs="Arial"/>
          <w:sz w:val="24"/>
          <w:szCs w:val="24"/>
        </w:rPr>
      </w:pPr>
      <w:r>
        <w:rPr>
          <w:rFonts w:ascii="Arial" w:eastAsia="Times New Roman" w:hAnsi="Arial" w:cs="Arial"/>
          <w:noProof/>
          <w:sz w:val="24"/>
          <w:szCs w:val="24"/>
        </w:rPr>
        <w:drawing>
          <wp:inline distT="0" distB="0" distL="0" distR="0" wp14:anchorId="7AAC831C" wp14:editId="472ED1B1">
            <wp:extent cx="1371600" cy="1905000"/>
            <wp:effectExtent l="0" t="0" r="0" b="0"/>
            <wp:docPr id="84" name="Picture 84" descr="Image of six different sizes of dried marijuana flower and labels of grams.  A bottle cap is included for scale. Amounts include one half gram, one gram, an eighth of an ounce, a quarter of an ounce, half an ounce, and a whole ounce. &#10;&#10;https://surveygizmolibrary.s3.amazonaws.com/library/223302/MM_FlowerAmounts.png" title="Visual Guide for Dri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rveygizmolibrary.s3.amazonaws.com/library/223302/MM_FlowerAmounts.png"/>
                    <pic:cNvPicPr>
                      <a:picLocks noChangeAspect="1" noChangeArrowheads="1"/>
                    </pic:cNvPicPr>
                  </pic:nvPicPr>
                  <pic:blipFill>
                    <a:blip r:link="rId132">
                      <a:extLst>
                        <a:ext uri="{28A0092B-C50C-407E-A947-70E740481C1C}">
                          <a14:useLocalDpi xmlns:a14="http://schemas.microsoft.com/office/drawing/2010/main" val="0"/>
                        </a:ext>
                      </a:extLst>
                    </a:blip>
                    <a:srcRect/>
                    <a:stretch>
                      <a:fillRect/>
                    </a:stretch>
                  </pic:blipFill>
                  <pic:spPr bwMode="auto">
                    <a:xfrm>
                      <a:off x="0" y="0"/>
                      <a:ext cx="1371600" cy="190500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 gram</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to 3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1/8 ounce (or about 3.5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1/4 ounce (or about 7.0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1/2 ounce (or about 14.2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3/4 ounce (or about 21.3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ounce (or about 28.4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1 ounce (more than 28.4 grams),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r w:rsidRPr="000E5D59">
        <w:rPr>
          <w:rFonts w:ascii="Arial" w:eastAsia="Times New Roman" w:hAnsi="Arial" w:cs="Arial"/>
          <w:sz w:val="24"/>
          <w:szCs w:val="24"/>
        </w:rPr>
        <w:t>If you are not taking this survey with a smartphone, then skip to Q25.</w:t>
      </w: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dried flower</w:t>
      </w:r>
      <w:r w:rsidRPr="000E5D59">
        <w:rPr>
          <w:rFonts w:ascii="Arial" w:eastAsia="Times New Roman" w:hAnsi="Arial" w:cs="Arial"/>
          <w:b/>
          <w:sz w:val="24"/>
          <w:szCs w:val="24"/>
        </w:rPr>
        <w:t> did you vaporize in the past 30 days?</w:t>
      </w:r>
      <w:r w:rsidRPr="000E5D59">
        <w:rPr>
          <w:rFonts w:ascii="Arial" w:eastAsia="Times New Roman" w:hAnsi="Arial" w:cs="Arial"/>
          <w:sz w:val="24"/>
          <w:szCs w:val="24"/>
        </w:rPr>
        <w:t> </w:t>
      </w:r>
      <w:r w:rsidRPr="000E5D59">
        <w:rPr>
          <w:rFonts w:ascii="Arial" w:eastAsia="Times New Roman" w:hAnsi="Arial" w:cs="Arial"/>
          <w:b/>
          <w:i/>
          <w:iCs/>
          <w:sz w:val="24"/>
          <w:szCs w:val="24"/>
        </w:rPr>
        <w:t>Below is a visual guide for dried flower quantities.</w:t>
      </w:r>
    </w:p>
    <w:p w:rsidR="00026674" w:rsidRPr="000E5D59" w:rsidRDefault="00026674" w:rsidP="00026674">
      <w:pPr>
        <w:spacing w:after="0" w:line="240" w:lineRule="auto"/>
        <w:ind w:left="360"/>
        <w:rPr>
          <w:rFonts w:ascii="Arial" w:eastAsia="Calibri" w:hAnsi="Arial" w:cs="Arial"/>
          <w:sz w:val="24"/>
          <w:szCs w:val="24"/>
        </w:rPr>
      </w:pPr>
      <w:r>
        <w:rPr>
          <w:rFonts w:ascii="Arial" w:eastAsia="Times New Roman" w:hAnsi="Arial" w:cs="Arial"/>
          <w:noProof/>
          <w:sz w:val="24"/>
          <w:szCs w:val="24"/>
        </w:rPr>
        <w:drawing>
          <wp:inline distT="0" distB="0" distL="0" distR="0" wp14:anchorId="6A2F4B30" wp14:editId="3364731D">
            <wp:extent cx="1390650" cy="1924050"/>
            <wp:effectExtent l="0" t="0" r="0" b="0"/>
            <wp:docPr id="85" name="Picture 85" descr="Image of six different sizes of dried marijuana flower and labels of grams.  A bottle cap is included for scale. Amounts include one half gram, one gram, an eighth of an ounce, a quarter of an ounce, half an ounce, and a whole ounce. &#10;&#10;https://surveygizmolibrary.s3.amazonaws.com/library/223302/MM_FlowerAmounts.png" title="Visual Guide for Dri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rveygizmolibrary.s3.amazonaws.com/library/223302/MM_FlowerAmounts.png"/>
                    <pic:cNvPicPr>
                      <a:picLocks noChangeAspect="1" noChangeArrowheads="1"/>
                    </pic:cNvPicPr>
                  </pic:nvPicPr>
                  <pic:blipFill>
                    <a:blip r:link="rId132">
                      <a:extLst>
                        <a:ext uri="{28A0092B-C50C-407E-A947-70E740481C1C}">
                          <a14:useLocalDpi xmlns:a14="http://schemas.microsoft.com/office/drawing/2010/main" val="0"/>
                        </a:ext>
                      </a:extLst>
                    </a:blip>
                    <a:srcRect/>
                    <a:stretch>
                      <a:fillRect/>
                    </a:stretch>
                  </pic:blipFill>
                  <pic:spPr bwMode="auto">
                    <a:xfrm>
                      <a:off x="0" y="0"/>
                      <a:ext cx="1390650" cy="1924050"/>
                    </a:xfrm>
                    <a:prstGeom prst="rect">
                      <a:avLst/>
                    </a:prstGeom>
                    <a:noFill/>
                    <a:ln>
                      <a:noFill/>
                    </a:ln>
                  </pic:spPr>
                </pic:pic>
              </a:graphicData>
            </a:graphic>
          </wp:inline>
        </w:drawing>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 gram</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to 3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1/8 ounce (or about 3.5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1/4 ounce (or about 7.0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1/2 ounce (or about 14.2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3/4 ounce (or about 21.3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ounce (or about 28.4 grams)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1 ounce (more than 28.4 grams),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pBdr>
          <w:bottom w:val="single" w:sz="4" w:space="1" w:color="auto"/>
        </w:pBd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
          <w:sz w:val="24"/>
          <w:szCs w:val="24"/>
        </w:rPr>
        <w:t xml:space="preserve">Marijuana and Marijuana Product Use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
          <w:sz w:val="24"/>
          <w:szCs w:val="24"/>
        </w:rPr>
        <w:t>If you have not “Vaporized marijuana concentrate” in the past 30 days, skip to Q28.</w:t>
      </w:r>
    </w:p>
    <w:p w:rsidR="00026674" w:rsidRPr="000E5D59" w:rsidRDefault="00026674" w:rsidP="00026674">
      <w:pPr>
        <w:pBdr>
          <w:top w:val="single" w:sz="4" w:space="1" w:color="auto"/>
        </w:pBd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frequently did you </w:t>
      </w:r>
      <w:r w:rsidRPr="000E5D59">
        <w:rPr>
          <w:rFonts w:ascii="Arial" w:eastAsia="Times New Roman" w:hAnsi="Arial" w:cs="Arial"/>
          <w:b/>
          <w:sz w:val="24"/>
          <w:szCs w:val="24"/>
          <w:u w:val="single"/>
        </w:rPr>
        <w:t>vaporize marijuana concentrate</w:t>
      </w:r>
      <w:r w:rsidRPr="000E5D59">
        <w:rPr>
          <w:rFonts w:ascii="Arial" w:eastAsia="Times New Roman" w:hAnsi="Arial" w:cs="Arial"/>
          <w:b/>
          <w:sz w:val="24"/>
          <w:szCs w:val="24"/>
        </w:rPr>
        <w:t xml:space="preserve"> (cartridge/vape oil) in an e-cigarette-like or other vaporizer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4-6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Several times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5D614A" w:rsidRDefault="005D614A"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Pr="000E5D59" w:rsidRDefault="005D614A"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THC</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vaporizing concentrate/vape oil</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THC,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CBD</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vaporizing concentrate/vape oil</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CBD,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pBdr>
        <w:spacing w:after="0" w:line="240" w:lineRule="auto"/>
        <w:rPr>
          <w:rFonts w:ascii="Arial" w:eastAsia="Calibri" w:hAnsi="Arial" w:cs="Arial"/>
          <w:sz w:val="24"/>
          <w:szCs w:val="24"/>
        </w:rPr>
      </w:pPr>
      <w:r w:rsidRPr="000E5D59">
        <w:rPr>
          <w:rFonts w:ascii="Arial" w:eastAsia="Calibri" w:hAnsi="Arial" w:cs="Arial"/>
          <w:b/>
          <w:sz w:val="24"/>
          <w:szCs w:val="24"/>
        </w:rPr>
        <w:t xml:space="preserve">Marijuana and Marijuana Product Use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
          <w:sz w:val="24"/>
          <w:szCs w:val="24"/>
        </w:rPr>
        <w:t>If you have not “Dabbed marijuana products” in the past 30 days, skip to Q31.</w:t>
      </w:r>
    </w:p>
    <w:p w:rsidR="00026674" w:rsidRPr="000E5D59" w:rsidRDefault="00026674" w:rsidP="00026674">
      <w:pPr>
        <w:pBdr>
          <w:top w:val="single" w:sz="4" w:space="1" w:color="auto"/>
        </w:pBd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frequently did you </w:t>
      </w:r>
      <w:r w:rsidRPr="000E5D59">
        <w:rPr>
          <w:rFonts w:ascii="Arial" w:eastAsia="Times New Roman" w:hAnsi="Arial" w:cs="Arial"/>
          <w:b/>
          <w:sz w:val="24"/>
          <w:szCs w:val="24"/>
          <w:u w:val="single"/>
        </w:rPr>
        <w:t>dab marijuana products</w:t>
      </w:r>
      <w:r w:rsidRPr="000E5D59">
        <w:rPr>
          <w:rFonts w:ascii="Arial" w:eastAsia="Times New Roman" w:hAnsi="Arial" w:cs="Arial"/>
          <w:b/>
          <w:sz w:val="24"/>
          <w:szCs w:val="24"/>
        </w:rPr>
        <w:t> (butane hash oil, wax, shatter, or other concentrates)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4-6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Several times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335C52" w:rsidRDefault="00335C52">
      <w:pPr>
        <w:rPr>
          <w:rFonts w:ascii="Arial" w:eastAsia="Times New Roman" w:hAnsi="Arial" w:cs="Arial"/>
          <w:b/>
          <w:sz w:val="24"/>
          <w:szCs w:val="24"/>
        </w:rPr>
      </w:pPr>
      <w:r>
        <w:rPr>
          <w:rFonts w:ascii="Arial" w:eastAsia="Times New Roman" w:hAnsi="Arial" w:cs="Arial"/>
          <w:b/>
          <w:sz w:val="24"/>
          <w:szCs w:val="24"/>
        </w:rPr>
        <w:br w:type="page"/>
      </w: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THC</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dabbing butane hash oil, wax, shatter, or other concentrates</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THC,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CBD</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dabbing butane hash oil, wax, shatter, or other concentrates</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CBD,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pBdr>
        <w:spacing w:after="0" w:line="240" w:lineRule="auto"/>
        <w:rPr>
          <w:rFonts w:ascii="Arial" w:eastAsia="Calibri" w:hAnsi="Arial" w:cs="Arial"/>
          <w:sz w:val="24"/>
          <w:szCs w:val="24"/>
        </w:rPr>
      </w:pPr>
      <w:r w:rsidRPr="000E5D59">
        <w:rPr>
          <w:rFonts w:ascii="Arial" w:eastAsia="Calibri" w:hAnsi="Arial" w:cs="Arial"/>
          <w:b/>
          <w:sz w:val="24"/>
          <w:szCs w:val="24"/>
        </w:rPr>
        <w:t xml:space="preserve">Marijuana and Marijuana Product Use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
          <w:sz w:val="24"/>
          <w:szCs w:val="24"/>
        </w:rPr>
        <w:t>If you have not “Ate marijuana or marijuana products” in the past 30 days, skip to Q34.</w:t>
      </w:r>
    </w:p>
    <w:p w:rsidR="00026674" w:rsidRPr="000E5D59" w:rsidRDefault="00026674" w:rsidP="00026674">
      <w:pPr>
        <w:pBdr>
          <w:top w:val="single" w:sz="4" w:space="1" w:color="auto"/>
        </w:pBdr>
        <w:spacing w:after="0" w:line="240" w:lineRule="auto"/>
        <w:rPr>
          <w:rFonts w:ascii="Arial" w:eastAsia="Times New Roman"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frequently did you </w:t>
      </w:r>
      <w:r w:rsidRPr="000E5D59">
        <w:rPr>
          <w:rFonts w:ascii="Arial" w:eastAsia="Times New Roman" w:hAnsi="Arial" w:cs="Arial"/>
          <w:b/>
          <w:sz w:val="24"/>
          <w:szCs w:val="24"/>
          <w:u w:val="single"/>
        </w:rPr>
        <w:t>eat marijuana or marijuana products</w:t>
      </w:r>
      <w:r w:rsidRPr="000E5D59">
        <w:rPr>
          <w:rFonts w:ascii="Arial" w:eastAsia="Times New Roman" w:hAnsi="Arial" w:cs="Arial"/>
          <w:b/>
          <w:sz w:val="24"/>
          <w:szCs w:val="24"/>
        </w:rPr>
        <w:t> in brownies, cakes, cookies, candy, etc.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4-6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Several times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THC</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eating marijuana products (brownies, cakes, cookies, candy, etc.)</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THC,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CBD</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eating marijuana products (brownies, cakes, cookies, candy, etc.)</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CBD,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pBdr>
        <w:spacing w:after="0" w:line="240" w:lineRule="auto"/>
        <w:rPr>
          <w:rFonts w:ascii="Arial" w:eastAsia="Calibri" w:hAnsi="Arial" w:cs="Arial"/>
          <w:sz w:val="24"/>
          <w:szCs w:val="24"/>
        </w:rPr>
      </w:pPr>
      <w:r w:rsidRPr="000E5D59">
        <w:rPr>
          <w:rFonts w:ascii="Arial" w:eastAsia="Calibri" w:hAnsi="Arial" w:cs="Arial"/>
          <w:b/>
          <w:sz w:val="24"/>
          <w:szCs w:val="24"/>
        </w:rPr>
        <w:t xml:space="preserve">Marijuana and Marijuana Product Use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
          <w:sz w:val="24"/>
          <w:szCs w:val="24"/>
        </w:rPr>
        <w:t>If you have not “Drank marijuana infused products” in the past 30 days, skip to Q37.</w:t>
      </w:r>
    </w:p>
    <w:p w:rsidR="00026674" w:rsidRPr="000E5D59" w:rsidRDefault="00026674" w:rsidP="00026674">
      <w:pPr>
        <w:pBdr>
          <w:top w:val="single" w:sz="4" w:space="1" w:color="auto"/>
        </w:pBd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frequently did you </w:t>
      </w:r>
      <w:r w:rsidRPr="000E5D59">
        <w:rPr>
          <w:rFonts w:ascii="Arial" w:eastAsia="Times New Roman" w:hAnsi="Arial" w:cs="Arial"/>
          <w:b/>
          <w:sz w:val="24"/>
          <w:szCs w:val="24"/>
          <w:u w:val="single"/>
        </w:rPr>
        <w:t>drink marijuana infused products</w:t>
      </w:r>
      <w:r w:rsidRPr="000E5D59">
        <w:rPr>
          <w:rFonts w:ascii="Arial" w:eastAsia="Times New Roman" w:hAnsi="Arial" w:cs="Arial"/>
          <w:b/>
          <w:sz w:val="24"/>
          <w:szCs w:val="24"/>
        </w:rPr>
        <w:t xml:space="preserve"> in tea, cola, alcohol, etc.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4-6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Several times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Default="00026674" w:rsidP="00026674">
      <w:pPr>
        <w:spacing w:after="0" w:line="240" w:lineRule="auto"/>
        <w:rPr>
          <w:rFonts w:ascii="Arial" w:eastAsia="Calibri" w:hAnsi="Arial" w:cs="Arial"/>
          <w:sz w:val="24"/>
          <w:szCs w:val="24"/>
        </w:rPr>
      </w:pPr>
    </w:p>
    <w:p w:rsidR="005D614A" w:rsidRPr="000E5D59" w:rsidRDefault="005D614A"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THC</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drinking marijuana infused products</w:t>
      </w:r>
      <w:r w:rsidRPr="000E5D59">
        <w:rPr>
          <w:rFonts w:ascii="Arial" w:eastAsia="Times New Roman" w:hAnsi="Arial" w:cs="Arial"/>
          <w:b/>
          <w:sz w:val="24"/>
          <w:szCs w:val="24"/>
        </w:rPr>
        <w:t xml:space="preserve"> (tea, cola, alcohol, etc.)?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THC,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CBD</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drinking marijuana infused products</w:t>
      </w:r>
      <w:r w:rsidRPr="000E5D59">
        <w:rPr>
          <w:rFonts w:ascii="Arial" w:eastAsia="Times New Roman" w:hAnsi="Arial" w:cs="Arial"/>
          <w:b/>
          <w:sz w:val="24"/>
          <w:szCs w:val="24"/>
        </w:rPr>
        <w:t xml:space="preserve"> (tea, cola, alcohol, etc.)?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CBD,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pBdr>
        <w:spacing w:after="0" w:line="240" w:lineRule="auto"/>
        <w:rPr>
          <w:rFonts w:ascii="Arial" w:eastAsia="Calibri" w:hAnsi="Arial" w:cs="Arial"/>
          <w:sz w:val="24"/>
          <w:szCs w:val="24"/>
        </w:rPr>
      </w:pPr>
      <w:r w:rsidRPr="000E5D59">
        <w:rPr>
          <w:rFonts w:ascii="Arial" w:eastAsia="Calibri" w:hAnsi="Arial" w:cs="Arial"/>
          <w:b/>
          <w:sz w:val="24"/>
          <w:szCs w:val="24"/>
        </w:rPr>
        <w:t xml:space="preserve">Marijuana and Marijuana Product Use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
          <w:sz w:val="24"/>
          <w:szCs w:val="24"/>
        </w:rPr>
        <w:t>If you have not “Used sublingual (under-the-tongue) or orally administered uptake products” in the past 30 days, skip to Q40.</w:t>
      </w:r>
    </w:p>
    <w:p w:rsidR="00026674" w:rsidRPr="000E5D59" w:rsidRDefault="00026674" w:rsidP="00026674">
      <w:pPr>
        <w:pBdr>
          <w:top w:val="single" w:sz="4" w:space="1" w:color="auto"/>
        </w:pBd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frequently did you use </w:t>
      </w:r>
      <w:r w:rsidRPr="000E5D59">
        <w:rPr>
          <w:rFonts w:ascii="Arial" w:eastAsia="Times New Roman" w:hAnsi="Arial" w:cs="Arial"/>
          <w:b/>
          <w:sz w:val="24"/>
          <w:szCs w:val="24"/>
          <w:u w:val="single"/>
        </w:rPr>
        <w:t>sublingual (under-the-tongue) or orally administered uptake products</w:t>
      </w:r>
      <w:r w:rsidRPr="000E5D59">
        <w:rPr>
          <w:rFonts w:ascii="Arial" w:eastAsia="Times New Roman" w:hAnsi="Arial" w:cs="Arial"/>
          <w:b/>
          <w:sz w:val="24"/>
          <w:szCs w:val="24"/>
        </w:rPr>
        <w:t> (dissolvable strips, sublingual sprays, oils, tinctures, medicated lozenges, etc.)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4-6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Several times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5D614A" w:rsidRPr="000E5D59" w:rsidRDefault="005D614A"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THC</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using sublingual (under-the-tongue) or orally administered uptake products (dissolvable strips, sublingual sprays, tinctures, medicated lozenges, etc.)</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THC,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CBD</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using sublingual (under-the-tongue) or orally administered uptake products (dissolvable strips, sublingual sprays, tinctures, medicated lozenges, etc.)</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CBD,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pBdr>
        <w:spacing w:after="0" w:line="240" w:lineRule="auto"/>
        <w:rPr>
          <w:rFonts w:ascii="Arial" w:eastAsia="Calibri" w:hAnsi="Arial" w:cs="Arial"/>
          <w:sz w:val="24"/>
          <w:szCs w:val="24"/>
        </w:rPr>
      </w:pPr>
      <w:r w:rsidRPr="000E5D59">
        <w:rPr>
          <w:rFonts w:ascii="Arial" w:eastAsia="Calibri" w:hAnsi="Arial" w:cs="Arial"/>
          <w:b/>
          <w:sz w:val="24"/>
          <w:szCs w:val="24"/>
        </w:rPr>
        <w:t xml:space="preserve">Marijuana and Marijuana Product Use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
          <w:sz w:val="24"/>
          <w:szCs w:val="24"/>
        </w:rPr>
        <w:t>If you have not “Used oral capsules/tablets” in the past 30 days, skip to Q43.</w:t>
      </w:r>
    </w:p>
    <w:p w:rsidR="00026674" w:rsidRPr="000E5D59" w:rsidRDefault="00026674" w:rsidP="00026674">
      <w:pPr>
        <w:pBdr>
          <w:top w:val="single" w:sz="4" w:space="1" w:color="auto"/>
        </w:pBd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b/>
          <w:sz w:val="24"/>
          <w:szCs w:val="24"/>
        </w:rPr>
      </w:pPr>
      <w:r w:rsidRPr="000E5D59">
        <w:rPr>
          <w:rFonts w:ascii="Arial" w:eastAsia="Times New Roman" w:hAnsi="Arial" w:cs="Arial"/>
          <w:b/>
          <w:sz w:val="24"/>
          <w:szCs w:val="24"/>
        </w:rPr>
        <w:t xml:space="preserve">How frequently did you </w:t>
      </w:r>
      <w:r w:rsidRPr="000E5D59">
        <w:rPr>
          <w:rFonts w:ascii="Arial" w:eastAsia="Times New Roman" w:hAnsi="Arial" w:cs="Arial"/>
          <w:b/>
          <w:sz w:val="24"/>
          <w:szCs w:val="24"/>
          <w:u w:val="single"/>
        </w:rPr>
        <w:t>use oral capsules/tablets</w:t>
      </w:r>
      <w:r w:rsidRPr="000E5D59">
        <w:rPr>
          <w:rFonts w:ascii="Arial" w:eastAsia="Times New Roman" w:hAnsi="Arial" w:cs="Arial"/>
          <w:b/>
          <w:sz w:val="24"/>
          <w:szCs w:val="24"/>
        </w:rPr>
        <w:t> (THC and/or CBD pills)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4-6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Several times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THC</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using oral capsules/tablets</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THC,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CBD</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using oral capsules/tablets</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CBD,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pBdr>
        <w:spacing w:after="0" w:line="240" w:lineRule="auto"/>
        <w:rPr>
          <w:rFonts w:ascii="Arial" w:eastAsia="Calibri" w:hAnsi="Arial" w:cs="Arial"/>
          <w:sz w:val="24"/>
          <w:szCs w:val="24"/>
        </w:rPr>
      </w:pPr>
      <w:r w:rsidRPr="000E5D59">
        <w:rPr>
          <w:rFonts w:ascii="Arial" w:eastAsia="Calibri" w:hAnsi="Arial" w:cs="Arial"/>
          <w:b/>
          <w:sz w:val="24"/>
          <w:szCs w:val="24"/>
        </w:rPr>
        <w:t xml:space="preserve">Marijuana and Marijuana Product Use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
          <w:sz w:val="24"/>
          <w:szCs w:val="24"/>
        </w:rPr>
        <w:t>If you have not “Applied topical cannabis oil, ointment, lotion, salve, etc.” in the past 30 days, skip to Q46.</w:t>
      </w:r>
    </w:p>
    <w:p w:rsidR="00026674" w:rsidRPr="000E5D59" w:rsidRDefault="00026674" w:rsidP="00026674">
      <w:pPr>
        <w:pBdr>
          <w:top w:val="single" w:sz="4" w:space="1" w:color="auto"/>
        </w:pBd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frequently did you </w:t>
      </w:r>
      <w:r w:rsidRPr="000E5D59">
        <w:rPr>
          <w:rFonts w:ascii="Arial" w:eastAsia="Times New Roman" w:hAnsi="Arial" w:cs="Arial"/>
          <w:b/>
          <w:sz w:val="24"/>
          <w:szCs w:val="24"/>
          <w:u w:val="single"/>
        </w:rPr>
        <w:t>apply topical cannabis oil, ointment, lotion, salve, etc.</w:t>
      </w:r>
      <w:r w:rsidRPr="000E5D59">
        <w:rPr>
          <w:rFonts w:ascii="Arial" w:eastAsia="Times New Roman" w:hAnsi="Arial" w:cs="Arial"/>
          <w:b/>
          <w:sz w:val="24"/>
          <w:szCs w:val="24"/>
        </w:rPr>
        <w:t xml:space="preserve"> to your skin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4-6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Several times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5D614A" w:rsidRPr="000E5D59" w:rsidRDefault="005D614A"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THC</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applying topical cannabis oil, ointment, lotion, salve, etc. to your skin</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THC,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CBD</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applying topical cannabis oil, ointment, lotion, salve, etc. to your skin</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CBD,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pBdr>
        <w:spacing w:after="0" w:line="240" w:lineRule="auto"/>
        <w:rPr>
          <w:rFonts w:ascii="Arial" w:eastAsia="Calibri" w:hAnsi="Arial" w:cs="Arial"/>
          <w:sz w:val="24"/>
          <w:szCs w:val="24"/>
        </w:rPr>
      </w:pPr>
      <w:r w:rsidRPr="000E5D59">
        <w:rPr>
          <w:rFonts w:ascii="Arial" w:eastAsia="Calibri" w:hAnsi="Arial" w:cs="Arial"/>
          <w:b/>
          <w:sz w:val="24"/>
          <w:szCs w:val="24"/>
        </w:rPr>
        <w:t xml:space="preserve">Marijuana and Marijuana Product Use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
          <w:sz w:val="24"/>
          <w:szCs w:val="24"/>
        </w:rPr>
        <w:t>If you have not “Used rectal/vaginal cannabis suppositories” in the past 30 days, skip to Q49.</w:t>
      </w:r>
    </w:p>
    <w:p w:rsidR="00026674" w:rsidRPr="000E5D59" w:rsidRDefault="00026674" w:rsidP="00026674">
      <w:pPr>
        <w:pBdr>
          <w:top w:val="single" w:sz="4" w:space="1" w:color="auto"/>
        </w:pBd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frequently did you </w:t>
      </w:r>
      <w:r w:rsidRPr="000E5D59">
        <w:rPr>
          <w:rFonts w:ascii="Arial" w:eastAsia="Times New Roman" w:hAnsi="Arial" w:cs="Arial"/>
          <w:b/>
          <w:sz w:val="24"/>
          <w:szCs w:val="24"/>
          <w:u w:val="single"/>
        </w:rPr>
        <w:t>use rectal/vaginal cannabis suppositories</w:t>
      </w:r>
      <w:r w:rsidRPr="000E5D59">
        <w:rPr>
          <w:rFonts w:ascii="Arial" w:eastAsia="Times New Roman" w:hAnsi="Arial" w:cs="Arial"/>
          <w:b/>
          <w:sz w:val="24"/>
          <w:szCs w:val="24"/>
        </w:rPr>
        <w:t xml:space="preserv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4-6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Several times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5D614A" w:rsidRPr="000E5D59" w:rsidRDefault="005D614A"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THC</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using rectal/vaginal cannabis suppositories</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THC,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CBD</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using rectal/vaginal cannabis suppositories</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CBD,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pBdr>
        <w:spacing w:after="0" w:line="240" w:lineRule="auto"/>
        <w:rPr>
          <w:rFonts w:ascii="Arial" w:eastAsia="Calibri" w:hAnsi="Arial" w:cs="Arial"/>
          <w:sz w:val="24"/>
          <w:szCs w:val="24"/>
        </w:rPr>
      </w:pPr>
      <w:r w:rsidRPr="000E5D59">
        <w:rPr>
          <w:rFonts w:ascii="Arial" w:eastAsia="Calibri" w:hAnsi="Arial" w:cs="Arial"/>
          <w:b/>
          <w:sz w:val="24"/>
          <w:szCs w:val="24"/>
        </w:rPr>
        <w:t xml:space="preserve">Marijuana and Marijuana Product Use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
          <w:sz w:val="24"/>
          <w:szCs w:val="24"/>
        </w:rPr>
        <w:t>If you have not “Use marijuana or marijuana products in some other way” in the past 30 days, skip to Q52.</w:t>
      </w:r>
    </w:p>
    <w:p w:rsidR="00026674" w:rsidRPr="000E5D59" w:rsidRDefault="00026674" w:rsidP="00026674">
      <w:pPr>
        <w:pBdr>
          <w:top w:val="single" w:sz="4" w:space="1" w:color="auto"/>
        </w:pBd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many times did you </w:t>
      </w:r>
      <w:r w:rsidRPr="000E5D59">
        <w:rPr>
          <w:rFonts w:ascii="Arial" w:eastAsia="Times New Roman" w:hAnsi="Arial" w:cs="Arial"/>
          <w:b/>
          <w:sz w:val="24"/>
          <w:szCs w:val="24"/>
          <w:u w:val="single"/>
        </w:rPr>
        <w:t>use marijuana or marijuana products</w:t>
      </w:r>
      <w:r w:rsidRPr="000E5D59">
        <w:rPr>
          <w:rFonts w:ascii="Arial" w:eastAsia="Times New Roman" w:hAnsi="Arial" w:cs="Arial"/>
          <w:b/>
          <w:sz w:val="24"/>
          <w:szCs w:val="24"/>
        </w:rPr>
        <w:t xml:space="preserve"> in some other way (Q18 value)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4-6 times per week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Once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Several times per day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5D614A" w:rsidRPr="000E5D59" w:rsidRDefault="005D614A"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THC</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by some other way</w:t>
      </w:r>
      <w:r w:rsidRPr="000E5D59">
        <w:rPr>
          <w:rFonts w:ascii="Arial" w:eastAsia="Times New Roman" w:hAnsi="Arial" w:cs="Arial"/>
          <w:b/>
          <w:sz w:val="24"/>
          <w:szCs w:val="24"/>
        </w:rPr>
        <w:t xml:space="preserve"> (Q18 value)?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THC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THC,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How much </w:t>
      </w:r>
      <w:r w:rsidRPr="000E5D59">
        <w:rPr>
          <w:rFonts w:ascii="Arial" w:eastAsia="Times New Roman" w:hAnsi="Arial" w:cs="Arial"/>
          <w:b/>
          <w:sz w:val="24"/>
          <w:szCs w:val="24"/>
          <w:u w:val="single"/>
        </w:rPr>
        <w:t>CBD</w:t>
      </w:r>
      <w:r w:rsidRPr="000E5D59">
        <w:rPr>
          <w:rFonts w:ascii="Arial" w:eastAsia="Times New Roman" w:hAnsi="Arial" w:cs="Arial"/>
          <w:b/>
          <w:sz w:val="24"/>
          <w:szCs w:val="24"/>
        </w:rPr>
        <w:t xml:space="preserve"> did you administer in total in the past 30 days </w:t>
      </w:r>
      <w:r w:rsidRPr="000E5D59">
        <w:rPr>
          <w:rFonts w:ascii="Arial" w:eastAsia="Times New Roman" w:hAnsi="Arial" w:cs="Arial"/>
          <w:b/>
          <w:sz w:val="24"/>
          <w:szCs w:val="24"/>
          <w:u w:val="single"/>
        </w:rPr>
        <w:t xml:space="preserve">by some other way </w:t>
      </w:r>
      <w:r w:rsidRPr="000E5D59">
        <w:rPr>
          <w:rFonts w:ascii="Arial" w:eastAsia="Times New Roman" w:hAnsi="Arial" w:cs="Arial"/>
          <w:b/>
          <w:sz w:val="24"/>
          <w:szCs w:val="24"/>
        </w:rPr>
        <w:t>(Q18 value)?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Less than 10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 to 30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30 to 70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70 to 100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100 to 150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150 to 200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200 to 300 mg CBD</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More than 300 mg CBD,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bottom w:val="single" w:sz="4" w:space="1" w:color="auto"/>
        </w:pBdr>
        <w:spacing w:after="0" w:line="240" w:lineRule="auto"/>
        <w:rPr>
          <w:rFonts w:ascii="Arial" w:eastAsia="Calibri" w:hAnsi="Arial" w:cs="Arial"/>
          <w:b/>
          <w:sz w:val="24"/>
          <w:szCs w:val="24"/>
        </w:rPr>
      </w:pPr>
      <w:r w:rsidRPr="000E5D59">
        <w:rPr>
          <w:rFonts w:ascii="Arial" w:eastAsia="Calibri" w:hAnsi="Arial" w:cs="Arial"/>
          <w:b/>
          <w:sz w:val="24"/>
          <w:szCs w:val="24"/>
        </w:rPr>
        <w:t xml:space="preserve">Marijuana and Marijuana Product Use </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During the past 30 days, about how much money did you spend on marijuana or marijuana products in total? Please enter zero if you spent no money on marijuana or marijuana products.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Cs/>
          <w:sz w:val="24"/>
          <w:szCs w:val="24"/>
        </w:rPr>
        <w:t>$</w:t>
      </w:r>
      <w:r w:rsidRPr="000E5D59">
        <w:rPr>
          <w:rFonts w:ascii="Arial" w:eastAsia="Calibri" w:hAnsi="Arial" w:cs="Arial"/>
          <w:sz w:val="24"/>
          <w:szCs w:val="24"/>
        </w:rPr>
        <w:t>: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bottom w:val="single" w:sz="4" w:space="1" w:color="auto"/>
        </w:pBdr>
        <w:spacing w:after="0" w:line="240" w:lineRule="auto"/>
        <w:rPr>
          <w:rFonts w:ascii="Arial" w:eastAsia="Calibri" w:hAnsi="Arial" w:cs="Arial"/>
          <w:b/>
          <w:sz w:val="24"/>
          <w:szCs w:val="24"/>
        </w:rPr>
      </w:pPr>
      <w:r w:rsidRPr="000E5D59">
        <w:rPr>
          <w:rFonts w:ascii="Arial" w:eastAsia="Calibri" w:hAnsi="Arial" w:cs="Arial"/>
          <w:b/>
          <w:bCs/>
          <w:sz w:val="24"/>
          <w:szCs w:val="24"/>
        </w:rPr>
        <w:t xml:space="preserve">Perceptions of Medical Use of Marijuana </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How long have you been using marijuana or marijuana products for medical purposes?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0 – 3 months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3 – 6 months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6 – 12 months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 3 years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Greater than 3 years, please specify: ___________*</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When you buy medical marijuana at a licensed dispensary, how do you feel about your personal safety?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Very unsafe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Somewhat unsafe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Somewhat safe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Very safe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When selecting a marijuana product for your medical use, how would you rate your current knowledge of the recommended product based on information provided by your certified practitioner?</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Very low</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Somewhat low</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Average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Somewhat high</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Very high</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When purchasing marijuana or marijuana products at a licensed dispensary, how confident do you feel that you are receiving a safe, uncontaminated product?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Very low confidence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Low confidence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Average confidence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Somewhat high confidence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Very high confidence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How effective do you feel marijuana or marijuana products have been in treating the medical condition for which you are using it?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Not effective at all</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 little effective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Somewhat effective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Effective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Very Effective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Default="00026674"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Pr="000E5D59" w:rsidRDefault="005D614A"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bottom w:val="single" w:sz="4" w:space="1" w:color="auto"/>
        </w:pBdr>
        <w:spacing w:after="0" w:line="240" w:lineRule="auto"/>
        <w:rPr>
          <w:rFonts w:ascii="Arial" w:eastAsia="Calibri" w:hAnsi="Arial" w:cs="Arial"/>
          <w:b/>
          <w:sz w:val="24"/>
          <w:szCs w:val="24"/>
        </w:rPr>
      </w:pPr>
      <w:r w:rsidRPr="000E5D59">
        <w:rPr>
          <w:rFonts w:ascii="Arial" w:eastAsia="Calibri" w:hAnsi="Arial" w:cs="Arial"/>
          <w:b/>
          <w:bCs/>
          <w:sz w:val="24"/>
          <w:szCs w:val="24"/>
        </w:rPr>
        <w:t>Driving and Other Issues Related to Marijuana Use</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Do you operate a motor vehicle at least once a week?</w:t>
      </w:r>
      <w:r w:rsidRPr="000E5D59">
        <w:rPr>
          <w:rFonts w:ascii="Arial" w:eastAsia="Calibri" w:hAnsi="Arial" w:cs="Arial"/>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Yes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During the past 30 days, how many times did you </w:t>
      </w:r>
      <w:r w:rsidRPr="000E5D59">
        <w:rPr>
          <w:rFonts w:ascii="Arial" w:eastAsia="Times New Roman" w:hAnsi="Arial" w:cs="Arial"/>
          <w:b/>
          <w:sz w:val="24"/>
          <w:szCs w:val="24"/>
          <w:u w:val="single"/>
        </w:rPr>
        <w:t>drive/operate</w:t>
      </w:r>
      <w:r w:rsidRPr="000E5D59">
        <w:rPr>
          <w:rFonts w:ascii="Arial" w:eastAsia="Times New Roman" w:hAnsi="Arial" w:cs="Arial"/>
          <w:b/>
          <w:sz w:val="24"/>
          <w:szCs w:val="24"/>
        </w:rPr>
        <w:t xml:space="preserve"> a car or other motor vehicle when you were under the influence of (impaired from) marijuana or marijuana products?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0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time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4-5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6 or more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During the past 30 days, how many times did you </w:t>
      </w:r>
      <w:r w:rsidRPr="000E5D59">
        <w:rPr>
          <w:rFonts w:ascii="Arial" w:eastAsia="Times New Roman" w:hAnsi="Arial" w:cs="Arial"/>
          <w:b/>
          <w:sz w:val="24"/>
          <w:szCs w:val="24"/>
          <w:u w:val="single"/>
        </w:rPr>
        <w:t>ride as a passenger</w:t>
      </w:r>
      <w:r w:rsidRPr="000E5D59">
        <w:rPr>
          <w:rFonts w:ascii="Arial" w:eastAsia="Times New Roman" w:hAnsi="Arial" w:cs="Arial"/>
          <w:b/>
          <w:sz w:val="24"/>
          <w:szCs w:val="24"/>
        </w:rPr>
        <w:t xml:space="preserve"> in a car or other motor vehicle when the driver was under the influence of (impaired from) marijuana or marijuana products?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0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time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4-5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6 or more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During the past 30 days, how many times were you treated in an emergency room or urgent care facility for any reason related to marijuana or marijuana product use?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Number of times: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 xml:space="preserve">No emergency/urgent care related to </w:t>
      </w:r>
      <w:r w:rsidRPr="000E5D59">
        <w:rPr>
          <w:rFonts w:ascii="Arial" w:eastAsia="Calibri" w:hAnsi="Arial" w:cs="Arial"/>
          <w:bCs/>
          <w:sz w:val="24"/>
          <w:szCs w:val="24"/>
        </w:rPr>
        <w:t>marijuana or marijuana product use</w:t>
      </w:r>
      <w:r w:rsidRPr="000E5D59">
        <w:rPr>
          <w:rFonts w:ascii="Arial" w:eastAsia="Calibri" w:hAnsi="Arial" w:cs="Arial"/>
          <w:sz w:val="24"/>
          <w:szCs w:val="24"/>
        </w:rPr>
        <w:t xml:space="preserv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Default="00026674" w:rsidP="00026674">
      <w:pPr>
        <w:spacing w:after="0" w:line="240" w:lineRule="auto"/>
        <w:rPr>
          <w:rFonts w:ascii="Arial" w:eastAsia="Calibri" w:hAnsi="Arial" w:cs="Arial"/>
          <w:b/>
          <w:sz w:val="24"/>
          <w:szCs w:val="24"/>
        </w:rPr>
      </w:pPr>
      <w:r w:rsidRPr="000E5D59">
        <w:rPr>
          <w:rFonts w:ascii="Arial" w:eastAsia="Calibri" w:hAnsi="Arial" w:cs="Arial"/>
          <w:b/>
          <w:sz w:val="24"/>
          <w:szCs w:val="24"/>
        </w:rPr>
        <w:t>If you have used marijuana or marijuana products for less than 6 months, skip to Q65.</w:t>
      </w:r>
    </w:p>
    <w:p w:rsidR="005D614A" w:rsidRDefault="005D614A" w:rsidP="00026674">
      <w:pPr>
        <w:spacing w:after="0" w:line="240" w:lineRule="auto"/>
        <w:rPr>
          <w:rFonts w:ascii="Arial" w:eastAsia="Calibri" w:hAnsi="Arial" w:cs="Arial"/>
          <w:b/>
          <w:sz w:val="24"/>
          <w:szCs w:val="24"/>
        </w:rPr>
      </w:pPr>
    </w:p>
    <w:p w:rsidR="005D614A" w:rsidRDefault="005D614A" w:rsidP="00026674">
      <w:pPr>
        <w:spacing w:after="0" w:line="240" w:lineRule="auto"/>
        <w:rPr>
          <w:rFonts w:ascii="Arial" w:eastAsia="Calibri" w:hAnsi="Arial" w:cs="Arial"/>
          <w:b/>
          <w:sz w:val="24"/>
          <w:szCs w:val="24"/>
        </w:rPr>
      </w:pPr>
    </w:p>
    <w:p w:rsidR="005D614A" w:rsidRDefault="005D614A" w:rsidP="00026674">
      <w:pPr>
        <w:spacing w:after="0" w:line="240" w:lineRule="auto"/>
        <w:rPr>
          <w:rFonts w:ascii="Arial" w:eastAsia="Calibri" w:hAnsi="Arial" w:cs="Arial"/>
          <w:b/>
          <w:sz w:val="24"/>
          <w:szCs w:val="24"/>
        </w:rPr>
      </w:pPr>
    </w:p>
    <w:p w:rsidR="005D614A" w:rsidRPr="000E5D59" w:rsidRDefault="005D614A"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In the past 12 months, have you needed to consume larger amounts of marijuana or marijuana products in order to feel the same effects?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Yes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Not applicable (has used marijuana less than 12 months)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In the past 12 months, have you tried to cut down on your marijuana or marijuana product use?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Yes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 – Skip to Q65</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 – Skip to Q65</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Not applicable (has used marijuana less than 12 months) – Skip to Q65</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 – Skip to Q65</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Calibri" w:hAnsi="Arial" w:cs="Arial"/>
          <w:sz w:val="24"/>
          <w:szCs w:val="24"/>
        </w:rPr>
        <w:t>I</w:t>
      </w:r>
      <w:r w:rsidRPr="000E5D59">
        <w:rPr>
          <w:rFonts w:ascii="Arial" w:eastAsia="Times New Roman" w:hAnsi="Arial" w:cs="Arial"/>
          <w:b/>
          <w:sz w:val="24"/>
          <w:szCs w:val="24"/>
        </w:rPr>
        <w:t>n the past 12 months, have you felt sick or had withdrawal symptoms because you stopped or cut down on your marijuana or marijuana product use?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Yes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Not applicable (has used marijuana less than 12 months)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b/>
          <w:sz w:val="24"/>
          <w:szCs w:val="24"/>
        </w:rPr>
      </w:pPr>
      <w:r w:rsidRPr="000E5D59">
        <w:rPr>
          <w:rFonts w:ascii="Arial" w:eastAsia="Times New Roman" w:hAnsi="Arial" w:cs="Arial"/>
          <w:b/>
          <w:sz w:val="24"/>
          <w:szCs w:val="24"/>
        </w:rPr>
        <w:t>Have you noticed any of the following</w:t>
      </w:r>
      <w:r w:rsidRPr="000E5D59">
        <w:rPr>
          <w:rFonts w:ascii="Arial" w:eastAsia="Times New Roman" w:hAnsi="Arial" w:cs="Arial"/>
          <w:sz w:val="24"/>
          <w:szCs w:val="24"/>
        </w:rPr>
        <w:t xml:space="preserve"> </w:t>
      </w:r>
      <w:r w:rsidRPr="000E5D59">
        <w:rPr>
          <w:rFonts w:ascii="Arial" w:eastAsia="Times New Roman" w:hAnsi="Arial" w:cs="Arial"/>
          <w:b/>
          <w:i/>
          <w:iCs/>
          <w:sz w:val="24"/>
          <w:szCs w:val="24"/>
        </w:rPr>
        <w:t xml:space="preserve">negative </w:t>
      </w:r>
      <w:r w:rsidRPr="000E5D59">
        <w:rPr>
          <w:rFonts w:ascii="Arial" w:eastAsia="Times New Roman" w:hAnsi="Arial" w:cs="Arial"/>
          <w:b/>
          <w:sz w:val="24"/>
          <w:szCs w:val="24"/>
        </w:rPr>
        <w:t>outcomes/consequences</w:t>
      </w:r>
      <w:r w:rsidRPr="000E5D59">
        <w:rPr>
          <w:rFonts w:ascii="Arial" w:eastAsia="Times New Roman" w:hAnsi="Arial" w:cs="Arial"/>
          <w:sz w:val="24"/>
          <w:szCs w:val="24"/>
        </w:rPr>
        <w:t xml:space="preserve"> </w:t>
      </w:r>
      <w:r w:rsidRPr="000E5D59">
        <w:rPr>
          <w:rFonts w:ascii="Arial" w:eastAsia="Times New Roman" w:hAnsi="Arial" w:cs="Arial"/>
          <w:b/>
          <w:sz w:val="24"/>
          <w:szCs w:val="24"/>
        </w:rPr>
        <w:t>related to your marijuana use?</w:t>
      </w:r>
      <w:r w:rsidRPr="000E5D59">
        <w:rPr>
          <w:rFonts w:ascii="Arial" w:eastAsia="Times New Roman" w:hAnsi="Arial" w:cs="Arial"/>
          <w:sz w:val="24"/>
          <w:szCs w:val="24"/>
        </w:rPr>
        <w:t xml:space="preserve"> </w:t>
      </w:r>
      <w:r w:rsidRPr="000E5D59">
        <w:rPr>
          <w:rFonts w:ascii="Arial" w:eastAsia="Times New Roman" w:hAnsi="Arial" w:cs="Arial"/>
          <w:b/>
          <w:i/>
          <w:iCs/>
          <w:sz w:val="24"/>
          <w:szCs w:val="24"/>
        </w:rPr>
        <w:t>Please select all that apply.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Negative changes in mood or mental health (worse depression, anxiety, etc.)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Reduction in physical health (you feel worse, can do fewer things, etc.)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Negative changes in cognition (difficultly thinking, remembering things, etc.)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Negative changes in social relationships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Occupation/job-related issues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Other,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 negative outcomes/consequences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Default="00026674"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Pr="000E5D59" w:rsidRDefault="005D614A"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Have you noticed any of the following</w:t>
      </w:r>
      <w:r w:rsidRPr="000E5D59">
        <w:rPr>
          <w:rFonts w:ascii="Arial" w:eastAsia="Times New Roman" w:hAnsi="Arial" w:cs="Arial"/>
          <w:sz w:val="24"/>
          <w:szCs w:val="24"/>
        </w:rPr>
        <w:t xml:space="preserve"> </w:t>
      </w:r>
      <w:r w:rsidRPr="000E5D59">
        <w:rPr>
          <w:rFonts w:ascii="Arial" w:eastAsia="Times New Roman" w:hAnsi="Arial" w:cs="Arial"/>
          <w:b/>
          <w:i/>
          <w:iCs/>
          <w:sz w:val="24"/>
          <w:szCs w:val="24"/>
        </w:rPr>
        <w:t xml:space="preserve">positive </w:t>
      </w:r>
      <w:r w:rsidRPr="000E5D59">
        <w:rPr>
          <w:rFonts w:ascii="Arial" w:eastAsia="Times New Roman" w:hAnsi="Arial" w:cs="Arial"/>
          <w:b/>
          <w:sz w:val="24"/>
          <w:szCs w:val="24"/>
        </w:rPr>
        <w:t>outcomes/consequences</w:t>
      </w:r>
      <w:r w:rsidRPr="000E5D59">
        <w:rPr>
          <w:rFonts w:ascii="Arial" w:eastAsia="Times New Roman" w:hAnsi="Arial" w:cs="Arial"/>
          <w:sz w:val="24"/>
          <w:szCs w:val="24"/>
        </w:rPr>
        <w:t xml:space="preserve"> </w:t>
      </w:r>
      <w:r w:rsidRPr="000E5D59">
        <w:rPr>
          <w:rFonts w:ascii="Arial" w:eastAsia="Times New Roman" w:hAnsi="Arial" w:cs="Arial"/>
          <w:b/>
          <w:sz w:val="24"/>
          <w:szCs w:val="24"/>
        </w:rPr>
        <w:t>related to your marijuana use?</w:t>
      </w:r>
      <w:r w:rsidRPr="000E5D59">
        <w:rPr>
          <w:rFonts w:ascii="Arial" w:eastAsia="Times New Roman" w:hAnsi="Arial" w:cs="Arial"/>
          <w:sz w:val="24"/>
          <w:szCs w:val="24"/>
        </w:rPr>
        <w:t xml:space="preserve"> </w:t>
      </w:r>
      <w:r w:rsidRPr="000E5D59">
        <w:rPr>
          <w:rFonts w:ascii="Arial" w:eastAsia="Times New Roman" w:hAnsi="Arial" w:cs="Arial"/>
          <w:b/>
          <w:i/>
          <w:iCs/>
          <w:sz w:val="24"/>
          <w:szCs w:val="24"/>
        </w:rPr>
        <w:t>Please select all that apply.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Positive changes in mood or mental health (depression or anxiety is better, etc.)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Improved physical health (you feel better, can do more, etc.)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Positive changes in cognition (easier time thinking, better at remembering things, etc.)</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Positive changes in social relationships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Other,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 positive outcomes/consequences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bottom w:val="single" w:sz="4" w:space="1" w:color="auto"/>
        </w:pBdr>
        <w:spacing w:after="0" w:line="240" w:lineRule="auto"/>
        <w:rPr>
          <w:rFonts w:ascii="Arial" w:eastAsia="Calibri" w:hAnsi="Arial" w:cs="Arial"/>
          <w:b/>
          <w:sz w:val="24"/>
          <w:szCs w:val="24"/>
        </w:rPr>
      </w:pPr>
      <w:r w:rsidRPr="000E5D59">
        <w:rPr>
          <w:rFonts w:ascii="Arial" w:eastAsia="Calibri" w:hAnsi="Arial" w:cs="Arial"/>
          <w:b/>
          <w:bCs/>
          <w:sz w:val="24"/>
          <w:szCs w:val="24"/>
        </w:rPr>
        <w:t>Alcohol Consumption</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During the past 30 days, how many days did you have at least one drink of any alcoholic beverage such as beer, wine, a malt beverage or liquor? </w:t>
      </w:r>
      <w:r w:rsidRPr="000E5D59">
        <w:rPr>
          <w:rFonts w:ascii="Arial" w:eastAsia="Times New Roman" w:hAnsi="Arial" w:cs="Arial"/>
          <w:i/>
          <w:iCs/>
          <w:sz w:val="24"/>
          <w:szCs w:val="24"/>
        </w:rPr>
        <w:t>One</w:t>
      </w:r>
      <w:r w:rsidRPr="000E5D59">
        <w:rPr>
          <w:rFonts w:ascii="Arial" w:eastAsia="Times New Roman" w:hAnsi="Arial" w:cs="Arial"/>
          <w:b/>
          <w:i/>
          <w:iCs/>
          <w:sz w:val="24"/>
          <w:szCs w:val="24"/>
        </w:rPr>
        <w:t xml:space="preserve"> drink is equivalent to a 12-ounce beer, a 5-ounce glass of wine, or a drink with one shot of liquor.</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Number of days (1-30):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 xml:space="preserve">No drinks of </w:t>
      </w:r>
      <w:r w:rsidRPr="000E5D59">
        <w:rPr>
          <w:rFonts w:ascii="Arial" w:eastAsia="Calibri" w:hAnsi="Arial" w:cs="Arial"/>
          <w:bCs/>
          <w:sz w:val="24"/>
          <w:szCs w:val="24"/>
          <w:u w:val="single"/>
        </w:rPr>
        <w:t>alcohol</w:t>
      </w:r>
      <w:r w:rsidRPr="000E5D59">
        <w:rPr>
          <w:rFonts w:ascii="Arial" w:eastAsia="Calibri" w:hAnsi="Arial" w:cs="Arial"/>
          <w:sz w:val="24"/>
          <w:szCs w:val="24"/>
        </w:rPr>
        <w:t xml:space="preserv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During the past 30 days, about how much money did you spend on alcohol in total? Please enter zero if you spent no money on alcohol.</w:t>
      </w:r>
      <w:r w:rsidRPr="000E5D59">
        <w:rPr>
          <w:rFonts w:ascii="Arial" w:eastAsia="Times New Roman" w:hAnsi="Arial" w:cs="Arial"/>
          <w:sz w:val="24"/>
          <w:szCs w:val="24"/>
        </w:rPr>
        <w:t xml:space="preserve"> </w:t>
      </w:r>
      <w:r w:rsidRPr="000E5D59">
        <w:rPr>
          <w:rFonts w:ascii="Arial" w:eastAsia="Times New Roman" w:hAnsi="Arial" w:cs="Arial"/>
          <w:b/>
          <w:i/>
          <w:iCs/>
          <w:sz w:val="24"/>
          <w:szCs w:val="24"/>
        </w:rPr>
        <w:t>We define expenditures on alcohol as the total amount spent on the alcohol consumed in the past 30 days and not alcohol purchased for other purposes like gifts or storage.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Cs/>
          <w:sz w:val="24"/>
          <w:szCs w:val="24"/>
        </w:rPr>
        <w:t>$</w:t>
      </w:r>
      <w:r w:rsidRPr="000E5D59">
        <w:rPr>
          <w:rFonts w:ascii="Arial" w:eastAsia="Calibri" w:hAnsi="Arial" w:cs="Arial"/>
          <w:sz w:val="24"/>
          <w:szCs w:val="24"/>
        </w:rPr>
        <w:t>: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 xml:space="preserve">If you have not had at least one drink of any alcoholic beverage in the past 30 days, skip to Q70. </w:t>
      </w: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During the past 30 days, how many times did you </w:t>
      </w:r>
      <w:r w:rsidRPr="000E5D59">
        <w:rPr>
          <w:rFonts w:ascii="Arial" w:eastAsia="Times New Roman" w:hAnsi="Arial" w:cs="Arial"/>
          <w:b/>
          <w:sz w:val="24"/>
          <w:szCs w:val="24"/>
          <w:u w:val="single"/>
        </w:rPr>
        <w:t>drive/operate</w:t>
      </w:r>
      <w:r w:rsidRPr="000E5D59">
        <w:rPr>
          <w:rFonts w:ascii="Arial" w:eastAsia="Times New Roman" w:hAnsi="Arial" w:cs="Arial"/>
          <w:b/>
          <w:sz w:val="24"/>
          <w:szCs w:val="24"/>
        </w:rPr>
        <w:t> a car or other motor vehicle while you were under the influence of alcohol?</w:t>
      </w:r>
      <w:r w:rsidRPr="000E5D59">
        <w:rPr>
          <w:rFonts w:ascii="Arial" w:eastAsia="Times New Roman" w:hAnsi="Arial" w:cs="Arial"/>
          <w:sz w:val="24"/>
          <w:szCs w:val="24"/>
        </w:rPr>
        <w:t xml:space="preserve"> </w:t>
      </w:r>
      <w:r w:rsidRPr="000E5D59">
        <w:rPr>
          <w:rFonts w:ascii="Arial" w:eastAsia="Times New Roman" w:hAnsi="Arial" w:cs="Arial"/>
          <w:b/>
          <w:i/>
          <w:iCs/>
          <w:sz w:val="24"/>
          <w:szCs w:val="24"/>
        </w:rPr>
        <w:t>We define vehicle as a motorized vehicle, like a car, truck, SUV, or motorcycle driven on a public roadway.</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0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time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4-5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6 or more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5D614A" w:rsidRPr="000E5D59" w:rsidRDefault="005D614A"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During the past 30 days, how many times did you </w:t>
      </w:r>
      <w:r w:rsidRPr="000E5D59">
        <w:rPr>
          <w:rFonts w:ascii="Arial" w:eastAsia="Times New Roman" w:hAnsi="Arial" w:cs="Arial"/>
          <w:b/>
          <w:sz w:val="24"/>
          <w:szCs w:val="24"/>
          <w:u w:val="single"/>
        </w:rPr>
        <w:t>ride as a passenger</w:t>
      </w:r>
      <w:r w:rsidRPr="000E5D59">
        <w:rPr>
          <w:rFonts w:ascii="Arial" w:eastAsia="Times New Roman" w:hAnsi="Arial" w:cs="Arial"/>
          <w:b/>
          <w:sz w:val="24"/>
          <w:szCs w:val="24"/>
        </w:rPr>
        <w:t xml:space="preserve"> in a car or other motor vehicle when the driver was under the influence of</w:t>
      </w:r>
      <w:r w:rsidRPr="000E5D59">
        <w:rPr>
          <w:rFonts w:ascii="Arial" w:eastAsia="Times New Roman" w:hAnsi="Arial" w:cs="Arial"/>
          <w:sz w:val="24"/>
          <w:szCs w:val="24"/>
        </w:rPr>
        <w:t xml:space="preserve"> alcohol?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0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time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4-5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6 or more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During the past 30 days, how many times were you treated in an emergency room or urgent care facility for any reason related to alcohol use?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Number of times: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 xml:space="preserve">No emergency/urgent care related to </w:t>
      </w:r>
      <w:r w:rsidRPr="000E5D59">
        <w:rPr>
          <w:rFonts w:ascii="Arial" w:eastAsia="Calibri" w:hAnsi="Arial" w:cs="Arial"/>
          <w:bCs/>
          <w:sz w:val="24"/>
          <w:szCs w:val="24"/>
          <w:u w:val="single"/>
        </w:rPr>
        <w:t>alcohol use</w:t>
      </w:r>
      <w:r w:rsidRPr="000E5D59">
        <w:rPr>
          <w:rFonts w:ascii="Arial" w:eastAsia="Calibri" w:hAnsi="Arial" w:cs="Arial"/>
          <w:sz w:val="24"/>
          <w:szCs w:val="24"/>
        </w:rPr>
        <w:t xml:space="preserve"> in the past 30 days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bottom w:val="single" w:sz="4" w:space="1" w:color="auto"/>
        </w:pBdr>
        <w:spacing w:after="0" w:line="240" w:lineRule="auto"/>
        <w:rPr>
          <w:rFonts w:ascii="Arial" w:eastAsia="Calibri" w:hAnsi="Arial" w:cs="Arial"/>
          <w:b/>
          <w:sz w:val="24"/>
          <w:szCs w:val="24"/>
        </w:rPr>
      </w:pPr>
      <w:r w:rsidRPr="000E5D59">
        <w:rPr>
          <w:rFonts w:ascii="Arial" w:eastAsia="Calibri" w:hAnsi="Arial" w:cs="Arial"/>
          <w:b/>
          <w:bCs/>
          <w:sz w:val="24"/>
          <w:szCs w:val="24"/>
        </w:rPr>
        <w:t>Non-Medical Use of Prescription Drugs and Other Substances</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During the past 30 days, did you use any of the following drugs for non-medical purposes (e.g., to get “high”)?</w:t>
      </w:r>
      <w:r w:rsidRPr="000E5D59">
        <w:rPr>
          <w:rFonts w:ascii="Arial" w:eastAsia="Times New Roman" w:hAnsi="Arial" w:cs="Arial"/>
          <w:sz w:val="24"/>
          <w:szCs w:val="24"/>
        </w:rPr>
        <w:t xml:space="preserve"> </w:t>
      </w:r>
      <w:r w:rsidRPr="000E5D59">
        <w:rPr>
          <w:rFonts w:ascii="Arial" w:eastAsia="Times New Roman" w:hAnsi="Arial" w:cs="Arial"/>
          <w:b/>
          <w:i/>
          <w:iCs/>
          <w:sz w:val="24"/>
          <w:szCs w:val="24"/>
        </w:rPr>
        <w:t>Please select all that apply.</w:t>
      </w:r>
      <w:r w:rsidRPr="000E5D59">
        <w:rPr>
          <w:rFonts w:ascii="Arial" w:eastAsia="Times New Roman" w:hAnsi="Arial" w:cs="Arial"/>
          <w:i/>
          <w:iCs/>
          <w:sz w:val="24"/>
          <w:szCs w:val="24"/>
        </w:rPr>
        <w:t>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Cocaine or Crack</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Heroin</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Antianxiety drugs such as (Sedatives/Tranquilizers/Anxiolytics)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Sleeping drugs such as (Benzodiazepines, Barbiturates)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Prescription opioids such as Oxycodone/OxyContin, Hydrocodone/Vicodin, Morphine, Methadone, Fentanyl</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Other, please specify: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of these – Skip to Q74</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 – Skip to Q74</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 – Skip to Q74</w:t>
      </w:r>
    </w:p>
    <w:p w:rsidR="00026674" w:rsidRPr="000E5D59" w:rsidRDefault="00026674" w:rsidP="00026674">
      <w:pPr>
        <w:spacing w:after="0" w:line="240" w:lineRule="auto"/>
        <w:rPr>
          <w:rFonts w:ascii="Arial" w:eastAsia="Times New Roman"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During the past 30 days, on how many days did you use any of the </w:t>
      </w:r>
      <w:r w:rsidRPr="000E5D59">
        <w:rPr>
          <w:rFonts w:ascii="Arial" w:eastAsia="Times New Roman" w:hAnsi="Arial" w:cs="Arial"/>
          <w:b/>
          <w:sz w:val="24"/>
          <w:szCs w:val="24"/>
          <w:u w:val="single"/>
        </w:rPr>
        <w:t>drug(s) listed as answer choices above</w:t>
      </w:r>
      <w:r w:rsidRPr="000E5D59">
        <w:rPr>
          <w:rFonts w:ascii="Arial" w:eastAsia="Times New Roman" w:hAnsi="Arial" w:cs="Arial"/>
          <w:b/>
          <w:sz w:val="24"/>
          <w:szCs w:val="24"/>
        </w:rPr>
        <w:t>?</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Number of days (1-30):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Since beginning to use marijuana, have you cut down or stopped using any other prescription drugs, over the counter medications, or other substances?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Yes, please specify the substance(s) that were reduced or stopped: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Default="00026674" w:rsidP="00026674">
      <w:pPr>
        <w:spacing w:after="0" w:line="240" w:lineRule="auto"/>
        <w:rPr>
          <w:rFonts w:ascii="Arial" w:eastAsia="Calibri" w:hAnsi="Arial" w:cs="Arial"/>
          <w:sz w:val="24"/>
          <w:szCs w:val="24"/>
        </w:rPr>
      </w:pPr>
    </w:p>
    <w:p w:rsidR="005D614A" w:rsidRPr="000E5D59" w:rsidRDefault="005D614A"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During the past 30 days, about how much money did you spend on drugs, either prescription drugs or other substances, in total?</w:t>
      </w:r>
      <w:r w:rsidRPr="000E5D59">
        <w:rPr>
          <w:rFonts w:ascii="Arial" w:eastAsia="Times New Roman" w:hAnsi="Arial" w:cs="Arial"/>
          <w:sz w:val="24"/>
          <w:szCs w:val="24"/>
        </w:rPr>
        <w:t xml:space="preserve"> </w:t>
      </w:r>
      <w:r w:rsidRPr="000E5D59">
        <w:rPr>
          <w:rFonts w:ascii="Arial" w:eastAsia="Times New Roman" w:hAnsi="Arial" w:cs="Arial"/>
          <w:b/>
          <w:sz w:val="24"/>
          <w:szCs w:val="24"/>
        </w:rPr>
        <w:t xml:space="preserve">Please enter zero if you spent no money on other drugs. </w:t>
      </w:r>
      <w:r w:rsidRPr="000E5D59">
        <w:rPr>
          <w:rFonts w:ascii="Arial" w:eastAsia="Times New Roman" w:hAnsi="Arial" w:cs="Arial"/>
          <w:b/>
          <w:i/>
          <w:iCs/>
          <w:sz w:val="24"/>
          <w:szCs w:val="24"/>
        </w:rPr>
        <w:t>We define expenditures on other drugs as the total amount spent on the drug(s) listed above that were consumed in the past 30 days and non prescription drugs or other drugs purchased for other purposes like gifts or storage.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bCs/>
          <w:sz w:val="24"/>
          <w:szCs w:val="24"/>
        </w:rPr>
        <w:t>$</w:t>
      </w:r>
      <w:r w:rsidRPr="000E5D59">
        <w:rPr>
          <w:rFonts w:ascii="Arial" w:eastAsia="Calibri" w:hAnsi="Arial" w:cs="Arial"/>
          <w:sz w:val="24"/>
          <w:szCs w:val="24"/>
        </w:rPr>
        <w:t>: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If you have not used drugs in Q72 for non-medical purposes, skip to Q77.</w:t>
      </w: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During the past 30 days, how many times did you </w:t>
      </w:r>
      <w:r w:rsidRPr="000E5D59">
        <w:rPr>
          <w:rFonts w:ascii="Arial" w:eastAsia="Times New Roman" w:hAnsi="Arial" w:cs="Arial"/>
          <w:b/>
          <w:sz w:val="24"/>
          <w:szCs w:val="24"/>
          <w:u w:val="single"/>
        </w:rPr>
        <w:t>drive/operate</w:t>
      </w:r>
      <w:r w:rsidRPr="000E5D59">
        <w:rPr>
          <w:rFonts w:ascii="Arial" w:eastAsia="Times New Roman" w:hAnsi="Arial" w:cs="Arial"/>
          <w:b/>
          <w:sz w:val="24"/>
          <w:szCs w:val="24"/>
        </w:rPr>
        <w:t xml:space="preserve"> a car or other motor vehicle when you were unr the influence of any of the drug(s) indicated above?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0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time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4-5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6 or more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During the past 30 days, how many times did you </w:t>
      </w:r>
      <w:r w:rsidRPr="000E5D59">
        <w:rPr>
          <w:rFonts w:ascii="Arial" w:eastAsia="Times New Roman" w:hAnsi="Arial" w:cs="Arial"/>
          <w:b/>
          <w:sz w:val="24"/>
          <w:szCs w:val="24"/>
          <w:u w:val="single"/>
        </w:rPr>
        <w:t>ride as a passenger</w:t>
      </w:r>
      <w:r w:rsidRPr="000E5D59">
        <w:rPr>
          <w:rFonts w:ascii="Arial" w:eastAsia="Times New Roman" w:hAnsi="Arial" w:cs="Arial"/>
          <w:b/>
          <w:sz w:val="24"/>
          <w:szCs w:val="24"/>
        </w:rPr>
        <w:t xml:space="preserve"> in a car or other motor vehicle when the driver was under the influence of any of the drug(s) indicated above?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0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1 time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2-3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4-5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6 or more times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If you have not used drugs in Q72 for non-medical purposes, skip to Q79.</w:t>
      </w: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During the past 12 months, how many times were you treated in an emergency room or urgent care facility for any reason related to use of the drug(s) indicated above?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Number of times: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 xml:space="preserve">No emergency/urgent care treatment related to </w:t>
      </w:r>
      <w:r w:rsidRPr="000E5D59">
        <w:rPr>
          <w:rFonts w:ascii="Arial" w:eastAsia="Calibri" w:hAnsi="Arial" w:cs="Arial"/>
          <w:bCs/>
          <w:sz w:val="24"/>
          <w:szCs w:val="24"/>
          <w:u w:val="single"/>
        </w:rPr>
        <w:t>use of drugs</w:t>
      </w:r>
      <w:r w:rsidRPr="000E5D59">
        <w:rPr>
          <w:rFonts w:ascii="Arial" w:eastAsia="Calibri" w:hAnsi="Arial" w:cs="Arial"/>
          <w:sz w:val="24"/>
          <w:szCs w:val="24"/>
        </w:rPr>
        <w:t xml:space="preserve"> indicated above in the past 12 months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Default="00026674"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Default="005D614A" w:rsidP="00026674">
      <w:pPr>
        <w:spacing w:after="0" w:line="240" w:lineRule="auto"/>
        <w:rPr>
          <w:rFonts w:ascii="Arial" w:eastAsia="Calibri" w:hAnsi="Arial" w:cs="Arial"/>
          <w:sz w:val="24"/>
          <w:szCs w:val="24"/>
        </w:rPr>
      </w:pPr>
    </w:p>
    <w:p w:rsidR="005D614A" w:rsidRPr="000E5D59" w:rsidRDefault="005D614A" w:rsidP="00026674">
      <w:pPr>
        <w:spacing w:after="0" w:line="240" w:lineRule="auto"/>
        <w:rPr>
          <w:rFonts w:ascii="Arial" w:eastAsia="Calibri" w:hAnsi="Arial" w:cs="Arial"/>
          <w:sz w:val="24"/>
          <w:szCs w:val="24"/>
        </w:rPr>
      </w:pPr>
    </w:p>
    <w:p w:rsidR="00026674" w:rsidRPr="000E5D59" w:rsidRDefault="00026674" w:rsidP="00026674">
      <w:pPr>
        <w:pBdr>
          <w:top w:val="single" w:sz="4" w:space="1" w:color="auto"/>
          <w:bottom w:val="single" w:sz="4" w:space="1" w:color="auto"/>
        </w:pBdr>
        <w:spacing w:after="0" w:line="240" w:lineRule="auto"/>
        <w:rPr>
          <w:rFonts w:ascii="Arial" w:eastAsia="Calibri" w:hAnsi="Arial" w:cs="Arial"/>
          <w:b/>
          <w:sz w:val="24"/>
          <w:szCs w:val="24"/>
        </w:rPr>
      </w:pPr>
      <w:r w:rsidRPr="000E5D59">
        <w:rPr>
          <w:rFonts w:ascii="Arial" w:eastAsia="Calibri" w:hAnsi="Arial" w:cs="Arial"/>
          <w:b/>
          <w:bCs/>
          <w:sz w:val="24"/>
          <w:szCs w:val="24"/>
        </w:rPr>
        <w:t>Combination of Substances</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During the past 30 days, on how many days did you use a combination of alcohol, marijuana, or other drugs, either prescription drugs or other substances?</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Number of days (1-30):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None (0 days) – Skip to Q81</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 – Skip to Q81</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 – Skip to Q81</w:t>
      </w:r>
    </w:p>
    <w:p w:rsidR="00026674" w:rsidRPr="000E5D59" w:rsidRDefault="00026674" w:rsidP="00026674">
      <w:pPr>
        <w:spacing w:after="0" w:line="240" w:lineRule="auto"/>
        <w:rPr>
          <w:rFonts w:ascii="Arial" w:eastAsia="Calibri" w:hAnsi="Arial" w:cs="Arial"/>
          <w:sz w:val="24"/>
          <w:szCs w:val="24"/>
        </w:rPr>
      </w:pPr>
    </w:p>
    <w:p w:rsidR="00026674" w:rsidRPr="000E5D59" w:rsidRDefault="00026674" w:rsidP="00026674">
      <w:pPr>
        <w:numPr>
          <w:ilvl w:val="0"/>
          <w:numId w:val="10"/>
        </w:numPr>
        <w:spacing w:after="0" w:line="240" w:lineRule="auto"/>
        <w:rPr>
          <w:rFonts w:ascii="Arial" w:eastAsia="Calibri" w:hAnsi="Arial" w:cs="Arial"/>
          <w:sz w:val="24"/>
          <w:szCs w:val="24"/>
        </w:rPr>
      </w:pPr>
      <w:r w:rsidRPr="000E5D59">
        <w:rPr>
          <w:rFonts w:ascii="Arial" w:eastAsia="Times New Roman" w:hAnsi="Arial" w:cs="Arial"/>
          <w:b/>
          <w:sz w:val="24"/>
          <w:szCs w:val="24"/>
        </w:rPr>
        <w:t xml:space="preserve">During the past 30 days, did you </w:t>
      </w:r>
      <w:r w:rsidRPr="000E5D59">
        <w:rPr>
          <w:rFonts w:ascii="Arial" w:eastAsia="Times New Roman" w:hAnsi="Arial" w:cs="Arial"/>
          <w:b/>
          <w:sz w:val="24"/>
          <w:szCs w:val="24"/>
          <w:u w:val="single"/>
        </w:rPr>
        <w:t>drive/operate</w:t>
      </w:r>
      <w:r w:rsidRPr="000E5D59">
        <w:rPr>
          <w:rFonts w:ascii="Arial" w:eastAsia="Times New Roman" w:hAnsi="Arial" w:cs="Arial"/>
          <w:b/>
          <w:sz w:val="24"/>
          <w:szCs w:val="24"/>
        </w:rPr>
        <w:t xml:space="preserve"> a car or other vehicle when you were under the influence of (impaired from) any combination of alcohol, marijuana, or other drugs?</w:t>
      </w:r>
      <w:r w:rsidRPr="000E5D59">
        <w:rPr>
          <w:rFonts w:ascii="Arial" w:eastAsia="Times New Roman" w:hAnsi="Arial" w:cs="Arial"/>
          <w:sz w:val="24"/>
          <w:szCs w:val="24"/>
        </w:rPr>
        <w:t xml:space="preserve">  </w:t>
      </w:r>
      <w:r w:rsidRPr="000E5D59">
        <w:rPr>
          <w:rFonts w:ascii="Arial" w:eastAsia="Times New Roman" w:hAnsi="Arial" w:cs="Arial"/>
          <w:b/>
          <w:sz w:val="24"/>
          <w:szCs w:val="24"/>
        </w:rPr>
        <w:t>For each option that you selected 'Yes', please also indicate the number of days in the past 30 days that you drove/operated a car or other vehicle when you were under the influence of the specified substances.</w:t>
      </w:r>
      <w:r w:rsidRPr="000E5D59">
        <w:rPr>
          <w:rFonts w:ascii="Arial" w:eastAsia="Times New Roman" w:hAnsi="Arial" w:cs="Arial"/>
          <w:sz w:val="24"/>
          <w:szCs w:val="24"/>
        </w:rPr>
        <w:t xml:space="preserve">  </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Yes, alcohol and marijuana. Number of days (1-30):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Yes, alcohol and other drugs. Number of days (1-30):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Yes, marijuana and other drugs. Number of days (1-30):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Yes, alcohol, marijuana, and other drugs. Number of days (1-30): ___________*</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Don’t know/Not sure</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Refuse to answer</w:t>
      </w:r>
    </w:p>
    <w:p w:rsidR="00026674" w:rsidRPr="000E5D59" w:rsidRDefault="00026674" w:rsidP="00026674">
      <w:pPr>
        <w:spacing w:after="0" w:line="240" w:lineRule="auto"/>
        <w:rPr>
          <w:rFonts w:ascii="Arial" w:eastAsia="Times New Roman" w:hAnsi="Arial" w:cs="Arial"/>
          <w:sz w:val="24"/>
          <w:szCs w:val="24"/>
        </w:rPr>
      </w:pPr>
    </w:p>
    <w:p w:rsidR="00026674" w:rsidRPr="000E5D59" w:rsidRDefault="00026674" w:rsidP="00026674">
      <w:pPr>
        <w:pBdr>
          <w:top w:val="single" w:sz="4" w:space="1" w:color="auto"/>
          <w:bottom w:val="single" w:sz="4" w:space="1" w:color="auto"/>
        </w:pBdr>
        <w:spacing w:after="0" w:line="240" w:lineRule="auto"/>
        <w:rPr>
          <w:rFonts w:ascii="Arial" w:eastAsia="Times New Roman" w:hAnsi="Arial" w:cs="Arial"/>
          <w:sz w:val="24"/>
          <w:szCs w:val="24"/>
        </w:rPr>
      </w:pPr>
      <w:r w:rsidRPr="000E5D59">
        <w:rPr>
          <w:rFonts w:ascii="Arial" w:eastAsia="Times New Roman" w:hAnsi="Arial" w:cs="Arial"/>
          <w:b/>
          <w:bCs/>
          <w:sz w:val="24"/>
          <w:szCs w:val="24"/>
        </w:rPr>
        <w:t>Health Study</w:t>
      </w:r>
    </w:p>
    <w:p w:rsidR="00026674" w:rsidRPr="000E5D59" w:rsidRDefault="00026674" w:rsidP="00026674">
      <w:pPr>
        <w:spacing w:after="0" w:line="240" w:lineRule="auto"/>
        <w:rPr>
          <w:rFonts w:ascii="Arial" w:eastAsia="Times New Roman" w:hAnsi="Arial" w:cs="Arial"/>
          <w:sz w:val="24"/>
          <w:szCs w:val="24"/>
        </w:rPr>
      </w:pPr>
    </w:p>
    <w:p w:rsidR="00026674" w:rsidRPr="000E5D59" w:rsidRDefault="00026674" w:rsidP="00026674">
      <w:pPr>
        <w:spacing w:after="0" w:line="240" w:lineRule="auto"/>
        <w:rPr>
          <w:rFonts w:ascii="Arial" w:eastAsia="Times New Roman" w:hAnsi="Arial" w:cs="Arial"/>
          <w:b/>
          <w:sz w:val="24"/>
          <w:szCs w:val="24"/>
        </w:rPr>
      </w:pPr>
      <w:r w:rsidRPr="000E5D59">
        <w:rPr>
          <w:rFonts w:ascii="Arial" w:eastAsia="Calibri" w:hAnsi="Arial" w:cs="Arial"/>
          <w:b/>
          <w:sz w:val="24"/>
          <w:szCs w:val="24"/>
        </w:rPr>
        <w:t>If you have an ambulatory disability and do not operate a motor vehicle at least once a week, skip to Q82.</w:t>
      </w:r>
    </w:p>
    <w:p w:rsidR="00026674" w:rsidRPr="000E5D59" w:rsidRDefault="00026674" w:rsidP="00026674">
      <w:pPr>
        <w:numPr>
          <w:ilvl w:val="0"/>
          <w:numId w:val="10"/>
        </w:numPr>
        <w:spacing w:after="0" w:line="240" w:lineRule="auto"/>
        <w:rPr>
          <w:rFonts w:ascii="Arial" w:eastAsia="Times New Roman" w:hAnsi="Arial" w:cs="Arial"/>
          <w:sz w:val="24"/>
          <w:szCs w:val="24"/>
        </w:rPr>
      </w:pPr>
      <w:r w:rsidRPr="000E5D59">
        <w:rPr>
          <w:rFonts w:ascii="Arial" w:eastAsia="Times New Roman" w:hAnsi="Arial" w:cs="Arial"/>
          <w:b/>
          <w:sz w:val="24"/>
          <w:szCs w:val="24"/>
        </w:rPr>
        <w:t>Would you be interested in learning more about participating in a health study assessing marijuana levels in the bodies of medical use of marijuana patients?</w:t>
      </w:r>
    </w:p>
    <w:p w:rsidR="00026674" w:rsidRPr="000E5D59" w:rsidRDefault="00026674" w:rsidP="00026674">
      <w:pPr>
        <w:spacing w:after="0" w:line="240" w:lineRule="auto"/>
        <w:rPr>
          <w:rFonts w:ascii="Arial" w:eastAsia="Times New Roman" w:hAnsi="Arial" w:cs="Arial"/>
          <w:sz w:val="24"/>
          <w:szCs w:val="24"/>
        </w:rPr>
      </w:pPr>
      <w:r w:rsidRPr="000E5D59">
        <w:rPr>
          <w:rFonts w:ascii="Arial" w:eastAsia="Calibri" w:hAnsi="Arial" w:cs="Arial"/>
          <w:sz w:val="24"/>
          <w:szCs w:val="24"/>
        </w:rPr>
        <w:t xml:space="preserve">Yes </w:t>
      </w:r>
      <w:r w:rsidRPr="000E5D59">
        <w:rPr>
          <w:rFonts w:ascii="Arial" w:eastAsia="Calibri" w:hAnsi="Arial" w:cs="Arial"/>
          <w:i/>
          <w:iCs/>
          <w:sz w:val="24"/>
          <w:szCs w:val="24"/>
        </w:rPr>
        <w:t>(A member from our study team may contact you)</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w:t>
      </w:r>
    </w:p>
    <w:p w:rsidR="00026674" w:rsidRPr="000E5D59" w:rsidRDefault="00026674" w:rsidP="00026674">
      <w:pPr>
        <w:spacing w:after="0" w:line="240" w:lineRule="auto"/>
        <w:rPr>
          <w:rFonts w:ascii="Arial" w:eastAsia="Times New Roman" w:hAnsi="Arial" w:cs="Arial"/>
          <w:sz w:val="24"/>
          <w:szCs w:val="24"/>
        </w:rPr>
      </w:pPr>
    </w:p>
    <w:p w:rsidR="00026674" w:rsidRPr="000E5D59" w:rsidRDefault="00026674" w:rsidP="00026674">
      <w:pPr>
        <w:pBdr>
          <w:top w:val="single" w:sz="4" w:space="1" w:color="auto"/>
          <w:bottom w:val="single" w:sz="4" w:space="1" w:color="auto"/>
        </w:pBdr>
        <w:spacing w:after="0" w:line="240" w:lineRule="auto"/>
        <w:rPr>
          <w:rFonts w:ascii="Arial" w:eastAsia="Times New Roman" w:hAnsi="Arial" w:cs="Arial"/>
          <w:sz w:val="24"/>
          <w:szCs w:val="24"/>
        </w:rPr>
      </w:pPr>
      <w:r w:rsidRPr="000E5D59">
        <w:rPr>
          <w:rFonts w:ascii="Arial" w:eastAsia="Times New Roman" w:hAnsi="Arial" w:cs="Arial"/>
          <w:b/>
          <w:bCs/>
          <w:sz w:val="24"/>
          <w:szCs w:val="24"/>
        </w:rPr>
        <w:t>Random Prize Drawing</w:t>
      </w:r>
    </w:p>
    <w:p w:rsidR="00026674" w:rsidRPr="000E5D59" w:rsidRDefault="00026674" w:rsidP="00026674">
      <w:pPr>
        <w:spacing w:after="0" w:line="240" w:lineRule="auto"/>
        <w:rPr>
          <w:rFonts w:ascii="Arial" w:eastAsia="Times New Roman" w:hAnsi="Arial" w:cs="Arial"/>
          <w:sz w:val="24"/>
          <w:szCs w:val="24"/>
        </w:rPr>
      </w:pPr>
    </w:p>
    <w:p w:rsidR="00026674" w:rsidRPr="000E5D59" w:rsidRDefault="00026674" w:rsidP="00026674">
      <w:pPr>
        <w:numPr>
          <w:ilvl w:val="0"/>
          <w:numId w:val="10"/>
        </w:numPr>
        <w:spacing w:after="0" w:line="240" w:lineRule="auto"/>
        <w:rPr>
          <w:rFonts w:ascii="Arial" w:eastAsia="Times New Roman" w:hAnsi="Arial" w:cs="Arial"/>
          <w:b/>
          <w:sz w:val="24"/>
          <w:szCs w:val="24"/>
        </w:rPr>
      </w:pPr>
      <w:r w:rsidRPr="000E5D59">
        <w:rPr>
          <w:rFonts w:ascii="Arial" w:eastAsia="Times New Roman" w:hAnsi="Arial" w:cs="Arial"/>
          <w:b/>
          <w:sz w:val="24"/>
          <w:szCs w:val="24"/>
        </w:rPr>
        <w:t>Would you like to be entered into a random prize drawing to win a gift card worth $100, $250, or $500 for your participation in this survey?</w:t>
      </w:r>
    </w:p>
    <w:p w:rsidR="00026674" w:rsidRPr="000E5D59" w:rsidRDefault="00026674" w:rsidP="00026674">
      <w:pPr>
        <w:spacing w:after="0" w:line="240" w:lineRule="auto"/>
        <w:rPr>
          <w:rFonts w:ascii="Arial" w:eastAsia="Times New Roman" w:hAnsi="Arial" w:cs="Arial"/>
          <w:sz w:val="24"/>
          <w:szCs w:val="24"/>
        </w:rPr>
      </w:pPr>
      <w:r w:rsidRPr="000E5D59">
        <w:rPr>
          <w:rFonts w:ascii="Arial" w:eastAsia="Calibri" w:hAnsi="Arial" w:cs="Arial"/>
          <w:sz w:val="24"/>
          <w:szCs w:val="24"/>
        </w:rPr>
        <w:t xml:space="preserve">Yes </w:t>
      </w:r>
      <w:r w:rsidRPr="000E5D59">
        <w:rPr>
          <w:rFonts w:ascii="Arial" w:eastAsia="Calibri" w:hAnsi="Arial" w:cs="Arial"/>
          <w:i/>
          <w:iCs/>
          <w:sz w:val="24"/>
          <w:szCs w:val="24"/>
        </w:rPr>
        <w:t>(We will notify you by email if you are a winner)</w:t>
      </w:r>
    </w:p>
    <w:p w:rsidR="00026674" w:rsidRPr="000E5D59" w:rsidRDefault="00026674" w:rsidP="00026674">
      <w:pPr>
        <w:spacing w:after="0" w:line="240" w:lineRule="auto"/>
        <w:rPr>
          <w:rFonts w:ascii="Arial" w:eastAsia="Calibri" w:hAnsi="Arial" w:cs="Arial"/>
          <w:sz w:val="24"/>
          <w:szCs w:val="24"/>
        </w:rPr>
      </w:pPr>
      <w:r w:rsidRPr="000E5D59">
        <w:rPr>
          <w:rFonts w:ascii="Arial" w:eastAsia="Calibri" w:hAnsi="Arial" w:cs="Arial"/>
          <w:sz w:val="24"/>
          <w:szCs w:val="24"/>
        </w:rPr>
        <w:t>No</w:t>
      </w:r>
    </w:p>
    <w:p w:rsidR="00026674" w:rsidRPr="000E5D59" w:rsidRDefault="00026674" w:rsidP="00026674">
      <w:pPr>
        <w:spacing w:after="0" w:line="240" w:lineRule="auto"/>
        <w:rPr>
          <w:rFonts w:ascii="Arial" w:eastAsia="Times New Roman" w:hAnsi="Arial" w:cs="Arial"/>
          <w:sz w:val="24"/>
          <w:szCs w:val="24"/>
        </w:rPr>
      </w:pPr>
    </w:p>
    <w:p w:rsidR="00026674" w:rsidRPr="000E5D59" w:rsidRDefault="00026674" w:rsidP="00026674">
      <w:pPr>
        <w:spacing w:after="0" w:line="240" w:lineRule="auto"/>
        <w:rPr>
          <w:rFonts w:ascii="Arial" w:eastAsia="Times New Roman" w:hAnsi="Arial" w:cs="Arial"/>
          <w:b/>
          <w:sz w:val="24"/>
          <w:szCs w:val="24"/>
        </w:rPr>
      </w:pPr>
      <w:r w:rsidRPr="000E5D59">
        <w:rPr>
          <w:rFonts w:ascii="Arial" w:eastAsia="Times New Roman" w:hAnsi="Arial" w:cs="Arial"/>
          <w:b/>
          <w:sz w:val="24"/>
          <w:szCs w:val="24"/>
        </w:rPr>
        <w:t>Thank You!</w:t>
      </w:r>
    </w:p>
    <w:p w:rsidR="00026674" w:rsidRPr="000E5D59" w:rsidRDefault="00026674" w:rsidP="00026674">
      <w:pPr>
        <w:spacing w:after="0" w:line="240" w:lineRule="auto"/>
        <w:rPr>
          <w:rFonts w:ascii="Arial" w:eastAsia="Times New Roman" w:hAnsi="Arial" w:cs="Arial"/>
          <w:b/>
          <w:sz w:val="24"/>
          <w:szCs w:val="24"/>
        </w:rPr>
      </w:pPr>
    </w:p>
    <w:p w:rsidR="00026674" w:rsidRDefault="00026674" w:rsidP="00026674">
      <w:pPr>
        <w:spacing w:after="0" w:line="240" w:lineRule="auto"/>
        <w:rPr>
          <w:rFonts w:ascii="Arial" w:eastAsia="Times New Roman" w:hAnsi="Arial" w:cs="Arial"/>
          <w:b/>
          <w:i/>
          <w:iCs/>
          <w:sz w:val="24"/>
          <w:szCs w:val="24"/>
        </w:rPr>
      </w:pPr>
      <w:r w:rsidRPr="000E5D59">
        <w:rPr>
          <w:rFonts w:ascii="Arial" w:eastAsia="Times New Roman" w:hAnsi="Arial" w:cs="Arial"/>
          <w:b/>
          <w:i/>
          <w:iCs/>
          <w:sz w:val="24"/>
          <w:szCs w:val="24"/>
        </w:rPr>
        <w:t xml:space="preserve">You have reached the end of this survey. Thank you for your participation! If you have any questions about this survey, please call </w:t>
      </w:r>
      <w:r w:rsidRPr="000E5D59">
        <w:rPr>
          <w:rFonts w:ascii="Arial" w:eastAsia="Times New Roman" w:hAnsi="Arial" w:cs="Arial"/>
          <w:b/>
          <w:i/>
          <w:iCs/>
          <w:sz w:val="24"/>
          <w:szCs w:val="24"/>
          <w:highlight w:val="black"/>
        </w:rPr>
        <w:t>Dr. Marc A. Nascarella, Principal Investigator, at (617) 624-5757.</w:t>
      </w:r>
      <w:r w:rsidRPr="000E5D59">
        <w:rPr>
          <w:rFonts w:ascii="Arial" w:eastAsia="Times New Roman" w:hAnsi="Arial" w:cs="Arial"/>
          <w:b/>
          <w:i/>
          <w:iCs/>
          <w:sz w:val="24"/>
          <w:szCs w:val="24"/>
        </w:rPr>
        <w:t> </w:t>
      </w: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C15012" w:rsidRDefault="00C15012" w:rsidP="00026674">
      <w:pPr>
        <w:spacing w:after="0" w:line="240" w:lineRule="auto"/>
        <w:rPr>
          <w:rFonts w:ascii="Arial" w:eastAsia="Times New Roman" w:hAnsi="Arial" w:cs="Arial"/>
          <w:b/>
          <w:i/>
          <w:iCs/>
          <w:sz w:val="24"/>
          <w:szCs w:val="24"/>
        </w:rPr>
      </w:pPr>
    </w:p>
    <w:p w:rsidR="00C15012" w:rsidRDefault="00C15012" w:rsidP="00026674">
      <w:pPr>
        <w:spacing w:after="0" w:line="240" w:lineRule="auto"/>
        <w:rPr>
          <w:rFonts w:ascii="Arial" w:eastAsia="Times New Roman" w:hAnsi="Arial" w:cs="Arial"/>
          <w:b/>
          <w:i/>
          <w:iCs/>
          <w:sz w:val="24"/>
          <w:szCs w:val="24"/>
        </w:rPr>
      </w:pPr>
    </w:p>
    <w:p w:rsidR="00C15012" w:rsidRDefault="00C15012" w:rsidP="00026674">
      <w:pPr>
        <w:spacing w:after="0" w:line="240" w:lineRule="auto"/>
        <w:rPr>
          <w:rFonts w:ascii="Arial" w:eastAsia="Times New Roman" w:hAnsi="Arial" w:cs="Arial"/>
          <w:b/>
          <w:i/>
          <w:iCs/>
          <w:sz w:val="24"/>
          <w:szCs w:val="24"/>
        </w:rPr>
      </w:pPr>
    </w:p>
    <w:p w:rsidR="00C15012" w:rsidRDefault="00C15012" w:rsidP="00026674">
      <w:pPr>
        <w:spacing w:after="0" w:line="240" w:lineRule="auto"/>
        <w:rPr>
          <w:rFonts w:ascii="Arial" w:eastAsia="Times New Roman" w:hAnsi="Arial" w:cs="Arial"/>
          <w:b/>
          <w:i/>
          <w:iCs/>
          <w:sz w:val="24"/>
          <w:szCs w:val="24"/>
        </w:rPr>
      </w:pPr>
    </w:p>
    <w:p w:rsidR="00C15012" w:rsidRDefault="00C15012" w:rsidP="00026674">
      <w:pPr>
        <w:spacing w:after="0" w:line="240" w:lineRule="auto"/>
        <w:rPr>
          <w:rFonts w:ascii="Arial" w:eastAsia="Times New Roman" w:hAnsi="Arial" w:cs="Arial"/>
          <w:b/>
          <w:i/>
          <w:iCs/>
          <w:sz w:val="24"/>
          <w:szCs w:val="24"/>
        </w:rPr>
      </w:pPr>
    </w:p>
    <w:p w:rsidR="00C15012" w:rsidRDefault="00C15012" w:rsidP="00026674">
      <w:pPr>
        <w:spacing w:after="0" w:line="240" w:lineRule="auto"/>
        <w:rPr>
          <w:rFonts w:ascii="Arial" w:eastAsia="Times New Roman" w:hAnsi="Arial" w:cs="Arial"/>
          <w:b/>
          <w:i/>
          <w:iCs/>
          <w:sz w:val="24"/>
          <w:szCs w:val="24"/>
        </w:rPr>
      </w:pPr>
    </w:p>
    <w:p w:rsidR="00C15012" w:rsidRDefault="00C15012" w:rsidP="00026674">
      <w:pPr>
        <w:spacing w:after="0" w:line="240" w:lineRule="auto"/>
        <w:rPr>
          <w:rFonts w:ascii="Arial" w:eastAsia="Times New Roman" w:hAnsi="Arial" w:cs="Arial"/>
          <w:b/>
          <w:i/>
          <w:iCs/>
          <w:sz w:val="24"/>
          <w:szCs w:val="24"/>
        </w:rPr>
      </w:pPr>
    </w:p>
    <w:p w:rsidR="00C15012" w:rsidRDefault="00C15012" w:rsidP="00026674">
      <w:pPr>
        <w:spacing w:after="0" w:line="240" w:lineRule="auto"/>
        <w:rPr>
          <w:rFonts w:ascii="Arial" w:eastAsia="Times New Roman" w:hAnsi="Arial" w:cs="Arial"/>
          <w:b/>
          <w:i/>
          <w:iCs/>
          <w:sz w:val="24"/>
          <w:szCs w:val="24"/>
        </w:rPr>
      </w:pPr>
    </w:p>
    <w:p w:rsidR="00C15012" w:rsidRDefault="00C15012" w:rsidP="00026674">
      <w:pPr>
        <w:spacing w:after="0" w:line="240" w:lineRule="auto"/>
        <w:rPr>
          <w:rFonts w:ascii="Arial" w:eastAsia="Times New Roman" w:hAnsi="Arial" w:cs="Arial"/>
          <w:b/>
          <w:i/>
          <w:iCs/>
          <w:sz w:val="24"/>
          <w:szCs w:val="24"/>
        </w:rPr>
      </w:pPr>
    </w:p>
    <w:p w:rsidR="0010613B" w:rsidRDefault="0010613B" w:rsidP="00026674">
      <w:pPr>
        <w:spacing w:after="0" w:line="240" w:lineRule="auto"/>
        <w:rPr>
          <w:rFonts w:ascii="Arial" w:eastAsia="Times New Roman" w:hAnsi="Arial" w:cs="Arial"/>
          <w:b/>
          <w:i/>
          <w:iCs/>
          <w:sz w:val="24"/>
          <w:szCs w:val="24"/>
        </w:rPr>
      </w:pPr>
    </w:p>
    <w:p w:rsidR="0010613B" w:rsidRDefault="0010613B" w:rsidP="00026674">
      <w:pPr>
        <w:spacing w:after="0" w:line="240" w:lineRule="auto"/>
        <w:rPr>
          <w:rFonts w:ascii="Arial" w:eastAsia="Times New Roman" w:hAnsi="Arial" w:cs="Arial"/>
          <w:b/>
          <w:i/>
          <w:iCs/>
          <w:sz w:val="24"/>
          <w:szCs w:val="24"/>
        </w:rPr>
      </w:pPr>
    </w:p>
    <w:p w:rsidR="00C15012" w:rsidRDefault="00C15012" w:rsidP="00C15012">
      <w:pPr>
        <w:pStyle w:val="Heading1"/>
        <w:rPr>
          <w:rFonts w:eastAsia="Times New Roman"/>
        </w:rPr>
      </w:pPr>
      <w:bookmarkStart w:id="713" w:name="_Toc12529173"/>
      <w:r>
        <w:rPr>
          <w:rFonts w:eastAsia="Times New Roman"/>
        </w:rPr>
        <w:t xml:space="preserve">Appendix </w:t>
      </w:r>
      <w:r w:rsidR="005D6C32">
        <w:rPr>
          <w:rFonts w:eastAsia="Times New Roman"/>
        </w:rPr>
        <w:t>C</w:t>
      </w:r>
      <w:bookmarkEnd w:id="713"/>
    </w:p>
    <w:p w:rsidR="00C15012" w:rsidRPr="00C15012" w:rsidRDefault="00485527" w:rsidP="00C15012">
      <w:pPr>
        <w:pStyle w:val="Heading1"/>
      </w:pPr>
      <w:bookmarkStart w:id="714" w:name="_Toc11921720"/>
      <w:bookmarkStart w:id="715" w:name="_Toc12521204"/>
      <w:bookmarkStart w:id="716" w:name="_Toc12529174"/>
      <w:r>
        <w:t xml:space="preserve">Economic and Fiscal </w:t>
      </w:r>
      <w:r w:rsidR="00C15012">
        <w:t>Model Inputs</w:t>
      </w:r>
      <w:bookmarkEnd w:id="714"/>
      <w:bookmarkEnd w:id="715"/>
      <w:bookmarkEnd w:id="716"/>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5D614A" w:rsidRDefault="005D614A" w:rsidP="00026674">
      <w:pPr>
        <w:spacing w:after="0" w:line="240" w:lineRule="auto"/>
        <w:rPr>
          <w:rFonts w:ascii="Arial" w:eastAsia="Times New Roman" w:hAnsi="Arial" w:cs="Arial"/>
          <w:b/>
          <w:i/>
          <w:iCs/>
          <w:sz w:val="24"/>
          <w:szCs w:val="24"/>
        </w:rPr>
      </w:pPr>
    </w:p>
    <w:p w:rsidR="005D614A" w:rsidRDefault="005D614A" w:rsidP="00026674">
      <w:pPr>
        <w:spacing w:after="0" w:line="240" w:lineRule="auto"/>
        <w:rPr>
          <w:rFonts w:ascii="Arial" w:eastAsia="Times New Roman" w:hAnsi="Arial" w:cs="Arial"/>
          <w:b/>
          <w:i/>
          <w:iCs/>
          <w:sz w:val="24"/>
          <w:szCs w:val="24"/>
        </w:rPr>
      </w:pPr>
    </w:p>
    <w:p w:rsidR="00B92C0F" w:rsidRDefault="00B92C0F" w:rsidP="00026674">
      <w:pPr>
        <w:spacing w:after="0" w:line="240" w:lineRule="auto"/>
        <w:rPr>
          <w:rFonts w:ascii="Arial" w:eastAsia="Times New Roman" w:hAnsi="Arial" w:cs="Arial"/>
          <w:b/>
          <w:i/>
          <w:iCs/>
          <w:sz w:val="24"/>
          <w:szCs w:val="24"/>
        </w:rPr>
      </w:pPr>
    </w:p>
    <w:p w:rsidR="00B92C0F" w:rsidRPr="006A63D4" w:rsidRDefault="005D6C32" w:rsidP="005F7A46">
      <w:pPr>
        <w:pStyle w:val="Heading2"/>
      </w:pPr>
      <w:bookmarkStart w:id="717" w:name="_Toc12520979"/>
      <w:bookmarkStart w:id="718" w:name="_Toc12529175"/>
      <w:r>
        <w:t>Table C</w:t>
      </w:r>
      <w:r w:rsidR="00B92C0F" w:rsidRPr="006A63D4">
        <w:t>.1. Model Inputs and Data Sources</w:t>
      </w:r>
      <w:bookmarkEnd w:id="717"/>
      <w:bookmarkEnd w:id="718"/>
    </w:p>
    <w:tbl>
      <w:tblPr>
        <w:tblStyle w:val="LightList"/>
        <w:tblW w:w="5000" w:type="pct"/>
        <w:tblBorders>
          <w:top w:val="none" w:sz="0" w:space="0" w:color="auto"/>
          <w:left w:val="none" w:sz="0" w:space="0" w:color="auto"/>
          <w:bottom w:val="none" w:sz="0" w:space="0" w:color="auto"/>
          <w:right w:val="none" w:sz="0" w:space="0" w:color="auto"/>
        </w:tblBorders>
        <w:tblLayout w:type="fixed"/>
        <w:tblLook w:val="0620" w:firstRow="1" w:lastRow="0" w:firstColumn="0" w:lastColumn="0" w:noHBand="1" w:noVBand="1"/>
        <w:tblCaption w:val=" Model Inputs and Data Sources"/>
        <w:tblDescription w:val="The table summarizes estimated costs from literature, key stakeholder interviews, and primary and secondary data sources regarding the impact of legalized adult use of marijuana in Massachusetts."/>
      </w:tblPr>
      <w:tblGrid>
        <w:gridCol w:w="4970"/>
        <w:gridCol w:w="1475"/>
        <w:gridCol w:w="3131"/>
      </w:tblGrid>
      <w:tr w:rsidR="00B92C0F" w:rsidRPr="00E12150" w:rsidTr="00B95306">
        <w:trPr>
          <w:cnfStyle w:val="100000000000" w:firstRow="1" w:lastRow="0" w:firstColumn="0" w:lastColumn="0" w:oddVBand="0" w:evenVBand="0" w:oddHBand="0" w:evenHBand="0" w:firstRowFirstColumn="0" w:firstRowLastColumn="0" w:lastRowFirstColumn="0" w:lastRowLastColumn="0"/>
          <w:trHeight w:val="585"/>
          <w:tblHeader/>
        </w:trPr>
        <w:tc>
          <w:tcPr>
            <w:tcW w:w="2595" w:type="pct"/>
            <w:tcBorders>
              <w:top w:val="single" w:sz="4" w:space="0" w:color="auto"/>
              <w:left w:val="single" w:sz="4" w:space="0" w:color="auto"/>
              <w:bottom w:val="single" w:sz="4" w:space="0" w:color="auto"/>
            </w:tcBorders>
            <w:shd w:val="clear" w:color="auto" w:fill="auto"/>
            <w:vAlign w:val="bottom"/>
          </w:tcPr>
          <w:p w:rsidR="00B92C0F" w:rsidRPr="006A63D4" w:rsidRDefault="00B92C0F" w:rsidP="00B95306">
            <w:pPr>
              <w:pStyle w:val="TableHeaderLeft"/>
              <w:spacing w:before="0" w:after="0"/>
              <w:rPr>
                <w:rFonts w:cs="Arial"/>
                <w:b/>
                <w:color w:val="auto"/>
                <w:sz w:val="20"/>
                <w:szCs w:val="20"/>
              </w:rPr>
            </w:pPr>
            <w:r w:rsidRPr="006A63D4">
              <w:rPr>
                <w:rFonts w:cs="Arial"/>
                <w:b/>
                <w:color w:val="auto"/>
                <w:sz w:val="20"/>
                <w:szCs w:val="20"/>
              </w:rPr>
              <w:t xml:space="preserve">Input </w:t>
            </w:r>
            <w:r>
              <w:rPr>
                <w:rFonts w:cs="Arial"/>
                <w:b/>
                <w:color w:val="auto"/>
                <w:sz w:val="20"/>
                <w:szCs w:val="20"/>
              </w:rPr>
              <w:t>M</w:t>
            </w:r>
            <w:r w:rsidRPr="006A63D4">
              <w:rPr>
                <w:rFonts w:cs="Arial"/>
                <w:b/>
                <w:color w:val="auto"/>
                <w:sz w:val="20"/>
                <w:szCs w:val="20"/>
              </w:rPr>
              <w:t>etric</w:t>
            </w:r>
          </w:p>
        </w:tc>
        <w:tc>
          <w:tcPr>
            <w:tcW w:w="770" w:type="pct"/>
            <w:tcBorders>
              <w:top w:val="single" w:sz="4" w:space="0" w:color="auto"/>
              <w:bottom w:val="single" w:sz="4" w:space="0" w:color="auto"/>
            </w:tcBorders>
            <w:shd w:val="clear" w:color="auto" w:fill="auto"/>
            <w:vAlign w:val="bottom"/>
          </w:tcPr>
          <w:p w:rsidR="00B92C0F" w:rsidRPr="006A63D4" w:rsidRDefault="00B92C0F" w:rsidP="00B95306">
            <w:pPr>
              <w:pStyle w:val="TableHeaderCenter"/>
              <w:spacing w:before="0" w:after="0"/>
              <w:rPr>
                <w:rFonts w:cs="Arial"/>
                <w:b/>
                <w:color w:val="auto"/>
                <w:sz w:val="20"/>
                <w:szCs w:val="20"/>
              </w:rPr>
            </w:pPr>
            <w:r w:rsidRPr="006A63D4">
              <w:rPr>
                <w:rFonts w:cs="Arial"/>
                <w:b/>
                <w:color w:val="auto"/>
                <w:sz w:val="20"/>
                <w:szCs w:val="20"/>
              </w:rPr>
              <w:t xml:space="preserve">Estimate or </w:t>
            </w:r>
            <w:r>
              <w:rPr>
                <w:rFonts w:cs="Arial"/>
                <w:b/>
                <w:color w:val="auto"/>
                <w:sz w:val="20"/>
                <w:szCs w:val="20"/>
              </w:rPr>
              <w:t>R</w:t>
            </w:r>
            <w:r w:rsidRPr="006A63D4">
              <w:rPr>
                <w:rFonts w:cs="Arial"/>
                <w:b/>
                <w:color w:val="auto"/>
                <w:sz w:val="20"/>
                <w:szCs w:val="20"/>
              </w:rPr>
              <w:t>ange</w:t>
            </w:r>
          </w:p>
        </w:tc>
        <w:tc>
          <w:tcPr>
            <w:tcW w:w="1635" w:type="pct"/>
            <w:tcBorders>
              <w:top w:val="single" w:sz="4" w:space="0" w:color="auto"/>
              <w:bottom w:val="single" w:sz="4" w:space="0" w:color="auto"/>
              <w:right w:val="single" w:sz="4" w:space="0" w:color="auto"/>
            </w:tcBorders>
            <w:shd w:val="clear" w:color="auto" w:fill="auto"/>
            <w:vAlign w:val="bottom"/>
          </w:tcPr>
          <w:p w:rsidR="00B92C0F" w:rsidRPr="006A63D4" w:rsidRDefault="00B92C0F" w:rsidP="00B95306">
            <w:pPr>
              <w:pStyle w:val="TableHeaderCenter"/>
              <w:spacing w:before="0" w:after="0"/>
              <w:rPr>
                <w:rFonts w:cs="Arial"/>
                <w:b/>
                <w:color w:val="auto"/>
                <w:sz w:val="20"/>
                <w:szCs w:val="20"/>
              </w:rPr>
            </w:pPr>
            <w:r w:rsidRPr="006A63D4">
              <w:rPr>
                <w:rFonts w:cs="Arial"/>
                <w:b/>
                <w:color w:val="auto"/>
                <w:sz w:val="20"/>
                <w:szCs w:val="20"/>
              </w:rPr>
              <w:t xml:space="preserve">Data </w:t>
            </w:r>
            <w:r>
              <w:rPr>
                <w:rFonts w:cs="Arial"/>
                <w:b/>
                <w:color w:val="auto"/>
                <w:sz w:val="20"/>
                <w:szCs w:val="20"/>
              </w:rPr>
              <w:t>S</w:t>
            </w:r>
            <w:r w:rsidRPr="006A63D4">
              <w:rPr>
                <w:rFonts w:cs="Arial"/>
                <w:b/>
                <w:color w:val="auto"/>
                <w:sz w:val="20"/>
                <w:szCs w:val="20"/>
              </w:rPr>
              <w:t>ource</w:t>
            </w:r>
          </w:p>
        </w:tc>
      </w:tr>
      <w:tr w:rsidR="00B92C0F" w:rsidRPr="00E12150" w:rsidTr="00B95306">
        <w:trPr>
          <w:trHeight w:val="14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C0F" w:rsidRPr="006A63D4" w:rsidRDefault="00B92C0F" w:rsidP="00B95306">
            <w:pPr>
              <w:pStyle w:val="TableText"/>
              <w:jc w:val="center"/>
              <w:rPr>
                <w:rFonts w:cs="Arial"/>
                <w:b/>
                <w:iCs/>
                <w:sz w:val="20"/>
                <w:szCs w:val="20"/>
              </w:rPr>
            </w:pPr>
            <w:r w:rsidRPr="006A63D4">
              <w:rPr>
                <w:rFonts w:cs="Arial"/>
                <w:b/>
                <w:sz w:val="20"/>
                <w:szCs w:val="20"/>
              </w:rPr>
              <w:t xml:space="preserve">Domain: Sales </w:t>
            </w:r>
            <w:r>
              <w:rPr>
                <w:rFonts w:cs="Arial"/>
                <w:b/>
                <w:sz w:val="20"/>
                <w:szCs w:val="20"/>
              </w:rPr>
              <w:t>and B</w:t>
            </w:r>
            <w:r w:rsidRPr="006A63D4">
              <w:rPr>
                <w:rFonts w:cs="Arial"/>
                <w:b/>
                <w:sz w:val="20"/>
                <w:szCs w:val="20"/>
              </w:rPr>
              <w:t xml:space="preserve">usiness </w:t>
            </w:r>
            <w:r>
              <w:rPr>
                <w:rFonts w:cs="Arial"/>
                <w:b/>
                <w:sz w:val="20"/>
                <w:szCs w:val="20"/>
              </w:rPr>
              <w:t>Tax R</w:t>
            </w:r>
            <w:r w:rsidRPr="006A63D4">
              <w:rPr>
                <w:rFonts w:cs="Arial"/>
                <w:b/>
                <w:sz w:val="20"/>
                <w:szCs w:val="20"/>
              </w:rPr>
              <w:t>evenue</w:t>
            </w:r>
          </w:p>
        </w:tc>
      </w:tr>
      <w:tr w:rsidR="00B92C0F" w:rsidRPr="00E12150" w:rsidTr="00B95306">
        <w:trPr>
          <w:trHeight w:val="144"/>
        </w:trPr>
        <w:tc>
          <w:tcPr>
            <w:tcW w:w="2595" w:type="pct"/>
            <w:tcBorders>
              <w:top w:val="single" w:sz="4" w:space="0" w:color="auto"/>
              <w:left w:val="single" w:sz="4" w:space="0" w:color="auto"/>
            </w:tcBorders>
            <w:shd w:val="clear" w:color="auto" w:fill="auto"/>
          </w:tcPr>
          <w:p w:rsidR="00B92C0F" w:rsidRPr="006A63D4" w:rsidRDefault="00B92C0F" w:rsidP="00B95306">
            <w:pPr>
              <w:pStyle w:val="TableText"/>
              <w:rPr>
                <w:rFonts w:cs="Arial"/>
                <w:b/>
                <w:sz w:val="20"/>
                <w:szCs w:val="20"/>
              </w:rPr>
            </w:pPr>
            <w:r w:rsidRPr="006A63D4">
              <w:rPr>
                <w:rFonts w:cs="Arial"/>
                <w:b/>
                <w:sz w:val="20"/>
                <w:szCs w:val="20"/>
              </w:rPr>
              <w:t>Marijuana</w:t>
            </w:r>
            <w:r>
              <w:rPr>
                <w:rFonts w:cs="Arial"/>
                <w:b/>
                <w:sz w:val="20"/>
                <w:szCs w:val="20"/>
              </w:rPr>
              <w:t xml:space="preserve"> Consumption by MA R</w:t>
            </w:r>
            <w:r w:rsidRPr="006A63D4">
              <w:rPr>
                <w:rFonts w:cs="Arial"/>
                <w:b/>
                <w:sz w:val="20"/>
                <w:szCs w:val="20"/>
              </w:rPr>
              <w:t>esidents</w:t>
            </w:r>
          </w:p>
        </w:tc>
        <w:tc>
          <w:tcPr>
            <w:tcW w:w="770" w:type="pct"/>
            <w:tcBorders>
              <w:top w:val="single" w:sz="4" w:space="0" w:color="auto"/>
            </w:tcBorders>
            <w:shd w:val="clear" w:color="auto" w:fill="auto"/>
          </w:tcPr>
          <w:p w:rsidR="00B92C0F" w:rsidRPr="006A63D4" w:rsidRDefault="00B92C0F" w:rsidP="00B95306">
            <w:pPr>
              <w:pStyle w:val="TableText"/>
              <w:jc w:val="center"/>
              <w:rPr>
                <w:rFonts w:cs="Arial"/>
                <w:sz w:val="20"/>
                <w:szCs w:val="20"/>
              </w:rPr>
            </w:pPr>
          </w:p>
        </w:tc>
        <w:tc>
          <w:tcPr>
            <w:tcW w:w="1635" w:type="pct"/>
            <w:tcBorders>
              <w:top w:val="single" w:sz="4" w:space="0" w:color="auto"/>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Number of residents in MA</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Adolescent</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970,444</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ACS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Adult</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4,991,000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ACS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Percentage of MA residents with current marijuana use</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Adolescent</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8.7–24.0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 xml:space="preserve">2015 YHS, 2015 YRBSS, </w:t>
            </w:r>
            <w:r w:rsidRPr="006A63D4">
              <w:rPr>
                <w:rFonts w:cs="Arial"/>
                <w:iCs/>
                <w:sz w:val="20"/>
                <w:szCs w:val="20"/>
              </w:rPr>
              <w:br/>
              <w:t>2015</w:t>
            </w:r>
            <w:r w:rsidRPr="006A63D4">
              <w:rPr>
                <w:rFonts w:cs="Arial"/>
                <w:iCs/>
                <w:sz w:val="20"/>
                <w:szCs w:val="20"/>
              </w:rPr>
              <w:softHyphen/>
              <w:t>–2016 NSDUH</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sz w:val="20"/>
                <w:szCs w:val="20"/>
              </w:rPr>
            </w:pPr>
            <w:r w:rsidRPr="006A63D4">
              <w:rPr>
                <w:rFonts w:cs="Arial"/>
                <w:iCs/>
                <w:sz w:val="20"/>
                <w:szCs w:val="20"/>
              </w:rPr>
              <w:t>Post-legalization percentage change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(5)–4.5</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sz w:val="20"/>
                <w:szCs w:val="20"/>
              </w:rPr>
              <w:t xml:space="preserve">Anderson, Hansen, &amp; Rees (2015); Choo et al. (2014); Hasin et al. (2015); </w:t>
            </w:r>
            <w:r w:rsidRPr="006A63D4">
              <w:rPr>
                <w:rFonts w:cs="Arial"/>
                <w:iCs/>
                <w:sz w:val="20"/>
                <w:szCs w:val="20"/>
              </w:rPr>
              <w:t>Wen, Hockenberry, &amp; Cummings</w:t>
            </w:r>
            <w:r w:rsidRPr="006A63D4">
              <w:rPr>
                <w:rFonts w:cs="Arial"/>
                <w:sz w:val="20"/>
                <w:szCs w:val="20"/>
              </w:rPr>
              <w:t xml:space="preserve"> (2015); Dills et al. (2017)</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sz w:val="20"/>
                <w:szCs w:val="20"/>
              </w:rPr>
            </w:pPr>
            <w:r w:rsidRPr="006A63D4">
              <w:rPr>
                <w:rFonts w:cs="Arial"/>
                <w:sz w:val="20"/>
                <w:szCs w:val="20"/>
              </w:rPr>
              <w:t xml:space="preserve">Percentage purchasing from RMDs </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0–60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sz w:val="20"/>
                <w:szCs w:val="20"/>
              </w:rPr>
            </w:pPr>
            <w:r w:rsidRPr="006A63D4">
              <w:rPr>
                <w:rFonts w:cs="Arial"/>
                <w:iCs/>
                <w:sz w:val="20"/>
                <w:szCs w:val="20"/>
              </w:rPr>
              <w:t>Friese, Grube, &amp; Moore (2013),</w:t>
            </w:r>
            <w:r w:rsidRPr="006A63D4">
              <w:rPr>
                <w:rFonts w:cs="Arial"/>
                <w:iCs/>
                <w:sz w:val="20"/>
                <w:szCs w:val="20"/>
              </w:rPr>
              <w:br/>
              <w:t>authors’ assumption</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Adult</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8.6–12.1</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BRFSS, 2015 NSDUH</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sz w:val="20"/>
                <w:szCs w:val="20"/>
              </w:rPr>
            </w:pPr>
            <w:r w:rsidRPr="006A63D4">
              <w:rPr>
                <w:rFonts w:cs="Arial"/>
                <w:iCs/>
                <w:sz w:val="20"/>
                <w:szCs w:val="20"/>
              </w:rPr>
              <w:t>Post-legalization percentage change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15.9–16.6</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Hasin et al. (2017); Wen et al. (2015)</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sz w:val="20"/>
                <w:szCs w:val="20"/>
              </w:rPr>
            </w:pPr>
            <w:r w:rsidRPr="006A63D4">
              <w:rPr>
                <w:rFonts w:cs="Arial"/>
                <w:sz w:val="20"/>
                <w:szCs w:val="20"/>
              </w:rPr>
              <w:t>Percentage shift from illicit to legal market</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50–80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Stakeholder interview</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Number of use days in past month, among users</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Regular users (1-20 use days per month)</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7.26</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Task 1 survey</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Heavy users (21+ use days per month)</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29.16</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Task 1 survey</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ab/>
              <w:t>Percentage change in marijuana use days</w:t>
            </w:r>
          </w:p>
        </w:tc>
        <w:tc>
          <w:tcPr>
            <w:tcW w:w="770" w:type="pct"/>
            <w:shd w:val="clear" w:color="auto" w:fill="auto"/>
          </w:tcPr>
          <w:p w:rsidR="00B92C0F" w:rsidRPr="006A63D4" w:rsidRDefault="00B92C0F" w:rsidP="00B95306">
            <w:pPr>
              <w:pStyle w:val="TableText"/>
              <w:ind w:left="340"/>
              <w:rPr>
                <w:rFonts w:cs="Arial"/>
                <w:sz w:val="20"/>
                <w:szCs w:val="20"/>
              </w:rPr>
            </w:pPr>
            <w:r w:rsidRPr="006A63D4">
              <w:rPr>
                <w:rFonts w:cs="Arial"/>
                <w:sz w:val="20"/>
                <w:szCs w:val="20"/>
              </w:rPr>
              <w:t>12–17</w:t>
            </w:r>
          </w:p>
        </w:tc>
        <w:tc>
          <w:tcPr>
            <w:tcW w:w="1635" w:type="pct"/>
            <w:tcBorders>
              <w:right w:val="single" w:sz="4" w:space="0" w:color="auto"/>
            </w:tcBorders>
            <w:shd w:val="clear" w:color="auto" w:fill="auto"/>
          </w:tcPr>
          <w:p w:rsidR="00B92C0F" w:rsidRPr="006A63D4" w:rsidRDefault="00B92C0F" w:rsidP="00B95306">
            <w:pPr>
              <w:pStyle w:val="TableText"/>
              <w:ind w:left="432"/>
              <w:jc w:val="center"/>
              <w:rPr>
                <w:rFonts w:cs="Arial"/>
                <w:iCs/>
                <w:sz w:val="20"/>
                <w:szCs w:val="20"/>
              </w:rPr>
            </w:pPr>
            <w:r w:rsidRPr="006A63D4">
              <w:rPr>
                <w:rFonts w:cs="Arial"/>
                <w:iCs/>
                <w:sz w:val="20"/>
                <w:szCs w:val="20"/>
              </w:rPr>
              <w:t>Wen, Hockenberry, &amp; Cummings (2014)</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Percentage of users</w:t>
            </w:r>
          </w:p>
          <w:p w:rsidR="00B92C0F" w:rsidRPr="006A63D4" w:rsidRDefault="00B92C0F" w:rsidP="00B95306">
            <w:pPr>
              <w:pStyle w:val="TableText"/>
              <w:ind w:left="187"/>
              <w:rPr>
                <w:rFonts w:cs="Arial"/>
                <w:sz w:val="20"/>
                <w:szCs w:val="20"/>
              </w:rPr>
            </w:pPr>
            <w:r w:rsidRPr="006A63D4">
              <w:rPr>
                <w:rFonts w:cs="Arial"/>
                <w:sz w:val="20"/>
                <w:szCs w:val="20"/>
              </w:rPr>
              <w:t>Regular users (1–20 use days per month)</w:t>
            </w:r>
          </w:p>
          <w:p w:rsidR="00B92C0F" w:rsidRPr="006A63D4" w:rsidRDefault="00B92C0F" w:rsidP="00B95306">
            <w:pPr>
              <w:pStyle w:val="TableText"/>
              <w:ind w:left="187"/>
              <w:rPr>
                <w:rFonts w:cs="Arial"/>
                <w:sz w:val="20"/>
                <w:szCs w:val="20"/>
              </w:rPr>
            </w:pPr>
            <w:r w:rsidRPr="006A63D4">
              <w:rPr>
                <w:rFonts w:cs="Arial"/>
                <w:sz w:val="20"/>
                <w:szCs w:val="20"/>
              </w:rPr>
              <w:t>Heavy users (21+ use days per month)</w:t>
            </w:r>
          </w:p>
        </w:tc>
        <w:tc>
          <w:tcPr>
            <w:tcW w:w="770" w:type="pct"/>
            <w:shd w:val="clear" w:color="auto" w:fill="auto"/>
          </w:tcPr>
          <w:p w:rsidR="00B92C0F" w:rsidRPr="006A63D4" w:rsidRDefault="00B92C0F" w:rsidP="00B95306">
            <w:pPr>
              <w:pStyle w:val="TableText"/>
              <w:jc w:val="center"/>
              <w:rPr>
                <w:rFonts w:cs="Arial"/>
                <w:sz w:val="20"/>
                <w:szCs w:val="20"/>
              </w:rPr>
            </w:pPr>
          </w:p>
          <w:p w:rsidR="00B92C0F" w:rsidRPr="006A63D4" w:rsidRDefault="00B92C0F" w:rsidP="00B95306">
            <w:pPr>
              <w:pStyle w:val="TableText"/>
              <w:jc w:val="center"/>
              <w:rPr>
                <w:rFonts w:cs="Arial"/>
                <w:sz w:val="20"/>
                <w:szCs w:val="20"/>
              </w:rPr>
            </w:pPr>
            <w:r w:rsidRPr="006A63D4">
              <w:rPr>
                <w:rFonts w:cs="Arial"/>
                <w:sz w:val="20"/>
                <w:szCs w:val="20"/>
              </w:rPr>
              <w:t>67.94</w:t>
            </w:r>
          </w:p>
          <w:p w:rsidR="00B92C0F" w:rsidRPr="006A63D4" w:rsidRDefault="00B92C0F" w:rsidP="00B95306">
            <w:pPr>
              <w:pStyle w:val="TableText"/>
              <w:jc w:val="center"/>
              <w:rPr>
                <w:rFonts w:cs="Arial"/>
                <w:sz w:val="20"/>
                <w:szCs w:val="20"/>
              </w:rPr>
            </w:pPr>
            <w:r w:rsidRPr="006A63D4">
              <w:rPr>
                <w:rFonts w:cs="Arial"/>
                <w:sz w:val="20"/>
                <w:szCs w:val="20"/>
              </w:rPr>
              <w:t>32.06</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p w:rsidR="00B92C0F" w:rsidRPr="006A63D4" w:rsidRDefault="00B92C0F" w:rsidP="00B95306">
            <w:pPr>
              <w:pStyle w:val="TableText"/>
              <w:jc w:val="center"/>
              <w:rPr>
                <w:rFonts w:cs="Arial"/>
                <w:iCs/>
                <w:sz w:val="20"/>
                <w:szCs w:val="20"/>
              </w:rPr>
            </w:pPr>
            <w:r w:rsidRPr="006A63D4">
              <w:rPr>
                <w:rFonts w:cs="Arial"/>
                <w:iCs/>
                <w:sz w:val="20"/>
                <w:szCs w:val="20"/>
              </w:rPr>
              <w:t>Task 1 survey</w:t>
            </w:r>
          </w:p>
          <w:p w:rsidR="00B92C0F" w:rsidRPr="006A63D4" w:rsidRDefault="00B92C0F" w:rsidP="00B95306">
            <w:pPr>
              <w:pStyle w:val="TableText"/>
              <w:jc w:val="center"/>
              <w:rPr>
                <w:rFonts w:cs="Arial"/>
                <w:iCs/>
                <w:sz w:val="20"/>
                <w:szCs w:val="20"/>
              </w:rPr>
            </w:pPr>
            <w:r w:rsidRPr="006A63D4">
              <w:rPr>
                <w:rFonts w:cs="Arial"/>
                <w:iCs/>
                <w:sz w:val="20"/>
                <w:szCs w:val="20"/>
              </w:rPr>
              <w:t>Task 1 survey</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Grams of marijuana consumed each day of use</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Regular users (1-20 use days per month)</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0.17–0.67</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 xml:space="preserve">MBHS Task 1 survey, </w:t>
            </w:r>
            <w:r w:rsidRPr="006A63D4">
              <w:rPr>
                <w:rFonts w:cs="Arial"/>
                <w:iCs/>
                <w:sz w:val="20"/>
                <w:szCs w:val="20"/>
              </w:rPr>
              <w:br/>
              <w:t>Kilmer et al. (2013)</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Heavy users (21+ use days per month)</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0.32–1.6</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 xml:space="preserve">MBHS Task 1 survey, </w:t>
            </w:r>
            <w:r w:rsidRPr="006A63D4">
              <w:rPr>
                <w:rFonts w:cs="Arial"/>
                <w:iCs/>
                <w:sz w:val="20"/>
                <w:szCs w:val="20"/>
              </w:rPr>
              <w:br/>
              <w:t>Kilmer et al. (2013)</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Number of medical marijuana users</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53872</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Current price of marijuana</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$13.3–$13.7</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RMD, Price of Weed, Budzu, Dispensary Sheets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iCs/>
                <w:sz w:val="20"/>
                <w:szCs w:val="20"/>
              </w:rPr>
              <w:t>Post-legalization percentage change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(50)–0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Stakeholder interview, WA State LCB (n.d.)</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Tax rate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6.25% sales</w:t>
            </w:r>
            <w:r w:rsidRPr="006A63D4">
              <w:rPr>
                <w:rFonts w:cs="Arial"/>
                <w:sz w:val="20"/>
                <w:szCs w:val="20"/>
              </w:rPr>
              <w:br/>
              <w:t>10.75% excise</w:t>
            </w:r>
            <w:r w:rsidRPr="006A63D4">
              <w:rPr>
                <w:rFonts w:cs="Arial"/>
                <w:sz w:val="20"/>
                <w:szCs w:val="20"/>
              </w:rPr>
              <w:br/>
              <w:t>0-3% local</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Pr>
                <w:rFonts w:cs="Arial"/>
                <w:b/>
                <w:sz w:val="20"/>
                <w:szCs w:val="20"/>
              </w:rPr>
              <w:t>Marijuana C</w:t>
            </w:r>
            <w:r w:rsidRPr="006A63D4">
              <w:rPr>
                <w:rFonts w:cs="Arial"/>
                <w:b/>
                <w:sz w:val="20"/>
                <w:szCs w:val="20"/>
              </w:rPr>
              <w:t xml:space="preserve">onsumption by </w:t>
            </w:r>
            <w:r>
              <w:rPr>
                <w:rFonts w:cs="Arial"/>
                <w:b/>
                <w:sz w:val="20"/>
                <w:szCs w:val="20"/>
              </w:rPr>
              <w:t>T</w:t>
            </w:r>
            <w:r w:rsidRPr="006A63D4">
              <w:rPr>
                <w:rFonts w:cs="Arial"/>
                <w:b/>
                <w:sz w:val="20"/>
                <w:szCs w:val="20"/>
              </w:rPr>
              <w:t>ourists</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Percentage of tax revenue generated from tourists</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7–12</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 xml:space="preserve">Light et al. (2016); </w:t>
            </w:r>
            <w:r w:rsidRPr="006A63D4">
              <w:rPr>
                <w:rFonts w:cs="Arial"/>
                <w:iCs/>
                <w:sz w:val="20"/>
                <w:szCs w:val="20"/>
              </w:rPr>
              <w:br/>
              <w:t>Cooper et al. (2016)</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Business tax rate on gross revenue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0.08</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sz w:val="20"/>
                <w:szCs w:val="20"/>
              </w:rPr>
              <w:t>MA DOR</w:t>
            </w:r>
          </w:p>
        </w:tc>
      </w:tr>
      <w:tr w:rsidR="00B92C0F" w:rsidRPr="00E12150" w:rsidTr="008F6B2A">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b/>
                <w:sz w:val="20"/>
                <w:szCs w:val="20"/>
              </w:rPr>
            </w:pPr>
            <w:r>
              <w:rPr>
                <w:rFonts w:cs="Arial"/>
                <w:b/>
                <w:sz w:val="20"/>
                <w:szCs w:val="20"/>
              </w:rPr>
              <w:t>Beer C</w:t>
            </w:r>
            <w:r w:rsidRPr="006A63D4">
              <w:rPr>
                <w:rFonts w:cs="Arial"/>
                <w:b/>
                <w:sz w:val="20"/>
                <w:szCs w:val="20"/>
              </w:rPr>
              <w:t>onsumption</w:t>
            </w:r>
          </w:p>
        </w:tc>
        <w:tc>
          <w:tcPr>
            <w:tcW w:w="770" w:type="pct"/>
            <w:shd w:val="clear" w:color="auto" w:fill="auto"/>
          </w:tcPr>
          <w:p w:rsidR="00B92C0F" w:rsidRPr="006A63D4" w:rsidRDefault="00B92C0F" w:rsidP="00B95306">
            <w:pPr>
              <w:pStyle w:val="TableText"/>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8F6B2A">
        <w:trPr>
          <w:trHeight w:val="144"/>
        </w:trPr>
        <w:tc>
          <w:tcPr>
            <w:tcW w:w="2595" w:type="pct"/>
            <w:tcBorders>
              <w:left w:val="single" w:sz="4" w:space="0" w:color="auto"/>
              <w:bottom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Tax revenue from beer</w:t>
            </w:r>
          </w:p>
        </w:tc>
        <w:tc>
          <w:tcPr>
            <w:tcW w:w="770" w:type="pct"/>
            <w:tcBorders>
              <w:bottom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72,830,435</w:t>
            </w:r>
          </w:p>
        </w:tc>
        <w:tc>
          <w:tcPr>
            <w:tcW w:w="1635" w:type="pct"/>
            <w:tcBorders>
              <w:bottom w:val="single" w:sz="4" w:space="0" w:color="auto"/>
              <w:right w:val="single" w:sz="4" w:space="0" w:color="auto"/>
            </w:tcBorders>
            <w:shd w:val="clear" w:color="auto" w:fill="auto"/>
          </w:tcPr>
          <w:p w:rsidR="00B92C0F" w:rsidRDefault="00B92C0F" w:rsidP="00B95306">
            <w:pPr>
              <w:pStyle w:val="TableText"/>
              <w:jc w:val="center"/>
              <w:rPr>
                <w:rFonts w:cs="Arial"/>
                <w:iCs/>
                <w:sz w:val="20"/>
                <w:szCs w:val="20"/>
              </w:rPr>
            </w:pPr>
            <w:r w:rsidRPr="006A63D4">
              <w:rPr>
                <w:rFonts w:cs="Arial"/>
                <w:iCs/>
                <w:sz w:val="20"/>
                <w:szCs w:val="20"/>
              </w:rPr>
              <w:t xml:space="preserve">Russell et al. (2017), </w:t>
            </w:r>
            <w:r w:rsidRPr="006A63D4">
              <w:rPr>
                <w:rFonts w:cs="Arial"/>
                <w:iCs/>
                <w:sz w:val="20"/>
                <w:szCs w:val="20"/>
              </w:rPr>
              <w:br/>
              <w:t>Wide Open Eats (2017)</w:t>
            </w:r>
          </w:p>
          <w:p w:rsidR="008F6B2A" w:rsidRPr="006A63D4" w:rsidRDefault="008F6B2A" w:rsidP="00B95306">
            <w:pPr>
              <w:pStyle w:val="TableText"/>
              <w:jc w:val="center"/>
              <w:rPr>
                <w:rFonts w:cs="Arial"/>
                <w:iCs/>
                <w:sz w:val="20"/>
                <w:szCs w:val="20"/>
              </w:rPr>
            </w:pPr>
          </w:p>
        </w:tc>
      </w:tr>
      <w:tr w:rsidR="00B92C0F" w:rsidRPr="00E12150" w:rsidTr="008F6B2A">
        <w:trPr>
          <w:trHeight w:val="144"/>
        </w:trPr>
        <w:tc>
          <w:tcPr>
            <w:tcW w:w="2595" w:type="pct"/>
            <w:tcBorders>
              <w:top w:val="single" w:sz="4" w:space="0" w:color="auto"/>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iCs/>
                <w:sz w:val="20"/>
                <w:szCs w:val="20"/>
              </w:rPr>
              <w:tab/>
              <w:t>Post-legalization percentage change in sales</w:t>
            </w:r>
          </w:p>
        </w:tc>
        <w:tc>
          <w:tcPr>
            <w:tcW w:w="770" w:type="pct"/>
            <w:tcBorders>
              <w:top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(9.21–0.59)</w:t>
            </w:r>
          </w:p>
        </w:tc>
        <w:tc>
          <w:tcPr>
            <w:tcW w:w="1635" w:type="pct"/>
            <w:tcBorders>
              <w:top w:val="single" w:sz="4" w:space="0" w:color="auto"/>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Anderson, Hansen, &amp; Rees (2013)</w:t>
            </w:r>
          </w:p>
        </w:tc>
      </w:tr>
      <w:tr w:rsidR="00B92C0F" w:rsidRPr="00E12150" w:rsidTr="00B95306">
        <w:trPr>
          <w:trHeight w:val="144"/>
        </w:trPr>
        <w:tc>
          <w:tcPr>
            <w:tcW w:w="5000" w:type="pct"/>
            <w:gridSpan w:val="3"/>
            <w:tcBorders>
              <w:left w:val="single" w:sz="4" w:space="0" w:color="auto"/>
              <w:right w:val="single" w:sz="4" w:space="0" w:color="auto"/>
            </w:tcBorders>
            <w:shd w:val="clear" w:color="auto" w:fill="auto"/>
          </w:tcPr>
          <w:p w:rsidR="00B92C0F" w:rsidRPr="006A63D4" w:rsidRDefault="00B92C0F" w:rsidP="00B95306">
            <w:pPr>
              <w:pStyle w:val="TableText"/>
              <w:keepNext/>
              <w:keepLines/>
              <w:jc w:val="center"/>
              <w:rPr>
                <w:rFonts w:cs="Arial"/>
                <w:b/>
                <w:iCs/>
                <w:sz w:val="20"/>
                <w:szCs w:val="20"/>
              </w:rPr>
            </w:pPr>
            <w:r w:rsidRPr="006A63D4">
              <w:rPr>
                <w:rFonts w:cs="Arial"/>
                <w:b/>
                <w:sz w:val="20"/>
                <w:szCs w:val="20"/>
              </w:rPr>
              <w:t>Domain: Regulatory</w:t>
            </w:r>
            <w:r>
              <w:rPr>
                <w:rFonts w:cs="Arial"/>
                <w:b/>
                <w:sz w:val="20"/>
                <w:szCs w:val="20"/>
              </w:rPr>
              <w:t xml:space="preserve"> O</w:t>
            </w:r>
            <w:r w:rsidRPr="006A63D4">
              <w:rPr>
                <w:rFonts w:cs="Arial"/>
                <w:b/>
                <w:sz w:val="20"/>
                <w:szCs w:val="20"/>
              </w:rPr>
              <w:t>versight</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b/>
                <w:sz w:val="20"/>
                <w:szCs w:val="20"/>
              </w:rPr>
            </w:pPr>
            <w:r>
              <w:rPr>
                <w:rFonts w:cs="Arial"/>
                <w:b/>
                <w:sz w:val="20"/>
                <w:szCs w:val="20"/>
              </w:rPr>
              <w:t>State Regulatory and Law E</w:t>
            </w:r>
            <w:r w:rsidRPr="006A63D4">
              <w:rPr>
                <w:rFonts w:cs="Arial"/>
                <w:b/>
                <w:sz w:val="20"/>
                <w:szCs w:val="20"/>
              </w:rPr>
              <w:t>nforcement</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Costs</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$1,778,944</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WSIPP, CCC</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Revenue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$2,185,407</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WSIPP, CCC</w:t>
            </w:r>
          </w:p>
        </w:tc>
      </w:tr>
      <w:tr w:rsidR="00B92C0F" w:rsidRPr="00E12150" w:rsidTr="00B95306">
        <w:trPr>
          <w:trHeight w:val="144"/>
        </w:trPr>
        <w:tc>
          <w:tcPr>
            <w:tcW w:w="5000" w:type="pct"/>
            <w:gridSpan w:val="3"/>
            <w:tcBorders>
              <w:left w:val="single" w:sz="4" w:space="0" w:color="auto"/>
              <w:right w:val="single" w:sz="4" w:space="0" w:color="auto"/>
            </w:tcBorders>
            <w:shd w:val="clear" w:color="auto" w:fill="auto"/>
          </w:tcPr>
          <w:p w:rsidR="00B92C0F" w:rsidRPr="006A63D4" w:rsidRDefault="00B92C0F" w:rsidP="00B95306">
            <w:pPr>
              <w:pStyle w:val="TableText"/>
              <w:jc w:val="center"/>
              <w:rPr>
                <w:rFonts w:cs="Arial"/>
                <w:b/>
                <w:iCs/>
                <w:sz w:val="20"/>
                <w:szCs w:val="20"/>
              </w:rPr>
            </w:pPr>
            <w:r w:rsidRPr="006A63D4">
              <w:rPr>
                <w:rFonts w:cs="Arial"/>
                <w:b/>
                <w:sz w:val="20"/>
                <w:szCs w:val="20"/>
              </w:rPr>
              <w:t xml:space="preserve">Domain: </w:t>
            </w:r>
            <w:r>
              <w:rPr>
                <w:rFonts w:cs="Arial"/>
                <w:b/>
                <w:sz w:val="20"/>
                <w:szCs w:val="20"/>
              </w:rPr>
              <w:t>Law E</w:t>
            </w:r>
            <w:r w:rsidRPr="006A63D4">
              <w:rPr>
                <w:rFonts w:cs="Arial"/>
                <w:b/>
                <w:sz w:val="20"/>
                <w:szCs w:val="20"/>
              </w:rPr>
              <w:t>nforcement</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b/>
                <w:sz w:val="20"/>
                <w:szCs w:val="20"/>
              </w:rPr>
            </w:pPr>
            <w:r>
              <w:rPr>
                <w:rFonts w:cs="Arial"/>
                <w:b/>
                <w:sz w:val="20"/>
                <w:szCs w:val="20"/>
              </w:rPr>
              <w:t>Misdemeanor A</w:t>
            </w:r>
            <w:r w:rsidRPr="006A63D4">
              <w:rPr>
                <w:rFonts w:cs="Arial"/>
                <w:b/>
                <w:sz w:val="20"/>
                <w:szCs w:val="20"/>
              </w:rPr>
              <w:t>rrests</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Unit cost</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$1,188</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Aos, Phipps, Barnoski, &amp; Lieb (2001)</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Number</w:t>
            </w:r>
            <w:r w:rsidRPr="006A63D4">
              <w:rPr>
                <w:rFonts w:cs="Arial"/>
                <w:sz w:val="20"/>
                <w:szCs w:val="20"/>
                <w:vertAlign w:val="superscript"/>
              </w:rPr>
              <w:t>a</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240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Stakeholder interview</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sz w:val="20"/>
                <w:szCs w:val="20"/>
              </w:rPr>
            </w:pPr>
            <w:r w:rsidRPr="006A63D4">
              <w:rPr>
                <w:rFonts w:cs="Arial"/>
                <w:iCs/>
                <w:sz w:val="20"/>
                <w:szCs w:val="20"/>
              </w:rPr>
              <w:t>Post-legalization percentage change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(50–80)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WSIPP, stakeholder interview</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b/>
                <w:sz w:val="20"/>
                <w:szCs w:val="20"/>
              </w:rPr>
            </w:pPr>
            <w:r>
              <w:rPr>
                <w:rFonts w:cs="Arial"/>
                <w:b/>
                <w:sz w:val="20"/>
                <w:szCs w:val="20"/>
              </w:rPr>
              <w:t>Misdemeanor C</w:t>
            </w:r>
            <w:r w:rsidRPr="006A63D4">
              <w:rPr>
                <w:rFonts w:cs="Arial"/>
                <w:b/>
                <w:sz w:val="20"/>
                <w:szCs w:val="20"/>
              </w:rPr>
              <w:t>onvictions</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Unit cost</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$522</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Aos et al. (2001)</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Number</w:t>
            </w:r>
            <w:r w:rsidRPr="006A63D4">
              <w:rPr>
                <w:rFonts w:cs="Arial"/>
                <w:sz w:val="20"/>
                <w:szCs w:val="20"/>
                <w:vertAlign w:val="superscript"/>
              </w:rPr>
              <w:t>a</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159</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Stakeholder interview</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sz w:val="20"/>
                <w:szCs w:val="20"/>
              </w:rPr>
            </w:pPr>
            <w:r w:rsidRPr="006A63D4">
              <w:rPr>
                <w:rFonts w:cs="Arial"/>
                <w:sz w:val="20"/>
                <w:szCs w:val="20"/>
              </w:rPr>
              <w:tab/>
            </w:r>
            <w:r w:rsidRPr="006A63D4">
              <w:rPr>
                <w:rFonts w:cs="Arial"/>
                <w:iCs/>
                <w:sz w:val="20"/>
                <w:szCs w:val="20"/>
              </w:rPr>
              <w:t>Post-legalization percentage change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(50–80)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WSIPP, stakeholder interview</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b/>
                <w:sz w:val="20"/>
                <w:szCs w:val="20"/>
              </w:rPr>
            </w:pPr>
            <w:r w:rsidRPr="006A63D4">
              <w:rPr>
                <w:rFonts w:cs="Arial"/>
                <w:b/>
                <w:sz w:val="20"/>
                <w:szCs w:val="20"/>
              </w:rPr>
              <w:t>Incarcerations</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Average annual cost of incarceration</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$53,041</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Aos et al. (2011)</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Number</w:t>
            </w:r>
            <w:r w:rsidRPr="006A63D4">
              <w:rPr>
                <w:rFonts w:cs="Arial"/>
                <w:sz w:val="20"/>
                <w:szCs w:val="20"/>
                <w:vertAlign w:val="superscript"/>
              </w:rPr>
              <w:t>a</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40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Stakeholder interview</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sz w:val="20"/>
                <w:szCs w:val="20"/>
              </w:rPr>
            </w:pPr>
            <w:r w:rsidRPr="006A63D4">
              <w:rPr>
                <w:rFonts w:cs="Arial"/>
                <w:iCs/>
                <w:sz w:val="20"/>
                <w:szCs w:val="20"/>
              </w:rPr>
              <w:t>Post-legalization percentage change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(50–80)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WSIPP, stakeholder interview</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b/>
                <w:sz w:val="20"/>
                <w:szCs w:val="20"/>
              </w:rPr>
            </w:pPr>
            <w:r>
              <w:rPr>
                <w:rFonts w:cs="Arial"/>
                <w:b/>
                <w:sz w:val="20"/>
                <w:szCs w:val="20"/>
              </w:rPr>
              <w:t>Supervised Release (Parolees/P</w:t>
            </w:r>
            <w:r w:rsidRPr="006A63D4">
              <w:rPr>
                <w:rFonts w:cs="Arial"/>
                <w:b/>
                <w:sz w:val="20"/>
                <w:szCs w:val="20"/>
              </w:rPr>
              <w:t>robationers)</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Average annual cost of parole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$4,180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Aos et al. (2011)</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Number</w:t>
            </w:r>
            <w:r w:rsidRPr="006A63D4">
              <w:rPr>
                <w:rFonts w:cs="Arial"/>
                <w:sz w:val="20"/>
                <w:szCs w:val="20"/>
                <w:vertAlign w:val="superscript"/>
              </w:rPr>
              <w:t>a</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122</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Stakeholder interview</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sz w:val="20"/>
                <w:szCs w:val="20"/>
              </w:rPr>
            </w:pPr>
            <w:r w:rsidRPr="006A63D4">
              <w:rPr>
                <w:rFonts w:cs="Arial"/>
                <w:iCs/>
                <w:sz w:val="20"/>
                <w:szCs w:val="20"/>
              </w:rPr>
              <w:t>Post-legalization percentage change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(50–80)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WSIPP, stakeholder interview</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b/>
                <w:sz w:val="20"/>
                <w:szCs w:val="20"/>
              </w:rPr>
            </w:pPr>
            <w:r>
              <w:rPr>
                <w:rFonts w:cs="Arial"/>
                <w:b/>
                <w:sz w:val="20"/>
                <w:szCs w:val="20"/>
              </w:rPr>
              <w:t>Traffic F</w:t>
            </w:r>
            <w:r w:rsidRPr="006A63D4">
              <w:rPr>
                <w:rFonts w:cs="Arial"/>
                <w:b/>
                <w:sz w:val="20"/>
                <w:szCs w:val="20"/>
              </w:rPr>
              <w:t>atalities</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Cost of cannabis impaired training</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$655,000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Stakeholder interview</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Legal cost per crash involving fatalities</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$115,989</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Blincoe, Miller, Zaloshnja, &amp; Lawrence (2015)</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Number</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306</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FARS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sz w:val="20"/>
                <w:szCs w:val="20"/>
              </w:rPr>
            </w:pPr>
            <w:r w:rsidRPr="006A63D4">
              <w:rPr>
                <w:rFonts w:cs="Arial"/>
                <w:iCs/>
                <w:sz w:val="20"/>
                <w:szCs w:val="20"/>
              </w:rPr>
              <w:t>Post-legalization percentage change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(11.4–9.8)</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 xml:space="preserve">Anderson, Hansen, &amp; Rees (2013); </w:t>
            </w:r>
            <w:r w:rsidRPr="006A63D4">
              <w:rPr>
                <w:rFonts w:cs="Arial"/>
                <w:iCs/>
                <w:sz w:val="20"/>
                <w:szCs w:val="20"/>
              </w:rPr>
              <w:br/>
              <w:t>Santaella-Tenorio et al. (2017)</w:t>
            </w:r>
          </w:p>
        </w:tc>
      </w:tr>
      <w:tr w:rsidR="00B92C0F" w:rsidRPr="00E12150" w:rsidTr="00B95306">
        <w:trPr>
          <w:trHeight w:val="144"/>
        </w:trPr>
        <w:tc>
          <w:tcPr>
            <w:tcW w:w="5000" w:type="pct"/>
            <w:gridSpan w:val="3"/>
            <w:tcBorders>
              <w:left w:val="single" w:sz="4" w:space="0" w:color="auto"/>
              <w:right w:val="single" w:sz="4" w:space="0" w:color="auto"/>
            </w:tcBorders>
            <w:shd w:val="clear" w:color="auto" w:fill="auto"/>
          </w:tcPr>
          <w:p w:rsidR="00B92C0F" w:rsidRPr="006A63D4" w:rsidRDefault="00B92C0F" w:rsidP="00B95306">
            <w:pPr>
              <w:pStyle w:val="TableText"/>
              <w:jc w:val="center"/>
              <w:rPr>
                <w:rFonts w:cs="Arial"/>
                <w:b/>
                <w:iCs/>
                <w:sz w:val="20"/>
                <w:szCs w:val="20"/>
              </w:rPr>
            </w:pPr>
            <w:r w:rsidRPr="006A63D4">
              <w:rPr>
                <w:rFonts w:cs="Arial"/>
                <w:b/>
                <w:sz w:val="20"/>
                <w:szCs w:val="20"/>
              </w:rPr>
              <w:t xml:space="preserve">Domain: </w:t>
            </w:r>
            <w:r>
              <w:rPr>
                <w:rFonts w:cs="Arial"/>
                <w:b/>
                <w:sz w:val="20"/>
                <w:szCs w:val="20"/>
              </w:rPr>
              <w:t>Public H</w:t>
            </w:r>
            <w:r w:rsidRPr="006A63D4">
              <w:rPr>
                <w:rFonts w:cs="Arial"/>
                <w:b/>
                <w:sz w:val="20"/>
                <w:szCs w:val="20"/>
              </w:rPr>
              <w:t>ealth</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iCs/>
                <w:sz w:val="20"/>
                <w:szCs w:val="20"/>
              </w:rPr>
            </w:pPr>
            <w:r w:rsidRPr="006A63D4">
              <w:rPr>
                <w:rFonts w:cs="Arial"/>
                <w:iCs/>
                <w:sz w:val="20"/>
                <w:szCs w:val="20"/>
              </w:rPr>
              <w:t>Medicaid prescription drug spending</w:t>
            </w:r>
          </w:p>
        </w:tc>
        <w:tc>
          <w:tcPr>
            <w:tcW w:w="770" w:type="pct"/>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$459,769,135</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Bradford and Bradford (2017)</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iCs/>
                <w:sz w:val="20"/>
                <w:szCs w:val="20"/>
              </w:rPr>
            </w:pPr>
            <w:r w:rsidRPr="006A63D4">
              <w:rPr>
                <w:rFonts w:cs="Arial"/>
                <w:iCs/>
                <w:sz w:val="20"/>
                <w:szCs w:val="20"/>
              </w:rPr>
              <w:t>Post-legalization percentage change</w:t>
            </w:r>
          </w:p>
        </w:tc>
        <w:tc>
          <w:tcPr>
            <w:tcW w:w="770" w:type="pct"/>
            <w:shd w:val="clear" w:color="auto" w:fill="auto"/>
          </w:tcPr>
          <w:p w:rsidR="00B92C0F" w:rsidRPr="006A63D4" w:rsidRDefault="00B92C0F" w:rsidP="00B95306">
            <w:pPr>
              <w:pStyle w:val="TableText"/>
              <w:jc w:val="center"/>
              <w:rPr>
                <w:rFonts w:cs="Arial"/>
                <w:iCs/>
                <w:sz w:val="20"/>
                <w:szCs w:val="20"/>
              </w:rPr>
            </w:pPr>
            <w:r w:rsidRPr="006A63D4">
              <w:rPr>
                <w:rFonts w:cs="Arial"/>
                <w:sz w:val="20"/>
                <w:szCs w:val="20"/>
              </w:rPr>
              <w:t>(1.09–1.99)</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Bradford and Bradford (2017)</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Cannabis abuse or dependence</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Cost of treatment to the state</w:t>
            </w:r>
          </w:p>
        </w:tc>
        <w:tc>
          <w:tcPr>
            <w:tcW w:w="770" w:type="pct"/>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$2,086</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Stakeholder interview</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Treatment admissions</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2,840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2016 TEDS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iCs/>
                <w:sz w:val="20"/>
                <w:szCs w:val="20"/>
              </w:rPr>
            </w:pPr>
            <w:r w:rsidRPr="006A63D4">
              <w:rPr>
                <w:rFonts w:cs="Arial"/>
                <w:iCs/>
                <w:sz w:val="20"/>
                <w:szCs w:val="20"/>
              </w:rPr>
              <w:tab/>
              <w:t xml:space="preserve">Post-legalization percentage change </w:t>
            </w:r>
          </w:p>
        </w:tc>
        <w:tc>
          <w:tcPr>
            <w:tcW w:w="770" w:type="pct"/>
            <w:shd w:val="clear" w:color="auto" w:fill="auto"/>
          </w:tcPr>
          <w:p w:rsidR="00B92C0F" w:rsidRPr="006A63D4" w:rsidRDefault="00B92C0F" w:rsidP="00B95306">
            <w:pPr>
              <w:pStyle w:val="TableText"/>
              <w:jc w:val="center"/>
              <w:rPr>
                <w:rFonts w:cs="Arial"/>
                <w:iCs/>
                <w:sz w:val="20"/>
                <w:szCs w:val="20"/>
              </w:rPr>
            </w:pPr>
            <w:r w:rsidRPr="006A63D4">
              <w:rPr>
                <w:rFonts w:cs="Arial"/>
                <w:sz w:val="20"/>
                <w:szCs w:val="20"/>
              </w:rPr>
              <w:t>10–27.2</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Chu (2015); Wen et al. (2015); Hasin et al. (2017); Darnell &amp; Bitney (2017)</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iCs/>
                <w:sz w:val="20"/>
                <w:szCs w:val="20"/>
              </w:rPr>
            </w:pPr>
            <w:r w:rsidRPr="006A63D4">
              <w:rPr>
                <w:rFonts w:cs="Arial"/>
                <w:iCs/>
                <w:sz w:val="20"/>
                <w:szCs w:val="20"/>
              </w:rPr>
              <w:t>Opioid abuse or dependence</w:t>
            </w:r>
          </w:p>
        </w:tc>
        <w:tc>
          <w:tcPr>
            <w:tcW w:w="770" w:type="pct"/>
            <w:shd w:val="clear" w:color="auto" w:fill="auto"/>
          </w:tcPr>
          <w:p w:rsidR="00B92C0F" w:rsidRPr="006A63D4" w:rsidRDefault="00B92C0F" w:rsidP="00B95306">
            <w:pPr>
              <w:pStyle w:val="TableText"/>
              <w:jc w:val="center"/>
              <w:rPr>
                <w:rFonts w:cs="Arial"/>
                <w:iCs/>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Cost of treatment to the state</w:t>
            </w:r>
          </w:p>
        </w:tc>
        <w:tc>
          <w:tcPr>
            <w:tcW w:w="770" w:type="pct"/>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$1,039–$4,221</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Stakeholder interview, Birnbaum et al. (2011), 2011 TEDS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Treatment admissions</w:t>
            </w:r>
          </w:p>
        </w:tc>
        <w:tc>
          <w:tcPr>
            <w:tcW w:w="770" w:type="pct"/>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3,956</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2016 TEDS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iCs/>
                <w:sz w:val="20"/>
                <w:szCs w:val="20"/>
              </w:rPr>
            </w:pPr>
            <w:r w:rsidRPr="006A63D4">
              <w:rPr>
                <w:rFonts w:cs="Arial"/>
                <w:iCs/>
                <w:sz w:val="20"/>
                <w:szCs w:val="20"/>
              </w:rPr>
              <w:t>Post-legalization percentage change</w:t>
            </w:r>
          </w:p>
        </w:tc>
        <w:tc>
          <w:tcPr>
            <w:tcW w:w="770" w:type="pct"/>
            <w:shd w:val="clear" w:color="auto" w:fill="auto"/>
          </w:tcPr>
          <w:p w:rsidR="00B92C0F" w:rsidRPr="006A63D4" w:rsidRDefault="00B92C0F" w:rsidP="00B95306">
            <w:pPr>
              <w:pStyle w:val="TableText"/>
              <w:jc w:val="center"/>
              <w:rPr>
                <w:rFonts w:cs="Arial"/>
                <w:iCs/>
                <w:sz w:val="20"/>
                <w:szCs w:val="20"/>
              </w:rPr>
            </w:pPr>
            <w:r w:rsidRPr="006A63D4">
              <w:rPr>
                <w:rFonts w:cs="Arial"/>
                <w:sz w:val="20"/>
                <w:szCs w:val="20"/>
              </w:rPr>
              <w:t>(45.81)–22.47</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Powell et al. (2015)</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b/>
                <w:sz w:val="20"/>
                <w:szCs w:val="20"/>
              </w:rPr>
            </w:pPr>
            <w:r>
              <w:rPr>
                <w:rFonts w:cs="Arial"/>
                <w:b/>
                <w:sz w:val="20"/>
                <w:szCs w:val="20"/>
              </w:rPr>
              <w:t>Averted M</w:t>
            </w:r>
            <w:r w:rsidRPr="006A63D4">
              <w:rPr>
                <w:rFonts w:cs="Arial"/>
                <w:b/>
                <w:sz w:val="20"/>
                <w:szCs w:val="20"/>
              </w:rPr>
              <w:t>ortality</w:t>
            </w:r>
          </w:p>
        </w:tc>
        <w:tc>
          <w:tcPr>
            <w:tcW w:w="770" w:type="pct"/>
            <w:shd w:val="clear" w:color="auto" w:fill="auto"/>
          </w:tcPr>
          <w:p w:rsidR="00B92C0F" w:rsidRPr="006A63D4" w:rsidRDefault="00B92C0F" w:rsidP="00B95306">
            <w:pPr>
              <w:pStyle w:val="TableText"/>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iCs/>
                <w:sz w:val="20"/>
                <w:szCs w:val="20"/>
              </w:rPr>
            </w:pPr>
            <w:r w:rsidRPr="006A63D4">
              <w:rPr>
                <w:rFonts w:cs="Arial"/>
                <w:iCs/>
                <w:sz w:val="20"/>
                <w:szCs w:val="20"/>
              </w:rPr>
              <w:t>Opioid-related mortality</w:t>
            </w:r>
          </w:p>
        </w:tc>
        <w:tc>
          <w:tcPr>
            <w:tcW w:w="770" w:type="pct"/>
            <w:shd w:val="clear" w:color="auto" w:fill="auto"/>
          </w:tcPr>
          <w:p w:rsidR="00B92C0F" w:rsidRPr="006A63D4" w:rsidRDefault="00B92C0F" w:rsidP="00B95306">
            <w:pPr>
              <w:pStyle w:val="TableText"/>
              <w:jc w:val="center"/>
              <w:rPr>
                <w:rFonts w:cs="Arial"/>
                <w:iCs/>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C15012">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iCs/>
                <w:sz w:val="20"/>
                <w:szCs w:val="20"/>
              </w:rPr>
            </w:pPr>
            <w:r w:rsidRPr="006A63D4">
              <w:rPr>
                <w:rFonts w:cs="Arial"/>
                <w:sz w:val="20"/>
                <w:szCs w:val="20"/>
              </w:rPr>
              <w:t>Number of overdose deaths</w:t>
            </w:r>
          </w:p>
        </w:tc>
        <w:tc>
          <w:tcPr>
            <w:tcW w:w="770" w:type="pct"/>
            <w:shd w:val="clear" w:color="auto" w:fill="auto"/>
          </w:tcPr>
          <w:p w:rsidR="00B92C0F" w:rsidRPr="006A63D4" w:rsidRDefault="00B92C0F" w:rsidP="00B95306">
            <w:pPr>
              <w:pStyle w:val="TableText"/>
              <w:jc w:val="center"/>
              <w:rPr>
                <w:rFonts w:cs="Arial"/>
                <w:iCs/>
                <w:sz w:val="20"/>
                <w:szCs w:val="20"/>
              </w:rPr>
            </w:pPr>
            <w:r w:rsidRPr="006A63D4">
              <w:rPr>
                <w:rFonts w:cs="Arial"/>
                <w:sz w:val="20"/>
                <w:szCs w:val="20"/>
              </w:rPr>
              <w:t>1,990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MPDH</w:t>
            </w:r>
          </w:p>
        </w:tc>
      </w:tr>
      <w:tr w:rsidR="00B92C0F" w:rsidRPr="00E12150" w:rsidTr="00C15012">
        <w:trPr>
          <w:trHeight w:val="144"/>
        </w:trPr>
        <w:tc>
          <w:tcPr>
            <w:tcW w:w="2595" w:type="pct"/>
            <w:tcBorders>
              <w:left w:val="single" w:sz="4" w:space="0" w:color="auto"/>
              <w:bottom w:val="single" w:sz="4" w:space="0" w:color="auto"/>
            </w:tcBorders>
            <w:shd w:val="clear" w:color="auto" w:fill="auto"/>
          </w:tcPr>
          <w:p w:rsidR="00B92C0F" w:rsidRPr="006A63D4" w:rsidRDefault="00B92C0F" w:rsidP="00B95306">
            <w:pPr>
              <w:pStyle w:val="TableText"/>
              <w:ind w:left="374"/>
              <w:rPr>
                <w:rFonts w:cs="Arial"/>
                <w:iCs/>
                <w:sz w:val="20"/>
                <w:szCs w:val="20"/>
              </w:rPr>
            </w:pPr>
            <w:r w:rsidRPr="006A63D4">
              <w:rPr>
                <w:rFonts w:cs="Arial"/>
                <w:iCs/>
                <w:sz w:val="20"/>
                <w:szCs w:val="20"/>
              </w:rPr>
              <w:t>Post-legalization percentage change</w:t>
            </w:r>
          </w:p>
        </w:tc>
        <w:tc>
          <w:tcPr>
            <w:tcW w:w="770" w:type="pct"/>
            <w:tcBorders>
              <w:bottom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sz w:val="20"/>
                <w:szCs w:val="20"/>
              </w:rPr>
              <w:t>(18.00)–(17.90)</w:t>
            </w:r>
          </w:p>
        </w:tc>
        <w:tc>
          <w:tcPr>
            <w:tcW w:w="1635" w:type="pct"/>
            <w:tcBorders>
              <w:bottom w:val="single" w:sz="4" w:space="0" w:color="auto"/>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Powell et al. (2015); Bachhuber, Saloner, Cunningham, &amp; Barry (2014)</w:t>
            </w:r>
          </w:p>
        </w:tc>
      </w:tr>
      <w:tr w:rsidR="00B92C0F" w:rsidRPr="00E12150" w:rsidTr="00C15012">
        <w:trPr>
          <w:trHeight w:val="144"/>
        </w:trPr>
        <w:tc>
          <w:tcPr>
            <w:tcW w:w="2595" w:type="pct"/>
            <w:tcBorders>
              <w:top w:val="single" w:sz="4" w:space="0" w:color="auto"/>
              <w:left w:val="single" w:sz="4" w:space="0" w:color="auto"/>
              <w:bottom w:val="single" w:sz="4" w:space="0" w:color="auto"/>
            </w:tcBorders>
            <w:shd w:val="clear" w:color="auto" w:fill="auto"/>
          </w:tcPr>
          <w:p w:rsidR="00B92C0F" w:rsidRPr="006A63D4" w:rsidRDefault="00B92C0F" w:rsidP="00B95306">
            <w:pPr>
              <w:pStyle w:val="TableText"/>
              <w:rPr>
                <w:rFonts w:cs="Arial"/>
                <w:iCs/>
                <w:sz w:val="20"/>
                <w:szCs w:val="20"/>
              </w:rPr>
            </w:pPr>
            <w:r w:rsidRPr="006A63D4">
              <w:rPr>
                <w:rFonts w:cs="Arial"/>
                <w:sz w:val="20"/>
                <w:szCs w:val="20"/>
              </w:rPr>
              <w:t xml:space="preserve">    Average income</w:t>
            </w:r>
          </w:p>
        </w:tc>
        <w:tc>
          <w:tcPr>
            <w:tcW w:w="770" w:type="pct"/>
            <w:tcBorders>
              <w:top w:val="single" w:sz="4" w:space="0" w:color="auto"/>
              <w:bottom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sz w:val="20"/>
                <w:szCs w:val="20"/>
              </w:rPr>
              <w:t>$60,840</w:t>
            </w:r>
          </w:p>
        </w:tc>
        <w:tc>
          <w:tcPr>
            <w:tcW w:w="1635" w:type="pct"/>
            <w:tcBorders>
              <w:top w:val="single" w:sz="4" w:space="0" w:color="auto"/>
              <w:bottom w:val="single" w:sz="4" w:space="0" w:color="auto"/>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ACS</w:t>
            </w:r>
          </w:p>
        </w:tc>
      </w:tr>
      <w:tr w:rsidR="00B92C0F" w:rsidRPr="00E12150" w:rsidTr="008F6B2A">
        <w:trPr>
          <w:trHeight w:val="144"/>
        </w:trPr>
        <w:tc>
          <w:tcPr>
            <w:tcW w:w="2595" w:type="pct"/>
            <w:tcBorders>
              <w:top w:val="single" w:sz="4" w:space="0" w:color="auto"/>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Suicides</w:t>
            </w:r>
          </w:p>
        </w:tc>
        <w:tc>
          <w:tcPr>
            <w:tcW w:w="770" w:type="pct"/>
            <w:tcBorders>
              <w:top w:val="single" w:sz="4" w:space="0" w:color="auto"/>
            </w:tcBorders>
            <w:shd w:val="clear" w:color="auto" w:fill="auto"/>
          </w:tcPr>
          <w:p w:rsidR="00B92C0F" w:rsidRPr="006A63D4" w:rsidRDefault="00B92C0F" w:rsidP="00B95306">
            <w:pPr>
              <w:pStyle w:val="TableText"/>
              <w:jc w:val="center"/>
              <w:rPr>
                <w:rFonts w:cs="Arial"/>
                <w:sz w:val="20"/>
                <w:szCs w:val="20"/>
              </w:rPr>
            </w:pPr>
          </w:p>
        </w:tc>
        <w:tc>
          <w:tcPr>
            <w:tcW w:w="1635" w:type="pct"/>
            <w:tcBorders>
              <w:top w:val="single" w:sz="4" w:space="0" w:color="auto"/>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Cost of a suicide to the state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$39,887</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Shepard, Gurewich, Lwin, Reed, &amp; Silverman (2015)</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 xml:space="preserve">    Number of suicides, males age 20–29</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76</w:t>
            </w:r>
          </w:p>
        </w:tc>
        <w:tc>
          <w:tcPr>
            <w:tcW w:w="1635" w:type="pct"/>
            <w:tcBorders>
              <w:right w:val="single" w:sz="4" w:space="0" w:color="auto"/>
            </w:tcBorders>
            <w:shd w:val="clear" w:color="auto" w:fill="auto"/>
          </w:tcPr>
          <w:p w:rsidR="00B92C0F" w:rsidRPr="006A63D4" w:rsidRDefault="00B92C0F" w:rsidP="00B95306">
            <w:pPr>
              <w:pStyle w:val="TableText"/>
              <w:ind w:left="187"/>
              <w:jc w:val="center"/>
              <w:rPr>
                <w:rFonts w:cs="Arial"/>
                <w:iCs/>
                <w:sz w:val="20"/>
                <w:szCs w:val="20"/>
              </w:rPr>
            </w:pPr>
            <w:r w:rsidRPr="006A63D4">
              <w:rPr>
                <w:rFonts w:cs="Arial"/>
                <w:iCs/>
                <w:sz w:val="20"/>
                <w:szCs w:val="20"/>
              </w:rPr>
              <w:t>2015 CDC Vital Statistics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sz w:val="20"/>
                <w:szCs w:val="20"/>
              </w:rPr>
            </w:pPr>
            <w:r w:rsidRPr="006A63D4">
              <w:rPr>
                <w:rFonts w:cs="Arial"/>
                <w:sz w:val="20"/>
                <w:szCs w:val="20"/>
              </w:rPr>
              <w:t>Post-legalization percentage change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(18.8)–(3.8)</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Anderson, Rees, &amp; Sabia (2014)</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Average income, males age 20–29</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$24,228</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ACS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Number of suicides, males age 30–39</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77</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CDC Vital Statistics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sz w:val="20"/>
                <w:szCs w:val="20"/>
              </w:rPr>
            </w:pPr>
            <w:r w:rsidRPr="006A63D4">
              <w:rPr>
                <w:rFonts w:cs="Arial"/>
                <w:sz w:val="20"/>
                <w:szCs w:val="20"/>
              </w:rPr>
              <w:t>Post-legalization percentage change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(17.5)–(2.4)</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Anderson, Rees, &amp; Sabia (2014)</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 xml:space="preserve">     Average income, males age 30–39</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$56,913</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ACS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Traffic fatalities</w:t>
            </w:r>
          </w:p>
        </w:tc>
        <w:tc>
          <w:tcPr>
            <w:tcW w:w="2405" w:type="pct"/>
            <w:gridSpan w:val="2"/>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
                <w:sz w:val="20"/>
                <w:szCs w:val="20"/>
              </w:rPr>
              <w:t>see Law Enforcement section above</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 xml:space="preserve">   Average income</w:t>
            </w:r>
          </w:p>
        </w:tc>
        <w:tc>
          <w:tcPr>
            <w:tcW w:w="2405" w:type="pct"/>
            <w:gridSpan w:val="2"/>
            <w:tcBorders>
              <w:right w:val="single" w:sz="4" w:space="0" w:color="auto"/>
            </w:tcBorders>
            <w:shd w:val="clear" w:color="auto" w:fill="auto"/>
          </w:tcPr>
          <w:p w:rsidR="00B92C0F" w:rsidRPr="006A63D4" w:rsidRDefault="00B92C0F" w:rsidP="00B95306">
            <w:pPr>
              <w:pStyle w:val="TableText"/>
              <w:jc w:val="center"/>
              <w:rPr>
                <w:rFonts w:cs="Arial"/>
                <w:i/>
                <w:sz w:val="20"/>
                <w:szCs w:val="20"/>
              </w:rPr>
            </w:pPr>
            <w:r w:rsidRPr="006A63D4">
              <w:rPr>
                <w:rFonts w:cs="Arial"/>
                <w:i/>
                <w:sz w:val="20"/>
                <w:szCs w:val="20"/>
              </w:rPr>
              <w:t>see Opioid-related mortality above</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b/>
                <w:sz w:val="20"/>
                <w:szCs w:val="20"/>
              </w:rPr>
            </w:pPr>
            <w:r>
              <w:rPr>
                <w:rFonts w:cs="Arial"/>
                <w:b/>
                <w:sz w:val="20"/>
                <w:szCs w:val="20"/>
              </w:rPr>
              <w:t>Worker P</w:t>
            </w:r>
            <w:r w:rsidRPr="006A63D4">
              <w:rPr>
                <w:rFonts w:cs="Arial"/>
                <w:b/>
                <w:sz w:val="20"/>
                <w:szCs w:val="20"/>
              </w:rPr>
              <w:t>roductivity</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Number of recreational dispensaries</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123</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MDPH estimate</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Average salary for minimum wage full-time employees</w:t>
            </w:r>
            <w:r w:rsidRPr="006A63D4">
              <w:rPr>
                <w:rFonts w:cs="Arial"/>
                <w:sz w:val="20"/>
                <w:szCs w:val="20"/>
                <w:vertAlign w:val="superscript"/>
              </w:rPr>
              <w:t>a,b</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$22,000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$11/hr, 40 hrs/wk, 50 wks/yr</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Income tax rate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0.05</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MA DOR</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Number of FTEs at minimum wage per dispensary</w:t>
            </w:r>
            <w:r w:rsidRPr="006A63D4">
              <w:rPr>
                <w:rFonts w:cs="Arial"/>
                <w:sz w:val="20"/>
                <w:szCs w:val="20"/>
                <w:vertAlign w:val="superscript"/>
              </w:rPr>
              <w:t xml:space="preserve">    </w:t>
            </w:r>
            <w:r w:rsidRPr="006A63D4">
              <w:rPr>
                <w:rFonts w:cs="Arial"/>
                <w:sz w:val="20"/>
                <w:szCs w:val="20"/>
                <w:vertAlign w:val="superscript"/>
              </w:rPr>
              <w:br/>
            </w:r>
            <w:r w:rsidRPr="006A63D4">
              <w:rPr>
                <w:rFonts w:cs="Arial"/>
                <w:sz w:val="20"/>
                <w:szCs w:val="20"/>
              </w:rPr>
              <w:t>previously unemployed or working in illicit market</w:t>
            </w:r>
            <w:r w:rsidRPr="006A63D4">
              <w:rPr>
                <w:rFonts w:cs="Arial"/>
                <w:sz w:val="20"/>
                <w:szCs w:val="20"/>
                <w:vertAlign w:val="superscript"/>
              </w:rPr>
              <w:t>b</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0-10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Authors’ assumption</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Hourly earnings, employed males age 20–29</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Population total</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340,203</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ACS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Average hourly earnings</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$15.6</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ACS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sz w:val="20"/>
                <w:szCs w:val="20"/>
              </w:rPr>
            </w:pPr>
            <w:r w:rsidRPr="006A63D4">
              <w:rPr>
                <w:rFonts w:cs="Arial"/>
                <w:sz w:val="20"/>
                <w:szCs w:val="20"/>
              </w:rPr>
              <w:tab/>
              <w:t>Post-legalization absolute change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($4.85)–($0.42)</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Sabia and Nguyen (2016)</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Average hours worked per week</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37.4</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
                <w:iCs/>
                <w:sz w:val="20"/>
                <w:szCs w:val="20"/>
              </w:rPr>
            </w:pPr>
            <w:r w:rsidRPr="006A63D4">
              <w:rPr>
                <w:rFonts w:cs="Arial"/>
                <w:iCs/>
                <w:sz w:val="20"/>
                <w:szCs w:val="20"/>
              </w:rPr>
              <w:t>2015 ACS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Average weeks worked per year</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51</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ACS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Full-time employment, females age 50+</w:t>
            </w:r>
            <w:r w:rsidRPr="006A63D4">
              <w:rPr>
                <w:rFonts w:cs="Arial"/>
                <w:sz w:val="20"/>
                <w:szCs w:val="20"/>
                <w:vertAlign w:val="superscript"/>
              </w:rPr>
              <w:t xml:space="preserve"> b</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Population total</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532,394</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ACS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Average earnings per year</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$49,175</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ACS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Percentage employed full time</w:t>
            </w:r>
            <w:r w:rsidRPr="006A63D4">
              <w:rPr>
                <w:rFonts w:cs="Arial"/>
                <w:sz w:val="20"/>
                <w:szCs w:val="20"/>
                <w:vertAlign w:val="superscript"/>
              </w:rPr>
              <w:t>b</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28.5</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2015 ACS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374"/>
              <w:rPr>
                <w:rFonts w:cs="Arial"/>
                <w:sz w:val="20"/>
                <w:szCs w:val="20"/>
              </w:rPr>
            </w:pPr>
            <w:r w:rsidRPr="006A63D4">
              <w:rPr>
                <w:rFonts w:cs="Arial"/>
                <w:sz w:val="20"/>
                <w:szCs w:val="20"/>
              </w:rPr>
              <w:tab/>
              <w:t>Post-legalization percentage change</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1.34–17.48</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Nicholas and Maclean (2016)</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rPr>
                <w:rFonts w:cs="Arial"/>
                <w:sz w:val="20"/>
                <w:szCs w:val="20"/>
              </w:rPr>
            </w:pPr>
            <w:r w:rsidRPr="006A63D4">
              <w:rPr>
                <w:rFonts w:cs="Arial"/>
                <w:sz w:val="20"/>
                <w:szCs w:val="20"/>
              </w:rPr>
              <w:t>Hours worked per week, employed males age 50+</w:t>
            </w:r>
          </w:p>
        </w:tc>
        <w:tc>
          <w:tcPr>
            <w:tcW w:w="770" w:type="pct"/>
            <w:shd w:val="clear" w:color="auto" w:fill="auto"/>
          </w:tcPr>
          <w:p w:rsidR="00B92C0F" w:rsidRPr="006A63D4" w:rsidRDefault="00B92C0F" w:rsidP="00B95306">
            <w:pPr>
              <w:pStyle w:val="TableText"/>
              <w:jc w:val="center"/>
              <w:rPr>
                <w:rFonts w:cs="Arial"/>
                <w:sz w:val="20"/>
                <w:szCs w:val="20"/>
              </w:rPr>
            </w:pP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Population total</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539,526</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Census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Average hourly earnings</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$34.1</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ACS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Average hours worked per week</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41.7</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ACS</w:t>
            </w:r>
          </w:p>
        </w:tc>
      </w:tr>
      <w:tr w:rsidR="00B92C0F" w:rsidRPr="00E12150" w:rsidTr="00B95306">
        <w:trPr>
          <w:trHeight w:val="144"/>
        </w:trPr>
        <w:tc>
          <w:tcPr>
            <w:tcW w:w="2595" w:type="pct"/>
            <w:tcBorders>
              <w:left w:val="single" w:sz="4" w:space="0" w:color="auto"/>
            </w:tcBorders>
            <w:shd w:val="clear" w:color="auto" w:fill="auto"/>
          </w:tcPr>
          <w:p w:rsidR="00B92C0F" w:rsidRPr="006A63D4" w:rsidRDefault="00B92C0F" w:rsidP="00B95306">
            <w:pPr>
              <w:pStyle w:val="TableText"/>
              <w:ind w:left="187"/>
              <w:rPr>
                <w:rFonts w:cs="Arial"/>
                <w:sz w:val="20"/>
                <w:szCs w:val="20"/>
              </w:rPr>
            </w:pPr>
            <w:r w:rsidRPr="006A63D4">
              <w:rPr>
                <w:rFonts w:cs="Arial"/>
                <w:sz w:val="20"/>
                <w:szCs w:val="20"/>
              </w:rPr>
              <w:t>Average weeks worked per year</w:t>
            </w:r>
          </w:p>
        </w:tc>
        <w:tc>
          <w:tcPr>
            <w:tcW w:w="770" w:type="pct"/>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50</w:t>
            </w:r>
          </w:p>
        </w:tc>
        <w:tc>
          <w:tcPr>
            <w:tcW w:w="1635" w:type="pct"/>
            <w:tcBorders>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ACS</w:t>
            </w:r>
          </w:p>
        </w:tc>
      </w:tr>
      <w:tr w:rsidR="00B92C0F" w:rsidRPr="00E12150" w:rsidTr="00B95306">
        <w:trPr>
          <w:trHeight w:val="144"/>
        </w:trPr>
        <w:tc>
          <w:tcPr>
            <w:tcW w:w="2595" w:type="pct"/>
            <w:tcBorders>
              <w:left w:val="single" w:sz="4" w:space="0" w:color="auto"/>
              <w:bottom w:val="single" w:sz="4" w:space="0" w:color="auto"/>
            </w:tcBorders>
            <w:shd w:val="clear" w:color="auto" w:fill="auto"/>
          </w:tcPr>
          <w:p w:rsidR="00B92C0F" w:rsidRPr="006A63D4" w:rsidRDefault="00B92C0F" w:rsidP="00B95306">
            <w:pPr>
              <w:pStyle w:val="TableText"/>
              <w:ind w:left="432"/>
              <w:rPr>
                <w:rFonts w:cs="Arial"/>
                <w:sz w:val="20"/>
                <w:szCs w:val="20"/>
              </w:rPr>
            </w:pPr>
            <w:r w:rsidRPr="006A63D4">
              <w:rPr>
                <w:rFonts w:cs="Arial"/>
                <w:sz w:val="20"/>
                <w:szCs w:val="20"/>
              </w:rPr>
              <w:t>Post-legalization percentage change</w:t>
            </w:r>
          </w:p>
        </w:tc>
        <w:tc>
          <w:tcPr>
            <w:tcW w:w="770" w:type="pct"/>
            <w:tcBorders>
              <w:bottom w:val="single" w:sz="4" w:space="0" w:color="auto"/>
            </w:tcBorders>
            <w:shd w:val="clear" w:color="auto" w:fill="auto"/>
          </w:tcPr>
          <w:p w:rsidR="00B92C0F" w:rsidRPr="006A63D4" w:rsidRDefault="00B92C0F" w:rsidP="00B95306">
            <w:pPr>
              <w:pStyle w:val="TableText"/>
              <w:jc w:val="center"/>
              <w:rPr>
                <w:rFonts w:cs="Arial"/>
                <w:sz w:val="20"/>
                <w:szCs w:val="20"/>
              </w:rPr>
            </w:pPr>
            <w:r w:rsidRPr="006A63D4">
              <w:rPr>
                <w:rFonts w:cs="Arial"/>
                <w:sz w:val="20"/>
                <w:szCs w:val="20"/>
              </w:rPr>
              <w:t>(0.98)–10.78</w:t>
            </w:r>
          </w:p>
        </w:tc>
        <w:tc>
          <w:tcPr>
            <w:tcW w:w="1635" w:type="pct"/>
            <w:tcBorders>
              <w:bottom w:val="single" w:sz="4" w:space="0" w:color="auto"/>
              <w:right w:val="single" w:sz="4" w:space="0" w:color="auto"/>
            </w:tcBorders>
            <w:shd w:val="clear" w:color="auto" w:fill="auto"/>
          </w:tcPr>
          <w:p w:rsidR="00B92C0F" w:rsidRPr="006A63D4" w:rsidRDefault="00B92C0F" w:rsidP="00B95306">
            <w:pPr>
              <w:pStyle w:val="TableText"/>
              <w:jc w:val="center"/>
              <w:rPr>
                <w:rFonts w:cs="Arial"/>
                <w:iCs/>
                <w:sz w:val="20"/>
                <w:szCs w:val="20"/>
              </w:rPr>
            </w:pPr>
            <w:r w:rsidRPr="006A63D4">
              <w:rPr>
                <w:rFonts w:cs="Arial"/>
                <w:iCs/>
                <w:sz w:val="20"/>
                <w:szCs w:val="20"/>
              </w:rPr>
              <w:t>Nicholas and Maclean (2016)</w:t>
            </w:r>
          </w:p>
        </w:tc>
      </w:tr>
    </w:tbl>
    <w:p w:rsidR="00B92C0F" w:rsidRPr="00335C52" w:rsidRDefault="00B92C0F" w:rsidP="00B92C0F">
      <w:pPr>
        <w:pStyle w:val="TableSourceCaption"/>
        <w:tabs>
          <w:tab w:val="clear" w:pos="792"/>
          <w:tab w:val="left" w:pos="0"/>
        </w:tabs>
        <w:spacing w:before="0" w:line="240" w:lineRule="auto"/>
        <w:ind w:left="0" w:firstLine="0"/>
        <w:rPr>
          <w:rFonts w:cs="Arial"/>
          <w:sz w:val="20"/>
          <w:szCs w:val="24"/>
        </w:rPr>
      </w:pPr>
      <w:r w:rsidRPr="00335C52">
        <w:rPr>
          <w:rFonts w:cs="Arial"/>
          <w:sz w:val="20"/>
          <w:szCs w:val="24"/>
        </w:rPr>
        <w:t xml:space="preserve">Sources: Mathematica’s synthesis of estimates from the literature, key stakeholder interviews, and primary and secondary data sources on the impact of legalized adult use of marijuana in Massachusetts. </w:t>
      </w:r>
    </w:p>
    <w:p w:rsidR="00B92C0F" w:rsidRPr="00335C52" w:rsidRDefault="00B92C0F" w:rsidP="00B92C0F">
      <w:pPr>
        <w:pStyle w:val="TableSourceCaption"/>
        <w:spacing w:before="0" w:line="240" w:lineRule="auto"/>
        <w:rPr>
          <w:rFonts w:cs="Arial"/>
          <w:sz w:val="20"/>
          <w:szCs w:val="24"/>
        </w:rPr>
      </w:pPr>
      <w:r w:rsidRPr="00335C52">
        <w:rPr>
          <w:rFonts w:cs="Arial"/>
          <w:sz w:val="20"/>
          <w:szCs w:val="24"/>
        </w:rPr>
        <w:t>Note: Values in parentheses reflect negative values.</w:t>
      </w:r>
    </w:p>
    <w:p w:rsidR="00B92C0F" w:rsidRPr="00335C52" w:rsidRDefault="00B92C0F" w:rsidP="00B92C0F">
      <w:pPr>
        <w:pStyle w:val="TableFootnoteCaption"/>
        <w:spacing w:before="0" w:line="240" w:lineRule="auto"/>
        <w:rPr>
          <w:rFonts w:cs="Arial"/>
          <w:sz w:val="20"/>
          <w:szCs w:val="24"/>
        </w:rPr>
      </w:pPr>
      <w:r w:rsidRPr="00335C52">
        <w:rPr>
          <w:rFonts w:cs="Arial"/>
          <w:sz w:val="20"/>
          <w:szCs w:val="24"/>
          <w:vertAlign w:val="superscript"/>
        </w:rPr>
        <w:t xml:space="preserve">a </w:t>
      </w:r>
      <w:r w:rsidRPr="00335C52">
        <w:rPr>
          <w:rFonts w:cs="Arial"/>
          <w:sz w:val="20"/>
          <w:szCs w:val="24"/>
        </w:rPr>
        <w:t xml:space="preserve">Values were calculated by the authors based on the data. </w:t>
      </w:r>
    </w:p>
    <w:p w:rsidR="00B92C0F" w:rsidRPr="00335C52" w:rsidRDefault="00B92C0F" w:rsidP="00B92C0F">
      <w:pPr>
        <w:pStyle w:val="TableFootnoteCaption"/>
        <w:spacing w:before="0" w:line="240" w:lineRule="auto"/>
        <w:rPr>
          <w:rFonts w:cs="Arial"/>
          <w:sz w:val="20"/>
          <w:szCs w:val="24"/>
        </w:rPr>
      </w:pPr>
      <w:r w:rsidRPr="00335C52">
        <w:rPr>
          <w:rFonts w:cs="Arial"/>
          <w:sz w:val="20"/>
          <w:szCs w:val="24"/>
          <w:vertAlign w:val="superscript"/>
        </w:rPr>
        <w:t xml:space="preserve">b </w:t>
      </w:r>
      <w:r w:rsidRPr="00335C52">
        <w:rPr>
          <w:rFonts w:cs="Arial"/>
          <w:sz w:val="20"/>
          <w:szCs w:val="24"/>
        </w:rPr>
        <w:t>FTE = full-time employee, with full-time defined as working more than 35 hours per week.</w:t>
      </w:r>
    </w:p>
    <w:p w:rsidR="00B92C0F" w:rsidRPr="00335C52" w:rsidRDefault="00B92C0F" w:rsidP="00B92C0F">
      <w:pPr>
        <w:pStyle w:val="TableSignificanceCaption"/>
        <w:spacing w:before="0" w:line="240" w:lineRule="auto"/>
        <w:rPr>
          <w:rFonts w:cs="Arial"/>
          <w:sz w:val="20"/>
          <w:szCs w:val="24"/>
        </w:rPr>
      </w:pPr>
      <w:r w:rsidRPr="00335C52">
        <w:rPr>
          <w:rFonts w:cs="Arial"/>
          <w:sz w:val="20"/>
          <w:szCs w:val="24"/>
        </w:rPr>
        <w:t>ACS = American Community Survey;  BRFSS = Behavioral Risk Factor Surveillance System;  CCC = Cannabis Control Commission;  CDC = Centers for Disease Control and Prevention;  FARS = Fatality Analysis Reporting System;  LCB = Liquor Cannabis Board;  MA DOR = Massachusetts Department of Revenue.;  MBHS = Marijuana Baseline Health Study;  MDOC = Massachusetts Department of Corrections;  MDPH = Massachusetts Department of Public Health;  NSDUH = National Survey on Drug Use and Health;  RMD = registered marijuana dispensary;  TEDS = Treatment Episode Data Set;  WSIPP = Washington State Institute for Public Policy;  YHS = Massachusetts Youth Health Survey;  YRBSS = Youth Risk Behavior Surveillance System.</w:t>
      </w:r>
    </w:p>
    <w:p w:rsidR="00B92C0F" w:rsidRDefault="00B92C0F" w:rsidP="00B92C0F">
      <w:pPr>
        <w:spacing w:after="0" w:line="240" w:lineRule="auto"/>
        <w:rPr>
          <w:rFonts w:ascii="Arial" w:hAnsi="Arial" w:cs="Arial"/>
          <w:sz w:val="24"/>
          <w:szCs w:val="24"/>
          <w:highlight w:val="yellow"/>
        </w:rPr>
      </w:pPr>
    </w:p>
    <w:p w:rsidR="00335C52" w:rsidRDefault="00335C52">
      <w:pPr>
        <w:rPr>
          <w:rFonts w:ascii="Arial" w:eastAsiaTheme="majorEastAsia" w:hAnsi="Arial" w:cs="Arial"/>
          <w:b/>
          <w:sz w:val="28"/>
          <w:szCs w:val="24"/>
        </w:rPr>
      </w:pPr>
      <w:r>
        <w:br w:type="page"/>
      </w:r>
    </w:p>
    <w:p w:rsidR="00B92C0F" w:rsidRPr="00671A2B" w:rsidRDefault="005D6C32" w:rsidP="005F7A46">
      <w:pPr>
        <w:pStyle w:val="Heading2"/>
      </w:pPr>
      <w:bookmarkStart w:id="719" w:name="_Toc12520980"/>
      <w:bookmarkStart w:id="720" w:name="_Toc12529176"/>
      <w:r>
        <w:t>Figure C</w:t>
      </w:r>
      <w:r w:rsidR="00B92C0F" w:rsidRPr="006A63D4">
        <w:t>.1. New Revenue or Savings Estimated Post-Legalization, by Source</w:t>
      </w:r>
      <w:bookmarkEnd w:id="719"/>
      <w:bookmarkEnd w:id="720"/>
      <w:r w:rsidR="00B92C0F" w:rsidRPr="006A63D4">
        <w:t xml:space="preserve"> </w:t>
      </w:r>
    </w:p>
    <w:p w:rsidR="00B92C0F" w:rsidRDefault="00B92C0F" w:rsidP="00B92C0F">
      <w:pPr>
        <w:spacing w:after="0" w:line="240" w:lineRule="auto"/>
        <w:rPr>
          <w:rFonts w:ascii="Arial" w:hAnsi="Arial" w:cs="Arial"/>
          <w:sz w:val="24"/>
          <w:szCs w:val="24"/>
          <w:highlight w:val="yellow"/>
        </w:rPr>
      </w:pPr>
      <w:r w:rsidRPr="00E12150">
        <w:rPr>
          <w:rFonts w:ascii="Arial" w:hAnsi="Arial" w:cs="Arial"/>
          <w:noProof/>
          <w:sz w:val="24"/>
          <w:szCs w:val="24"/>
        </w:rPr>
        <mc:AlternateContent>
          <mc:Choice Requires="wpg">
            <w:drawing>
              <wp:anchor distT="0" distB="0" distL="114300" distR="114300" simplePos="0" relativeHeight="251670528" behindDoc="0" locked="0" layoutInCell="1" allowOverlap="1" wp14:anchorId="1B5041AA" wp14:editId="70F3D3AC">
                <wp:simplePos x="0" y="0"/>
                <wp:positionH relativeFrom="margin">
                  <wp:posOffset>135255</wp:posOffset>
                </wp:positionH>
                <wp:positionV relativeFrom="paragraph">
                  <wp:posOffset>31611</wp:posOffset>
                </wp:positionV>
                <wp:extent cx="5219065" cy="229235"/>
                <wp:effectExtent l="0" t="0" r="635" b="0"/>
                <wp:wrapNone/>
                <wp:docPr id="3" name="Group 3"/>
                <wp:cNvGraphicFramePr/>
                <a:graphic xmlns:a="http://schemas.openxmlformats.org/drawingml/2006/main">
                  <a:graphicData uri="http://schemas.microsoft.com/office/word/2010/wordprocessingGroup">
                    <wpg:wgp>
                      <wpg:cNvGrpSpPr/>
                      <wpg:grpSpPr>
                        <a:xfrm>
                          <a:off x="0" y="0"/>
                          <a:ext cx="5219065" cy="229235"/>
                          <a:chOff x="0" y="0"/>
                          <a:chExt cx="5812155" cy="255742"/>
                        </a:xfrm>
                      </wpg:grpSpPr>
                      <pic:pic xmlns:pic="http://schemas.openxmlformats.org/drawingml/2006/picture">
                        <pic:nvPicPr>
                          <pic:cNvPr id="6" name="Picture 6"/>
                          <pic:cNvPicPr>
                            <a:picLocks noChangeAspect="1"/>
                          </pic:cNvPicPr>
                        </pic:nvPicPr>
                        <pic:blipFill rotWithShape="1">
                          <a:blip r:embed="rId133">
                            <a:extLst>
                              <a:ext uri="{28A0092B-C50C-407E-A947-70E740481C1C}">
                                <a14:useLocalDpi xmlns:a14="http://schemas.microsoft.com/office/drawing/2010/main" val="0"/>
                              </a:ext>
                            </a:extLst>
                          </a:blip>
                          <a:srcRect t="12847" r="55627" b="78820"/>
                          <a:stretch/>
                        </pic:blipFill>
                        <pic:spPr bwMode="auto">
                          <a:xfrm>
                            <a:off x="0" y="0"/>
                            <a:ext cx="204787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33">
                            <a:extLst>
                              <a:ext uri="{28A0092B-C50C-407E-A947-70E740481C1C}">
                                <a14:useLocalDpi xmlns:a14="http://schemas.microsoft.com/office/drawing/2010/main" val="0"/>
                              </a:ext>
                            </a:extLst>
                          </a:blip>
                          <a:srcRect t="26041" r="70899" b="67362"/>
                          <a:stretch/>
                        </pic:blipFill>
                        <pic:spPr bwMode="auto">
                          <a:xfrm>
                            <a:off x="3419475" y="38100"/>
                            <a:ext cx="1343025" cy="180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33">
                            <a:extLst>
                              <a:ext uri="{28A0092B-C50C-407E-A947-70E740481C1C}">
                                <a14:useLocalDpi xmlns:a14="http://schemas.microsoft.com/office/drawing/2010/main" val="0"/>
                              </a:ext>
                            </a:extLst>
                          </a:blip>
                          <a:srcRect t="19444" r="66772" b="72570"/>
                          <a:stretch/>
                        </pic:blipFill>
                        <pic:spPr bwMode="auto">
                          <a:xfrm>
                            <a:off x="1990725" y="19050"/>
                            <a:ext cx="1533525" cy="219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33">
                            <a:extLst>
                              <a:ext uri="{28A0092B-C50C-407E-A947-70E740481C1C}">
                                <a14:useLocalDpi xmlns:a14="http://schemas.microsoft.com/office/drawing/2010/main" val="0"/>
                              </a:ext>
                            </a:extLst>
                          </a:blip>
                          <a:srcRect t="31944" r="75027" b="59723"/>
                          <a:stretch/>
                        </pic:blipFill>
                        <pic:spPr bwMode="auto">
                          <a:xfrm>
                            <a:off x="4714875" y="38100"/>
                            <a:ext cx="1097280" cy="21764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0.65pt;margin-top:2.5pt;width:410.95pt;height:18.05pt;z-index:251670528;mso-position-horizontal-relative:margin;mso-width-relative:margin;mso-height-relative:margin" coordsize="58121,2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0478;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vi3K8AAAA2gAAAA8AAABkcnMvZG93bnJldi54bWxEj80KwjAQhO+C7xBW8KaJokWrUUQQPHjx&#10;7740a1tsNqWJWt/eCILHYWa+YZbr1lbiSY0vHWsYDRUI4syZknMNl/NuMAPhA7LByjFpeJOH9arb&#10;WWJq3IuP9DyFXEQI+xQ1FCHUqZQ+K8iiH7qaOHo311gMUTa5NA2+ItxWcqxUIi2WHBcKrGlbUHY/&#10;PawG014myeOtDmQ2SpbXaTA3N9e632s3CxCB2vAP/9p7oyGB75V4A+Tq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uL4tyvAAAANoAAAAPAAAAAAAAAAAAAAAAAJ8CAABkcnMv&#10;ZG93bnJldi54bWxQSwUGAAAAAAQABAD3AAAAiAMAAAAA&#10;">
                  <v:imagedata r:id="rId142" o:title="" croptop="8419f" cropbottom="51655f" cropright="36456f"/>
                  <v:path arrowok="t"/>
                </v:shape>
                <v:shape id="Picture 7" o:spid="_x0000_s1028" type="#_x0000_t75" style="position:absolute;left:34194;top:381;width:13431;height: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tl6bEAAAA2gAAAA8AAABkcnMvZG93bnJldi54bWxEj0FrwkAUhO9C/8PyCr2ZjVqMpK4ihYBQ&#10;KDWWen1kn0na7NuQXZO0v74rCB6HmfmGWW9H04ieOldbVjCLYhDEhdU1lwo+j9l0BcJ5ZI2NZVLw&#10;Sw62m4fJGlNtBz5Qn/tSBAi7FBVU3replK6oyKCLbEscvLPtDPogu1LqDocAN42cx/FSGqw5LFTY&#10;0mtFxU9+MQroPZl95bs6O3/j27P7WwzFafhQ6ulx3L2A8DT6e/jW3msFCVyvhBs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tl6bEAAAA2gAAAA8AAAAAAAAAAAAAAAAA&#10;nwIAAGRycy9kb3ducmV2LnhtbFBLBQYAAAAABAAEAPcAAACQAwAAAAA=&#10;">
                  <v:imagedata r:id="rId142" o:title="" croptop="17066f" cropbottom="44146f" cropright="46464f"/>
                  <v:path arrowok="t"/>
                </v:shape>
                <v:shape id="Picture 8" o:spid="_x0000_s1029" type="#_x0000_t75" style="position:absolute;left:19907;top:190;width:15335;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15xi+AAAA2gAAAA8AAABkcnMvZG93bnJldi54bWxET8uKwjAU3Q/4D+EK7sbUWYhWo6ggDIgw&#10;PhYur821iTY3pYla/36yEFwezns6b10lHtQE61nBoJ+BIC68tlwqOB7W3yMQISJrrDyTghcFmM86&#10;X1PMtX/yjh77WIoUwiFHBSbGOpcyFIYchr6viRN38Y3DmGBTSt3gM4W7Sv5k2VA6tJwaDNa0MlTc&#10;9nenwB7YXt2Rz+usrTfb09js/pZGqV63XUxARGrjR/x2/2oFaWu6km6AnP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o15xi+AAAA2gAAAA8AAAAAAAAAAAAAAAAAnwIAAGRy&#10;cy9kb3ducmV2LnhtbFBLBQYAAAAABAAEAPcAAACKAwAAAAA=&#10;">
                  <v:imagedata r:id="rId142" o:title="" croptop="12743f" cropbottom="47559f" cropright="43760f"/>
                  <v:path arrowok="t"/>
                </v:shape>
                <v:shape id="Picture 10" o:spid="_x0000_s1030" type="#_x0000_t75" style="position:absolute;left:47148;top:381;width:10973;height:2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j1jDAAAA2wAAAA8AAABkcnMvZG93bnJldi54bWxEj0FPwzAMhe9I/IfISLuxlB2mUZZNE2XS&#10;Jk4MEFerMW1Z4lR1tnX/Hh+QuNl6z+99Xq7HGMyZBukSO3iYFmCI6+Q7bhx8vG/vF2AkI3sMicnB&#10;lQTWq9ubJZY+XfiNzofcGA1hKdFBm3NfWit1SxFlmnpi1b7TEDHrOjTWD3jR8BjsrCjmNmLH2tBi&#10;T88t1cfDKToIYVN9ViTNMf3spf96lcfqZeHc5G7cPIHJNOZ/89/1ziu+0usvOoBd/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WPWMMAAADbAAAADwAAAAAAAAAAAAAAAACf&#10;AgAAZHJzL2Rvd25yZXYueG1sUEsFBgAAAAAEAAQA9wAAAI8DAAAAAA==&#10;">
                  <v:imagedata r:id="rId142" o:title="" croptop="20935f" cropbottom="39140f" cropright="49170f"/>
                  <v:path arrowok="t"/>
                </v:shape>
                <w10:wrap anchorx="margin"/>
              </v:group>
            </w:pict>
          </mc:Fallback>
        </mc:AlternateContent>
      </w:r>
    </w:p>
    <w:p w:rsidR="00B92C0F" w:rsidRDefault="00484177" w:rsidP="00B92C0F">
      <w:pPr>
        <w:spacing w:after="0" w:line="240" w:lineRule="auto"/>
        <w:rPr>
          <w:rFonts w:ascii="Arial" w:hAnsi="Arial" w:cs="Arial"/>
          <w:sz w:val="24"/>
          <w:szCs w:val="24"/>
          <w:highlight w:val="yellow"/>
        </w:rPr>
      </w:pPr>
      <w:r>
        <w:rPr>
          <w:rFonts w:ascii="Arial" w:hAnsi="Arial" w:cs="Arial"/>
          <w:noProof/>
          <w:sz w:val="24"/>
          <w:szCs w:val="24"/>
        </w:rPr>
        <w:drawing>
          <wp:inline distT="0" distB="0" distL="0" distR="0" wp14:anchorId="550C612C" wp14:editId="56F8C035">
            <wp:extent cx="5944235" cy="6163310"/>
            <wp:effectExtent l="0" t="0" r="0" b="8890"/>
            <wp:docPr id="34" name="Picture 34" descr="The figure displays sources of revenue or savings and excludes measures associated with costs or losses. Mathematica analyzed the impacts of legalized adult use of marijuana in Massachusetts using estimates from the literature, key stakeholder interviews, and primary and secondary data sources. " title="New Revenue or Savings Estimated Post-Legal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4235" cy="6163310"/>
                    </a:xfrm>
                    <a:prstGeom prst="rect">
                      <a:avLst/>
                    </a:prstGeom>
                    <a:noFill/>
                  </pic:spPr>
                </pic:pic>
              </a:graphicData>
            </a:graphic>
          </wp:inline>
        </w:drawing>
      </w:r>
    </w:p>
    <w:p w:rsidR="00B92C0F" w:rsidRPr="00671A2B" w:rsidRDefault="00B92C0F" w:rsidP="00B92C0F">
      <w:pPr>
        <w:spacing w:after="0" w:line="240" w:lineRule="auto"/>
        <w:rPr>
          <w:rFonts w:ascii="Arial" w:hAnsi="Arial" w:cs="Arial"/>
          <w:sz w:val="24"/>
          <w:szCs w:val="24"/>
        </w:rPr>
      </w:pPr>
      <w:r w:rsidRPr="006A63D4">
        <w:rPr>
          <w:rFonts w:ascii="Arial" w:hAnsi="Arial" w:cs="Arial"/>
          <w:b/>
          <w:sz w:val="24"/>
          <w:szCs w:val="24"/>
        </w:rPr>
        <w:t xml:space="preserve"> </w:t>
      </w:r>
    </w:p>
    <w:p w:rsidR="00B92C0F" w:rsidRPr="00C15012" w:rsidRDefault="00B92C0F" w:rsidP="00B92C0F">
      <w:pPr>
        <w:pStyle w:val="TableSourceCaption"/>
        <w:tabs>
          <w:tab w:val="clear" w:pos="792"/>
          <w:tab w:val="left" w:pos="0"/>
        </w:tabs>
        <w:spacing w:before="0" w:line="240" w:lineRule="auto"/>
        <w:ind w:left="0" w:firstLine="0"/>
        <w:rPr>
          <w:rFonts w:cs="Arial"/>
          <w:sz w:val="20"/>
          <w:szCs w:val="24"/>
        </w:rPr>
      </w:pPr>
      <w:r w:rsidRPr="00C15012">
        <w:rPr>
          <w:rFonts w:cs="Arial"/>
          <w:sz w:val="20"/>
          <w:szCs w:val="24"/>
        </w:rPr>
        <w:t xml:space="preserve">Sources: Mathematica’s analysis of impacts of legalized adult use of marijuana in Massachusetts using estimates from the literature, key stakeholder interviews, and primary and secondary data sources. See Appendix </w:t>
      </w:r>
      <w:r w:rsidR="0010613B">
        <w:rPr>
          <w:rFonts w:cs="Arial"/>
          <w:sz w:val="20"/>
          <w:szCs w:val="24"/>
        </w:rPr>
        <w:t>C Table C</w:t>
      </w:r>
      <w:r w:rsidRPr="00C15012">
        <w:rPr>
          <w:rFonts w:cs="Arial"/>
          <w:sz w:val="20"/>
          <w:szCs w:val="24"/>
        </w:rPr>
        <w:t>.1 for data sources used to inform these estimates.</w:t>
      </w:r>
    </w:p>
    <w:p w:rsidR="00B92C0F" w:rsidRPr="00C15012" w:rsidRDefault="00B92C0F" w:rsidP="00B92C0F">
      <w:pPr>
        <w:pStyle w:val="TableSourceCaption"/>
        <w:tabs>
          <w:tab w:val="clear" w:pos="792"/>
          <w:tab w:val="left" w:pos="0"/>
        </w:tabs>
        <w:spacing w:before="0" w:line="240" w:lineRule="auto"/>
        <w:ind w:left="0" w:firstLine="0"/>
        <w:rPr>
          <w:rFonts w:cs="Arial"/>
          <w:sz w:val="20"/>
          <w:szCs w:val="24"/>
        </w:rPr>
      </w:pPr>
    </w:p>
    <w:p w:rsidR="00B92C0F" w:rsidRPr="00C15012" w:rsidRDefault="00B92C0F" w:rsidP="00B92C0F">
      <w:pPr>
        <w:pStyle w:val="TableSourceCaption"/>
        <w:tabs>
          <w:tab w:val="clear" w:pos="792"/>
          <w:tab w:val="left" w:pos="0"/>
        </w:tabs>
        <w:spacing w:before="0" w:line="240" w:lineRule="auto"/>
        <w:ind w:left="0" w:firstLine="0"/>
        <w:rPr>
          <w:rFonts w:cs="Arial"/>
          <w:sz w:val="20"/>
          <w:szCs w:val="24"/>
        </w:rPr>
      </w:pPr>
      <w:r w:rsidRPr="00C15012">
        <w:rPr>
          <w:rFonts w:cs="Arial"/>
          <w:sz w:val="20"/>
          <w:szCs w:val="24"/>
        </w:rPr>
        <w:t>Note: The table displays sources of revenue or savings and excludes measures associated with costs or losses.</w:t>
      </w:r>
    </w:p>
    <w:p w:rsidR="00B92C0F" w:rsidRPr="00C15012" w:rsidRDefault="00B92C0F" w:rsidP="00B92C0F">
      <w:pPr>
        <w:pStyle w:val="TableSignificanceCaption"/>
        <w:spacing w:before="0" w:line="240" w:lineRule="auto"/>
        <w:rPr>
          <w:rFonts w:cs="Arial"/>
          <w:noProof/>
          <w:sz w:val="20"/>
          <w:szCs w:val="24"/>
        </w:rPr>
      </w:pPr>
      <w:r w:rsidRPr="00C15012">
        <w:rPr>
          <w:rFonts w:cs="Arial"/>
          <w:sz w:val="20"/>
          <w:szCs w:val="24"/>
        </w:rPr>
        <w:t>CCC = Cannabis Control Commission; MJ = marijuana.</w:t>
      </w:r>
      <w:r w:rsidRPr="00C15012">
        <w:rPr>
          <w:rFonts w:cs="Arial"/>
          <w:noProof/>
          <w:sz w:val="20"/>
          <w:szCs w:val="24"/>
        </w:rPr>
        <w:t xml:space="preserve"> </w:t>
      </w:r>
    </w:p>
    <w:p w:rsidR="00B92C0F" w:rsidRPr="00E12150" w:rsidRDefault="00B92C0F" w:rsidP="00B92C0F">
      <w:pPr>
        <w:pStyle w:val="TableSignificanceCaption"/>
        <w:spacing w:before="0" w:line="240" w:lineRule="auto"/>
        <w:rPr>
          <w:rFonts w:cs="Arial"/>
          <w:sz w:val="24"/>
          <w:szCs w:val="24"/>
        </w:rPr>
      </w:pPr>
    </w:p>
    <w:p w:rsidR="00B92C0F" w:rsidRPr="00B92C0F" w:rsidRDefault="005D6C32" w:rsidP="005F7A46">
      <w:pPr>
        <w:pStyle w:val="Heading2"/>
      </w:pPr>
      <w:bookmarkStart w:id="721" w:name="_Toc12520981"/>
      <w:bookmarkStart w:id="722" w:name="_Toc12529177"/>
      <w:r>
        <w:t>Figure C</w:t>
      </w:r>
      <w:r w:rsidR="00B92C0F" w:rsidRPr="00B92C0F">
        <w:t>.2. Estimated Two-Year Local Tax Revenue if Registered Marijuana in all Cities/Towns</w:t>
      </w:r>
      <w:bookmarkEnd w:id="721"/>
      <w:bookmarkEnd w:id="722"/>
    </w:p>
    <w:p w:rsidR="00B92C0F" w:rsidRPr="00C15012" w:rsidRDefault="00B92C0F" w:rsidP="00B92C0F">
      <w:pPr>
        <w:pStyle w:val="NormalSS"/>
        <w:spacing w:after="0"/>
        <w:rPr>
          <w:rFonts w:ascii="Arial" w:hAnsi="Arial" w:cs="Arial"/>
          <w:sz w:val="18"/>
        </w:rPr>
      </w:pPr>
      <w:r w:rsidRPr="00C15012">
        <w:rPr>
          <w:rFonts w:ascii="Arial" w:hAnsi="Arial" w:cs="Arial"/>
          <w:noProof/>
          <w:sz w:val="20"/>
          <w:szCs w:val="24"/>
        </w:rPr>
        <w:drawing>
          <wp:anchor distT="0" distB="0" distL="114300" distR="114300" simplePos="0" relativeHeight="251671552" behindDoc="1" locked="0" layoutInCell="1" allowOverlap="1" wp14:anchorId="1FF28853" wp14:editId="36648E2D">
            <wp:simplePos x="0" y="0"/>
            <wp:positionH relativeFrom="column">
              <wp:posOffset>-47625</wp:posOffset>
            </wp:positionH>
            <wp:positionV relativeFrom="paragraph">
              <wp:posOffset>106680</wp:posOffset>
            </wp:positionV>
            <wp:extent cx="5942330" cy="3649980"/>
            <wp:effectExtent l="0" t="0" r="1270" b="7620"/>
            <wp:wrapThrough wrapText="bothSides">
              <wp:wrapPolygon edited="0">
                <wp:start x="0" y="0"/>
                <wp:lineTo x="0" y="21532"/>
                <wp:lineTo x="21535" y="21532"/>
                <wp:lineTo x="21535" y="0"/>
                <wp:lineTo x="0" y="0"/>
              </wp:wrapPolygon>
            </wp:wrapThrough>
            <wp:docPr id="14" name="Picture 14" descr="The figure shows a map of Massachusetts with varying degrees of color (light to dark), indicating the estimated local tax revenue by area. The estimates are based on Mathematica’s analysis of impacts of legalized adult use of marijuana in Massachusetts using estimates from the literature, key stakeholder interviews, and primary and secondary data sources." title="Estimated Two-Year Local Tax Revenue if Registered Marijuana in all Cities/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xRevenueMap_alltownsnoRMDs.jpg"/>
                    <pic:cNvPicPr/>
                  </pic:nvPicPr>
                  <pic:blipFill rotWithShape="1">
                    <a:blip r:embed="rId144" cstate="print">
                      <a:extLst>
                        <a:ext uri="{28A0092B-C50C-407E-A947-70E740481C1C}">
                          <a14:useLocalDpi xmlns:a14="http://schemas.microsoft.com/office/drawing/2010/main" val="0"/>
                        </a:ext>
                      </a:extLst>
                    </a:blip>
                    <a:srcRect t="11786" b="8728"/>
                    <a:stretch/>
                  </pic:blipFill>
                  <pic:spPr bwMode="auto">
                    <a:xfrm>
                      <a:off x="0" y="0"/>
                      <a:ext cx="5942330" cy="3649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5012">
        <w:rPr>
          <w:rFonts w:ascii="Arial" w:hAnsi="Arial" w:cs="Arial"/>
          <w:sz w:val="20"/>
          <w:szCs w:val="24"/>
        </w:rPr>
        <w:t xml:space="preserve">Sources: Mathematica’s analysis of impacts of legalized adult use of marijuana in Massachusetts using estimates from the literature, key stakeholder interviews, and primary and secondary data sources. See Appendix </w:t>
      </w:r>
      <w:r w:rsidR="0010613B">
        <w:rPr>
          <w:rFonts w:ascii="Arial" w:hAnsi="Arial" w:cs="Arial"/>
          <w:sz w:val="20"/>
          <w:szCs w:val="24"/>
        </w:rPr>
        <w:t>C Table C</w:t>
      </w:r>
      <w:r w:rsidRPr="00C15012">
        <w:rPr>
          <w:rFonts w:ascii="Arial" w:hAnsi="Arial" w:cs="Arial"/>
          <w:sz w:val="20"/>
          <w:szCs w:val="24"/>
        </w:rPr>
        <w:t>.1 for data sources used to inform these estimates.</w:t>
      </w:r>
    </w:p>
    <w:p w:rsidR="00B92C0F" w:rsidRDefault="00B92C0F" w:rsidP="00B92C0F">
      <w:pPr>
        <w:pStyle w:val="MarkforTableTitle"/>
        <w:spacing w:after="0"/>
        <w:rPr>
          <w:rFonts w:ascii="Arial" w:hAnsi="Arial" w:cs="Arial"/>
          <w:b/>
          <w:sz w:val="24"/>
          <w:szCs w:val="24"/>
        </w:rPr>
      </w:pPr>
    </w:p>
    <w:p w:rsidR="00B92C0F" w:rsidRDefault="00B92C0F" w:rsidP="00B92C0F">
      <w:pPr>
        <w:pStyle w:val="MarkforTableTitle"/>
        <w:spacing w:after="0"/>
        <w:rPr>
          <w:rFonts w:ascii="Arial" w:hAnsi="Arial" w:cs="Arial"/>
          <w:b/>
          <w:sz w:val="24"/>
          <w:szCs w:val="24"/>
        </w:rPr>
      </w:pPr>
    </w:p>
    <w:p w:rsidR="00B92C0F" w:rsidRDefault="00C15012" w:rsidP="00B92C0F">
      <w:pPr>
        <w:pStyle w:val="MarkforTableTitle"/>
        <w:spacing w:after="0"/>
        <w:rPr>
          <w:rFonts w:ascii="Arial" w:hAnsi="Arial" w:cs="Arial"/>
          <w:b/>
          <w:sz w:val="24"/>
          <w:szCs w:val="24"/>
        </w:rPr>
      </w:pPr>
      <w:r>
        <w:rPr>
          <w:rFonts w:ascii="Arial" w:hAnsi="Arial" w:cs="Arial"/>
          <w:b/>
          <w:sz w:val="24"/>
          <w:szCs w:val="24"/>
        </w:rPr>
        <w:t xml:space="preserve">  </w:t>
      </w:r>
    </w:p>
    <w:p w:rsidR="00C15012" w:rsidRDefault="00C15012" w:rsidP="00C15012">
      <w:pPr>
        <w:pStyle w:val="NormalSS"/>
      </w:pPr>
    </w:p>
    <w:p w:rsidR="00C15012" w:rsidRDefault="00C15012" w:rsidP="00C15012">
      <w:pPr>
        <w:pStyle w:val="NormalSS"/>
      </w:pPr>
    </w:p>
    <w:p w:rsidR="00C15012" w:rsidRDefault="00C15012" w:rsidP="00C15012">
      <w:pPr>
        <w:pStyle w:val="NormalSS"/>
      </w:pPr>
    </w:p>
    <w:p w:rsidR="00C15012" w:rsidRDefault="00C15012" w:rsidP="00C15012">
      <w:pPr>
        <w:pStyle w:val="NormalSS"/>
      </w:pPr>
    </w:p>
    <w:p w:rsidR="00C15012" w:rsidRDefault="00C15012" w:rsidP="00C15012">
      <w:pPr>
        <w:pStyle w:val="NormalSS"/>
      </w:pPr>
    </w:p>
    <w:p w:rsidR="00C15012" w:rsidRPr="00C15012" w:rsidRDefault="00C15012" w:rsidP="00C15012">
      <w:pPr>
        <w:pStyle w:val="NormalSS"/>
      </w:pPr>
    </w:p>
    <w:p w:rsidR="00B92C0F" w:rsidRDefault="00B92C0F" w:rsidP="00B92C0F">
      <w:pPr>
        <w:pStyle w:val="MarkforTableTitle"/>
        <w:spacing w:after="0"/>
        <w:rPr>
          <w:rFonts w:ascii="Arial" w:hAnsi="Arial" w:cs="Arial"/>
          <w:b/>
          <w:sz w:val="24"/>
          <w:szCs w:val="24"/>
        </w:rPr>
      </w:pPr>
    </w:p>
    <w:p w:rsidR="00B92C0F" w:rsidRDefault="00B92C0F" w:rsidP="00B92C0F">
      <w:pPr>
        <w:pStyle w:val="MarkforTableTitle"/>
        <w:spacing w:after="0"/>
        <w:rPr>
          <w:rFonts w:ascii="Arial" w:hAnsi="Arial" w:cs="Arial"/>
          <w:b/>
          <w:sz w:val="24"/>
          <w:szCs w:val="24"/>
        </w:rPr>
      </w:pPr>
    </w:p>
    <w:p w:rsidR="00B92C0F" w:rsidRDefault="00B92C0F" w:rsidP="00B92C0F">
      <w:pPr>
        <w:pStyle w:val="MarkforTableTitle"/>
        <w:spacing w:after="0"/>
        <w:rPr>
          <w:rFonts w:ascii="Arial" w:hAnsi="Arial" w:cs="Arial"/>
          <w:b/>
          <w:sz w:val="24"/>
          <w:szCs w:val="24"/>
        </w:rPr>
      </w:pPr>
    </w:p>
    <w:p w:rsidR="00B92C0F" w:rsidRDefault="00B92C0F" w:rsidP="00B92C0F">
      <w:pPr>
        <w:pStyle w:val="MarkforTableTitle"/>
        <w:spacing w:after="0"/>
        <w:rPr>
          <w:rFonts w:ascii="Arial" w:hAnsi="Arial" w:cs="Arial"/>
          <w:b/>
          <w:sz w:val="24"/>
          <w:szCs w:val="24"/>
        </w:rPr>
      </w:pPr>
    </w:p>
    <w:p w:rsidR="00B92C0F" w:rsidRPr="00671A2B" w:rsidRDefault="00B92C0F" w:rsidP="00B92C0F">
      <w:pPr>
        <w:pStyle w:val="NormalSS"/>
      </w:pPr>
    </w:p>
    <w:p w:rsidR="00B92C0F" w:rsidRDefault="005D6C32" w:rsidP="005F7A46">
      <w:pPr>
        <w:pStyle w:val="Heading2"/>
      </w:pPr>
      <w:bookmarkStart w:id="723" w:name="_Toc12520982"/>
      <w:bookmarkStart w:id="724" w:name="_Toc12529178"/>
      <w:r>
        <w:t>Table C</w:t>
      </w:r>
      <w:r w:rsidR="00B92C0F" w:rsidRPr="001A227A">
        <w:t>.2. Estimated Two-Year Local Tax Revenue if Registered Marijuana Dispensaries in all Cities/Towns</w:t>
      </w:r>
      <w:bookmarkEnd w:id="723"/>
      <w:bookmarkEnd w:id="724"/>
    </w:p>
    <w:tbl>
      <w:tblPr>
        <w:tblStyle w:val="TableGrid"/>
        <w:tblpPr w:leftFromText="180" w:rightFromText="180" w:vertAnchor="text" w:horzAnchor="margin" w:tblpY="15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stimated Two-Year Local Tax Revenue if Registered Marijuana Dispensaries in all Cities/Towns"/>
        <w:tblDescription w:val="The table summarizes and compares city or town type (urban versus rural), number of each city or town type, and estimated median, minimum, and maximums for two-year local tax revenue."/>
      </w:tblPr>
      <w:tblGrid>
        <w:gridCol w:w="4512"/>
        <w:gridCol w:w="1197"/>
        <w:gridCol w:w="1197"/>
        <w:gridCol w:w="1383"/>
        <w:gridCol w:w="1287"/>
      </w:tblGrid>
      <w:tr w:rsidR="00B92C0F" w:rsidRPr="00E12150" w:rsidTr="00D450ED">
        <w:trPr>
          <w:trHeight w:val="437"/>
        </w:trPr>
        <w:tc>
          <w:tcPr>
            <w:tcW w:w="2356" w:type="pct"/>
            <w:vMerge w:val="restart"/>
            <w:tcBorders>
              <w:top w:val="single" w:sz="4" w:space="0" w:color="auto"/>
              <w:left w:val="single" w:sz="4" w:space="0" w:color="auto"/>
            </w:tcBorders>
            <w:shd w:val="clear" w:color="auto" w:fill="auto"/>
          </w:tcPr>
          <w:p w:rsidR="00B92C0F" w:rsidRPr="001A227A" w:rsidRDefault="00B92C0F" w:rsidP="00B95306">
            <w:pPr>
              <w:pStyle w:val="TableHeaderLeft"/>
              <w:spacing w:before="0" w:after="0"/>
              <w:rPr>
                <w:rFonts w:cs="Arial"/>
                <w:color w:val="auto"/>
                <w:sz w:val="20"/>
                <w:szCs w:val="20"/>
              </w:rPr>
            </w:pPr>
            <w:r w:rsidRPr="001A227A">
              <w:rPr>
                <w:rFonts w:cs="Arial"/>
                <w:color w:val="auto"/>
                <w:sz w:val="20"/>
                <w:szCs w:val="20"/>
              </w:rPr>
              <w:t>City or town type</w:t>
            </w:r>
          </w:p>
        </w:tc>
        <w:tc>
          <w:tcPr>
            <w:tcW w:w="625" w:type="pct"/>
            <w:vMerge w:val="restart"/>
            <w:tcBorders>
              <w:top w:val="single" w:sz="4" w:space="0" w:color="auto"/>
            </w:tcBorders>
            <w:shd w:val="clear" w:color="auto" w:fill="auto"/>
          </w:tcPr>
          <w:p w:rsidR="00B92C0F" w:rsidRPr="001A227A" w:rsidRDefault="00B92C0F" w:rsidP="00B95306">
            <w:pPr>
              <w:pStyle w:val="TableHeaderCenter"/>
              <w:spacing w:before="0" w:after="0"/>
              <w:jc w:val="left"/>
              <w:rPr>
                <w:rFonts w:cs="Arial"/>
                <w:color w:val="auto"/>
                <w:sz w:val="20"/>
                <w:szCs w:val="20"/>
              </w:rPr>
            </w:pPr>
            <w:r w:rsidRPr="001A227A">
              <w:rPr>
                <w:rFonts w:cs="Arial"/>
                <w:color w:val="auto"/>
                <w:sz w:val="20"/>
                <w:szCs w:val="20"/>
              </w:rPr>
              <w:t xml:space="preserve">Number of </w:t>
            </w:r>
            <w:r w:rsidRPr="001A227A">
              <w:rPr>
                <w:rFonts w:cs="Arial"/>
                <w:color w:val="auto"/>
                <w:sz w:val="20"/>
                <w:szCs w:val="20"/>
              </w:rPr>
              <w:br/>
              <w:t>cities or towns</w:t>
            </w:r>
          </w:p>
        </w:tc>
        <w:tc>
          <w:tcPr>
            <w:tcW w:w="2019" w:type="pct"/>
            <w:gridSpan w:val="3"/>
            <w:tcBorders>
              <w:top w:val="single" w:sz="4" w:space="0" w:color="auto"/>
              <w:bottom w:val="single" w:sz="4" w:space="0" w:color="FFFFFF" w:themeColor="background1"/>
              <w:right w:val="single" w:sz="4" w:space="0" w:color="auto"/>
            </w:tcBorders>
            <w:shd w:val="clear" w:color="auto" w:fill="auto"/>
          </w:tcPr>
          <w:p w:rsidR="00B92C0F" w:rsidRPr="001A227A" w:rsidRDefault="00B92C0F" w:rsidP="00B95306">
            <w:pPr>
              <w:pStyle w:val="TableHeaderCenter"/>
              <w:spacing w:before="0" w:after="0"/>
              <w:jc w:val="left"/>
              <w:rPr>
                <w:rFonts w:cs="Arial"/>
                <w:color w:val="auto"/>
                <w:sz w:val="20"/>
                <w:szCs w:val="20"/>
              </w:rPr>
            </w:pPr>
            <w:r w:rsidRPr="001A227A">
              <w:rPr>
                <w:rFonts w:cs="Arial"/>
                <w:color w:val="auto"/>
                <w:sz w:val="20"/>
                <w:szCs w:val="20"/>
              </w:rPr>
              <w:t>Estimated two-year local tax revenue</w:t>
            </w:r>
          </w:p>
        </w:tc>
      </w:tr>
      <w:tr w:rsidR="00B92C0F" w:rsidRPr="00E12150" w:rsidTr="00B95306">
        <w:trPr>
          <w:trHeight w:val="20"/>
        </w:trPr>
        <w:tc>
          <w:tcPr>
            <w:tcW w:w="2356" w:type="pct"/>
            <w:vMerge/>
            <w:tcBorders>
              <w:left w:val="single" w:sz="4" w:space="0" w:color="auto"/>
              <w:bottom w:val="single" w:sz="4" w:space="0" w:color="auto"/>
            </w:tcBorders>
            <w:shd w:val="clear" w:color="auto" w:fill="auto"/>
          </w:tcPr>
          <w:p w:rsidR="00B92C0F" w:rsidRPr="001A227A" w:rsidRDefault="00B92C0F" w:rsidP="00B95306">
            <w:pPr>
              <w:pStyle w:val="NormalSS"/>
              <w:spacing w:after="0"/>
              <w:rPr>
                <w:rFonts w:ascii="Arial" w:hAnsi="Arial" w:cs="Arial"/>
                <w:b/>
                <w:sz w:val="20"/>
                <w:szCs w:val="20"/>
              </w:rPr>
            </w:pPr>
          </w:p>
        </w:tc>
        <w:tc>
          <w:tcPr>
            <w:tcW w:w="625" w:type="pct"/>
            <w:vMerge/>
            <w:tcBorders>
              <w:bottom w:val="single" w:sz="4" w:space="0" w:color="auto"/>
            </w:tcBorders>
            <w:shd w:val="clear" w:color="auto" w:fill="auto"/>
          </w:tcPr>
          <w:p w:rsidR="00B92C0F" w:rsidRPr="001A227A" w:rsidRDefault="00B92C0F" w:rsidP="00B95306">
            <w:pPr>
              <w:pStyle w:val="TableHeaderCenter"/>
              <w:spacing w:before="0" w:after="0"/>
              <w:jc w:val="left"/>
              <w:rPr>
                <w:rFonts w:cs="Arial"/>
                <w:color w:val="auto"/>
                <w:sz w:val="20"/>
                <w:szCs w:val="20"/>
              </w:rPr>
            </w:pPr>
          </w:p>
        </w:tc>
        <w:tc>
          <w:tcPr>
            <w:tcW w:w="625" w:type="pct"/>
            <w:tcBorders>
              <w:top w:val="single" w:sz="4" w:space="0" w:color="FFFFFF" w:themeColor="background1"/>
              <w:bottom w:val="single" w:sz="4" w:space="0" w:color="auto"/>
            </w:tcBorders>
            <w:shd w:val="clear" w:color="auto" w:fill="auto"/>
          </w:tcPr>
          <w:p w:rsidR="00B92C0F" w:rsidRPr="001A227A" w:rsidRDefault="00B92C0F" w:rsidP="00B95306">
            <w:pPr>
              <w:pStyle w:val="TableHeaderCenter"/>
              <w:spacing w:before="0" w:after="0"/>
              <w:jc w:val="left"/>
              <w:rPr>
                <w:rFonts w:cs="Arial"/>
                <w:color w:val="auto"/>
                <w:sz w:val="20"/>
                <w:szCs w:val="20"/>
              </w:rPr>
            </w:pPr>
            <w:r w:rsidRPr="001A227A">
              <w:rPr>
                <w:rFonts w:cs="Arial"/>
                <w:color w:val="auto"/>
                <w:sz w:val="20"/>
                <w:szCs w:val="20"/>
              </w:rPr>
              <w:t>Median</w:t>
            </w:r>
          </w:p>
        </w:tc>
        <w:tc>
          <w:tcPr>
            <w:tcW w:w="722" w:type="pct"/>
            <w:tcBorders>
              <w:top w:val="single" w:sz="4" w:space="0" w:color="FFFFFF" w:themeColor="background1"/>
              <w:bottom w:val="single" w:sz="4" w:space="0" w:color="auto"/>
            </w:tcBorders>
            <w:shd w:val="clear" w:color="auto" w:fill="auto"/>
          </w:tcPr>
          <w:p w:rsidR="00B92C0F" w:rsidRPr="001A227A" w:rsidRDefault="00B92C0F" w:rsidP="00B95306">
            <w:pPr>
              <w:pStyle w:val="TableHeaderCenter"/>
              <w:spacing w:before="0" w:after="0"/>
              <w:jc w:val="left"/>
              <w:rPr>
                <w:rFonts w:cs="Arial"/>
                <w:color w:val="auto"/>
                <w:sz w:val="20"/>
                <w:szCs w:val="20"/>
              </w:rPr>
            </w:pPr>
            <w:r w:rsidRPr="001A227A">
              <w:rPr>
                <w:rFonts w:cs="Arial"/>
                <w:color w:val="auto"/>
                <w:sz w:val="20"/>
                <w:szCs w:val="20"/>
              </w:rPr>
              <w:t xml:space="preserve">Minimum </w:t>
            </w:r>
          </w:p>
        </w:tc>
        <w:tc>
          <w:tcPr>
            <w:tcW w:w="672" w:type="pct"/>
            <w:tcBorders>
              <w:top w:val="single" w:sz="4" w:space="0" w:color="FFFFFF" w:themeColor="background1"/>
              <w:bottom w:val="single" w:sz="4" w:space="0" w:color="auto"/>
              <w:right w:val="single" w:sz="4" w:space="0" w:color="auto"/>
            </w:tcBorders>
            <w:shd w:val="clear" w:color="auto" w:fill="auto"/>
          </w:tcPr>
          <w:p w:rsidR="00B92C0F" w:rsidRPr="001A227A" w:rsidRDefault="00B92C0F" w:rsidP="00B95306">
            <w:pPr>
              <w:pStyle w:val="TableHeaderCenter"/>
              <w:spacing w:before="0" w:after="0"/>
              <w:jc w:val="left"/>
              <w:rPr>
                <w:rFonts w:cs="Arial"/>
                <w:color w:val="auto"/>
                <w:sz w:val="20"/>
                <w:szCs w:val="20"/>
              </w:rPr>
            </w:pPr>
            <w:r w:rsidRPr="001A227A">
              <w:rPr>
                <w:rFonts w:cs="Arial"/>
                <w:color w:val="auto"/>
                <w:sz w:val="20"/>
                <w:szCs w:val="20"/>
              </w:rPr>
              <w:t>Maximum</w:t>
            </w:r>
          </w:p>
        </w:tc>
      </w:tr>
      <w:tr w:rsidR="00B92C0F" w:rsidRPr="00E12150" w:rsidTr="00D450ED">
        <w:trPr>
          <w:trHeight w:hRule="exact" w:val="511"/>
        </w:trPr>
        <w:tc>
          <w:tcPr>
            <w:tcW w:w="2356" w:type="pct"/>
            <w:tcBorders>
              <w:top w:val="single" w:sz="4" w:space="0" w:color="auto"/>
              <w:left w:val="single" w:sz="4" w:space="0" w:color="auto"/>
            </w:tcBorders>
            <w:shd w:val="clear" w:color="auto" w:fill="auto"/>
            <w:vAlign w:val="center"/>
          </w:tcPr>
          <w:p w:rsidR="00B92C0F" w:rsidRPr="001A227A" w:rsidRDefault="00B92C0F" w:rsidP="00B95306">
            <w:pPr>
              <w:pStyle w:val="TableText"/>
              <w:rPr>
                <w:rFonts w:cs="Arial"/>
                <w:sz w:val="20"/>
                <w:szCs w:val="20"/>
              </w:rPr>
            </w:pPr>
            <w:r w:rsidRPr="001A227A">
              <w:rPr>
                <w:rFonts w:cs="Arial"/>
                <w:sz w:val="20"/>
                <w:szCs w:val="20"/>
              </w:rPr>
              <w:t>Rural (&lt; 100 people/km</w:t>
            </w:r>
            <w:r w:rsidRPr="001A227A">
              <w:rPr>
                <w:rFonts w:cs="Arial"/>
                <w:sz w:val="20"/>
                <w:szCs w:val="20"/>
                <w:vertAlign w:val="superscript"/>
              </w:rPr>
              <w:t>2</w:t>
            </w:r>
            <w:r w:rsidRPr="001A227A">
              <w:rPr>
                <w:rFonts w:cs="Arial"/>
                <w:sz w:val="20"/>
                <w:szCs w:val="20"/>
              </w:rPr>
              <w:t>)</w:t>
            </w:r>
          </w:p>
        </w:tc>
        <w:tc>
          <w:tcPr>
            <w:tcW w:w="625" w:type="pct"/>
            <w:tcBorders>
              <w:top w:val="single" w:sz="4" w:space="0" w:color="auto"/>
            </w:tcBorders>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29</w:t>
            </w:r>
          </w:p>
        </w:tc>
        <w:tc>
          <w:tcPr>
            <w:tcW w:w="625" w:type="pct"/>
            <w:tcBorders>
              <w:top w:val="single" w:sz="4" w:space="0" w:color="auto"/>
            </w:tcBorders>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$3,077</w:t>
            </w:r>
          </w:p>
        </w:tc>
        <w:tc>
          <w:tcPr>
            <w:tcW w:w="722" w:type="pct"/>
            <w:tcBorders>
              <w:top w:val="single" w:sz="4" w:space="0" w:color="auto"/>
            </w:tcBorders>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$316</w:t>
            </w:r>
          </w:p>
        </w:tc>
        <w:tc>
          <w:tcPr>
            <w:tcW w:w="672" w:type="pct"/>
            <w:tcBorders>
              <w:top w:val="single" w:sz="4" w:space="0" w:color="auto"/>
              <w:right w:val="single" w:sz="4" w:space="0" w:color="auto"/>
            </w:tcBorders>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$7,476</w:t>
            </w:r>
          </w:p>
        </w:tc>
      </w:tr>
      <w:tr w:rsidR="00B92C0F" w:rsidRPr="00E12150" w:rsidTr="00D450ED">
        <w:trPr>
          <w:trHeight w:hRule="exact" w:val="375"/>
        </w:trPr>
        <w:tc>
          <w:tcPr>
            <w:tcW w:w="2356" w:type="pct"/>
            <w:tcBorders>
              <w:left w:val="single" w:sz="4" w:space="0" w:color="auto"/>
            </w:tcBorders>
            <w:shd w:val="clear" w:color="auto" w:fill="auto"/>
            <w:vAlign w:val="center"/>
          </w:tcPr>
          <w:p w:rsidR="00B92C0F" w:rsidRPr="001A227A" w:rsidRDefault="00B92C0F" w:rsidP="00B95306">
            <w:pPr>
              <w:pStyle w:val="TableText"/>
              <w:rPr>
                <w:rFonts w:cs="Arial"/>
                <w:sz w:val="20"/>
                <w:szCs w:val="20"/>
              </w:rPr>
            </w:pPr>
            <w:r w:rsidRPr="001A227A">
              <w:rPr>
                <w:rFonts w:cs="Arial"/>
                <w:sz w:val="20"/>
                <w:szCs w:val="20"/>
              </w:rPr>
              <w:t>Suburban, low density (100–500 people/km</w:t>
            </w:r>
            <w:r w:rsidRPr="001A227A">
              <w:rPr>
                <w:rFonts w:cs="Arial"/>
                <w:sz w:val="20"/>
                <w:szCs w:val="20"/>
                <w:vertAlign w:val="superscript"/>
              </w:rPr>
              <w:t>2</w:t>
            </w:r>
            <w:r w:rsidRPr="001A227A">
              <w:rPr>
                <w:rFonts w:cs="Arial"/>
                <w:sz w:val="20"/>
                <w:szCs w:val="20"/>
              </w:rPr>
              <w:t>)</w:t>
            </w:r>
          </w:p>
        </w:tc>
        <w:tc>
          <w:tcPr>
            <w:tcW w:w="625" w:type="pct"/>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60</w:t>
            </w:r>
          </w:p>
        </w:tc>
        <w:tc>
          <w:tcPr>
            <w:tcW w:w="625" w:type="pct"/>
            <w:shd w:val="clear" w:color="auto" w:fill="auto"/>
            <w:vAlign w:val="center"/>
          </w:tcPr>
          <w:p w:rsidR="00B92C0F" w:rsidRPr="001A227A" w:rsidRDefault="00B92C0F" w:rsidP="00D450ED">
            <w:pPr>
              <w:pStyle w:val="TableText"/>
              <w:jc w:val="center"/>
              <w:rPr>
                <w:rFonts w:cs="Arial"/>
                <w:sz w:val="20"/>
                <w:szCs w:val="20"/>
                <w:highlight w:val="yellow"/>
              </w:rPr>
            </w:pPr>
            <w:r w:rsidRPr="001A227A">
              <w:rPr>
                <w:rFonts w:cs="Arial"/>
                <w:sz w:val="20"/>
                <w:szCs w:val="20"/>
              </w:rPr>
              <w:t>$7,713</w:t>
            </w:r>
          </w:p>
        </w:tc>
        <w:tc>
          <w:tcPr>
            <w:tcW w:w="722" w:type="pct"/>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$1,926</w:t>
            </w:r>
          </w:p>
        </w:tc>
        <w:tc>
          <w:tcPr>
            <w:tcW w:w="672" w:type="pct"/>
            <w:tcBorders>
              <w:right w:val="single" w:sz="4" w:space="0" w:color="auto"/>
            </w:tcBorders>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$32,340</w:t>
            </w:r>
          </w:p>
        </w:tc>
      </w:tr>
      <w:tr w:rsidR="00B92C0F" w:rsidRPr="00E12150" w:rsidTr="00D450ED">
        <w:trPr>
          <w:trHeight w:hRule="exact" w:val="591"/>
        </w:trPr>
        <w:tc>
          <w:tcPr>
            <w:tcW w:w="2356" w:type="pct"/>
            <w:tcBorders>
              <w:left w:val="single" w:sz="4" w:space="0" w:color="auto"/>
            </w:tcBorders>
            <w:shd w:val="clear" w:color="auto" w:fill="auto"/>
            <w:vAlign w:val="center"/>
          </w:tcPr>
          <w:p w:rsidR="00B92C0F" w:rsidRPr="001A227A" w:rsidRDefault="00B92C0F" w:rsidP="00B95306">
            <w:pPr>
              <w:pStyle w:val="TableText"/>
              <w:rPr>
                <w:rFonts w:cs="Arial"/>
                <w:sz w:val="20"/>
                <w:szCs w:val="20"/>
              </w:rPr>
            </w:pPr>
            <w:r w:rsidRPr="001A227A">
              <w:rPr>
                <w:rFonts w:cs="Arial"/>
                <w:sz w:val="20"/>
                <w:szCs w:val="20"/>
              </w:rPr>
              <w:t>Suburban, medium density (501–1,000 people/km</w:t>
            </w:r>
            <w:r w:rsidRPr="001A227A">
              <w:rPr>
                <w:rFonts w:cs="Arial"/>
                <w:sz w:val="20"/>
                <w:szCs w:val="20"/>
                <w:vertAlign w:val="superscript"/>
              </w:rPr>
              <w:t>2</w:t>
            </w:r>
            <w:r w:rsidRPr="001A227A">
              <w:rPr>
                <w:rFonts w:cs="Arial"/>
                <w:sz w:val="20"/>
                <w:szCs w:val="20"/>
              </w:rPr>
              <w:t>)</w:t>
            </w:r>
          </w:p>
        </w:tc>
        <w:tc>
          <w:tcPr>
            <w:tcW w:w="625" w:type="pct"/>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64</w:t>
            </w:r>
          </w:p>
        </w:tc>
        <w:tc>
          <w:tcPr>
            <w:tcW w:w="625" w:type="pct"/>
            <w:shd w:val="clear" w:color="auto" w:fill="auto"/>
            <w:vAlign w:val="center"/>
          </w:tcPr>
          <w:p w:rsidR="00B92C0F" w:rsidRPr="001A227A" w:rsidRDefault="00B92C0F" w:rsidP="00D450ED">
            <w:pPr>
              <w:pStyle w:val="TableText"/>
              <w:jc w:val="center"/>
              <w:rPr>
                <w:rFonts w:cs="Arial"/>
                <w:sz w:val="20"/>
                <w:szCs w:val="20"/>
                <w:highlight w:val="yellow"/>
              </w:rPr>
            </w:pPr>
            <w:r w:rsidRPr="001A227A">
              <w:rPr>
                <w:rFonts w:cs="Arial"/>
                <w:sz w:val="20"/>
                <w:szCs w:val="20"/>
              </w:rPr>
              <w:t>$29,375</w:t>
            </w:r>
          </w:p>
        </w:tc>
        <w:tc>
          <w:tcPr>
            <w:tcW w:w="722" w:type="pct"/>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$9,242</w:t>
            </w:r>
          </w:p>
        </w:tc>
        <w:tc>
          <w:tcPr>
            <w:tcW w:w="672" w:type="pct"/>
            <w:tcBorders>
              <w:right w:val="single" w:sz="4" w:space="0" w:color="auto"/>
            </w:tcBorders>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$110,963</w:t>
            </w:r>
          </w:p>
        </w:tc>
      </w:tr>
      <w:tr w:rsidR="00B92C0F" w:rsidRPr="00E12150" w:rsidTr="00997098">
        <w:trPr>
          <w:trHeight w:hRule="exact" w:val="663"/>
        </w:trPr>
        <w:tc>
          <w:tcPr>
            <w:tcW w:w="2356" w:type="pct"/>
            <w:tcBorders>
              <w:left w:val="single" w:sz="4" w:space="0" w:color="auto"/>
            </w:tcBorders>
            <w:shd w:val="clear" w:color="auto" w:fill="auto"/>
            <w:vAlign w:val="center"/>
          </w:tcPr>
          <w:p w:rsidR="00B92C0F" w:rsidRPr="001A227A" w:rsidRDefault="00B92C0F" w:rsidP="00B95306">
            <w:pPr>
              <w:pStyle w:val="TableText"/>
              <w:rPr>
                <w:rFonts w:cs="Arial"/>
                <w:sz w:val="20"/>
                <w:szCs w:val="20"/>
              </w:rPr>
            </w:pPr>
            <w:r w:rsidRPr="001A227A">
              <w:rPr>
                <w:rFonts w:cs="Arial"/>
                <w:sz w:val="20"/>
                <w:szCs w:val="20"/>
              </w:rPr>
              <w:t>Suburban, high density (1,001–10,000 people/km</w:t>
            </w:r>
            <w:r w:rsidRPr="001A227A">
              <w:rPr>
                <w:rFonts w:cs="Arial"/>
                <w:sz w:val="20"/>
                <w:szCs w:val="20"/>
                <w:vertAlign w:val="superscript"/>
              </w:rPr>
              <w:t>2</w:t>
            </w:r>
            <w:r w:rsidRPr="001A227A">
              <w:rPr>
                <w:rFonts w:cs="Arial"/>
                <w:sz w:val="20"/>
                <w:szCs w:val="20"/>
              </w:rPr>
              <w:t>)</w:t>
            </w:r>
          </w:p>
        </w:tc>
        <w:tc>
          <w:tcPr>
            <w:tcW w:w="625" w:type="pct"/>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171</w:t>
            </w:r>
          </w:p>
        </w:tc>
        <w:tc>
          <w:tcPr>
            <w:tcW w:w="625" w:type="pct"/>
            <w:shd w:val="clear" w:color="auto" w:fill="auto"/>
            <w:vAlign w:val="center"/>
          </w:tcPr>
          <w:p w:rsidR="00B92C0F" w:rsidRPr="001A227A" w:rsidRDefault="00B92C0F" w:rsidP="00D450ED">
            <w:pPr>
              <w:pStyle w:val="TableText"/>
              <w:jc w:val="center"/>
              <w:rPr>
                <w:rFonts w:cs="Arial"/>
                <w:sz w:val="20"/>
                <w:szCs w:val="20"/>
                <w:highlight w:val="yellow"/>
              </w:rPr>
            </w:pPr>
            <w:r w:rsidRPr="001A227A">
              <w:rPr>
                <w:rFonts w:cs="Arial"/>
                <w:sz w:val="20"/>
                <w:szCs w:val="20"/>
              </w:rPr>
              <w:t>$70,090</w:t>
            </w:r>
          </w:p>
        </w:tc>
        <w:tc>
          <w:tcPr>
            <w:tcW w:w="722" w:type="pct"/>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$13,076</w:t>
            </w:r>
          </w:p>
        </w:tc>
        <w:tc>
          <w:tcPr>
            <w:tcW w:w="672" w:type="pct"/>
            <w:tcBorders>
              <w:right w:val="single" w:sz="4" w:space="0" w:color="auto"/>
            </w:tcBorders>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$369,822</w:t>
            </w:r>
          </w:p>
        </w:tc>
      </w:tr>
      <w:tr w:rsidR="00B92C0F" w:rsidRPr="00E12150" w:rsidTr="00997098">
        <w:trPr>
          <w:trHeight w:hRule="exact" w:val="411"/>
        </w:trPr>
        <w:tc>
          <w:tcPr>
            <w:tcW w:w="2356" w:type="pct"/>
            <w:tcBorders>
              <w:left w:val="single" w:sz="4" w:space="0" w:color="auto"/>
              <w:bottom w:val="single" w:sz="4" w:space="0" w:color="auto"/>
            </w:tcBorders>
            <w:shd w:val="clear" w:color="auto" w:fill="auto"/>
            <w:vAlign w:val="center"/>
          </w:tcPr>
          <w:p w:rsidR="00B92C0F" w:rsidRPr="001A227A" w:rsidRDefault="00B92C0F" w:rsidP="00B95306">
            <w:pPr>
              <w:pStyle w:val="TableText"/>
              <w:rPr>
                <w:rFonts w:cs="Arial"/>
                <w:sz w:val="20"/>
                <w:szCs w:val="20"/>
              </w:rPr>
            </w:pPr>
            <w:r w:rsidRPr="001A227A">
              <w:rPr>
                <w:rFonts w:cs="Arial"/>
                <w:sz w:val="20"/>
                <w:szCs w:val="20"/>
              </w:rPr>
              <w:t>Urban (&gt; 10,000 people/km</w:t>
            </w:r>
            <w:r w:rsidRPr="001A227A">
              <w:rPr>
                <w:rFonts w:cs="Arial"/>
                <w:sz w:val="20"/>
                <w:szCs w:val="20"/>
                <w:vertAlign w:val="superscript"/>
              </w:rPr>
              <w:t>2</w:t>
            </w:r>
            <w:r w:rsidRPr="001A227A">
              <w:rPr>
                <w:rFonts w:cs="Arial"/>
                <w:sz w:val="20"/>
                <w:szCs w:val="20"/>
              </w:rPr>
              <w:t>)</w:t>
            </w:r>
          </w:p>
        </w:tc>
        <w:tc>
          <w:tcPr>
            <w:tcW w:w="625" w:type="pct"/>
            <w:tcBorders>
              <w:bottom w:val="single" w:sz="4" w:space="0" w:color="auto"/>
            </w:tcBorders>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27</w:t>
            </w:r>
          </w:p>
        </w:tc>
        <w:tc>
          <w:tcPr>
            <w:tcW w:w="625" w:type="pct"/>
            <w:tcBorders>
              <w:bottom w:val="single" w:sz="4" w:space="0" w:color="auto"/>
            </w:tcBorders>
            <w:shd w:val="clear" w:color="auto" w:fill="auto"/>
            <w:vAlign w:val="center"/>
          </w:tcPr>
          <w:p w:rsidR="00B92C0F" w:rsidRPr="001A227A" w:rsidRDefault="00B92C0F" w:rsidP="00D450ED">
            <w:pPr>
              <w:pStyle w:val="TableText"/>
              <w:jc w:val="center"/>
              <w:rPr>
                <w:rFonts w:cs="Arial"/>
                <w:sz w:val="20"/>
                <w:szCs w:val="20"/>
                <w:highlight w:val="yellow"/>
              </w:rPr>
            </w:pPr>
            <w:r w:rsidRPr="001A227A">
              <w:rPr>
                <w:rFonts w:cs="Arial"/>
                <w:sz w:val="20"/>
                <w:szCs w:val="20"/>
              </w:rPr>
              <w:t>$258,946</w:t>
            </w:r>
          </w:p>
        </w:tc>
        <w:tc>
          <w:tcPr>
            <w:tcW w:w="722" w:type="pct"/>
            <w:tcBorders>
              <w:bottom w:val="single" w:sz="4" w:space="0" w:color="auto"/>
            </w:tcBorders>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$56,766</w:t>
            </w:r>
          </w:p>
        </w:tc>
        <w:tc>
          <w:tcPr>
            <w:tcW w:w="672" w:type="pct"/>
            <w:tcBorders>
              <w:bottom w:val="single" w:sz="4" w:space="0" w:color="auto"/>
              <w:right w:val="single" w:sz="4" w:space="0" w:color="auto"/>
            </w:tcBorders>
            <w:shd w:val="clear" w:color="auto" w:fill="auto"/>
            <w:vAlign w:val="center"/>
          </w:tcPr>
          <w:p w:rsidR="00B92C0F" w:rsidRPr="001A227A" w:rsidRDefault="00B92C0F" w:rsidP="00D450ED">
            <w:pPr>
              <w:pStyle w:val="TableText"/>
              <w:jc w:val="center"/>
              <w:rPr>
                <w:rFonts w:cs="Arial"/>
                <w:sz w:val="20"/>
                <w:szCs w:val="20"/>
              </w:rPr>
            </w:pPr>
            <w:r w:rsidRPr="001A227A">
              <w:rPr>
                <w:rFonts w:cs="Arial"/>
                <w:sz w:val="20"/>
                <w:szCs w:val="20"/>
              </w:rPr>
              <w:t>$2,875,048</w:t>
            </w:r>
          </w:p>
        </w:tc>
      </w:tr>
    </w:tbl>
    <w:p w:rsidR="00B92C0F" w:rsidRPr="00C15012" w:rsidRDefault="00B92C0F" w:rsidP="00B92C0F">
      <w:pPr>
        <w:pStyle w:val="TableSourceCaption"/>
        <w:tabs>
          <w:tab w:val="clear" w:pos="792"/>
        </w:tabs>
        <w:spacing w:before="0" w:line="240" w:lineRule="auto"/>
        <w:ind w:left="0" w:firstLine="0"/>
        <w:rPr>
          <w:rFonts w:cs="Arial"/>
          <w:sz w:val="20"/>
          <w:szCs w:val="24"/>
        </w:rPr>
      </w:pPr>
      <w:r w:rsidRPr="00C15012">
        <w:rPr>
          <w:rFonts w:cs="Arial"/>
          <w:sz w:val="20"/>
          <w:szCs w:val="24"/>
        </w:rPr>
        <w:t xml:space="preserve">Sources: Mathematica’s analysis of impacts of legalized adult use of marijuana in Massachusetts using estimates from the literature, key stakeholder interviews, and primary and secondary data sources. See Appendix </w:t>
      </w:r>
      <w:r w:rsidR="0010613B">
        <w:rPr>
          <w:rFonts w:cs="Arial"/>
          <w:sz w:val="20"/>
          <w:szCs w:val="24"/>
        </w:rPr>
        <w:t>C</w:t>
      </w:r>
      <w:r w:rsidR="00104C7B">
        <w:rPr>
          <w:rFonts w:cs="Arial"/>
          <w:sz w:val="20"/>
          <w:szCs w:val="24"/>
        </w:rPr>
        <w:t xml:space="preserve"> </w:t>
      </w:r>
      <w:r w:rsidRPr="00C15012">
        <w:rPr>
          <w:rFonts w:cs="Arial"/>
          <w:sz w:val="20"/>
          <w:szCs w:val="24"/>
        </w:rPr>
        <w:t>Ta</w:t>
      </w:r>
      <w:r w:rsidR="0010613B">
        <w:rPr>
          <w:rFonts w:cs="Arial"/>
          <w:sz w:val="20"/>
          <w:szCs w:val="24"/>
        </w:rPr>
        <w:t>ble C</w:t>
      </w:r>
      <w:r w:rsidRPr="00C15012">
        <w:rPr>
          <w:rFonts w:cs="Arial"/>
          <w:sz w:val="20"/>
          <w:szCs w:val="24"/>
        </w:rPr>
        <w:t>.1 for data sources used to inform these estimate</w:t>
      </w:r>
    </w:p>
    <w:p w:rsidR="00B92C0F" w:rsidRDefault="00B92C0F" w:rsidP="00B92C0F">
      <w:pPr>
        <w:pStyle w:val="TableSourceCaption"/>
        <w:tabs>
          <w:tab w:val="clear" w:pos="792"/>
        </w:tabs>
        <w:spacing w:before="0" w:line="240" w:lineRule="auto"/>
        <w:ind w:left="0" w:firstLine="0"/>
        <w:rPr>
          <w:rFonts w:cs="Arial"/>
          <w:b/>
          <w:sz w:val="24"/>
          <w:szCs w:val="24"/>
        </w:rPr>
      </w:pPr>
    </w:p>
    <w:p w:rsidR="00B92C0F" w:rsidRPr="005D7694" w:rsidRDefault="005D6C32" w:rsidP="005F7A46">
      <w:pPr>
        <w:pStyle w:val="Heading2"/>
      </w:pPr>
      <w:bookmarkStart w:id="725" w:name="_Toc12520983"/>
      <w:bookmarkStart w:id="726" w:name="_Toc12529179"/>
      <w:r>
        <w:t>Table C</w:t>
      </w:r>
      <w:r w:rsidR="00B92C0F">
        <w:t>.3. Estimated Two</w:t>
      </w:r>
      <w:r w:rsidR="00D450ED">
        <w:t xml:space="preserve"> </w:t>
      </w:r>
      <w:r w:rsidR="00B92C0F">
        <w:t>Year Local Tax Revenue for each City or Town</w:t>
      </w:r>
      <w:bookmarkEnd w:id="725"/>
      <w:bookmarkEnd w:id="726"/>
      <w:r w:rsidR="00B92C0F">
        <w:t xml:space="preserve"> </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stimated Two-Year Local Tax Revenue for Each City of Town"/>
        <w:tblDescription w:val="The table summarizes the state-level, local level, and all-town RMD estimated two-year tax revenues. Data are based on Mathematica’s analysis of impacts of legalized adult use of marijuana in Massachusetts using estimates from the literature, key stakeholder interviews, and primary and secondary data sources."/>
      </w:tblPr>
      <w:tblGrid>
        <w:gridCol w:w="1548"/>
        <w:gridCol w:w="1152"/>
        <w:gridCol w:w="990"/>
        <w:gridCol w:w="990"/>
      </w:tblGrid>
      <w:tr w:rsidR="00B92C0F" w:rsidRPr="001A227A" w:rsidTr="00997098">
        <w:trPr>
          <w:tblHeader/>
        </w:trPr>
        <w:tc>
          <w:tcPr>
            <w:tcW w:w="1548" w:type="dxa"/>
            <w:vMerge w:val="restart"/>
            <w:shd w:val="clear" w:color="auto" w:fill="auto"/>
            <w:noWrap/>
            <w:vAlign w:val="center"/>
            <w:hideMark/>
          </w:tcPr>
          <w:p w:rsidR="00B92C0F" w:rsidRPr="001A227A" w:rsidRDefault="00B92C0F" w:rsidP="00B95306">
            <w:pPr>
              <w:pStyle w:val="TableHeaderLeft"/>
              <w:spacing w:before="0" w:after="0"/>
              <w:rPr>
                <w:rFonts w:cs="Arial"/>
                <w:color w:val="auto"/>
                <w:szCs w:val="18"/>
              </w:rPr>
            </w:pPr>
            <w:r w:rsidRPr="001A227A">
              <w:rPr>
                <w:rFonts w:cs="Arial"/>
                <w:color w:val="auto"/>
                <w:szCs w:val="18"/>
              </w:rPr>
              <w:t>City or town</w:t>
            </w:r>
          </w:p>
        </w:tc>
        <w:tc>
          <w:tcPr>
            <w:tcW w:w="2142" w:type="dxa"/>
            <w:gridSpan w:val="2"/>
            <w:shd w:val="clear" w:color="auto" w:fill="auto"/>
            <w:vAlign w:val="center"/>
          </w:tcPr>
          <w:p w:rsidR="00B92C0F" w:rsidRPr="001A227A" w:rsidRDefault="00B92C0F" w:rsidP="00B95306">
            <w:pPr>
              <w:pStyle w:val="TableHeaderCenter"/>
              <w:spacing w:before="0" w:after="0"/>
              <w:jc w:val="left"/>
              <w:rPr>
                <w:rFonts w:cs="Arial"/>
                <w:color w:val="auto"/>
                <w:szCs w:val="18"/>
              </w:rPr>
            </w:pPr>
            <w:r w:rsidRPr="001A227A">
              <w:rPr>
                <w:rFonts w:cs="Arial"/>
                <w:color w:val="auto"/>
                <w:szCs w:val="18"/>
              </w:rPr>
              <w:t xml:space="preserve">Cities/towns with an RMD </w:t>
            </w:r>
          </w:p>
        </w:tc>
        <w:tc>
          <w:tcPr>
            <w:tcW w:w="990" w:type="dxa"/>
            <w:vMerge w:val="restart"/>
            <w:shd w:val="clear" w:color="auto" w:fill="auto"/>
            <w:noWrap/>
            <w:vAlign w:val="center"/>
          </w:tcPr>
          <w:p w:rsidR="00B92C0F" w:rsidRPr="001A227A" w:rsidRDefault="00B92C0F" w:rsidP="00B95306">
            <w:pPr>
              <w:pStyle w:val="TableHeaderCenter"/>
              <w:spacing w:before="0" w:after="0"/>
              <w:jc w:val="left"/>
              <w:rPr>
                <w:rFonts w:cs="Arial"/>
                <w:color w:val="auto"/>
                <w:szCs w:val="18"/>
              </w:rPr>
            </w:pPr>
            <w:r w:rsidRPr="001A227A">
              <w:rPr>
                <w:rFonts w:cs="Arial"/>
                <w:color w:val="auto"/>
                <w:szCs w:val="18"/>
              </w:rPr>
              <w:t>With  RMDs in all towns</w:t>
            </w:r>
          </w:p>
        </w:tc>
      </w:tr>
      <w:tr w:rsidR="00B92C0F" w:rsidRPr="001A227A" w:rsidTr="00997098">
        <w:trPr>
          <w:trHeight w:val="593"/>
          <w:tblHeader/>
        </w:trPr>
        <w:tc>
          <w:tcPr>
            <w:tcW w:w="1548" w:type="dxa"/>
            <w:vMerge/>
            <w:shd w:val="clear" w:color="auto" w:fill="auto"/>
            <w:noWrap/>
            <w:vAlign w:val="center"/>
          </w:tcPr>
          <w:p w:rsidR="00B92C0F" w:rsidRPr="001A227A" w:rsidRDefault="00B92C0F" w:rsidP="00B95306">
            <w:pPr>
              <w:spacing w:after="0" w:line="240" w:lineRule="auto"/>
              <w:rPr>
                <w:rFonts w:ascii="Arial" w:hAnsi="Arial" w:cs="Arial"/>
                <w:b/>
                <w:sz w:val="18"/>
                <w:szCs w:val="18"/>
              </w:rPr>
            </w:pPr>
          </w:p>
        </w:tc>
        <w:tc>
          <w:tcPr>
            <w:tcW w:w="1152" w:type="dxa"/>
            <w:shd w:val="clear" w:color="auto" w:fill="auto"/>
            <w:vAlign w:val="center"/>
          </w:tcPr>
          <w:p w:rsidR="00B92C0F" w:rsidRPr="001A227A" w:rsidRDefault="00B92C0F" w:rsidP="00B95306">
            <w:pPr>
              <w:pStyle w:val="TableHeaderCenter"/>
              <w:spacing w:before="0" w:after="0"/>
              <w:jc w:val="left"/>
              <w:rPr>
                <w:rFonts w:cs="Arial"/>
                <w:color w:val="auto"/>
                <w:szCs w:val="18"/>
              </w:rPr>
            </w:pPr>
            <w:r w:rsidRPr="001A227A">
              <w:rPr>
                <w:rFonts w:cs="Arial"/>
                <w:color w:val="auto"/>
                <w:szCs w:val="18"/>
              </w:rPr>
              <w:t>State-level  # MJ users</w:t>
            </w:r>
          </w:p>
        </w:tc>
        <w:tc>
          <w:tcPr>
            <w:tcW w:w="990" w:type="dxa"/>
            <w:shd w:val="clear" w:color="auto" w:fill="auto"/>
            <w:vAlign w:val="center"/>
          </w:tcPr>
          <w:p w:rsidR="00B92C0F" w:rsidRPr="001A227A" w:rsidRDefault="00B92C0F" w:rsidP="00B95306">
            <w:pPr>
              <w:pStyle w:val="TableHeaderCenter"/>
              <w:spacing w:before="0" w:after="0"/>
              <w:jc w:val="left"/>
              <w:rPr>
                <w:rFonts w:cs="Arial"/>
                <w:color w:val="auto"/>
                <w:szCs w:val="18"/>
              </w:rPr>
            </w:pPr>
            <w:r w:rsidRPr="001A227A">
              <w:rPr>
                <w:rFonts w:cs="Arial"/>
                <w:color w:val="auto"/>
                <w:szCs w:val="18"/>
              </w:rPr>
              <w:t>Localized # MJ users</w:t>
            </w:r>
          </w:p>
        </w:tc>
        <w:tc>
          <w:tcPr>
            <w:tcW w:w="990" w:type="dxa"/>
            <w:vMerge/>
            <w:shd w:val="clear" w:color="auto" w:fill="auto"/>
            <w:noWrap/>
            <w:vAlign w:val="center"/>
          </w:tcPr>
          <w:p w:rsidR="00B92C0F" w:rsidRPr="001A227A" w:rsidRDefault="00B92C0F" w:rsidP="00B95306">
            <w:pPr>
              <w:pStyle w:val="TableHeaderCenter"/>
              <w:spacing w:before="0" w:after="0"/>
              <w:jc w:val="left"/>
              <w:rPr>
                <w:rFonts w:cs="Arial"/>
                <w:color w:val="auto"/>
                <w:szCs w:val="18"/>
              </w:rPr>
            </w:pPr>
          </w:p>
        </w:tc>
      </w:tr>
      <w:tr w:rsidR="00B92C0F" w:rsidRPr="001A227A" w:rsidTr="00997098">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Abington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$75,951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Acton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$507,245</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$501,976</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$95,128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Acushnet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$43,548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Adams</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$34,745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Agawam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$119,696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Alford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$2,052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Amesbury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$69,236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Amherst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$239,344</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$236,474</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$157,773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Andover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$138,626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Aquinnah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$1,926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Arlington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$650,422</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$643,467</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$186,356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Ashburnham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$25,381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Ashby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$13,531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Ashfield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$6,773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Ashland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$71,747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Athol</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$48,388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Attleboro</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$515,364</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$1,294,633</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$180,697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Auburn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$68,323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Avon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$17,602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Ayer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$217,917</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$215,603</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$33,176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Barnstable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$188,234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Barre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$144,385</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$142,843</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$22,312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Becket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$7,476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Bedford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$58,009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Belchertown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$55,595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Bellingham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$65,061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Belmont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$105,755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Berkley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$26,713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Berlin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$12,384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Bernardston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$9,144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Beverly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$167,852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Billerica</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$178,089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Blackstone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$37,348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Blandford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$4,851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Bolton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$20,461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Boston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$2,875,048</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$4,816,173</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$2,875,048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Bourne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$83,143</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$82,148</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$83,143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Boxborough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$21,507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Boxford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$32,757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Boylston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$18,378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Braintree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$143,585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Brewster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$192,128</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$189,911</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$41,897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Bridgewater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$276,557</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$273,457</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$129,434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Brimfield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$15,430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Brockton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$435,068</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$894,904</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$435,068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Brookfield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$14,032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Brookline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$233,498</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$309,883</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$233,498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Buckland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$7,682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Burlington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$991,873</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$981,277</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$107,908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Cambridge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$474,261</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$413,420</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$474,261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Canton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$86,332</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$85,346</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$86,332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Carlisle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$21,125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Carver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$54,260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Charlemont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$4,672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Charlton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$64,597</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$63,862</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$54,530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Chatham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$26,304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Chelmsford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$147,046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Chelsea</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$159,798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Cheshire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$13,357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Chester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$64,590</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$63,872</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$6,337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Chesterfield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$4,833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Chicopee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$234,594</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$946,729</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$234,594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Chilmark</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$4,467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Clarksburg</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$6,722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Clinton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$57,392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Cohasset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$31,508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Colrain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$7,098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Concord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$80,965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Conway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$7,406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Cummington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$3,473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Dalton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$28,105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Danvers</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$204,617</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$202,333</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$111,665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Dartmouth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$146,365</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$82,655</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$146,365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Dedham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$98,817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Deerfield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$60,801</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$60,111</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$21,235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Dennis</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$170,113</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$168,123</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$60,694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Dighton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$29,807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Douglas</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$34,794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Dover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$21,918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Dracut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$128,899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Dudley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$47,651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Dunstable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$13,839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Duxbury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$70,371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East Bridgewater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$66,230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East Brookfield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$9,242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East Longmeadow</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$66,453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Eastham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$21,389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Easthampton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$94,629</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$93,525</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$62,383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Easton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$97,376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Edgartown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$18,002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Egremont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$4,836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Erving</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$7,744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Essex</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$14,619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Everett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$184,323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Fairhaven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$95,521</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$94,415</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$67,594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Fall River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$598,643</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$1,739,812</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$369,822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Falmouth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$133,236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Fitchburg</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$272,497</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$551,828</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$166,944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Florida</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$3,009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Foxborough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$67,167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Framingham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$615,046</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$288,353</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$298,149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Franklin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$124,936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Freetown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$37,255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Gardner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$216,371</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$702,916</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$84,381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Georgetown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$285,596</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$282,577</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$33,794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Gill</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$7,043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Gloucester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$177,177</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$175,121</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$121,745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Goshen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$4,323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Gosnold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$316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Grafton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$310,085</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$306,819</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$74,769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Granby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$24,029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Granville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$6,864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Great Barrington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$68,715</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$67,927</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$29,321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Greenfield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$177,839</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$721,885</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$73,490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Groton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$46,187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Groveland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$27,167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Hadley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$34,651</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$34,244</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$20,715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Halifax</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$35,887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Hamilton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$32,159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Hampden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$21,724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Hancock</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$3,007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Hanover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$209,486</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$207,262</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$65,179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Hanson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$48,330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Hardwick</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$12,557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Harvard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$27,064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Harwich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$51,760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Hatfield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$12,805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Haverhill</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$251,613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Hawley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$1,725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Heath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$3,077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Hingham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$104,370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Hinsdale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$8,710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Holbrook</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$299,598</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$296,311</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$43,544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Holden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$74,199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Holland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$130,809</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$129,393</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$10,561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Holliston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$58,686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Holyoke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$373,639</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$914,954</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$165,223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Hopedale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$24,159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Hopkinton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$64,937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Hubbardston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$18,321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Hudson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$396,608</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$392,319</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$83,066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Hull</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$50,121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Huntington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$7,611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Ipswich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$106,752</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$105,582</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$55,660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Kingston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$60,486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Lakeville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$97,641</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$96,567</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$51,709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Lancaster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$33,581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Lanesborough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$12,459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Lawrence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$313,394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Lee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$61,948</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$61,236</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$24,864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Leicester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$225,355</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$222,905</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$47,090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Lenox</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$21,109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Leominster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$243,144</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$874,472</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$171,261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Leverett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$8,329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Lexington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$135,482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Leyden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$2,795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Lincoln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$29,611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Littleton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$39,448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Longmeadow</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$65,150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Lowell</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$1,690,694</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$2,589,096</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$460,559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Ludlow</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$89,500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Lunenburg</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$45,485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Lynn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$498,856</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$765,457</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$366,830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Lynnfield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$49,910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Malden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$258,946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Manchester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$21,401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Mansfield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$368,564</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$364,656</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$94,800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Marblehead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$81,562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Marion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$23,151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Marlborough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$166,880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Marshfield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$118,373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Mashpee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$501,747</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$496,207</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$59,104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Mattapoisett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$28,943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Maynard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$44,254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Medfield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$46,519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Medford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$247,455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Medway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$50,216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Melrose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$116,834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Mendon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$24,127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Merrimac</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$514,520</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$509,036</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$26,845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Methuen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$196,644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Middleborough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$125,781</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$124,338</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$110,963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Middlefield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$2,019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Middleton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$38,676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Milford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$116,405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Millbury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$170,775</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$168,911</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$55,443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Millis</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$610,722</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$604,410</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$31,070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Millville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$13,076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Milton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$105,128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Monroe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Monson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$36,335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Montague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$35,069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Monterey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$3,696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Montgomery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$3,584</w:t>
            </w:r>
          </w:p>
        </w:tc>
      </w:tr>
      <w:tr w:rsidR="00B92C0F" w:rsidRPr="001A227A" w:rsidTr="00B95306">
        <w:trPr>
          <w:trHeight w:hRule="exact" w:val="181"/>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Mount Washington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$674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Nahant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$14,387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Nantucket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$43,840</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$43,331</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$43,840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Natick</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$145,432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Needham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$245,512</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$242,867</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$113,827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New Ashford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$1,205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New Bedford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$440,200</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$1,264,451</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$392,760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New Braintree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$4,663</w:t>
            </w:r>
          </w:p>
        </w:tc>
      </w:tr>
      <w:tr w:rsidR="00B92C0F" w:rsidRPr="001A227A" w:rsidTr="00B95306">
        <w:trPr>
          <w:trHeight w:hRule="exact" w:val="244"/>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New Marlborough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$6,268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New Salem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$4,303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Newbury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$28,121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Newburyport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$72,762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Newton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$552,130</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$1,514,957</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$369,158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Norfolk</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$45,393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North Adams</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$57,063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North Andover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$118,211</w:t>
            </w:r>
          </w:p>
        </w:tc>
      </w:tr>
      <w:tr w:rsidR="00B92C0F" w:rsidRPr="001A227A" w:rsidTr="00B95306">
        <w:trPr>
          <w:trHeight w:hRule="exact" w:val="190"/>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North Attleborough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$117,358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North Brookfield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$19,656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North Reading</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$64,871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Northampton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$121,055</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$521,510</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$110,653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Northborough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$60,900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Northbridge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$66,673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Northfield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$12,498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Norton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$80,587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Norwell</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$311,404</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$308,178</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$48,972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Norwood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$280,605</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$277,567</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$113,341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Oak bluffs</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$19,058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Oakham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$7,495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Orange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$125,056</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$123,691</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$32,109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Orleans</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$25,419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Otis</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$6,523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Oxford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$222,788</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$220,409</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$56,386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Palmer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$50,709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Paxton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$20,286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Peabody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$214,906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Pelham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$5,031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Pembroke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$83,915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Pepperell</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$49,634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Peru</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$3,684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Petersham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$4,940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Phillipston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$7,258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Pittsfield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$416,675</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$551,255</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$183,360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Plainfield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$2,295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Plainville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$34,132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Plymouth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$415,479</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$102,924</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$272,645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Plympton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$13,602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Princeton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$14,184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Provincetown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$20,872</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$20,610</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$13,102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Quincy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$531,229</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$1,243,975</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$371,084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Randolph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$408,061</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$403,573</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$131,193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Raynham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$55,836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Reading</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$105,602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Rehoboth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$48,945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Revere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$1,251,436</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$1,237,835</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$232,870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Richmond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$6,400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Rochester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$24,972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Rockland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$354,642</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$350,843</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$83,074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Rockport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$29,465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Rowe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$1,929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Rowley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$24,553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Royalston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$5,515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Russell</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$6,384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Rutland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$33,874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Salem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$681,457</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$2,420,783</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$175,511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Salisbury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$36,033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Sandisfield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$3,622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Sandwich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$84,908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Saugus</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$113,936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Savoy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$3,298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Scituate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$84,114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Seekonk</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$59,858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Sharon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$68,139</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$67,399</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$68,139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Sheffield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$13,600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Shelburne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$8,381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Sherborn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$17,433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Shirley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$32,066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Shrewsbury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$271,046</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$739,408</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$148,062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Shutesbury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$7,122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Somerset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$76,402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Somerville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$613,668</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$3,028,702</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$344,381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South Hadley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$69,147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Southampton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$22,977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Southborough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$193,086</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$191,101</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$40,083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Southbridge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$69,340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Southwick</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$40,192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Spencer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$49,337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Springfield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$988,088</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$3,309,688</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$625,013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Sterling</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$32,321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Stockbridge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$8,845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Stoneham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$93,397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Stoughton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$110,345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Stow</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$28,706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Sturbridge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$170,209</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$168,378</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$38,519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Sudbury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$74,940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Sunderland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$15,841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Sutton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$37,441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Swampscott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$56,766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Swansea</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$67,818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Taunton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$356,548</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$157,621</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$233,927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Templeton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$33,831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Tewksbury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$127,724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Tisbury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$16,969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Tolland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$2,443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Topsfield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$25,570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Townsend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$38,684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Truro</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$7,153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Tyngsborough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$50,554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Tyringham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$1,717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Upton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$31,093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Uxbridge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$56,406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Wakefield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$111,036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Wales</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$7,841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Walpole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$95,734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Waltham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$272,375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Ware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$37,627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Wareham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$217,119</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$217,119</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$105,441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Warren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$21,491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Warwick</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$3,127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Washington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$2,399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Watertown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$439,564</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$434,488</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$143,331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Wayland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$55,640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Webster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$70,090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Wellesley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$109,880</w:t>
            </w:r>
          </w:p>
        </w:tc>
      </w:tr>
      <w:tr w:rsidR="00B92C0F" w:rsidRPr="001A227A" w:rsidTr="00997098">
        <w:trPr>
          <w:trHeight w:hRule="exact" w:val="202"/>
        </w:trPr>
        <w:tc>
          <w:tcPr>
            <w:tcW w:w="1548" w:type="dxa"/>
            <w:tcBorders>
              <w:bottom w:val="single" w:sz="4" w:space="0" w:color="auto"/>
            </w:tcBorders>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Wellfleet</w:t>
            </w:r>
          </w:p>
        </w:tc>
        <w:tc>
          <w:tcPr>
            <w:tcW w:w="1152" w:type="dxa"/>
            <w:tcBorders>
              <w:bottom w:val="single" w:sz="4" w:space="0" w:color="auto"/>
            </w:tcBorders>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tcBorders>
              <w:bottom w:val="single" w:sz="4" w:space="0" w:color="auto"/>
            </w:tcBorders>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tcBorders>
              <w:bottom w:val="single" w:sz="4" w:space="0" w:color="auto"/>
            </w:tcBorders>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$13,275</w:t>
            </w:r>
          </w:p>
        </w:tc>
      </w:tr>
      <w:tr w:rsidR="00B92C0F" w:rsidRPr="001A227A" w:rsidTr="00997098">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Wendell</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$3,687</w:t>
            </w:r>
          </w:p>
        </w:tc>
      </w:tr>
      <w:tr w:rsidR="00B92C0F" w:rsidRPr="001A227A" w:rsidTr="00997098">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Wenham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$21,005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 Boylston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$33,548</w:t>
            </w:r>
          </w:p>
        </w:tc>
      </w:tr>
      <w:tr w:rsidR="00B92C0F" w:rsidRPr="001A227A" w:rsidTr="00B95306">
        <w:trPr>
          <w:trHeight w:hRule="exact" w:val="235"/>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 Bridgewater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$32,795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 Brookfield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$15,904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 Newbury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$17,567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 Springfield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$118,615</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$431,662</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$118,615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 Stockbridge</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$5,069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 Tisbury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$76,956</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$76,108</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$10,785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Westborough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$76,302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Westfield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$235,284</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$529,505</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$173,124</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Westford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$95,132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Westhampton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$6,611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Westminster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$46,208</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$45,692</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$30,727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$48,419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Westport</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$65,801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Westwood</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$57,456</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Weymouth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$217,369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Whately</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$5,863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Whitman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$68,542</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Wilbraham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$59,967</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Williamsburg</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$9,558</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Williamstown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$32,340</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Wilmington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$96,881</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Winchendon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$43,469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Winchester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$90,509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Windsor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$3,785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Winthrop</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$78,563</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Woburn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$166,385</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Worcester</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$762,069</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$1,298,008</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$762,069</w:t>
            </w:r>
          </w:p>
        </w:tc>
      </w:tr>
      <w:tr w:rsidR="00B92C0F" w:rsidRPr="001A227A" w:rsidTr="00B95306">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Worthington</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$4,851</w:t>
            </w:r>
          </w:p>
        </w:tc>
      </w:tr>
      <w:tr w:rsidR="00B92C0F" w:rsidRPr="001A227A" w:rsidTr="00997098">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Wrentham</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$43,133</w:t>
            </w:r>
          </w:p>
        </w:tc>
      </w:tr>
      <w:tr w:rsidR="00B92C0F" w:rsidRPr="001A227A" w:rsidTr="00997098">
        <w:trPr>
          <w:trHeight w:hRule="exact" w:val="202"/>
        </w:trPr>
        <w:tc>
          <w:tcPr>
            <w:tcW w:w="1548"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Yarmouth</w:t>
            </w:r>
          </w:p>
        </w:tc>
        <w:tc>
          <w:tcPr>
            <w:tcW w:w="1152"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 </w:t>
            </w:r>
          </w:p>
        </w:tc>
        <w:tc>
          <w:tcPr>
            <w:tcW w:w="990" w:type="dxa"/>
            <w:shd w:val="clear" w:color="auto" w:fill="auto"/>
            <w:noWrap/>
            <w:vAlign w:val="center"/>
            <w:hideMark/>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$100,574</w:t>
            </w:r>
          </w:p>
        </w:tc>
      </w:tr>
      <w:tr w:rsidR="00B92C0F" w:rsidRPr="001A227A" w:rsidTr="00997098">
        <w:trPr>
          <w:trHeight w:hRule="exact" w:val="2179"/>
        </w:trPr>
        <w:tc>
          <w:tcPr>
            <w:tcW w:w="4680" w:type="dxa"/>
            <w:gridSpan w:val="4"/>
            <w:shd w:val="clear" w:color="auto" w:fill="auto"/>
            <w:noWrap/>
            <w:vAlign w:val="center"/>
          </w:tcPr>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Sources:</w:t>
            </w:r>
            <w:r w:rsidRPr="001A227A">
              <w:rPr>
                <w:rFonts w:ascii="Arial" w:hAnsi="Arial" w:cs="Arial"/>
                <w:sz w:val="18"/>
                <w:szCs w:val="18"/>
              </w:rPr>
              <w:tab/>
            </w:r>
            <w:r w:rsidR="00997098">
              <w:rPr>
                <w:rFonts w:ascii="Arial" w:hAnsi="Arial" w:cs="Arial"/>
                <w:sz w:val="18"/>
                <w:szCs w:val="18"/>
              </w:rPr>
              <w:t xml:space="preserve"> </w:t>
            </w:r>
            <w:r w:rsidRPr="001A227A">
              <w:rPr>
                <w:rFonts w:ascii="Arial" w:hAnsi="Arial" w:cs="Arial"/>
                <w:sz w:val="18"/>
                <w:szCs w:val="18"/>
              </w:rPr>
              <w:t>Mathematica’s analysis of i</w:t>
            </w:r>
            <w:r>
              <w:rPr>
                <w:rFonts w:ascii="Arial" w:hAnsi="Arial" w:cs="Arial"/>
                <w:sz w:val="18"/>
                <w:szCs w:val="18"/>
              </w:rPr>
              <w:t xml:space="preserve">mpacts of legalized adult use </w:t>
            </w:r>
            <w:r w:rsidRPr="001A227A">
              <w:rPr>
                <w:rFonts w:ascii="Arial" w:hAnsi="Arial" w:cs="Arial"/>
                <w:sz w:val="18"/>
                <w:szCs w:val="18"/>
              </w:rPr>
              <w:t>of marijuana in Massachus</w:t>
            </w:r>
            <w:r>
              <w:rPr>
                <w:rFonts w:ascii="Arial" w:hAnsi="Arial" w:cs="Arial"/>
                <w:sz w:val="18"/>
                <w:szCs w:val="18"/>
              </w:rPr>
              <w:t xml:space="preserve">etts using estimates from the literature, key stakeholder interviews, and primary and </w:t>
            </w:r>
            <w:r w:rsidRPr="001A227A">
              <w:rPr>
                <w:rFonts w:ascii="Arial" w:hAnsi="Arial" w:cs="Arial"/>
                <w:sz w:val="18"/>
                <w:szCs w:val="18"/>
              </w:rPr>
              <w:t>secondary data sources. Se</w:t>
            </w:r>
            <w:r>
              <w:rPr>
                <w:rFonts w:ascii="Arial" w:hAnsi="Arial" w:cs="Arial"/>
                <w:sz w:val="18"/>
                <w:szCs w:val="18"/>
              </w:rPr>
              <w:t xml:space="preserve">e Appendix </w:t>
            </w:r>
            <w:r w:rsidR="0010613B">
              <w:rPr>
                <w:rFonts w:ascii="Arial" w:hAnsi="Arial" w:cs="Arial"/>
                <w:sz w:val="18"/>
                <w:szCs w:val="18"/>
              </w:rPr>
              <w:t>C Table C</w:t>
            </w:r>
            <w:r>
              <w:rPr>
                <w:rFonts w:ascii="Arial" w:hAnsi="Arial" w:cs="Arial"/>
                <w:sz w:val="18"/>
                <w:szCs w:val="18"/>
              </w:rPr>
              <w:t xml:space="preserve">.1 for data </w:t>
            </w:r>
            <w:r w:rsidRPr="001A227A">
              <w:rPr>
                <w:rFonts w:ascii="Arial" w:hAnsi="Arial" w:cs="Arial"/>
                <w:sz w:val="18"/>
                <w:szCs w:val="18"/>
              </w:rPr>
              <w:t>sources used to inform these estimates.</w:t>
            </w:r>
          </w:p>
          <w:p w:rsidR="00B92C0F" w:rsidRPr="001A227A" w:rsidRDefault="00B92C0F" w:rsidP="00B95306">
            <w:pPr>
              <w:spacing w:after="0" w:line="240" w:lineRule="auto"/>
              <w:rPr>
                <w:rFonts w:ascii="Arial" w:hAnsi="Arial" w:cs="Arial"/>
                <w:sz w:val="18"/>
                <w:szCs w:val="18"/>
              </w:rPr>
            </w:pPr>
            <w:r w:rsidRPr="001A227A">
              <w:rPr>
                <w:rFonts w:ascii="Arial" w:hAnsi="Arial" w:cs="Arial"/>
                <w:sz w:val="18"/>
                <w:szCs w:val="18"/>
              </w:rPr>
              <w:t>MJ = marijuana; RMD = registered marijuana dispensary.</w:t>
            </w:r>
          </w:p>
        </w:tc>
      </w:tr>
    </w:tbl>
    <w:p w:rsidR="00B92C0F" w:rsidRPr="000E5D59" w:rsidRDefault="00B92C0F" w:rsidP="00026674">
      <w:pPr>
        <w:spacing w:after="0" w:line="240" w:lineRule="auto"/>
        <w:rPr>
          <w:rFonts w:ascii="Arial" w:eastAsia="Times New Roman" w:hAnsi="Arial" w:cs="Arial"/>
          <w:b/>
          <w:sz w:val="24"/>
          <w:szCs w:val="24"/>
        </w:rPr>
      </w:pPr>
    </w:p>
    <w:p w:rsidR="00026674" w:rsidRDefault="00026674" w:rsidP="00104C7B">
      <w:pPr>
        <w:pStyle w:val="BodyText"/>
      </w:pPr>
    </w:p>
    <w:p w:rsidR="006744D5" w:rsidRDefault="006744D5" w:rsidP="00104C7B">
      <w:pPr>
        <w:pStyle w:val="BodyText"/>
      </w:pPr>
    </w:p>
    <w:p w:rsidR="00041518" w:rsidRDefault="00041518" w:rsidP="00104C7B">
      <w:pPr>
        <w:pStyle w:val="BodyText"/>
      </w:pPr>
    </w:p>
    <w:p w:rsidR="00041518" w:rsidRDefault="00041518" w:rsidP="00104C7B">
      <w:pPr>
        <w:pStyle w:val="BodyText"/>
      </w:pPr>
    </w:p>
    <w:p w:rsidR="00041518" w:rsidRDefault="00041518" w:rsidP="00104C7B">
      <w:pPr>
        <w:pStyle w:val="BodyText"/>
      </w:pPr>
    </w:p>
    <w:p w:rsidR="00104C7B" w:rsidRDefault="00104C7B" w:rsidP="00104C7B">
      <w:pPr>
        <w:pStyle w:val="BodyText"/>
        <w:rPr>
          <w:rFonts w:eastAsia="MS Gothic"/>
        </w:rPr>
      </w:pPr>
    </w:p>
    <w:p w:rsidR="00104C7B" w:rsidRDefault="00104C7B" w:rsidP="00104C7B">
      <w:pPr>
        <w:pStyle w:val="BodyText"/>
        <w:rPr>
          <w:rFonts w:eastAsia="MS Gothic"/>
        </w:rPr>
      </w:pPr>
    </w:p>
    <w:p w:rsidR="00104C7B" w:rsidRDefault="00104C7B" w:rsidP="00104C7B">
      <w:pPr>
        <w:pStyle w:val="BodyText"/>
        <w:rPr>
          <w:rFonts w:eastAsia="MS Gothic"/>
        </w:rPr>
      </w:pPr>
    </w:p>
    <w:p w:rsidR="00104C7B" w:rsidRDefault="00104C7B" w:rsidP="00104C7B">
      <w:pPr>
        <w:pStyle w:val="BodyText"/>
        <w:rPr>
          <w:rFonts w:eastAsia="MS Gothic"/>
        </w:rPr>
      </w:pPr>
    </w:p>
    <w:p w:rsidR="00104C7B" w:rsidRDefault="00104C7B" w:rsidP="00104C7B">
      <w:pPr>
        <w:pStyle w:val="BodyText"/>
        <w:rPr>
          <w:rFonts w:eastAsia="MS Gothic"/>
        </w:rPr>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104C7B" w:rsidRDefault="00104C7B" w:rsidP="00104C7B">
      <w:pPr>
        <w:pStyle w:val="BodyText"/>
      </w:pPr>
    </w:p>
    <w:p w:rsidR="00C15012" w:rsidRDefault="00041518" w:rsidP="00041518">
      <w:pPr>
        <w:pStyle w:val="Heading1"/>
        <w:rPr>
          <w:rFonts w:eastAsia="MS Gothic"/>
        </w:rPr>
      </w:pPr>
      <w:bookmarkStart w:id="727" w:name="_Toc12529180"/>
      <w:r>
        <w:rPr>
          <w:rFonts w:eastAsia="MS Gothic"/>
        </w:rPr>
        <w:t>Appendix</w:t>
      </w:r>
      <w:r w:rsidR="00C15012">
        <w:rPr>
          <w:rFonts w:eastAsia="MS Gothic"/>
        </w:rPr>
        <w:t xml:space="preserve"> </w:t>
      </w:r>
      <w:r w:rsidR="00997098">
        <w:rPr>
          <w:rFonts w:eastAsia="MS Gothic"/>
        </w:rPr>
        <w:t>D</w:t>
      </w:r>
      <w:bookmarkEnd w:id="727"/>
      <w:r w:rsidR="00C15012">
        <w:rPr>
          <w:rFonts w:eastAsia="MS Gothic"/>
        </w:rPr>
        <w:t xml:space="preserve"> </w:t>
      </w:r>
    </w:p>
    <w:p w:rsidR="00041518" w:rsidRDefault="00041518" w:rsidP="00041518">
      <w:pPr>
        <w:pStyle w:val="Heading1"/>
        <w:rPr>
          <w:rFonts w:eastAsia="MS Gothic"/>
        </w:rPr>
      </w:pPr>
      <w:r>
        <w:rPr>
          <w:rFonts w:eastAsia="MS Gothic"/>
        </w:rPr>
        <w:t xml:space="preserve"> </w:t>
      </w:r>
      <w:bookmarkStart w:id="728" w:name="_Toc12529181"/>
      <w:r w:rsidR="00485527">
        <w:rPr>
          <w:rFonts w:eastAsia="MS Gothic"/>
        </w:rPr>
        <w:t>Marijuana Product and Price Characterization</w:t>
      </w:r>
      <w:bookmarkEnd w:id="728"/>
    </w:p>
    <w:p w:rsidR="00C15012" w:rsidRDefault="00C15012" w:rsidP="00C15012"/>
    <w:p w:rsidR="00C15012" w:rsidRDefault="00C15012" w:rsidP="00C15012"/>
    <w:p w:rsidR="00C15012" w:rsidRDefault="00C15012" w:rsidP="00C15012"/>
    <w:p w:rsidR="00C15012" w:rsidRDefault="00C15012" w:rsidP="00C15012"/>
    <w:p w:rsidR="00C15012" w:rsidRDefault="00C15012" w:rsidP="00C15012"/>
    <w:p w:rsidR="00C15012" w:rsidRDefault="00C15012" w:rsidP="00C15012"/>
    <w:p w:rsidR="00C15012" w:rsidRDefault="00C15012" w:rsidP="00C15012"/>
    <w:p w:rsidR="00C15012" w:rsidRDefault="00C15012" w:rsidP="00C15012"/>
    <w:p w:rsidR="00485527" w:rsidRDefault="00485527" w:rsidP="00C15012"/>
    <w:p w:rsidR="00485527" w:rsidRDefault="00485527" w:rsidP="00C15012"/>
    <w:p w:rsidR="00C15012" w:rsidRDefault="00C15012" w:rsidP="00C15012"/>
    <w:p w:rsidR="00C15012" w:rsidRDefault="00C15012" w:rsidP="00C15012"/>
    <w:p w:rsidR="00C15012" w:rsidRDefault="00C15012" w:rsidP="00C15012"/>
    <w:p w:rsidR="00ED7F02" w:rsidRPr="00ED7F02" w:rsidRDefault="00ED7F02" w:rsidP="00ED7F02">
      <w:pPr>
        <w:keepNext/>
        <w:keepLines/>
        <w:spacing w:after="0" w:line="240" w:lineRule="auto"/>
        <w:outlineLvl w:val="1"/>
        <w:rPr>
          <w:rFonts w:ascii="Arial" w:eastAsia="MS Gothic" w:hAnsi="Arial" w:cs="Arial"/>
          <w:b/>
          <w:sz w:val="28"/>
          <w:szCs w:val="24"/>
        </w:rPr>
      </w:pPr>
      <w:bookmarkStart w:id="729" w:name="_Toc12529182"/>
      <w:r w:rsidRPr="00ED7F02">
        <w:rPr>
          <w:rFonts w:ascii="Arial" w:eastAsia="MS Gothic" w:hAnsi="Arial" w:cs="Arial"/>
          <w:b/>
          <w:sz w:val="28"/>
          <w:szCs w:val="24"/>
        </w:rPr>
        <w:t>Introduction</w:t>
      </w:r>
      <w:bookmarkEnd w:id="729"/>
    </w:p>
    <w:p w:rsidR="00ED7F02" w:rsidRPr="00ED7F02" w:rsidRDefault="00ED7F02" w:rsidP="00ED7F02">
      <w:pPr>
        <w:spacing w:after="0" w:line="240" w:lineRule="auto"/>
        <w:rPr>
          <w:rFonts w:ascii="Arial" w:eastAsia="Calibri" w:hAnsi="Arial" w:cs="Arial"/>
          <w:sz w:val="24"/>
          <w:szCs w:val="24"/>
        </w:rPr>
      </w:pPr>
    </w:p>
    <w:p w:rsidR="00ED7F02" w:rsidRPr="00ED7F02" w:rsidRDefault="00ED7F02" w:rsidP="00ED7F02">
      <w:pPr>
        <w:spacing w:after="0" w:line="240" w:lineRule="auto"/>
        <w:rPr>
          <w:rFonts w:ascii="Arial" w:eastAsia="Calibri" w:hAnsi="Arial" w:cs="Arial"/>
          <w:sz w:val="24"/>
          <w:szCs w:val="24"/>
        </w:rPr>
      </w:pPr>
      <w:r w:rsidRPr="00ED7F02">
        <w:rPr>
          <w:rFonts w:ascii="Arial" w:eastAsia="Calibri" w:hAnsi="Arial" w:cs="Arial"/>
          <w:sz w:val="24"/>
          <w:szCs w:val="24"/>
        </w:rPr>
        <w:t xml:space="preserve">Medical marijuana products that are sold in Massachusetts are required to be evaluated according to </w:t>
      </w:r>
      <w:r w:rsidR="005C4296">
        <w:rPr>
          <w:rFonts w:ascii="Arial" w:eastAsia="Calibri" w:hAnsi="Arial" w:cs="Arial"/>
          <w:sz w:val="24"/>
          <w:szCs w:val="24"/>
        </w:rPr>
        <w:t xml:space="preserve">established laboratory testing </w:t>
      </w:r>
      <w:r w:rsidRPr="00ED7F02">
        <w:rPr>
          <w:rFonts w:ascii="Arial" w:eastAsia="Calibri" w:hAnsi="Arial" w:cs="Arial"/>
          <w:sz w:val="24"/>
          <w:szCs w:val="24"/>
        </w:rPr>
        <w:t>protocols (DPH, 2016).  Briefly, these protocols describe evaluating dispensed products for contaminants and cannabinoid content, inclusive of evaluating finished (dried) plant material, cannabis resin, and cannabis concentrates.  As some of these products (e.g., oils and resins) are tested and later incorporated into marijuana-infused products</w:t>
      </w:r>
      <w:r w:rsidR="00DB503E">
        <w:rPr>
          <w:rFonts w:ascii="Arial" w:eastAsia="Calibri" w:hAnsi="Arial" w:cs="Arial"/>
          <w:sz w:val="24"/>
          <w:szCs w:val="24"/>
        </w:rPr>
        <w:t xml:space="preserve"> (MIPs)</w:t>
      </w:r>
      <w:r w:rsidRPr="00ED7F02">
        <w:rPr>
          <w:rFonts w:ascii="Arial" w:eastAsia="Calibri" w:hAnsi="Arial" w:cs="Arial"/>
          <w:sz w:val="24"/>
          <w:szCs w:val="24"/>
        </w:rPr>
        <w:t xml:space="preserve"> intended for use as edibles (e.g., capsules, brownies, candy, etc.), or various personal care products (e.g., tinctures, lotions, suppositories, etc.), a marijuana-containing product may undergo multiple rounds of product testing before it is dispensed.  </w:t>
      </w:r>
    </w:p>
    <w:p w:rsidR="00ED7F02" w:rsidRPr="00ED7F02" w:rsidRDefault="00ED7F02" w:rsidP="00ED7F02">
      <w:pPr>
        <w:spacing w:after="0" w:line="240" w:lineRule="auto"/>
        <w:rPr>
          <w:rFonts w:ascii="Arial" w:eastAsia="Calibri" w:hAnsi="Arial" w:cs="Arial"/>
          <w:sz w:val="24"/>
          <w:szCs w:val="24"/>
        </w:rPr>
      </w:pPr>
    </w:p>
    <w:p w:rsidR="00ED7F02" w:rsidRPr="00ED7F02" w:rsidRDefault="00ED7F02" w:rsidP="00ED7F02">
      <w:pPr>
        <w:spacing w:after="0" w:line="240" w:lineRule="auto"/>
        <w:rPr>
          <w:rFonts w:ascii="Arial" w:eastAsia="Calibri" w:hAnsi="Arial" w:cs="Arial"/>
          <w:sz w:val="24"/>
          <w:szCs w:val="24"/>
        </w:rPr>
      </w:pPr>
      <w:r w:rsidRPr="00ED7F02">
        <w:rPr>
          <w:rFonts w:ascii="Arial" w:eastAsia="Calibri" w:hAnsi="Arial" w:cs="Arial"/>
          <w:sz w:val="24"/>
          <w:szCs w:val="24"/>
        </w:rPr>
        <w:t>Marijuana products of a similar variety are generally priced according to the cannabinoid content.  In August 2017 Registere</w:t>
      </w:r>
      <w:r w:rsidR="005C4296">
        <w:rPr>
          <w:rFonts w:ascii="Arial" w:eastAsia="Calibri" w:hAnsi="Arial" w:cs="Arial"/>
          <w:sz w:val="24"/>
          <w:szCs w:val="24"/>
        </w:rPr>
        <w:t xml:space="preserve">d Marijuana Dispensaries </w:t>
      </w:r>
      <w:r w:rsidRPr="00ED7F02">
        <w:rPr>
          <w:rFonts w:ascii="Arial" w:eastAsia="Calibri" w:hAnsi="Arial" w:cs="Arial"/>
          <w:sz w:val="24"/>
          <w:szCs w:val="24"/>
        </w:rPr>
        <w:t xml:space="preserve">in Massachusetts were asked to complete a voluntary survey of retail marijuana prices to inform the economic and fiscal analyses being conducted as part of the MBHS.  </w:t>
      </w:r>
    </w:p>
    <w:p w:rsidR="00ED7F02" w:rsidRPr="00ED7F02" w:rsidRDefault="00ED7F02" w:rsidP="00ED7F02">
      <w:pPr>
        <w:spacing w:after="0" w:line="240" w:lineRule="auto"/>
        <w:rPr>
          <w:rFonts w:ascii="Arial" w:eastAsia="Calibri" w:hAnsi="Arial" w:cs="Arial"/>
          <w:sz w:val="24"/>
          <w:szCs w:val="24"/>
        </w:rPr>
      </w:pPr>
    </w:p>
    <w:p w:rsidR="00ED7F02" w:rsidRPr="00ED7F02" w:rsidRDefault="00ED7F02" w:rsidP="00ED7F02">
      <w:pPr>
        <w:spacing w:after="0" w:line="240" w:lineRule="auto"/>
        <w:rPr>
          <w:rFonts w:ascii="Arial" w:eastAsia="Calibri" w:hAnsi="Arial" w:cs="Arial"/>
          <w:sz w:val="24"/>
          <w:szCs w:val="24"/>
        </w:rPr>
      </w:pPr>
      <w:r w:rsidRPr="00ED7F02">
        <w:rPr>
          <w:rFonts w:ascii="Arial" w:eastAsia="Calibri" w:hAnsi="Arial" w:cs="Arial"/>
          <w:sz w:val="24"/>
          <w:szCs w:val="24"/>
        </w:rPr>
        <w:t>This appendix describes an overview of the cannabinoid content and price of medical marijuana products that were avail</w:t>
      </w:r>
      <w:r w:rsidR="003C663D">
        <w:rPr>
          <w:rFonts w:ascii="Arial" w:eastAsia="Calibri" w:hAnsi="Arial" w:cs="Arial"/>
          <w:sz w:val="24"/>
          <w:szCs w:val="24"/>
        </w:rPr>
        <w:t>able through the DPH</w:t>
      </w:r>
      <w:r w:rsidRPr="00ED7F02">
        <w:rPr>
          <w:rFonts w:ascii="Arial" w:eastAsia="Calibri" w:hAnsi="Arial" w:cs="Arial"/>
          <w:sz w:val="24"/>
          <w:szCs w:val="24"/>
        </w:rPr>
        <w:t xml:space="preserve"> Medical Use of Marijuana</w:t>
      </w:r>
      <w:r w:rsidR="003C663D">
        <w:rPr>
          <w:rFonts w:ascii="Arial" w:eastAsia="Calibri" w:hAnsi="Arial" w:cs="Arial"/>
          <w:sz w:val="24"/>
          <w:szCs w:val="24"/>
        </w:rPr>
        <w:t xml:space="preserve"> Program.  As these </w:t>
      </w:r>
      <w:r w:rsidR="00E11D12">
        <w:rPr>
          <w:rFonts w:ascii="Arial" w:eastAsia="Calibri" w:hAnsi="Arial" w:cs="Arial"/>
          <w:sz w:val="24"/>
          <w:szCs w:val="24"/>
        </w:rPr>
        <w:t xml:space="preserve">medical marijuana </w:t>
      </w:r>
      <w:r w:rsidR="003C663D">
        <w:rPr>
          <w:rFonts w:ascii="Arial" w:eastAsia="Calibri" w:hAnsi="Arial" w:cs="Arial"/>
          <w:sz w:val="24"/>
          <w:szCs w:val="24"/>
        </w:rPr>
        <w:t>products were</w:t>
      </w:r>
      <w:r w:rsidRPr="00ED7F02">
        <w:rPr>
          <w:rFonts w:ascii="Arial" w:eastAsia="Calibri" w:hAnsi="Arial" w:cs="Arial"/>
          <w:sz w:val="24"/>
          <w:szCs w:val="24"/>
        </w:rPr>
        <w:t xml:space="preserve"> likely to be very similar </w:t>
      </w:r>
      <w:r w:rsidR="00E11D12">
        <w:rPr>
          <w:rFonts w:ascii="Arial" w:eastAsia="Calibri" w:hAnsi="Arial" w:cs="Arial"/>
          <w:sz w:val="24"/>
          <w:szCs w:val="24"/>
        </w:rPr>
        <w:t xml:space="preserve">in composition </w:t>
      </w:r>
      <w:r w:rsidRPr="00ED7F02">
        <w:rPr>
          <w:rFonts w:ascii="Arial" w:eastAsia="Calibri" w:hAnsi="Arial" w:cs="Arial"/>
          <w:sz w:val="24"/>
          <w:szCs w:val="24"/>
        </w:rPr>
        <w:t xml:space="preserve">to the types of products available in adult-use marketplace, </w:t>
      </w:r>
      <w:r w:rsidR="00E16761">
        <w:rPr>
          <w:rFonts w:ascii="Arial" w:eastAsia="Calibri" w:hAnsi="Arial" w:cs="Arial"/>
          <w:sz w:val="24"/>
          <w:szCs w:val="24"/>
        </w:rPr>
        <w:t xml:space="preserve">an </w:t>
      </w:r>
      <w:r w:rsidRPr="00ED7F02">
        <w:rPr>
          <w:rFonts w:ascii="Arial" w:eastAsia="Calibri" w:hAnsi="Arial" w:cs="Arial"/>
          <w:sz w:val="24"/>
          <w:szCs w:val="24"/>
        </w:rPr>
        <w:t xml:space="preserve">earlier </w:t>
      </w:r>
      <w:r w:rsidR="00E16761">
        <w:rPr>
          <w:rFonts w:ascii="Arial" w:eastAsia="Calibri" w:hAnsi="Arial" w:cs="Arial"/>
          <w:sz w:val="24"/>
          <w:szCs w:val="24"/>
        </w:rPr>
        <w:t>draft of the</w:t>
      </w:r>
      <w:r w:rsidRPr="00ED7F02">
        <w:rPr>
          <w:rFonts w:ascii="Arial" w:eastAsia="Calibri" w:hAnsi="Arial" w:cs="Arial"/>
          <w:sz w:val="24"/>
          <w:szCs w:val="24"/>
        </w:rPr>
        <w:t xml:space="preserve"> information</w:t>
      </w:r>
      <w:r w:rsidR="00E16761">
        <w:rPr>
          <w:rFonts w:ascii="Arial" w:eastAsia="Calibri" w:hAnsi="Arial" w:cs="Arial"/>
          <w:sz w:val="24"/>
          <w:szCs w:val="24"/>
        </w:rPr>
        <w:t xml:space="preserve"> provided in this Appendix </w:t>
      </w:r>
      <w:r w:rsidR="003C663D">
        <w:rPr>
          <w:rFonts w:ascii="Arial" w:eastAsia="Calibri" w:hAnsi="Arial" w:cs="Arial"/>
          <w:sz w:val="24"/>
          <w:szCs w:val="24"/>
        </w:rPr>
        <w:t xml:space="preserve">was </w:t>
      </w:r>
      <w:r w:rsidRPr="00ED7F02">
        <w:rPr>
          <w:rFonts w:ascii="Arial" w:eastAsia="Calibri" w:hAnsi="Arial" w:cs="Arial"/>
          <w:sz w:val="24"/>
          <w:szCs w:val="24"/>
        </w:rPr>
        <w:t xml:space="preserve">used to inform various analyses </w:t>
      </w:r>
      <w:r w:rsidR="00E16761">
        <w:rPr>
          <w:rFonts w:ascii="Arial" w:eastAsia="Calibri" w:hAnsi="Arial" w:cs="Arial"/>
          <w:sz w:val="24"/>
          <w:szCs w:val="24"/>
        </w:rPr>
        <w:t>i</w:t>
      </w:r>
      <w:r w:rsidRPr="00ED7F02">
        <w:rPr>
          <w:rFonts w:ascii="Arial" w:eastAsia="Calibri" w:hAnsi="Arial" w:cs="Arial"/>
          <w:sz w:val="24"/>
          <w:szCs w:val="24"/>
        </w:rPr>
        <w:t>n the MBHS.  A</w:t>
      </w:r>
      <w:r w:rsidR="00E16761">
        <w:rPr>
          <w:rFonts w:ascii="Arial" w:eastAsia="Calibri" w:hAnsi="Arial" w:cs="Arial"/>
          <w:sz w:val="24"/>
          <w:szCs w:val="24"/>
        </w:rPr>
        <w:t>s such, a</w:t>
      </w:r>
      <w:r w:rsidRPr="00ED7F02">
        <w:rPr>
          <w:rFonts w:ascii="Arial" w:eastAsia="Calibri" w:hAnsi="Arial" w:cs="Arial"/>
          <w:sz w:val="24"/>
          <w:szCs w:val="24"/>
        </w:rPr>
        <w:t xml:space="preserve"> summary of the cannabinoid content and price of retail </w:t>
      </w:r>
      <w:r w:rsidR="00E11D12">
        <w:rPr>
          <w:rFonts w:ascii="Arial" w:eastAsia="Calibri" w:hAnsi="Arial" w:cs="Arial"/>
          <w:sz w:val="24"/>
          <w:szCs w:val="24"/>
        </w:rPr>
        <w:t xml:space="preserve">medical </w:t>
      </w:r>
      <w:r w:rsidRPr="00ED7F02">
        <w:rPr>
          <w:rFonts w:ascii="Arial" w:eastAsia="Calibri" w:hAnsi="Arial" w:cs="Arial"/>
          <w:sz w:val="24"/>
          <w:szCs w:val="24"/>
        </w:rPr>
        <w:t>marijuana products available in Massachusetts over the period of May 14, 2015 through Dece</w:t>
      </w:r>
      <w:r w:rsidR="00E16761">
        <w:rPr>
          <w:rFonts w:ascii="Arial" w:eastAsia="Calibri" w:hAnsi="Arial" w:cs="Arial"/>
          <w:sz w:val="24"/>
          <w:szCs w:val="24"/>
        </w:rPr>
        <w:t>mber 31, 2018 is included here as A</w:t>
      </w:r>
      <w:r w:rsidRPr="00ED7F02">
        <w:rPr>
          <w:rFonts w:ascii="Arial" w:eastAsia="Calibri" w:hAnsi="Arial" w:cs="Arial"/>
          <w:sz w:val="24"/>
          <w:szCs w:val="24"/>
        </w:rPr>
        <w:t>ppendix</w:t>
      </w:r>
      <w:r w:rsidR="00E16761">
        <w:rPr>
          <w:rFonts w:ascii="Arial" w:eastAsia="Calibri" w:hAnsi="Arial" w:cs="Arial"/>
          <w:sz w:val="24"/>
          <w:szCs w:val="24"/>
        </w:rPr>
        <w:t xml:space="preserve"> D</w:t>
      </w:r>
      <w:r w:rsidRPr="00ED7F02">
        <w:rPr>
          <w:rFonts w:ascii="Arial" w:eastAsia="Calibri" w:hAnsi="Arial" w:cs="Arial"/>
          <w:sz w:val="24"/>
          <w:szCs w:val="24"/>
        </w:rPr>
        <w:t xml:space="preserve">.  </w:t>
      </w: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r w:rsidRPr="00ED7F02">
        <w:rPr>
          <w:rFonts w:ascii="Arial" w:eastAsia="Calibri" w:hAnsi="Arial" w:cs="Arial"/>
          <w:b/>
          <w:sz w:val="24"/>
          <w:szCs w:val="24"/>
        </w:rPr>
        <w:t>Cannabinoid Content Summary</w:t>
      </w:r>
    </w:p>
    <w:p w:rsidR="00B324F3" w:rsidRDefault="00B324F3" w:rsidP="00ED7F02">
      <w:pPr>
        <w:spacing w:after="0" w:line="240" w:lineRule="auto"/>
        <w:rPr>
          <w:rFonts w:ascii="Arial" w:eastAsia="Calibri" w:hAnsi="Arial" w:cs="Arial"/>
          <w:sz w:val="24"/>
          <w:szCs w:val="24"/>
        </w:rPr>
      </w:pPr>
    </w:p>
    <w:p w:rsidR="00B324F3" w:rsidRPr="00B324F3" w:rsidRDefault="00B324F3" w:rsidP="00B324F3">
      <w:pPr>
        <w:spacing w:after="0" w:line="240" w:lineRule="auto"/>
        <w:rPr>
          <w:rFonts w:ascii="Arial" w:eastAsia="Calibri" w:hAnsi="Arial" w:cs="Arial"/>
          <w:sz w:val="24"/>
          <w:szCs w:val="24"/>
        </w:rPr>
      </w:pPr>
      <w:r w:rsidRPr="00B324F3">
        <w:rPr>
          <w:rFonts w:ascii="Arial" w:eastAsia="Calibri" w:hAnsi="Arial" w:cs="Arial"/>
          <w:sz w:val="24"/>
          <w:szCs w:val="24"/>
        </w:rPr>
        <w:t>Marijuana products that are dispensed for medical use in Massachusetts must bear a label that identifies the percentage (by dry weight) of ∆9-tetrahydrocannnabinol (∆9-THC), cannabidiol (CBD), tetrahydrocannabinolic acid (THCa), and cannabidiolic acid (CBDa).</w:t>
      </w:r>
      <w:r>
        <w:rPr>
          <w:rFonts w:ascii="Arial" w:eastAsia="Calibri" w:hAnsi="Arial" w:cs="Arial"/>
          <w:sz w:val="24"/>
          <w:szCs w:val="24"/>
        </w:rPr>
        <w:t xml:space="preserve">  </w:t>
      </w:r>
      <w:r w:rsidRPr="00B324F3">
        <w:rPr>
          <w:rFonts w:ascii="Arial" w:eastAsia="Calibri" w:hAnsi="Arial" w:cs="Arial"/>
          <w:sz w:val="24"/>
          <w:szCs w:val="24"/>
        </w:rPr>
        <w:t xml:space="preserve">Of these cannabinoids, Δ9-THC is the primary psychoactive component and cannabidiol (CBD) is the primary non-psychoactive component of cannabis.  </w:t>
      </w:r>
    </w:p>
    <w:p w:rsidR="00B324F3" w:rsidRDefault="00B324F3" w:rsidP="00B324F3">
      <w:pPr>
        <w:spacing w:after="0" w:line="240" w:lineRule="auto"/>
        <w:rPr>
          <w:rFonts w:ascii="Arial" w:eastAsia="Calibri" w:hAnsi="Arial" w:cs="Arial"/>
          <w:sz w:val="24"/>
          <w:szCs w:val="24"/>
        </w:rPr>
      </w:pPr>
      <w:r w:rsidRPr="00B324F3">
        <w:rPr>
          <w:rFonts w:ascii="Arial" w:eastAsia="Calibri" w:hAnsi="Arial" w:cs="Arial"/>
          <w:sz w:val="24"/>
          <w:szCs w:val="24"/>
        </w:rPr>
        <w:t xml:space="preserve">  </w:t>
      </w:r>
    </w:p>
    <w:p w:rsidR="00B324F3" w:rsidRDefault="00B324F3" w:rsidP="00B324F3">
      <w:pPr>
        <w:spacing w:after="0" w:line="240" w:lineRule="auto"/>
        <w:rPr>
          <w:rFonts w:ascii="Arial" w:eastAsia="Calibri" w:hAnsi="Arial" w:cs="Arial"/>
          <w:sz w:val="24"/>
          <w:szCs w:val="24"/>
        </w:rPr>
      </w:pPr>
      <w:r>
        <w:rPr>
          <w:rFonts w:ascii="Arial" w:eastAsia="Calibri" w:hAnsi="Arial" w:cs="Arial"/>
          <w:sz w:val="24"/>
          <w:szCs w:val="24"/>
        </w:rPr>
        <w:t>W</w:t>
      </w:r>
      <w:r w:rsidR="00ED7F02" w:rsidRPr="00ED7F02">
        <w:rPr>
          <w:rFonts w:ascii="Arial" w:eastAsia="Calibri" w:hAnsi="Arial" w:cs="Arial"/>
          <w:sz w:val="24"/>
          <w:szCs w:val="24"/>
        </w:rPr>
        <w:t>hile regulating the sale and use of medical marijuan</w:t>
      </w:r>
      <w:r>
        <w:rPr>
          <w:rFonts w:ascii="Arial" w:eastAsia="Calibri" w:hAnsi="Arial" w:cs="Arial"/>
          <w:sz w:val="24"/>
          <w:szCs w:val="24"/>
        </w:rPr>
        <w:t>a in Massachusetts</w:t>
      </w:r>
      <w:r w:rsidR="002F21FE">
        <w:rPr>
          <w:rFonts w:ascii="Arial" w:eastAsia="Calibri" w:hAnsi="Arial" w:cs="Arial"/>
          <w:sz w:val="24"/>
          <w:szCs w:val="24"/>
        </w:rPr>
        <w:t>,</w:t>
      </w:r>
      <w:r w:rsidR="00DB503E">
        <w:rPr>
          <w:rFonts w:ascii="Arial" w:eastAsia="Calibri" w:hAnsi="Arial" w:cs="Arial"/>
          <w:sz w:val="24"/>
          <w:szCs w:val="24"/>
        </w:rPr>
        <w:t xml:space="preserve"> DPH has evaluated over 15,000</w:t>
      </w:r>
      <w:r w:rsidR="00ED7F02" w:rsidRPr="00ED7F02">
        <w:rPr>
          <w:rFonts w:ascii="Arial" w:eastAsia="Calibri" w:hAnsi="Arial" w:cs="Arial"/>
          <w:sz w:val="24"/>
          <w:szCs w:val="24"/>
        </w:rPr>
        <w:t xml:space="preserve"> laboratory reports, describing </w:t>
      </w:r>
      <w:r w:rsidR="00DB503E">
        <w:rPr>
          <w:rFonts w:ascii="Arial" w:eastAsia="Calibri" w:hAnsi="Arial" w:cs="Arial"/>
          <w:sz w:val="24"/>
          <w:szCs w:val="24"/>
        </w:rPr>
        <w:t>over 14,500</w:t>
      </w:r>
      <w:r w:rsidR="00ED7F02" w:rsidRPr="00ED7F02">
        <w:rPr>
          <w:rFonts w:ascii="Arial" w:eastAsia="Calibri" w:hAnsi="Arial" w:cs="Arial"/>
          <w:sz w:val="24"/>
          <w:szCs w:val="24"/>
        </w:rPr>
        <w:t xml:space="preserve"> medical marijuana products, from thirteen different medical marijuana facilities.  These reports have been voluntary submitted to DPH and describe the laboratory testing of flower products (44.6%), MIPs (27.0%), and concentrates, such as resin (3.7%), oils (19.5%), shatter (3.0%), or wax (2.2%).  Of these </w:t>
      </w:r>
      <w:r w:rsidR="002F21FE">
        <w:rPr>
          <w:rFonts w:ascii="Arial" w:eastAsia="Calibri" w:hAnsi="Arial" w:cs="Arial"/>
          <w:sz w:val="24"/>
          <w:szCs w:val="24"/>
        </w:rPr>
        <w:t xml:space="preserve">laboratory </w:t>
      </w:r>
      <w:r w:rsidR="00ED7F02" w:rsidRPr="00ED7F02">
        <w:rPr>
          <w:rFonts w:ascii="Arial" w:eastAsia="Calibri" w:hAnsi="Arial" w:cs="Arial"/>
          <w:sz w:val="24"/>
          <w:szCs w:val="24"/>
        </w:rPr>
        <w:t xml:space="preserve">reports, a total of 12,375 </w:t>
      </w:r>
      <w:r w:rsidR="002F21FE">
        <w:rPr>
          <w:rFonts w:ascii="Arial" w:eastAsia="Calibri" w:hAnsi="Arial" w:cs="Arial"/>
          <w:sz w:val="24"/>
          <w:szCs w:val="24"/>
        </w:rPr>
        <w:t>describe an evaluation of cannabinoid profile testing that describes levels of</w:t>
      </w:r>
      <w:r w:rsidR="00ED7F02" w:rsidRPr="00ED7F02">
        <w:rPr>
          <w:rFonts w:ascii="Arial" w:eastAsia="Calibri" w:hAnsi="Arial" w:cs="Arial"/>
          <w:sz w:val="24"/>
          <w:szCs w:val="24"/>
        </w:rPr>
        <w:t xml:space="preserve">: </w:t>
      </w:r>
      <w:r w:rsidR="00ED7F02" w:rsidRPr="00ED7F02">
        <w:rPr>
          <w:rFonts w:ascii="Arial" w:eastAsia="Calibri" w:hAnsi="Arial" w:cs="Arial"/>
          <w:sz w:val="24"/>
          <w:szCs w:val="24"/>
        </w:rPr>
        <w:sym w:font="Symbol" w:char="F044"/>
      </w:r>
      <w:r w:rsidR="00ED7F02" w:rsidRPr="00ED7F02">
        <w:rPr>
          <w:rFonts w:ascii="Arial" w:eastAsia="Calibri" w:hAnsi="Arial" w:cs="Arial"/>
          <w:sz w:val="24"/>
          <w:szCs w:val="24"/>
          <w:vertAlign w:val="superscript"/>
        </w:rPr>
        <w:t>9</w:t>
      </w:r>
      <w:r w:rsidR="00ED7F02" w:rsidRPr="00ED7F02">
        <w:rPr>
          <w:rFonts w:ascii="Arial" w:eastAsia="Calibri" w:hAnsi="Arial" w:cs="Arial"/>
          <w:sz w:val="24"/>
          <w:szCs w:val="24"/>
        </w:rPr>
        <w:t>-tetrahydrocannnabinol (</w:t>
      </w:r>
      <w:r w:rsidR="00ED7F02" w:rsidRPr="00ED7F02">
        <w:rPr>
          <w:rFonts w:ascii="Arial" w:eastAsia="Calibri" w:hAnsi="Arial" w:cs="Arial"/>
          <w:sz w:val="24"/>
          <w:szCs w:val="24"/>
        </w:rPr>
        <w:sym w:font="Symbol" w:char="F044"/>
      </w:r>
      <w:r w:rsidR="00ED7F02" w:rsidRPr="00ED7F02">
        <w:rPr>
          <w:rFonts w:ascii="Arial" w:eastAsia="Calibri" w:hAnsi="Arial" w:cs="Arial"/>
          <w:sz w:val="24"/>
          <w:szCs w:val="24"/>
          <w:vertAlign w:val="superscript"/>
        </w:rPr>
        <w:t>9</w:t>
      </w:r>
      <w:r w:rsidR="00ED7F02" w:rsidRPr="00ED7F02">
        <w:rPr>
          <w:rFonts w:ascii="Arial" w:eastAsia="Calibri" w:hAnsi="Arial" w:cs="Arial"/>
          <w:sz w:val="24"/>
          <w:szCs w:val="24"/>
        </w:rPr>
        <w:t xml:space="preserve">-THC), cannabidiol (CBD), tetrahydrocannabinolic acid (THCa), and/or cannabidiolic acid (CBDa). </w:t>
      </w:r>
    </w:p>
    <w:p w:rsidR="00B324F3" w:rsidRDefault="00B324F3" w:rsidP="00ED7F02">
      <w:pPr>
        <w:spacing w:after="0" w:line="240" w:lineRule="auto"/>
        <w:rPr>
          <w:rFonts w:ascii="Arial" w:eastAsia="Calibri" w:hAnsi="Arial" w:cs="Arial"/>
          <w:sz w:val="24"/>
          <w:szCs w:val="24"/>
        </w:rPr>
      </w:pPr>
    </w:p>
    <w:p w:rsidR="00ED7F02" w:rsidRPr="00ED7F02" w:rsidRDefault="002F21FE" w:rsidP="00ED7F02">
      <w:pPr>
        <w:spacing w:after="0" w:line="240" w:lineRule="auto"/>
        <w:rPr>
          <w:rFonts w:ascii="Arial" w:eastAsia="Calibri" w:hAnsi="Arial" w:cs="Arial"/>
          <w:sz w:val="24"/>
          <w:szCs w:val="24"/>
        </w:rPr>
      </w:pPr>
      <w:r>
        <w:rPr>
          <w:rFonts w:ascii="Arial" w:eastAsia="Calibri" w:hAnsi="Arial" w:cs="Arial"/>
          <w:sz w:val="24"/>
          <w:szCs w:val="24"/>
        </w:rPr>
        <w:t>The types of products tested for cannabinoids</w:t>
      </w:r>
      <w:r w:rsidR="00ED7F02" w:rsidRPr="00ED7F02">
        <w:rPr>
          <w:rFonts w:ascii="Arial" w:eastAsia="Calibri" w:hAnsi="Arial" w:cs="Arial"/>
          <w:sz w:val="24"/>
          <w:szCs w:val="24"/>
        </w:rPr>
        <w:t xml:space="preserve"> include flower products</w:t>
      </w:r>
      <w:r>
        <w:rPr>
          <w:rFonts w:ascii="Arial" w:eastAsia="Calibri" w:hAnsi="Arial" w:cs="Arial"/>
          <w:sz w:val="24"/>
          <w:szCs w:val="24"/>
        </w:rPr>
        <w:t xml:space="preserve"> (</w:t>
      </w:r>
      <w:r w:rsidRPr="002F21FE">
        <w:rPr>
          <w:rFonts w:ascii="Arial" w:eastAsia="Calibri" w:hAnsi="Arial" w:cs="Arial"/>
          <w:sz w:val="24"/>
          <w:szCs w:val="24"/>
        </w:rPr>
        <w:t>37.2%</w:t>
      </w:r>
      <w:r>
        <w:rPr>
          <w:rFonts w:ascii="Arial" w:eastAsia="Calibri" w:hAnsi="Arial" w:cs="Arial"/>
          <w:sz w:val="24"/>
          <w:szCs w:val="24"/>
        </w:rPr>
        <w:t>)</w:t>
      </w:r>
      <w:r w:rsidR="00ED7F02" w:rsidRPr="00ED7F02">
        <w:rPr>
          <w:rFonts w:ascii="Arial" w:eastAsia="Calibri" w:hAnsi="Arial" w:cs="Arial"/>
          <w:sz w:val="24"/>
          <w:szCs w:val="24"/>
        </w:rPr>
        <w:t>, concentrates</w:t>
      </w:r>
      <w:r>
        <w:rPr>
          <w:rFonts w:ascii="Arial" w:eastAsia="Calibri" w:hAnsi="Arial" w:cs="Arial"/>
          <w:sz w:val="24"/>
          <w:szCs w:val="24"/>
        </w:rPr>
        <w:t xml:space="preserve"> (29.4%)</w:t>
      </w:r>
      <w:r w:rsidR="00ED7F02" w:rsidRPr="00ED7F02">
        <w:rPr>
          <w:rFonts w:ascii="Arial" w:eastAsia="Calibri" w:hAnsi="Arial" w:cs="Arial"/>
          <w:sz w:val="24"/>
          <w:szCs w:val="24"/>
        </w:rPr>
        <w:t>, and MIPs (</w:t>
      </w:r>
      <w:r>
        <w:rPr>
          <w:rFonts w:ascii="Arial" w:eastAsia="Calibri" w:hAnsi="Arial" w:cs="Arial"/>
          <w:sz w:val="24"/>
          <w:szCs w:val="24"/>
        </w:rPr>
        <w:t xml:space="preserve">33.3%; see </w:t>
      </w:r>
      <w:r w:rsidR="00ED7F02" w:rsidRPr="00ED7F02">
        <w:rPr>
          <w:rFonts w:ascii="Arial" w:eastAsia="Calibri" w:hAnsi="Arial" w:cs="Arial"/>
          <w:sz w:val="24"/>
          <w:szCs w:val="24"/>
        </w:rPr>
        <w:t xml:space="preserve">Figure 1). Table 1 describes the cannabinoid testing results for flower, concentrates and MIPs. The cannabinoid Delta (∆)9-THC was detected in 93.3% of flower products, 98.6% of concentrate, and 95.2% of MIPs. The cannabinoid THCa was detected in 99.6% of flower products, 67.2% of concentrates, and 17.0% of MIPs.  The cannabinoid CBD was detected in 27.9% of flower products, 56.6% of concentrates, and 33.1% of MIPs. The cannabinoid CBDa was detected in 50.3% of flower products, 53.2% of concentrates, and 7.1% of MIPs. </w:t>
      </w:r>
    </w:p>
    <w:p w:rsidR="00ED7F02" w:rsidRPr="00ED7F02" w:rsidRDefault="00ED7F02" w:rsidP="00ED7F02">
      <w:pPr>
        <w:spacing w:after="0" w:line="240" w:lineRule="auto"/>
        <w:rPr>
          <w:rFonts w:ascii="Arial" w:eastAsia="Calibri" w:hAnsi="Arial" w:cs="Arial"/>
          <w:sz w:val="24"/>
          <w:szCs w:val="24"/>
        </w:rPr>
      </w:pPr>
    </w:p>
    <w:p w:rsidR="00ED7F02" w:rsidRPr="00ED7F02" w:rsidRDefault="00ED7F02" w:rsidP="00ED7F02">
      <w:pPr>
        <w:spacing w:after="0" w:line="240" w:lineRule="auto"/>
        <w:rPr>
          <w:rFonts w:ascii="Arial" w:eastAsia="Calibri" w:hAnsi="Arial" w:cs="Arial"/>
          <w:sz w:val="24"/>
          <w:szCs w:val="24"/>
        </w:rPr>
      </w:pPr>
      <w:r w:rsidRPr="00ED7F02">
        <w:rPr>
          <w:rFonts w:ascii="Arial" w:eastAsia="Calibri" w:hAnsi="Arial" w:cs="Arial"/>
          <w:sz w:val="24"/>
          <w:szCs w:val="24"/>
        </w:rPr>
        <w:t xml:space="preserve">The cannabinoid </w:t>
      </w:r>
      <w:r w:rsidR="00EE0155">
        <w:rPr>
          <w:rFonts w:ascii="Arial" w:eastAsia="Calibri" w:hAnsi="Arial" w:cs="Arial"/>
          <w:sz w:val="24"/>
          <w:szCs w:val="24"/>
        </w:rPr>
        <w:t xml:space="preserve">content of the available products is shown in </w:t>
      </w:r>
      <w:r w:rsidRPr="00ED7F02">
        <w:rPr>
          <w:rFonts w:ascii="Arial" w:eastAsia="Calibri" w:hAnsi="Arial" w:cs="Arial"/>
          <w:sz w:val="24"/>
          <w:szCs w:val="24"/>
        </w:rPr>
        <w:t>Table 2. Of the 4</w:t>
      </w:r>
      <w:r w:rsidR="00EE0155">
        <w:rPr>
          <w:rFonts w:ascii="Arial" w:eastAsia="Calibri" w:hAnsi="Arial" w:cs="Arial"/>
          <w:sz w:val="24"/>
          <w:szCs w:val="24"/>
        </w:rPr>
        <w:t>,</w:t>
      </w:r>
      <w:r w:rsidRPr="00ED7F02">
        <w:rPr>
          <w:rFonts w:ascii="Arial" w:eastAsia="Calibri" w:hAnsi="Arial" w:cs="Arial"/>
          <w:sz w:val="24"/>
          <w:szCs w:val="24"/>
        </w:rPr>
        <w:t>605 flower s</w:t>
      </w:r>
      <w:r w:rsidR="00DB503E">
        <w:rPr>
          <w:rFonts w:ascii="Arial" w:eastAsia="Calibri" w:hAnsi="Arial" w:cs="Arial"/>
          <w:sz w:val="24"/>
          <w:szCs w:val="24"/>
        </w:rPr>
        <w:t xml:space="preserve">amples tested, </w:t>
      </w:r>
      <w:r w:rsidRPr="00ED7F02">
        <w:rPr>
          <w:rFonts w:ascii="Arial" w:eastAsia="Calibri" w:hAnsi="Arial" w:cs="Arial"/>
          <w:sz w:val="24"/>
          <w:szCs w:val="24"/>
        </w:rPr>
        <w:t xml:space="preserve">THCa concentrations </w:t>
      </w:r>
      <w:r w:rsidR="00DB503E">
        <w:rPr>
          <w:rFonts w:ascii="Arial" w:eastAsia="Calibri" w:hAnsi="Arial" w:cs="Arial"/>
          <w:sz w:val="24"/>
          <w:szCs w:val="24"/>
        </w:rPr>
        <w:t>were most often between 14-28%</w:t>
      </w:r>
      <w:r w:rsidRPr="00ED7F02">
        <w:rPr>
          <w:rFonts w:ascii="Arial" w:eastAsia="Calibri" w:hAnsi="Arial" w:cs="Arial"/>
          <w:sz w:val="24"/>
          <w:szCs w:val="24"/>
        </w:rPr>
        <w:t>.</w:t>
      </w:r>
      <w:r w:rsidR="00DB503E">
        <w:rPr>
          <w:rFonts w:ascii="Arial" w:eastAsia="Calibri" w:hAnsi="Arial" w:cs="Arial"/>
          <w:sz w:val="24"/>
          <w:szCs w:val="24"/>
        </w:rPr>
        <w:t xml:space="preserve">  Approximately </w:t>
      </w:r>
      <w:r w:rsidRPr="00ED7F02">
        <w:rPr>
          <w:rFonts w:ascii="Arial" w:eastAsia="Calibri" w:hAnsi="Arial" w:cs="Arial"/>
          <w:sz w:val="24"/>
          <w:szCs w:val="24"/>
        </w:rPr>
        <w:t>5% of flower samples had THCa concentrations gre</w:t>
      </w:r>
      <w:r w:rsidR="002F21FE">
        <w:rPr>
          <w:rFonts w:ascii="Arial" w:eastAsia="Calibri" w:hAnsi="Arial" w:cs="Arial"/>
          <w:sz w:val="24"/>
          <w:szCs w:val="24"/>
        </w:rPr>
        <w:t>ater than 28%.  C</w:t>
      </w:r>
      <w:r w:rsidRPr="00ED7F02">
        <w:rPr>
          <w:rFonts w:ascii="Arial" w:eastAsia="Calibri" w:hAnsi="Arial" w:cs="Arial"/>
          <w:sz w:val="24"/>
          <w:szCs w:val="24"/>
        </w:rPr>
        <w:t xml:space="preserve">BDa was </w:t>
      </w:r>
      <w:r w:rsidR="00B324F3">
        <w:rPr>
          <w:rFonts w:ascii="Arial" w:eastAsia="Calibri" w:hAnsi="Arial" w:cs="Arial"/>
          <w:sz w:val="24"/>
          <w:szCs w:val="24"/>
        </w:rPr>
        <w:t>rarely</w:t>
      </w:r>
      <w:r w:rsidRPr="00ED7F02">
        <w:rPr>
          <w:rFonts w:ascii="Arial" w:eastAsia="Calibri" w:hAnsi="Arial" w:cs="Arial"/>
          <w:sz w:val="24"/>
          <w:szCs w:val="24"/>
        </w:rPr>
        <w:t xml:space="preserve"> detected in flower samples</w:t>
      </w:r>
      <w:r w:rsidR="00B324F3">
        <w:rPr>
          <w:rFonts w:ascii="Arial" w:eastAsia="Calibri" w:hAnsi="Arial" w:cs="Arial"/>
          <w:sz w:val="24"/>
          <w:szCs w:val="24"/>
        </w:rPr>
        <w:t xml:space="preserve">, and never at a </w:t>
      </w:r>
      <w:r w:rsidRPr="00ED7F02">
        <w:rPr>
          <w:rFonts w:ascii="Arial" w:eastAsia="Calibri" w:hAnsi="Arial" w:cs="Arial"/>
          <w:sz w:val="24"/>
          <w:szCs w:val="24"/>
        </w:rPr>
        <w:t>concentration greater than 28%. The majority of flower samples (43.6%)</w:t>
      </w:r>
      <w:r w:rsidR="00B324F3">
        <w:rPr>
          <w:rFonts w:ascii="Arial" w:eastAsia="Calibri" w:hAnsi="Arial" w:cs="Arial"/>
          <w:sz w:val="24"/>
          <w:szCs w:val="24"/>
        </w:rPr>
        <w:t>,</w:t>
      </w:r>
      <w:r w:rsidRPr="00ED7F02">
        <w:rPr>
          <w:rFonts w:ascii="Arial" w:eastAsia="Calibri" w:hAnsi="Arial" w:cs="Arial"/>
          <w:sz w:val="24"/>
          <w:szCs w:val="24"/>
        </w:rPr>
        <w:t xml:space="preserve"> had THCa </w:t>
      </w:r>
      <w:r w:rsidR="00B324F3">
        <w:rPr>
          <w:rFonts w:ascii="Arial" w:eastAsia="Calibri" w:hAnsi="Arial" w:cs="Arial"/>
          <w:sz w:val="24"/>
          <w:szCs w:val="24"/>
        </w:rPr>
        <w:t xml:space="preserve">levels between </w:t>
      </w:r>
      <w:r w:rsidRPr="00ED7F02">
        <w:rPr>
          <w:rFonts w:ascii="Arial" w:eastAsia="Calibri" w:hAnsi="Arial" w:cs="Arial"/>
          <w:sz w:val="24"/>
          <w:szCs w:val="24"/>
        </w:rPr>
        <w:t>14 and 21%. Of the 3642 concentrate samples tested,</w:t>
      </w:r>
      <w:r w:rsidR="00B324F3" w:rsidRPr="00B324F3">
        <w:t xml:space="preserve"> </w:t>
      </w:r>
      <w:r w:rsidR="00B324F3">
        <w:rPr>
          <w:rFonts w:ascii="Arial" w:eastAsia="Calibri" w:hAnsi="Arial" w:cs="Arial"/>
          <w:sz w:val="24"/>
          <w:szCs w:val="24"/>
        </w:rPr>
        <w:t>t</w:t>
      </w:r>
      <w:r w:rsidR="00B324F3" w:rsidRPr="00B324F3">
        <w:rPr>
          <w:rFonts w:ascii="Arial" w:eastAsia="Calibri" w:hAnsi="Arial" w:cs="Arial"/>
          <w:sz w:val="24"/>
          <w:szCs w:val="24"/>
        </w:rPr>
        <w:t xml:space="preserve">he majority </w:t>
      </w:r>
      <w:r w:rsidR="00B324F3">
        <w:rPr>
          <w:rFonts w:ascii="Arial" w:eastAsia="Calibri" w:hAnsi="Arial" w:cs="Arial"/>
          <w:sz w:val="24"/>
          <w:szCs w:val="24"/>
        </w:rPr>
        <w:t>(</w:t>
      </w:r>
      <w:r w:rsidR="00B324F3" w:rsidRPr="00B324F3">
        <w:rPr>
          <w:rFonts w:ascii="Arial" w:eastAsia="Calibri" w:hAnsi="Arial" w:cs="Arial"/>
          <w:sz w:val="24"/>
          <w:szCs w:val="24"/>
        </w:rPr>
        <w:t>38.2%) had THC co</w:t>
      </w:r>
      <w:r w:rsidR="00B324F3">
        <w:rPr>
          <w:rFonts w:ascii="Arial" w:eastAsia="Calibri" w:hAnsi="Arial" w:cs="Arial"/>
          <w:sz w:val="24"/>
          <w:szCs w:val="24"/>
        </w:rPr>
        <w:t>ncentrations between 60 and 80%</w:t>
      </w:r>
      <w:r w:rsidRPr="00ED7F02">
        <w:rPr>
          <w:rFonts w:ascii="Arial" w:eastAsia="Calibri" w:hAnsi="Arial" w:cs="Arial"/>
          <w:sz w:val="24"/>
          <w:szCs w:val="24"/>
        </w:rPr>
        <w:t xml:space="preserve">. </w:t>
      </w:r>
      <w:r w:rsidR="00B324F3">
        <w:rPr>
          <w:rFonts w:ascii="Arial" w:eastAsia="Calibri" w:hAnsi="Arial" w:cs="Arial"/>
          <w:sz w:val="24"/>
          <w:szCs w:val="24"/>
        </w:rPr>
        <w:t xml:space="preserve">Approximately, </w:t>
      </w:r>
      <w:r w:rsidRPr="00ED7F02">
        <w:rPr>
          <w:rFonts w:ascii="Arial" w:eastAsia="Calibri" w:hAnsi="Arial" w:cs="Arial"/>
          <w:sz w:val="24"/>
          <w:szCs w:val="24"/>
        </w:rPr>
        <w:t xml:space="preserve">15.4% of concentrate samples had THC </w:t>
      </w:r>
      <w:r w:rsidR="00B324F3">
        <w:rPr>
          <w:rFonts w:ascii="Arial" w:eastAsia="Calibri" w:hAnsi="Arial" w:cs="Arial"/>
          <w:sz w:val="24"/>
          <w:szCs w:val="24"/>
        </w:rPr>
        <w:t>concentrations greater than 80%, w</w:t>
      </w:r>
      <w:r w:rsidRPr="00ED7F02">
        <w:rPr>
          <w:rFonts w:ascii="Arial" w:eastAsia="Calibri" w:hAnsi="Arial" w:cs="Arial"/>
          <w:sz w:val="24"/>
          <w:szCs w:val="24"/>
        </w:rPr>
        <w:t>hile</w:t>
      </w:r>
      <w:r w:rsidR="00B324F3">
        <w:rPr>
          <w:rFonts w:ascii="Arial" w:eastAsia="Calibri" w:hAnsi="Arial" w:cs="Arial"/>
          <w:sz w:val="24"/>
          <w:szCs w:val="24"/>
        </w:rPr>
        <w:t xml:space="preserve"> only</w:t>
      </w:r>
      <w:r w:rsidRPr="00ED7F02">
        <w:rPr>
          <w:rFonts w:ascii="Arial" w:eastAsia="Calibri" w:hAnsi="Arial" w:cs="Arial"/>
          <w:sz w:val="24"/>
          <w:szCs w:val="24"/>
        </w:rPr>
        <w:t xml:space="preserve"> 0.6% had CBD concentrations greater than 80%. </w:t>
      </w:r>
    </w:p>
    <w:p w:rsidR="00ED7F02" w:rsidRPr="00ED7F02" w:rsidRDefault="00ED7F02" w:rsidP="00ED7F02">
      <w:pPr>
        <w:spacing w:after="0" w:line="240" w:lineRule="auto"/>
        <w:rPr>
          <w:rFonts w:ascii="Arial" w:eastAsia="Calibri" w:hAnsi="Arial" w:cs="Arial"/>
          <w:sz w:val="24"/>
          <w:szCs w:val="24"/>
        </w:rPr>
      </w:pPr>
      <w:r w:rsidRPr="00ED7F02">
        <w:rPr>
          <w:rFonts w:ascii="Arial" w:eastAsia="Calibri" w:hAnsi="Arial" w:cs="Arial"/>
          <w:sz w:val="24"/>
          <w:szCs w:val="24"/>
        </w:rPr>
        <w:t xml:space="preserve"> </w:t>
      </w:r>
    </w:p>
    <w:p w:rsidR="00ED7F02" w:rsidRPr="00ED7F02" w:rsidRDefault="00ED7F02" w:rsidP="00ED7F02">
      <w:pPr>
        <w:keepNext/>
        <w:keepLines/>
        <w:spacing w:after="0" w:line="240" w:lineRule="auto"/>
        <w:outlineLvl w:val="2"/>
        <w:rPr>
          <w:rFonts w:ascii="Arial" w:eastAsia="MS Gothic" w:hAnsi="Arial" w:cs="Arial"/>
          <w:b/>
          <w:sz w:val="24"/>
          <w:szCs w:val="24"/>
        </w:rPr>
      </w:pPr>
      <w:r w:rsidRPr="00ED7F02">
        <w:rPr>
          <w:rFonts w:ascii="Arial" w:eastAsia="MS Gothic" w:hAnsi="Arial" w:cs="Arial"/>
          <w:b/>
          <w:sz w:val="24"/>
          <w:szCs w:val="24"/>
        </w:rPr>
        <w:t xml:space="preserve">Retail Price Summary </w:t>
      </w:r>
    </w:p>
    <w:p w:rsidR="00ED7F02" w:rsidRPr="00ED7F02" w:rsidRDefault="00ED7F02" w:rsidP="00ED7F02">
      <w:pPr>
        <w:spacing w:after="0" w:line="240" w:lineRule="auto"/>
        <w:rPr>
          <w:rFonts w:ascii="Arial" w:eastAsia="Calibri" w:hAnsi="Arial" w:cs="Arial"/>
          <w:sz w:val="24"/>
          <w:szCs w:val="24"/>
        </w:rPr>
      </w:pPr>
    </w:p>
    <w:p w:rsidR="00ED7F02" w:rsidRPr="00ED7F02" w:rsidRDefault="00ED7F02" w:rsidP="00ED7F02">
      <w:pPr>
        <w:spacing w:after="0" w:line="240" w:lineRule="auto"/>
        <w:rPr>
          <w:rFonts w:ascii="Arial" w:eastAsia="Calibri" w:hAnsi="Arial" w:cs="Arial"/>
          <w:sz w:val="24"/>
          <w:szCs w:val="24"/>
        </w:rPr>
      </w:pPr>
      <w:r w:rsidRPr="00ED7F02">
        <w:rPr>
          <w:rFonts w:ascii="Arial" w:eastAsia="Calibri" w:hAnsi="Arial" w:cs="Arial"/>
          <w:sz w:val="24"/>
          <w:szCs w:val="24"/>
        </w:rPr>
        <w:t>A summary of the price of retail marijua</w:t>
      </w:r>
      <w:r w:rsidR="003C663D">
        <w:rPr>
          <w:rFonts w:ascii="Arial" w:eastAsia="Calibri" w:hAnsi="Arial" w:cs="Arial"/>
          <w:sz w:val="24"/>
          <w:szCs w:val="24"/>
        </w:rPr>
        <w:t xml:space="preserve">na products available at 11 </w:t>
      </w:r>
      <w:r w:rsidRPr="00ED7F02">
        <w:rPr>
          <w:rFonts w:ascii="Arial" w:eastAsia="Calibri" w:hAnsi="Arial" w:cs="Arial"/>
          <w:sz w:val="24"/>
          <w:szCs w:val="24"/>
        </w:rPr>
        <w:t xml:space="preserve">of </w:t>
      </w:r>
      <w:r w:rsidR="003C663D">
        <w:rPr>
          <w:rFonts w:ascii="Arial" w:eastAsia="Calibri" w:hAnsi="Arial" w:cs="Arial"/>
          <w:sz w:val="24"/>
          <w:szCs w:val="24"/>
        </w:rPr>
        <w:t xml:space="preserve">the </w:t>
      </w:r>
      <w:r w:rsidRPr="00ED7F02">
        <w:rPr>
          <w:rFonts w:ascii="Arial" w:eastAsia="Calibri" w:hAnsi="Arial" w:cs="Arial"/>
          <w:sz w:val="24"/>
          <w:szCs w:val="24"/>
        </w:rPr>
        <w:t xml:space="preserve">12 open and operating RMD locations </w:t>
      </w:r>
      <w:r w:rsidR="003C663D">
        <w:rPr>
          <w:rFonts w:ascii="Arial" w:eastAsia="Calibri" w:hAnsi="Arial" w:cs="Arial"/>
          <w:sz w:val="24"/>
          <w:szCs w:val="24"/>
        </w:rPr>
        <w:t xml:space="preserve">in August of 2017 </w:t>
      </w:r>
      <w:r w:rsidRPr="00ED7F02">
        <w:rPr>
          <w:rFonts w:ascii="Arial" w:eastAsia="Calibri" w:hAnsi="Arial" w:cs="Arial"/>
          <w:sz w:val="24"/>
          <w:szCs w:val="24"/>
        </w:rPr>
        <w:t xml:space="preserve">is shown in Table 4.  Similar products across various RMDs were combined to provide an overview and summary (e.g., same product types) using the RMD retail price survey found in Figure 2.  </w:t>
      </w:r>
      <w:r w:rsidR="003C663D">
        <w:rPr>
          <w:rFonts w:ascii="Arial" w:eastAsia="Calibri" w:hAnsi="Arial" w:cs="Arial"/>
          <w:sz w:val="24"/>
          <w:szCs w:val="24"/>
        </w:rPr>
        <w:t>The p</w:t>
      </w:r>
      <w:r w:rsidRPr="00ED7F02">
        <w:rPr>
          <w:rFonts w:ascii="Arial" w:eastAsia="Calibri" w:hAnsi="Arial" w:cs="Arial"/>
          <w:sz w:val="24"/>
          <w:szCs w:val="24"/>
        </w:rPr>
        <w:t>roduct</w:t>
      </w:r>
      <w:r w:rsidR="003C663D">
        <w:rPr>
          <w:rFonts w:ascii="Arial" w:eastAsia="Calibri" w:hAnsi="Arial" w:cs="Arial"/>
          <w:sz w:val="24"/>
          <w:szCs w:val="24"/>
        </w:rPr>
        <w:t>’s</w:t>
      </w:r>
      <w:r w:rsidRPr="00ED7F02">
        <w:rPr>
          <w:rFonts w:ascii="Arial" w:eastAsia="Calibri" w:hAnsi="Arial" w:cs="Arial"/>
          <w:sz w:val="24"/>
          <w:szCs w:val="24"/>
        </w:rPr>
        <w:t xml:space="preserve"> dose</w:t>
      </w:r>
      <w:r w:rsidR="003C663D">
        <w:rPr>
          <w:rFonts w:ascii="Arial" w:eastAsia="Calibri" w:hAnsi="Arial" w:cs="Arial"/>
          <w:sz w:val="24"/>
          <w:szCs w:val="24"/>
        </w:rPr>
        <w:t xml:space="preserve"> of THC</w:t>
      </w:r>
      <w:r w:rsidRPr="00ED7F02">
        <w:rPr>
          <w:rFonts w:ascii="Arial" w:eastAsia="Calibri" w:hAnsi="Arial" w:cs="Arial"/>
          <w:sz w:val="24"/>
          <w:szCs w:val="24"/>
        </w:rPr>
        <w:t xml:space="preserve"> </w:t>
      </w:r>
      <w:r w:rsidR="003C663D">
        <w:rPr>
          <w:rFonts w:ascii="Arial" w:eastAsia="Calibri" w:hAnsi="Arial" w:cs="Arial"/>
          <w:sz w:val="24"/>
          <w:szCs w:val="24"/>
        </w:rPr>
        <w:t>(</w:t>
      </w:r>
      <w:r w:rsidRPr="00ED7F02">
        <w:rPr>
          <w:rFonts w:ascii="Arial" w:eastAsia="Calibri" w:hAnsi="Arial" w:cs="Arial"/>
          <w:sz w:val="24"/>
          <w:szCs w:val="24"/>
        </w:rPr>
        <w:t>in milligrams</w:t>
      </w:r>
      <w:r w:rsidR="003C663D">
        <w:rPr>
          <w:rFonts w:ascii="Arial" w:eastAsia="Calibri" w:hAnsi="Arial" w:cs="Arial"/>
          <w:sz w:val="24"/>
          <w:szCs w:val="24"/>
        </w:rPr>
        <w:t>)</w:t>
      </w:r>
      <w:r w:rsidRPr="00ED7F02">
        <w:rPr>
          <w:rFonts w:ascii="Arial" w:eastAsia="Calibri" w:hAnsi="Arial" w:cs="Arial"/>
          <w:sz w:val="24"/>
          <w:szCs w:val="24"/>
        </w:rPr>
        <w:t xml:space="preserve"> was calculated for any product with a dose presented as a percentage, using the product net weight (i.e., dose percentage multiplied by product net weight).  </w:t>
      </w:r>
    </w:p>
    <w:p w:rsidR="00ED7F02" w:rsidRPr="00ED7F02" w:rsidRDefault="00ED7F02" w:rsidP="00ED7F02">
      <w:pPr>
        <w:spacing w:after="0" w:line="240" w:lineRule="auto"/>
        <w:rPr>
          <w:rFonts w:ascii="Arial" w:eastAsia="Calibri" w:hAnsi="Arial" w:cs="Arial"/>
          <w:b/>
          <w:sz w:val="24"/>
          <w:szCs w:val="24"/>
        </w:rPr>
      </w:pPr>
    </w:p>
    <w:p w:rsidR="00EE0155" w:rsidRDefault="00EE0155">
      <w:pPr>
        <w:rPr>
          <w:rFonts w:ascii="Arial" w:eastAsia="Calibri" w:hAnsi="Arial" w:cs="Arial"/>
          <w:b/>
          <w:sz w:val="24"/>
          <w:szCs w:val="24"/>
        </w:rPr>
      </w:pPr>
      <w:r>
        <w:rPr>
          <w:rFonts w:ascii="Arial" w:eastAsia="Calibri" w:hAnsi="Arial" w:cs="Arial"/>
          <w:b/>
          <w:sz w:val="24"/>
          <w:szCs w:val="24"/>
        </w:rPr>
        <w:br w:type="page"/>
      </w:r>
    </w:p>
    <w:p w:rsidR="00ED7F02" w:rsidRPr="00ED7F02" w:rsidRDefault="00ED7F02" w:rsidP="00ED7F02">
      <w:pPr>
        <w:spacing w:after="0" w:line="240" w:lineRule="auto"/>
        <w:rPr>
          <w:rFonts w:ascii="Arial" w:eastAsia="Calibri" w:hAnsi="Arial" w:cs="Arial"/>
          <w:b/>
          <w:sz w:val="24"/>
          <w:szCs w:val="24"/>
        </w:rPr>
      </w:pPr>
      <w:r w:rsidRPr="00ED7F02">
        <w:rPr>
          <w:rFonts w:ascii="Arial" w:eastAsia="Calibri" w:hAnsi="Arial" w:cs="Arial"/>
          <w:b/>
          <w:sz w:val="24"/>
          <w:szCs w:val="24"/>
        </w:rPr>
        <w:t>Reference</w:t>
      </w: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color w:val="0000FF"/>
          <w:sz w:val="24"/>
          <w:szCs w:val="24"/>
          <w:u w:val="single"/>
        </w:rPr>
      </w:pPr>
      <w:r w:rsidRPr="00ED7F02">
        <w:rPr>
          <w:rFonts w:ascii="Arial" w:eastAsia="Calibri" w:hAnsi="Arial" w:cs="Arial"/>
          <w:sz w:val="24"/>
          <w:szCs w:val="24"/>
        </w:rPr>
        <w:t xml:space="preserve">Massachusetts Department of Public Health (DPH), 2016. Protocol for sampling and analysis of finished medical marijuana products and marijuana-infused products for Massachusetts registered medical marijuana dispensaries.  Available: </w:t>
      </w:r>
      <w:hyperlink r:id="rId145" w:history="1">
        <w:r w:rsidRPr="00ED7F02">
          <w:rPr>
            <w:rFonts w:ascii="Arial" w:eastAsia="Calibri" w:hAnsi="Arial" w:cs="Arial"/>
            <w:color w:val="0000FF"/>
            <w:sz w:val="24"/>
            <w:szCs w:val="24"/>
            <w:u w:val="single"/>
          </w:rPr>
          <w:t>https://www.mass.gov/service-details/medical-use-of-marijuana-program-product-testing</w:t>
        </w:r>
      </w:hyperlink>
    </w:p>
    <w:p w:rsidR="00EE0155" w:rsidRDefault="00EE0155" w:rsidP="00ED7F02">
      <w:pPr>
        <w:spacing w:after="0" w:line="240" w:lineRule="auto"/>
        <w:rPr>
          <w:rFonts w:ascii="Arial" w:eastAsia="Calibri" w:hAnsi="Arial" w:cs="Arial"/>
          <w:b/>
          <w:sz w:val="24"/>
          <w:szCs w:val="24"/>
        </w:rPr>
      </w:pPr>
    </w:p>
    <w:p w:rsidR="003F1FF5" w:rsidRDefault="003F1FF5"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r w:rsidRPr="00ED7F02">
        <w:rPr>
          <w:rFonts w:ascii="Arial" w:eastAsia="Calibri" w:hAnsi="Arial" w:cs="Arial"/>
          <w:b/>
          <w:sz w:val="24"/>
          <w:szCs w:val="24"/>
        </w:rPr>
        <w:t>Table 1.  Cannabinoid</w:t>
      </w:r>
      <w:r w:rsidR="005C4296">
        <w:rPr>
          <w:rFonts w:ascii="Arial" w:eastAsia="Calibri" w:hAnsi="Arial" w:cs="Arial"/>
          <w:b/>
          <w:sz w:val="24"/>
          <w:szCs w:val="24"/>
        </w:rPr>
        <w:t>s</w:t>
      </w:r>
      <w:r w:rsidRPr="00ED7F02">
        <w:rPr>
          <w:rFonts w:ascii="Arial" w:eastAsia="Calibri" w:hAnsi="Arial" w:cs="Arial"/>
          <w:b/>
          <w:sz w:val="24"/>
          <w:szCs w:val="24"/>
        </w:rPr>
        <w:t xml:space="preserve"> </w:t>
      </w:r>
      <w:r w:rsidR="005C4296">
        <w:rPr>
          <w:rFonts w:ascii="Arial" w:eastAsia="Calibri" w:hAnsi="Arial" w:cs="Arial"/>
          <w:b/>
          <w:sz w:val="24"/>
          <w:szCs w:val="24"/>
        </w:rPr>
        <w:t>Present in</w:t>
      </w:r>
      <w:r w:rsidRPr="00ED7F02">
        <w:rPr>
          <w:rFonts w:ascii="Arial" w:eastAsia="Calibri" w:hAnsi="Arial" w:cs="Arial"/>
          <w:b/>
          <w:sz w:val="24"/>
          <w:szCs w:val="24"/>
        </w:rPr>
        <w:t xml:space="preserve"> Retail Marijuana Products </w:t>
      </w:r>
      <w:r w:rsidR="005C4296">
        <w:rPr>
          <w:rFonts w:ascii="Arial" w:eastAsia="Calibri" w:hAnsi="Arial" w:cs="Arial"/>
          <w:b/>
          <w:sz w:val="24"/>
          <w:szCs w:val="24"/>
        </w:rPr>
        <w:t>(</w:t>
      </w:r>
      <w:r w:rsidRPr="00ED7F02">
        <w:rPr>
          <w:rFonts w:ascii="Arial" w:eastAsia="Times New Roman" w:hAnsi="Arial" w:cs="Arial"/>
          <w:b/>
          <w:bCs/>
          <w:color w:val="000000"/>
          <w:kern w:val="24"/>
          <w:sz w:val="24"/>
          <w:szCs w:val="24"/>
        </w:rPr>
        <w:t>Δ9-THC, THCa, CBD, an</w:t>
      </w:r>
      <w:r w:rsidR="005C4296">
        <w:rPr>
          <w:rFonts w:ascii="Arial" w:eastAsia="Times New Roman" w:hAnsi="Arial" w:cs="Arial"/>
          <w:b/>
          <w:bCs/>
          <w:color w:val="000000"/>
          <w:kern w:val="24"/>
          <w:sz w:val="24"/>
          <w:szCs w:val="24"/>
        </w:rPr>
        <w:t>d CBDa)</w:t>
      </w:r>
    </w:p>
    <w:p w:rsidR="00ED7F02" w:rsidRPr="00ED7F02" w:rsidRDefault="00ED7F02" w:rsidP="00ED7F02">
      <w:pPr>
        <w:spacing w:after="0" w:line="240" w:lineRule="auto"/>
        <w:rPr>
          <w:rFonts w:ascii="Arial" w:eastAsia="Calibri" w:hAnsi="Arial" w:cs="Arial"/>
          <w:b/>
          <w:sz w:val="24"/>
          <w:szCs w:val="24"/>
        </w:rPr>
      </w:pP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Caption w:val="Table 1 Cannabinoid Testing Results through December 31, 2018"/>
      </w:tblPr>
      <w:tblGrid>
        <w:gridCol w:w="2070"/>
        <w:gridCol w:w="1721"/>
        <w:gridCol w:w="2544"/>
        <w:gridCol w:w="2774"/>
      </w:tblGrid>
      <w:tr w:rsidR="00ED7F02" w:rsidRPr="00ED7F02" w:rsidTr="00BF0787">
        <w:trPr>
          <w:trHeight w:val="526"/>
        </w:trPr>
        <w:tc>
          <w:tcPr>
            <w:tcW w:w="2070" w:type="dxa"/>
            <w:shd w:val="clear" w:color="auto" w:fill="D9D9D9" w:themeFill="background1" w:themeFillShade="D9"/>
            <w:tcMar>
              <w:top w:w="15" w:type="dxa"/>
              <w:left w:w="15" w:type="dxa"/>
              <w:bottom w:w="0" w:type="dxa"/>
              <w:right w:w="15" w:type="dxa"/>
            </w:tcMar>
            <w:vAlign w:val="center"/>
            <w:hideMark/>
          </w:tcPr>
          <w:p w:rsidR="00ED7F02" w:rsidRPr="00ED7F02" w:rsidRDefault="00ED7F02" w:rsidP="00ED7F02">
            <w:pPr>
              <w:spacing w:after="0" w:line="240" w:lineRule="auto"/>
              <w:jc w:val="center"/>
              <w:textAlignment w:val="center"/>
              <w:rPr>
                <w:rFonts w:ascii="Arial" w:eastAsia="Times New Roman" w:hAnsi="Arial" w:cs="Arial"/>
                <w:b/>
              </w:rPr>
            </w:pPr>
            <w:r w:rsidRPr="00ED7F02">
              <w:rPr>
                <w:rFonts w:ascii="Arial" w:eastAsia="Times New Roman" w:hAnsi="Arial" w:cs="Arial"/>
                <w:b/>
                <w:bCs/>
                <w:color w:val="000000"/>
                <w:kern w:val="24"/>
              </w:rPr>
              <w:t>Product Type</w:t>
            </w:r>
          </w:p>
        </w:tc>
        <w:tc>
          <w:tcPr>
            <w:tcW w:w="1721" w:type="dxa"/>
            <w:shd w:val="clear" w:color="auto" w:fill="D9D9D9" w:themeFill="background1" w:themeFillShade="D9"/>
            <w:tcMar>
              <w:top w:w="15" w:type="dxa"/>
              <w:left w:w="15" w:type="dxa"/>
              <w:bottom w:w="0" w:type="dxa"/>
              <w:right w:w="15" w:type="dxa"/>
            </w:tcMar>
            <w:vAlign w:val="center"/>
            <w:hideMark/>
          </w:tcPr>
          <w:p w:rsidR="00ED7F02" w:rsidRPr="00ED7F02" w:rsidRDefault="00ED7F02" w:rsidP="00ED7F02">
            <w:pPr>
              <w:spacing w:after="0" w:line="240" w:lineRule="auto"/>
              <w:jc w:val="center"/>
              <w:textAlignment w:val="center"/>
              <w:rPr>
                <w:rFonts w:ascii="Arial" w:eastAsia="Times New Roman" w:hAnsi="Arial" w:cs="Arial"/>
                <w:b/>
                <w:bCs/>
                <w:color w:val="000000"/>
                <w:kern w:val="24"/>
              </w:rPr>
            </w:pPr>
            <w:r w:rsidRPr="00ED7F02">
              <w:rPr>
                <w:rFonts w:ascii="Arial" w:eastAsia="Times New Roman" w:hAnsi="Arial" w:cs="Arial"/>
                <w:b/>
                <w:bCs/>
                <w:color w:val="000000"/>
                <w:kern w:val="24"/>
              </w:rPr>
              <w:t>Products Tested</w:t>
            </w:r>
          </w:p>
          <w:p w:rsidR="00ED7F02" w:rsidRPr="00ED7F02" w:rsidRDefault="00ED7F02" w:rsidP="00ED7F02">
            <w:pPr>
              <w:spacing w:after="0" w:line="240" w:lineRule="auto"/>
              <w:jc w:val="center"/>
              <w:textAlignment w:val="center"/>
              <w:rPr>
                <w:rFonts w:ascii="Arial" w:eastAsia="Times New Roman" w:hAnsi="Arial" w:cs="Arial"/>
                <w:b/>
              </w:rPr>
            </w:pPr>
            <w:r w:rsidRPr="00ED7F02">
              <w:rPr>
                <w:rFonts w:ascii="Arial" w:eastAsia="Times New Roman" w:hAnsi="Arial" w:cs="Arial"/>
                <w:b/>
                <w:bCs/>
                <w:color w:val="000000"/>
                <w:kern w:val="24"/>
              </w:rPr>
              <w:t>n</w:t>
            </w:r>
          </w:p>
        </w:tc>
        <w:tc>
          <w:tcPr>
            <w:tcW w:w="2544" w:type="dxa"/>
            <w:shd w:val="clear" w:color="auto" w:fill="D9D9D9" w:themeFill="background1" w:themeFillShade="D9"/>
            <w:tcMar>
              <w:top w:w="15" w:type="dxa"/>
              <w:left w:w="15" w:type="dxa"/>
              <w:bottom w:w="0" w:type="dxa"/>
              <w:right w:w="15" w:type="dxa"/>
            </w:tcMar>
            <w:vAlign w:val="center"/>
            <w:hideMark/>
          </w:tcPr>
          <w:p w:rsidR="00ED7F02" w:rsidRPr="00ED7F02" w:rsidRDefault="00ED7F02" w:rsidP="00ED7F02">
            <w:pPr>
              <w:spacing w:after="0" w:line="240" w:lineRule="auto"/>
              <w:jc w:val="center"/>
              <w:textAlignment w:val="center"/>
              <w:rPr>
                <w:rFonts w:ascii="Arial" w:eastAsia="Times New Roman" w:hAnsi="Arial" w:cs="Arial"/>
                <w:b/>
                <w:bCs/>
                <w:color w:val="000000"/>
                <w:kern w:val="24"/>
              </w:rPr>
            </w:pPr>
            <w:r w:rsidRPr="00ED7F02">
              <w:rPr>
                <w:rFonts w:ascii="Arial" w:eastAsia="Times New Roman" w:hAnsi="Arial" w:cs="Arial"/>
                <w:b/>
                <w:bCs/>
                <w:color w:val="000000"/>
                <w:kern w:val="24"/>
              </w:rPr>
              <w:t>Detected</w:t>
            </w:r>
          </w:p>
          <w:p w:rsidR="00ED7F02" w:rsidRPr="00ED7F02" w:rsidRDefault="00ED7F02" w:rsidP="00ED7F02">
            <w:pPr>
              <w:spacing w:after="0" w:line="240" w:lineRule="auto"/>
              <w:jc w:val="center"/>
              <w:textAlignment w:val="center"/>
              <w:rPr>
                <w:rFonts w:ascii="Arial" w:eastAsia="Times New Roman" w:hAnsi="Arial" w:cs="Arial"/>
                <w:b/>
                <w:bCs/>
                <w:color w:val="000000"/>
                <w:kern w:val="24"/>
              </w:rPr>
            </w:pPr>
            <w:r w:rsidRPr="00ED7F02">
              <w:rPr>
                <w:rFonts w:ascii="Arial" w:eastAsia="Times New Roman" w:hAnsi="Arial" w:cs="Arial"/>
                <w:b/>
                <w:bCs/>
                <w:color w:val="000000"/>
                <w:kern w:val="24"/>
              </w:rPr>
              <w:t xml:space="preserve">n </w:t>
            </w:r>
          </w:p>
          <w:p w:rsidR="00ED7F02" w:rsidRPr="00ED7F02" w:rsidRDefault="00ED7F02" w:rsidP="00ED7F02">
            <w:pPr>
              <w:spacing w:after="0" w:line="240" w:lineRule="auto"/>
              <w:jc w:val="center"/>
              <w:textAlignment w:val="center"/>
              <w:rPr>
                <w:rFonts w:ascii="Arial" w:eastAsia="Times New Roman" w:hAnsi="Arial" w:cs="Arial"/>
                <w:b/>
              </w:rPr>
            </w:pPr>
            <w:r w:rsidRPr="00ED7F02">
              <w:rPr>
                <w:rFonts w:ascii="Arial" w:eastAsia="Times New Roman" w:hAnsi="Arial" w:cs="Arial"/>
                <w:b/>
                <w:bCs/>
                <w:color w:val="000000"/>
                <w:kern w:val="24"/>
              </w:rPr>
              <w:t>(% tested)</w:t>
            </w:r>
          </w:p>
        </w:tc>
        <w:tc>
          <w:tcPr>
            <w:tcW w:w="2774" w:type="dxa"/>
            <w:shd w:val="clear" w:color="auto" w:fill="D9D9D9" w:themeFill="background1" w:themeFillShade="D9"/>
            <w:tcMar>
              <w:top w:w="15" w:type="dxa"/>
              <w:left w:w="15" w:type="dxa"/>
              <w:bottom w:w="0" w:type="dxa"/>
              <w:right w:w="15" w:type="dxa"/>
            </w:tcMar>
            <w:vAlign w:val="center"/>
            <w:hideMark/>
          </w:tcPr>
          <w:p w:rsidR="00ED7F02" w:rsidRPr="00ED7F02" w:rsidRDefault="00ED7F02" w:rsidP="00ED7F02">
            <w:pPr>
              <w:spacing w:after="0" w:line="240" w:lineRule="auto"/>
              <w:jc w:val="center"/>
              <w:textAlignment w:val="center"/>
              <w:rPr>
                <w:rFonts w:ascii="Arial" w:eastAsia="Times New Roman" w:hAnsi="Arial" w:cs="Arial"/>
                <w:b/>
                <w:bCs/>
                <w:color w:val="000000"/>
                <w:kern w:val="24"/>
              </w:rPr>
            </w:pPr>
            <w:r w:rsidRPr="00ED7F02">
              <w:rPr>
                <w:rFonts w:ascii="Arial" w:eastAsia="Times New Roman" w:hAnsi="Arial" w:cs="Arial"/>
                <w:b/>
                <w:bCs/>
                <w:color w:val="000000"/>
                <w:kern w:val="24"/>
              </w:rPr>
              <w:t>Not Detected</w:t>
            </w:r>
          </w:p>
          <w:p w:rsidR="00ED7F02" w:rsidRPr="00ED7F02" w:rsidRDefault="00ED7F02" w:rsidP="00ED7F02">
            <w:pPr>
              <w:spacing w:after="0" w:line="240" w:lineRule="auto"/>
              <w:jc w:val="center"/>
              <w:textAlignment w:val="center"/>
              <w:rPr>
                <w:rFonts w:ascii="Arial" w:eastAsia="Times New Roman" w:hAnsi="Arial" w:cs="Arial"/>
                <w:b/>
                <w:bCs/>
                <w:color w:val="000000"/>
                <w:kern w:val="24"/>
              </w:rPr>
            </w:pPr>
            <w:r w:rsidRPr="00ED7F02">
              <w:rPr>
                <w:rFonts w:ascii="Arial" w:eastAsia="Times New Roman" w:hAnsi="Arial" w:cs="Arial"/>
                <w:b/>
                <w:bCs/>
                <w:color w:val="000000"/>
                <w:kern w:val="24"/>
              </w:rPr>
              <w:t xml:space="preserve">n </w:t>
            </w:r>
          </w:p>
          <w:p w:rsidR="00ED7F02" w:rsidRPr="00ED7F02" w:rsidRDefault="00ED7F02" w:rsidP="00ED7F02">
            <w:pPr>
              <w:spacing w:after="0" w:line="240" w:lineRule="auto"/>
              <w:jc w:val="center"/>
              <w:textAlignment w:val="center"/>
              <w:rPr>
                <w:rFonts w:ascii="Arial" w:eastAsia="Times New Roman" w:hAnsi="Arial" w:cs="Arial"/>
                <w:b/>
                <w:bCs/>
                <w:color w:val="000000"/>
                <w:kern w:val="24"/>
              </w:rPr>
            </w:pPr>
            <w:r w:rsidRPr="00ED7F02">
              <w:rPr>
                <w:rFonts w:ascii="Arial" w:eastAsia="Times New Roman" w:hAnsi="Arial" w:cs="Arial"/>
                <w:b/>
                <w:bCs/>
                <w:color w:val="000000"/>
                <w:kern w:val="24"/>
              </w:rPr>
              <w:t>(% tested)</w:t>
            </w:r>
          </w:p>
        </w:tc>
      </w:tr>
      <w:tr w:rsidR="00ED7F02" w:rsidRPr="00ED7F02" w:rsidTr="00BF0787">
        <w:trPr>
          <w:trHeight w:hRule="exact" w:val="288"/>
        </w:trPr>
        <w:tc>
          <w:tcPr>
            <w:tcW w:w="9109" w:type="dxa"/>
            <w:gridSpan w:val="4"/>
            <w:shd w:val="clear" w:color="auto" w:fill="BFBFBF"/>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b/>
              </w:rPr>
            </w:pPr>
            <w:r w:rsidRPr="00ED7F02">
              <w:rPr>
                <w:rFonts w:ascii="Arial" w:eastAsia="Times New Roman" w:hAnsi="Arial" w:cs="Arial"/>
                <w:b/>
                <w:bCs/>
                <w:color w:val="000000"/>
                <w:kern w:val="24"/>
              </w:rPr>
              <w:t>Δ9-THC</w:t>
            </w:r>
          </w:p>
        </w:tc>
      </w:tr>
      <w:tr w:rsidR="00ED7F02" w:rsidRPr="00ED7F02" w:rsidTr="00BF0787">
        <w:trPr>
          <w:trHeight w:val="173"/>
        </w:trPr>
        <w:tc>
          <w:tcPr>
            <w:tcW w:w="2070" w:type="dxa"/>
            <w:shd w:val="clear" w:color="auto" w:fill="auto"/>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color w:val="000000"/>
                <w:kern w:val="24"/>
              </w:rPr>
              <w:t>Flower</w:t>
            </w:r>
          </w:p>
        </w:tc>
        <w:tc>
          <w:tcPr>
            <w:tcW w:w="1721"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center"/>
              <w:rPr>
                <w:rFonts w:ascii="Arial" w:eastAsia="Times New Roman" w:hAnsi="Arial" w:cs="Arial"/>
              </w:rPr>
            </w:pPr>
            <w:r w:rsidRPr="00ED7F02">
              <w:rPr>
                <w:rFonts w:ascii="Arial" w:eastAsia="Calibri" w:hAnsi="Arial" w:cs="Arial"/>
                <w:color w:val="000000"/>
              </w:rPr>
              <w:t>4605</w:t>
            </w:r>
          </w:p>
        </w:tc>
        <w:tc>
          <w:tcPr>
            <w:tcW w:w="254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center"/>
              <w:rPr>
                <w:rFonts w:ascii="Arial" w:eastAsia="Times New Roman" w:hAnsi="Arial" w:cs="Arial"/>
              </w:rPr>
            </w:pPr>
            <w:r w:rsidRPr="00ED7F02">
              <w:rPr>
                <w:rFonts w:ascii="Arial" w:eastAsia="Times New Roman" w:hAnsi="Arial" w:cs="Arial"/>
              </w:rPr>
              <w:t>4295 (93.3%)</w:t>
            </w:r>
          </w:p>
        </w:tc>
        <w:tc>
          <w:tcPr>
            <w:tcW w:w="277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center"/>
              <w:rPr>
                <w:rFonts w:ascii="Arial" w:eastAsia="Times New Roman" w:hAnsi="Arial" w:cs="Arial"/>
              </w:rPr>
            </w:pPr>
            <w:r w:rsidRPr="00ED7F02">
              <w:rPr>
                <w:rFonts w:ascii="Arial" w:eastAsia="Times New Roman" w:hAnsi="Arial" w:cs="Arial"/>
              </w:rPr>
              <w:t>310 (6.7%)</w:t>
            </w:r>
          </w:p>
        </w:tc>
      </w:tr>
      <w:tr w:rsidR="00ED7F02" w:rsidRPr="00ED7F02" w:rsidTr="00BF0787">
        <w:trPr>
          <w:trHeight w:val="173"/>
        </w:trPr>
        <w:tc>
          <w:tcPr>
            <w:tcW w:w="2070" w:type="dxa"/>
            <w:shd w:val="clear" w:color="auto" w:fill="auto"/>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color w:val="000000"/>
                <w:kern w:val="24"/>
              </w:rPr>
              <w:t>Concentrate</w:t>
            </w:r>
          </w:p>
        </w:tc>
        <w:tc>
          <w:tcPr>
            <w:tcW w:w="1721"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Calibri" w:hAnsi="Arial" w:cs="Arial"/>
                <w:color w:val="000000"/>
              </w:rPr>
              <w:t>3644</w:t>
            </w:r>
          </w:p>
        </w:tc>
        <w:tc>
          <w:tcPr>
            <w:tcW w:w="254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3594 (98.6%)</w:t>
            </w:r>
          </w:p>
        </w:tc>
        <w:tc>
          <w:tcPr>
            <w:tcW w:w="277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50 (1.4%)</w:t>
            </w:r>
          </w:p>
        </w:tc>
      </w:tr>
      <w:tr w:rsidR="00ED7F02" w:rsidRPr="00ED7F02" w:rsidTr="00BF0787">
        <w:trPr>
          <w:trHeight w:val="173"/>
        </w:trPr>
        <w:tc>
          <w:tcPr>
            <w:tcW w:w="2070" w:type="dxa"/>
            <w:shd w:val="clear" w:color="auto" w:fill="auto"/>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color w:val="000000"/>
                <w:kern w:val="24"/>
              </w:rPr>
              <w:t>MIPs</w:t>
            </w:r>
          </w:p>
        </w:tc>
        <w:tc>
          <w:tcPr>
            <w:tcW w:w="1721"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Calibri" w:hAnsi="Arial" w:cs="Arial"/>
                <w:color w:val="000000"/>
              </w:rPr>
              <w:t>4126</w:t>
            </w:r>
          </w:p>
        </w:tc>
        <w:tc>
          <w:tcPr>
            <w:tcW w:w="254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3928 (95.2%)</w:t>
            </w:r>
          </w:p>
        </w:tc>
        <w:tc>
          <w:tcPr>
            <w:tcW w:w="277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198 (4.8%)</w:t>
            </w:r>
          </w:p>
        </w:tc>
      </w:tr>
      <w:tr w:rsidR="00ED7F02" w:rsidRPr="00ED7F02" w:rsidTr="00BF0787">
        <w:trPr>
          <w:trHeight w:hRule="exact" w:val="288"/>
        </w:trPr>
        <w:tc>
          <w:tcPr>
            <w:tcW w:w="9109" w:type="dxa"/>
            <w:gridSpan w:val="4"/>
            <w:shd w:val="clear" w:color="auto" w:fill="BFBFBF"/>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b/>
              </w:rPr>
            </w:pPr>
            <w:r w:rsidRPr="00ED7F02">
              <w:rPr>
                <w:rFonts w:ascii="Arial" w:eastAsia="Times New Roman" w:hAnsi="Arial" w:cs="Arial"/>
                <w:b/>
                <w:bCs/>
                <w:color w:val="000000"/>
                <w:kern w:val="24"/>
              </w:rPr>
              <w:t>THCa</w:t>
            </w:r>
          </w:p>
        </w:tc>
      </w:tr>
      <w:tr w:rsidR="00ED7F02" w:rsidRPr="00ED7F02" w:rsidTr="00BF0787">
        <w:trPr>
          <w:trHeight w:val="173"/>
        </w:trPr>
        <w:tc>
          <w:tcPr>
            <w:tcW w:w="2070" w:type="dxa"/>
            <w:shd w:val="clear" w:color="auto" w:fill="auto"/>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color w:val="000000"/>
                <w:kern w:val="24"/>
              </w:rPr>
              <w:t>Flower</w:t>
            </w:r>
          </w:p>
        </w:tc>
        <w:tc>
          <w:tcPr>
            <w:tcW w:w="1721"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center"/>
              <w:rPr>
                <w:rFonts w:ascii="Arial" w:eastAsia="Times New Roman" w:hAnsi="Arial" w:cs="Arial"/>
              </w:rPr>
            </w:pPr>
            <w:r w:rsidRPr="00ED7F02">
              <w:rPr>
                <w:rFonts w:ascii="Arial" w:eastAsia="Times New Roman" w:hAnsi="Arial" w:cs="Arial"/>
              </w:rPr>
              <w:t>4605</w:t>
            </w:r>
          </w:p>
        </w:tc>
        <w:tc>
          <w:tcPr>
            <w:tcW w:w="254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4587 (99.6%)</w:t>
            </w:r>
          </w:p>
        </w:tc>
        <w:tc>
          <w:tcPr>
            <w:tcW w:w="277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18 (0.4%)</w:t>
            </w:r>
          </w:p>
        </w:tc>
      </w:tr>
      <w:tr w:rsidR="00ED7F02" w:rsidRPr="00ED7F02" w:rsidTr="00BF0787">
        <w:trPr>
          <w:trHeight w:val="173"/>
        </w:trPr>
        <w:tc>
          <w:tcPr>
            <w:tcW w:w="2070" w:type="dxa"/>
            <w:shd w:val="clear" w:color="auto" w:fill="auto"/>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color w:val="000000"/>
                <w:kern w:val="24"/>
              </w:rPr>
              <w:t>Concentrate</w:t>
            </w:r>
          </w:p>
        </w:tc>
        <w:tc>
          <w:tcPr>
            <w:tcW w:w="1721"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3644</w:t>
            </w:r>
          </w:p>
        </w:tc>
        <w:tc>
          <w:tcPr>
            <w:tcW w:w="254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2447 (67.2%)</w:t>
            </w:r>
          </w:p>
        </w:tc>
        <w:tc>
          <w:tcPr>
            <w:tcW w:w="277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1197 (32.8%)</w:t>
            </w:r>
          </w:p>
        </w:tc>
      </w:tr>
      <w:tr w:rsidR="00ED7F02" w:rsidRPr="00ED7F02" w:rsidTr="00BF0787">
        <w:trPr>
          <w:trHeight w:val="173"/>
        </w:trPr>
        <w:tc>
          <w:tcPr>
            <w:tcW w:w="2070" w:type="dxa"/>
            <w:shd w:val="clear" w:color="auto" w:fill="auto"/>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color w:val="000000"/>
                <w:kern w:val="24"/>
              </w:rPr>
              <w:t>MIPs</w:t>
            </w:r>
          </w:p>
        </w:tc>
        <w:tc>
          <w:tcPr>
            <w:tcW w:w="1721"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4126</w:t>
            </w:r>
          </w:p>
        </w:tc>
        <w:tc>
          <w:tcPr>
            <w:tcW w:w="254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700 (17.0%)</w:t>
            </w:r>
          </w:p>
        </w:tc>
        <w:tc>
          <w:tcPr>
            <w:tcW w:w="277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3426 (83.0%)</w:t>
            </w:r>
          </w:p>
        </w:tc>
      </w:tr>
      <w:tr w:rsidR="00ED7F02" w:rsidRPr="00ED7F02" w:rsidTr="00BF0787">
        <w:trPr>
          <w:trHeight w:hRule="exact" w:val="288"/>
        </w:trPr>
        <w:tc>
          <w:tcPr>
            <w:tcW w:w="9109" w:type="dxa"/>
            <w:gridSpan w:val="4"/>
            <w:shd w:val="clear" w:color="auto" w:fill="BFBFBF"/>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b/>
              </w:rPr>
            </w:pPr>
            <w:r w:rsidRPr="00ED7F02">
              <w:rPr>
                <w:rFonts w:ascii="Arial" w:eastAsia="Times New Roman" w:hAnsi="Arial" w:cs="Arial"/>
                <w:b/>
                <w:bCs/>
                <w:color w:val="000000"/>
                <w:kern w:val="24"/>
              </w:rPr>
              <w:t>CBD</w:t>
            </w:r>
          </w:p>
        </w:tc>
      </w:tr>
      <w:tr w:rsidR="00ED7F02" w:rsidRPr="00ED7F02" w:rsidTr="00BF0787">
        <w:trPr>
          <w:trHeight w:val="173"/>
        </w:trPr>
        <w:tc>
          <w:tcPr>
            <w:tcW w:w="2070" w:type="dxa"/>
            <w:shd w:val="clear" w:color="auto" w:fill="auto"/>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color w:val="000000"/>
                <w:kern w:val="24"/>
              </w:rPr>
              <w:t>Flower</w:t>
            </w:r>
          </w:p>
        </w:tc>
        <w:tc>
          <w:tcPr>
            <w:tcW w:w="1721"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center"/>
              <w:rPr>
                <w:rFonts w:ascii="Arial" w:eastAsia="Times New Roman" w:hAnsi="Arial" w:cs="Arial"/>
              </w:rPr>
            </w:pPr>
            <w:r w:rsidRPr="00ED7F02">
              <w:rPr>
                <w:rFonts w:ascii="Arial" w:eastAsia="Times New Roman" w:hAnsi="Arial" w:cs="Arial"/>
              </w:rPr>
              <w:t>4605</w:t>
            </w:r>
          </w:p>
        </w:tc>
        <w:tc>
          <w:tcPr>
            <w:tcW w:w="254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1287 (27.9%)</w:t>
            </w:r>
          </w:p>
        </w:tc>
        <w:tc>
          <w:tcPr>
            <w:tcW w:w="277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3318 (72.1%)</w:t>
            </w:r>
          </w:p>
        </w:tc>
      </w:tr>
      <w:tr w:rsidR="00ED7F02" w:rsidRPr="00ED7F02" w:rsidTr="00BF0787">
        <w:trPr>
          <w:trHeight w:val="173"/>
        </w:trPr>
        <w:tc>
          <w:tcPr>
            <w:tcW w:w="2070" w:type="dxa"/>
            <w:shd w:val="clear" w:color="auto" w:fill="auto"/>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color w:val="000000"/>
                <w:kern w:val="24"/>
              </w:rPr>
              <w:t>Concentrate</w:t>
            </w:r>
          </w:p>
        </w:tc>
        <w:tc>
          <w:tcPr>
            <w:tcW w:w="1721"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3644</w:t>
            </w:r>
          </w:p>
        </w:tc>
        <w:tc>
          <w:tcPr>
            <w:tcW w:w="254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2061 (56.6%)</w:t>
            </w:r>
          </w:p>
        </w:tc>
        <w:tc>
          <w:tcPr>
            <w:tcW w:w="277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1583 (43.4%)</w:t>
            </w:r>
          </w:p>
        </w:tc>
      </w:tr>
      <w:tr w:rsidR="00ED7F02" w:rsidRPr="00ED7F02" w:rsidTr="00BF0787">
        <w:trPr>
          <w:trHeight w:val="173"/>
        </w:trPr>
        <w:tc>
          <w:tcPr>
            <w:tcW w:w="2070" w:type="dxa"/>
            <w:shd w:val="clear" w:color="auto" w:fill="auto"/>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color w:val="000000"/>
                <w:kern w:val="24"/>
              </w:rPr>
              <w:t>MIPs</w:t>
            </w:r>
          </w:p>
        </w:tc>
        <w:tc>
          <w:tcPr>
            <w:tcW w:w="1721"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4126</w:t>
            </w:r>
          </w:p>
        </w:tc>
        <w:tc>
          <w:tcPr>
            <w:tcW w:w="254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1367 (33.1%)</w:t>
            </w:r>
          </w:p>
        </w:tc>
        <w:tc>
          <w:tcPr>
            <w:tcW w:w="277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2759 (66.9%)</w:t>
            </w:r>
          </w:p>
        </w:tc>
      </w:tr>
      <w:tr w:rsidR="00ED7F02" w:rsidRPr="00ED7F02" w:rsidTr="00BF0787">
        <w:trPr>
          <w:trHeight w:hRule="exact" w:val="358"/>
        </w:trPr>
        <w:tc>
          <w:tcPr>
            <w:tcW w:w="9109" w:type="dxa"/>
            <w:gridSpan w:val="4"/>
            <w:shd w:val="clear" w:color="auto" w:fill="BFBFBF"/>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b/>
              </w:rPr>
            </w:pPr>
            <w:r w:rsidRPr="00ED7F02">
              <w:rPr>
                <w:rFonts w:ascii="Arial" w:eastAsia="Times New Roman" w:hAnsi="Arial" w:cs="Arial"/>
                <w:b/>
                <w:bCs/>
                <w:color w:val="000000"/>
                <w:kern w:val="24"/>
              </w:rPr>
              <w:t>CBDa</w:t>
            </w:r>
          </w:p>
        </w:tc>
      </w:tr>
      <w:tr w:rsidR="00ED7F02" w:rsidRPr="00ED7F02" w:rsidTr="00BF0787">
        <w:trPr>
          <w:trHeight w:val="173"/>
        </w:trPr>
        <w:tc>
          <w:tcPr>
            <w:tcW w:w="2070" w:type="dxa"/>
            <w:shd w:val="clear" w:color="auto" w:fill="auto"/>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color w:val="000000"/>
                <w:kern w:val="24"/>
              </w:rPr>
              <w:t>Flower</w:t>
            </w:r>
          </w:p>
        </w:tc>
        <w:tc>
          <w:tcPr>
            <w:tcW w:w="1721"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center"/>
              <w:rPr>
                <w:rFonts w:ascii="Arial" w:eastAsia="Times New Roman" w:hAnsi="Arial" w:cs="Arial"/>
              </w:rPr>
            </w:pPr>
            <w:r w:rsidRPr="00ED7F02">
              <w:rPr>
                <w:rFonts w:ascii="Arial" w:eastAsia="Times New Roman" w:hAnsi="Arial" w:cs="Arial"/>
              </w:rPr>
              <w:t>4605</w:t>
            </w:r>
          </w:p>
        </w:tc>
        <w:tc>
          <w:tcPr>
            <w:tcW w:w="254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2316 (50.3%)</w:t>
            </w:r>
          </w:p>
        </w:tc>
        <w:tc>
          <w:tcPr>
            <w:tcW w:w="277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2289 (49.7%)</w:t>
            </w:r>
          </w:p>
        </w:tc>
      </w:tr>
      <w:tr w:rsidR="00ED7F02" w:rsidRPr="00ED7F02" w:rsidTr="00BF0787">
        <w:trPr>
          <w:trHeight w:val="173"/>
        </w:trPr>
        <w:tc>
          <w:tcPr>
            <w:tcW w:w="2070" w:type="dxa"/>
            <w:shd w:val="clear" w:color="auto" w:fill="auto"/>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color w:val="000000"/>
                <w:kern w:val="24"/>
              </w:rPr>
              <w:t>Concentrate</w:t>
            </w:r>
          </w:p>
        </w:tc>
        <w:tc>
          <w:tcPr>
            <w:tcW w:w="1721"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3644</w:t>
            </w:r>
          </w:p>
        </w:tc>
        <w:tc>
          <w:tcPr>
            <w:tcW w:w="254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1939 (53.2%)</w:t>
            </w:r>
          </w:p>
        </w:tc>
        <w:tc>
          <w:tcPr>
            <w:tcW w:w="277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1705 (46.8%)</w:t>
            </w:r>
          </w:p>
        </w:tc>
      </w:tr>
      <w:tr w:rsidR="00ED7F02" w:rsidRPr="00ED7F02" w:rsidTr="00BF0787">
        <w:trPr>
          <w:trHeight w:val="173"/>
        </w:trPr>
        <w:tc>
          <w:tcPr>
            <w:tcW w:w="2070" w:type="dxa"/>
            <w:shd w:val="clear" w:color="auto" w:fill="auto"/>
            <w:tcMar>
              <w:top w:w="15" w:type="dxa"/>
              <w:left w:w="15" w:type="dxa"/>
              <w:bottom w:w="0" w:type="dxa"/>
              <w:right w:w="15" w:type="dxa"/>
            </w:tcMar>
            <w:vAlign w:val="bottom"/>
            <w:hideMark/>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color w:val="000000"/>
                <w:kern w:val="24"/>
              </w:rPr>
              <w:t>MIPs</w:t>
            </w:r>
          </w:p>
        </w:tc>
        <w:tc>
          <w:tcPr>
            <w:tcW w:w="1721"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4126</w:t>
            </w:r>
          </w:p>
        </w:tc>
        <w:tc>
          <w:tcPr>
            <w:tcW w:w="254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291 (7.1%)</w:t>
            </w:r>
          </w:p>
        </w:tc>
        <w:tc>
          <w:tcPr>
            <w:tcW w:w="2774" w:type="dxa"/>
            <w:shd w:val="clear" w:color="auto" w:fill="auto"/>
            <w:tcMar>
              <w:top w:w="15" w:type="dxa"/>
              <w:left w:w="15" w:type="dxa"/>
              <w:bottom w:w="0" w:type="dxa"/>
              <w:right w:w="15" w:type="dxa"/>
            </w:tcMar>
            <w:vAlign w:val="bottom"/>
          </w:tcPr>
          <w:p w:rsidR="00ED7F02" w:rsidRPr="00ED7F02" w:rsidRDefault="00ED7F02" w:rsidP="00ED7F02">
            <w:pPr>
              <w:spacing w:after="0" w:line="240" w:lineRule="auto"/>
              <w:jc w:val="center"/>
              <w:textAlignment w:val="bottom"/>
              <w:rPr>
                <w:rFonts w:ascii="Arial" w:eastAsia="Times New Roman" w:hAnsi="Arial" w:cs="Arial"/>
              </w:rPr>
            </w:pPr>
            <w:r w:rsidRPr="00ED7F02">
              <w:rPr>
                <w:rFonts w:ascii="Arial" w:eastAsia="Times New Roman" w:hAnsi="Arial" w:cs="Arial"/>
              </w:rPr>
              <w:t>3835 (92.9%)</w:t>
            </w:r>
          </w:p>
        </w:tc>
      </w:tr>
    </w:tbl>
    <w:p w:rsidR="00ED7F02" w:rsidRPr="00ED7F02" w:rsidRDefault="00ED7F02" w:rsidP="00ED7F02">
      <w:pPr>
        <w:spacing w:after="0" w:line="240" w:lineRule="auto"/>
        <w:rPr>
          <w:rFonts w:ascii="Arial" w:eastAsia="Calibri" w:hAnsi="Arial" w:cs="Arial"/>
          <w:b/>
          <w:sz w:val="24"/>
          <w:szCs w:val="24"/>
          <w:highlight w:val="yellow"/>
        </w:rPr>
      </w:pP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p>
    <w:p w:rsid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sz w:val="24"/>
          <w:szCs w:val="24"/>
        </w:rPr>
      </w:pPr>
      <w:r w:rsidRPr="00ED7F02">
        <w:rPr>
          <w:rFonts w:ascii="Arial" w:eastAsia="Calibri" w:hAnsi="Arial" w:cs="Arial"/>
          <w:b/>
          <w:sz w:val="24"/>
          <w:szCs w:val="24"/>
        </w:rPr>
        <w:t>Table 2. C</w:t>
      </w:r>
      <w:r w:rsidR="005C4296">
        <w:rPr>
          <w:rFonts w:ascii="Arial" w:eastAsia="Calibri" w:hAnsi="Arial" w:cs="Arial"/>
          <w:b/>
          <w:sz w:val="24"/>
          <w:szCs w:val="24"/>
        </w:rPr>
        <w:t>haracterization of C</w:t>
      </w:r>
      <w:r w:rsidRPr="00ED7F02">
        <w:rPr>
          <w:rFonts w:ascii="Arial" w:eastAsia="Calibri" w:hAnsi="Arial" w:cs="Arial"/>
          <w:b/>
          <w:sz w:val="24"/>
          <w:szCs w:val="24"/>
        </w:rPr>
        <w:t>annabinoid</w:t>
      </w:r>
      <w:r w:rsidR="005C4296">
        <w:rPr>
          <w:rFonts w:ascii="Arial" w:eastAsia="Calibri" w:hAnsi="Arial" w:cs="Arial"/>
          <w:b/>
          <w:sz w:val="24"/>
          <w:szCs w:val="24"/>
        </w:rPr>
        <w:t xml:space="preserve"> </w:t>
      </w:r>
      <w:r w:rsidR="00B565B3">
        <w:rPr>
          <w:rFonts w:ascii="Arial" w:eastAsia="Calibri" w:hAnsi="Arial" w:cs="Arial"/>
          <w:b/>
          <w:sz w:val="24"/>
          <w:szCs w:val="24"/>
        </w:rPr>
        <w:t xml:space="preserve">Concentration (weight percent) </w:t>
      </w:r>
      <w:r w:rsidR="005C4296">
        <w:rPr>
          <w:rFonts w:ascii="Arial" w:eastAsia="Calibri" w:hAnsi="Arial" w:cs="Arial"/>
          <w:b/>
          <w:sz w:val="24"/>
          <w:szCs w:val="24"/>
        </w:rPr>
        <w:t>Levels</w:t>
      </w:r>
      <w:r w:rsidR="00EE0155">
        <w:rPr>
          <w:rFonts w:ascii="Arial" w:eastAsia="Calibri" w:hAnsi="Arial" w:cs="Arial"/>
          <w:b/>
          <w:sz w:val="24"/>
          <w:szCs w:val="24"/>
        </w:rPr>
        <w:t xml:space="preserve"> in</w:t>
      </w:r>
      <w:r w:rsidRPr="00ED7F02">
        <w:rPr>
          <w:rFonts w:ascii="Arial" w:eastAsia="Calibri" w:hAnsi="Arial" w:cs="Arial"/>
          <w:b/>
          <w:sz w:val="24"/>
          <w:szCs w:val="24"/>
        </w:rPr>
        <w:t xml:space="preserve"> Flower </w:t>
      </w:r>
      <w:r w:rsidR="005C4296">
        <w:rPr>
          <w:rFonts w:ascii="Arial" w:eastAsia="Calibri" w:hAnsi="Arial" w:cs="Arial"/>
          <w:b/>
          <w:sz w:val="24"/>
          <w:szCs w:val="24"/>
        </w:rPr>
        <w:t>and Concentrate Samples</w:t>
      </w:r>
    </w:p>
    <w:p w:rsidR="00ED7F02" w:rsidRPr="00ED7F02" w:rsidRDefault="00ED7F02" w:rsidP="00ED7F02">
      <w:pPr>
        <w:spacing w:after="0" w:line="240" w:lineRule="auto"/>
        <w:rPr>
          <w:rFonts w:ascii="Arial" w:eastAsia="Calibri" w:hAnsi="Arial" w:cs="Arial"/>
          <w:b/>
          <w:sz w:val="24"/>
          <w:szCs w:val="24"/>
        </w:rPr>
      </w:pPr>
    </w:p>
    <w:p w:rsidR="00882103" w:rsidRDefault="00882103" w:rsidP="00882103">
      <w:pPr>
        <w:spacing w:after="160" w:line="259" w:lineRule="auto"/>
        <w:jc w:val="center"/>
        <w:rPr>
          <w:rFonts w:ascii="Arial" w:eastAsia="Calibri" w:hAnsi="Arial" w:cs="Arial"/>
          <w:b/>
          <w:sz w:val="24"/>
          <w:szCs w:val="24"/>
        </w:rPr>
      </w:pPr>
      <w:r w:rsidRPr="00882103">
        <w:rPr>
          <w:noProof/>
        </w:rPr>
        <w:drawing>
          <wp:inline distT="0" distB="0" distL="0" distR="0" wp14:anchorId="27ED70D7" wp14:editId="5B0EA1A6">
            <wp:extent cx="5943600" cy="3327336"/>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3327336"/>
                    </a:xfrm>
                    <a:prstGeom prst="rect">
                      <a:avLst/>
                    </a:prstGeom>
                    <a:noFill/>
                    <a:ln>
                      <a:noFill/>
                    </a:ln>
                  </pic:spPr>
                </pic:pic>
              </a:graphicData>
            </a:graphic>
          </wp:inline>
        </w:drawing>
      </w:r>
    </w:p>
    <w:p w:rsidR="00ED7F02" w:rsidRPr="00ED7F02" w:rsidRDefault="00ED7F02" w:rsidP="00ED7F02">
      <w:pPr>
        <w:spacing w:after="160" w:line="259" w:lineRule="auto"/>
        <w:rPr>
          <w:rFonts w:ascii="Arial" w:eastAsia="Calibri" w:hAnsi="Arial" w:cs="Arial"/>
          <w:b/>
          <w:sz w:val="24"/>
          <w:szCs w:val="24"/>
        </w:rPr>
      </w:pPr>
      <w:r w:rsidRPr="00ED7F02">
        <w:rPr>
          <w:rFonts w:ascii="Arial" w:eastAsia="Calibri" w:hAnsi="Arial" w:cs="Arial"/>
          <w:b/>
          <w:sz w:val="24"/>
          <w:szCs w:val="24"/>
        </w:rPr>
        <w:br w:type="page"/>
      </w:r>
    </w:p>
    <w:p w:rsidR="00ED7F02" w:rsidRPr="00A031D7" w:rsidRDefault="00ED7F02" w:rsidP="00ED7F02">
      <w:pPr>
        <w:spacing w:after="0" w:line="240" w:lineRule="auto"/>
        <w:rPr>
          <w:rFonts w:ascii="Arial" w:eastAsia="Calibri" w:hAnsi="Arial" w:cs="Arial"/>
          <w:b/>
          <w:sz w:val="24"/>
          <w:szCs w:val="24"/>
        </w:rPr>
      </w:pPr>
      <w:r w:rsidRPr="00A031D7">
        <w:rPr>
          <w:rFonts w:ascii="Arial" w:eastAsia="Calibri" w:hAnsi="Arial" w:cs="Arial"/>
          <w:b/>
          <w:sz w:val="24"/>
          <w:szCs w:val="24"/>
        </w:rPr>
        <w:t xml:space="preserve">Table 3.  Cannabinoid </w:t>
      </w:r>
      <w:r w:rsidR="005C4296">
        <w:rPr>
          <w:rFonts w:ascii="Arial" w:eastAsia="Calibri" w:hAnsi="Arial" w:cs="Arial"/>
          <w:b/>
          <w:sz w:val="24"/>
          <w:szCs w:val="24"/>
        </w:rPr>
        <w:t xml:space="preserve">Content </w:t>
      </w:r>
      <w:r w:rsidR="005C4296" w:rsidRPr="005C4296">
        <w:rPr>
          <w:rFonts w:ascii="Arial" w:eastAsia="Calibri" w:hAnsi="Arial" w:cs="Arial"/>
          <w:b/>
          <w:sz w:val="24"/>
          <w:szCs w:val="24"/>
        </w:rPr>
        <w:t>in Retail Marijuana Products</w:t>
      </w:r>
    </w:p>
    <w:p w:rsidR="00ED7F02" w:rsidRPr="00DD50C5" w:rsidRDefault="00ED7F02" w:rsidP="00ED7F02">
      <w:pPr>
        <w:spacing w:after="0" w:line="240" w:lineRule="auto"/>
        <w:rPr>
          <w:rFonts w:ascii="Arial" w:eastAsia="Calibri" w:hAnsi="Arial" w:cs="Arial"/>
          <w:b/>
          <w:sz w:val="24"/>
          <w:szCs w:val="24"/>
        </w:rPr>
      </w:pPr>
    </w:p>
    <w:tbl>
      <w:tblPr>
        <w:tblW w:w="8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Caption w:val="Table 2.  Summary Statistics of Cannabinoid Testing Results through December 31, 2018"/>
      </w:tblPr>
      <w:tblGrid>
        <w:gridCol w:w="1935"/>
        <w:gridCol w:w="60"/>
        <w:gridCol w:w="1326"/>
        <w:gridCol w:w="1327"/>
        <w:gridCol w:w="1327"/>
        <w:gridCol w:w="1327"/>
        <w:gridCol w:w="1327"/>
      </w:tblGrid>
      <w:tr w:rsidR="00ED7F02" w:rsidRPr="00DD50C5" w:rsidTr="005C4296">
        <w:trPr>
          <w:trHeight w:val="526"/>
        </w:trPr>
        <w:tc>
          <w:tcPr>
            <w:tcW w:w="1935" w:type="dxa"/>
            <w:shd w:val="clear" w:color="auto" w:fill="D9D9D9" w:themeFill="background1" w:themeFillShade="D9"/>
            <w:tcMar>
              <w:top w:w="15" w:type="dxa"/>
              <w:left w:w="15" w:type="dxa"/>
              <w:bottom w:w="0" w:type="dxa"/>
              <w:right w:w="15" w:type="dxa"/>
            </w:tcMar>
            <w:vAlign w:val="center"/>
            <w:hideMark/>
          </w:tcPr>
          <w:p w:rsidR="00ED7F02" w:rsidRPr="00DD50C5" w:rsidRDefault="00ED7F02" w:rsidP="00BF0787">
            <w:pPr>
              <w:spacing w:after="0" w:line="240" w:lineRule="auto"/>
              <w:jc w:val="center"/>
              <w:textAlignment w:val="center"/>
              <w:rPr>
                <w:rFonts w:ascii="Arial" w:eastAsia="Times New Roman" w:hAnsi="Arial" w:cs="Arial"/>
                <w:b/>
                <w:sz w:val="24"/>
                <w:szCs w:val="24"/>
              </w:rPr>
            </w:pPr>
            <w:r w:rsidRPr="00DD50C5">
              <w:rPr>
                <w:rFonts w:ascii="Arial" w:eastAsia="Times New Roman" w:hAnsi="Arial" w:cs="Arial"/>
                <w:b/>
                <w:bCs/>
                <w:color w:val="000000"/>
                <w:kern w:val="24"/>
                <w:sz w:val="24"/>
                <w:szCs w:val="24"/>
              </w:rPr>
              <w:t>Product Type</w:t>
            </w:r>
          </w:p>
        </w:tc>
        <w:tc>
          <w:tcPr>
            <w:tcW w:w="60" w:type="dxa"/>
            <w:shd w:val="clear" w:color="auto" w:fill="D9D9D9" w:themeFill="background1" w:themeFillShade="D9"/>
            <w:tcMar>
              <w:top w:w="15" w:type="dxa"/>
              <w:left w:w="15" w:type="dxa"/>
              <w:bottom w:w="0" w:type="dxa"/>
              <w:right w:w="15" w:type="dxa"/>
            </w:tcMar>
            <w:vAlign w:val="center"/>
          </w:tcPr>
          <w:p w:rsidR="00ED7F02" w:rsidRPr="00E47D0F" w:rsidRDefault="00ED7F02" w:rsidP="00BF0787">
            <w:pPr>
              <w:spacing w:after="0" w:line="240" w:lineRule="auto"/>
              <w:jc w:val="center"/>
              <w:textAlignment w:val="center"/>
              <w:rPr>
                <w:rFonts w:ascii="Arial" w:eastAsia="Times New Roman" w:hAnsi="Arial" w:cs="Arial"/>
                <w:b/>
                <w:sz w:val="20"/>
                <w:szCs w:val="24"/>
              </w:rPr>
            </w:pPr>
          </w:p>
        </w:tc>
        <w:tc>
          <w:tcPr>
            <w:tcW w:w="1326" w:type="dxa"/>
            <w:shd w:val="clear" w:color="auto" w:fill="D9D9D9" w:themeFill="background1" w:themeFillShade="D9"/>
            <w:vAlign w:val="center"/>
          </w:tcPr>
          <w:p w:rsidR="00ED7F02" w:rsidRDefault="00ED7F02" w:rsidP="00BF0787">
            <w:pPr>
              <w:spacing w:after="0" w:line="240" w:lineRule="auto"/>
              <w:jc w:val="center"/>
              <w:textAlignment w:val="center"/>
              <w:rPr>
                <w:rFonts w:ascii="Arial" w:eastAsia="Times New Roman" w:hAnsi="Arial" w:cs="Arial"/>
                <w:b/>
                <w:sz w:val="20"/>
                <w:szCs w:val="24"/>
              </w:rPr>
            </w:pPr>
            <w:r w:rsidRPr="00E47D0F">
              <w:rPr>
                <w:rFonts w:ascii="Arial" w:eastAsia="Times New Roman" w:hAnsi="Arial" w:cs="Arial"/>
                <w:b/>
                <w:sz w:val="20"/>
                <w:szCs w:val="24"/>
              </w:rPr>
              <w:t>25</w:t>
            </w:r>
            <w:r w:rsidRPr="00E47D0F">
              <w:rPr>
                <w:rFonts w:ascii="Arial" w:eastAsia="Times New Roman" w:hAnsi="Arial" w:cs="Arial"/>
                <w:b/>
                <w:sz w:val="20"/>
                <w:szCs w:val="24"/>
                <w:vertAlign w:val="superscript"/>
              </w:rPr>
              <w:t>th</w:t>
            </w:r>
          </w:p>
          <w:p w:rsidR="00ED7F02" w:rsidRPr="00E47D0F" w:rsidRDefault="00ED7F02" w:rsidP="00BF0787">
            <w:pPr>
              <w:spacing w:after="0" w:line="240" w:lineRule="auto"/>
              <w:jc w:val="center"/>
              <w:textAlignment w:val="center"/>
              <w:rPr>
                <w:rFonts w:ascii="Arial" w:eastAsia="Times New Roman" w:hAnsi="Arial" w:cs="Arial"/>
                <w:b/>
                <w:sz w:val="20"/>
                <w:szCs w:val="24"/>
              </w:rPr>
            </w:pPr>
            <w:r>
              <w:rPr>
                <w:rFonts w:ascii="Arial" w:eastAsia="Times New Roman" w:hAnsi="Arial" w:cs="Arial"/>
                <w:b/>
                <w:sz w:val="20"/>
                <w:szCs w:val="24"/>
              </w:rPr>
              <w:t>percentile</w:t>
            </w:r>
          </w:p>
          <w:p w:rsidR="00ED7F02" w:rsidRPr="00E47D0F" w:rsidRDefault="00ED7F02" w:rsidP="00BF0787">
            <w:pPr>
              <w:spacing w:after="0" w:line="240" w:lineRule="auto"/>
              <w:jc w:val="center"/>
              <w:textAlignment w:val="center"/>
              <w:rPr>
                <w:rFonts w:ascii="Arial" w:eastAsia="Times New Roman" w:hAnsi="Arial" w:cs="Arial"/>
                <w:b/>
                <w:sz w:val="20"/>
                <w:szCs w:val="24"/>
              </w:rPr>
            </w:pPr>
            <w:r w:rsidRPr="00E47D0F">
              <w:rPr>
                <w:rFonts w:ascii="Arial" w:eastAsia="Times New Roman" w:hAnsi="Arial" w:cs="Arial"/>
                <w:b/>
                <w:sz w:val="20"/>
                <w:szCs w:val="24"/>
              </w:rPr>
              <w:t>(% weight)</w:t>
            </w:r>
          </w:p>
        </w:tc>
        <w:tc>
          <w:tcPr>
            <w:tcW w:w="1327" w:type="dxa"/>
            <w:shd w:val="clear" w:color="auto" w:fill="D9D9D9" w:themeFill="background1" w:themeFillShade="D9"/>
            <w:tcMar>
              <w:top w:w="15" w:type="dxa"/>
              <w:left w:w="15" w:type="dxa"/>
              <w:bottom w:w="0" w:type="dxa"/>
              <w:right w:w="15" w:type="dxa"/>
            </w:tcMar>
            <w:vAlign w:val="center"/>
          </w:tcPr>
          <w:p w:rsidR="00ED7F02" w:rsidRPr="00E47D0F" w:rsidRDefault="00ED7F02" w:rsidP="00BF0787">
            <w:pPr>
              <w:spacing w:after="0" w:line="240" w:lineRule="auto"/>
              <w:jc w:val="center"/>
              <w:textAlignment w:val="center"/>
              <w:rPr>
                <w:rFonts w:ascii="Arial" w:eastAsia="Times New Roman" w:hAnsi="Arial" w:cs="Arial"/>
                <w:b/>
                <w:sz w:val="20"/>
                <w:szCs w:val="24"/>
              </w:rPr>
            </w:pPr>
            <w:r w:rsidRPr="00E47D0F">
              <w:rPr>
                <w:rFonts w:ascii="Arial" w:eastAsia="Times New Roman" w:hAnsi="Arial" w:cs="Arial"/>
                <w:b/>
                <w:sz w:val="20"/>
                <w:szCs w:val="24"/>
              </w:rPr>
              <w:t>Median</w:t>
            </w:r>
          </w:p>
          <w:p w:rsidR="00ED7F02" w:rsidRPr="00E47D0F" w:rsidRDefault="00ED7F02" w:rsidP="00BF0787">
            <w:pPr>
              <w:spacing w:after="0" w:line="240" w:lineRule="auto"/>
              <w:jc w:val="center"/>
              <w:textAlignment w:val="center"/>
              <w:rPr>
                <w:rFonts w:ascii="Arial" w:eastAsia="Times New Roman" w:hAnsi="Arial" w:cs="Arial"/>
                <w:b/>
                <w:sz w:val="20"/>
                <w:szCs w:val="24"/>
              </w:rPr>
            </w:pPr>
            <w:r w:rsidRPr="00E47D0F">
              <w:rPr>
                <w:rFonts w:ascii="Arial" w:eastAsia="Times New Roman" w:hAnsi="Arial" w:cs="Arial"/>
                <w:b/>
                <w:sz w:val="20"/>
                <w:szCs w:val="24"/>
              </w:rPr>
              <w:t>(% weight)</w:t>
            </w:r>
          </w:p>
        </w:tc>
        <w:tc>
          <w:tcPr>
            <w:tcW w:w="1327" w:type="dxa"/>
            <w:shd w:val="clear" w:color="auto" w:fill="D9D9D9" w:themeFill="background1" w:themeFillShade="D9"/>
            <w:tcMar>
              <w:top w:w="15" w:type="dxa"/>
              <w:left w:w="15" w:type="dxa"/>
              <w:bottom w:w="0" w:type="dxa"/>
              <w:right w:w="15" w:type="dxa"/>
            </w:tcMar>
            <w:vAlign w:val="center"/>
          </w:tcPr>
          <w:p w:rsidR="00ED7F02" w:rsidRDefault="00ED7F02" w:rsidP="00BF0787">
            <w:pPr>
              <w:spacing w:after="0" w:line="240" w:lineRule="auto"/>
              <w:jc w:val="center"/>
              <w:textAlignment w:val="center"/>
              <w:rPr>
                <w:rFonts w:ascii="Arial" w:eastAsia="Times New Roman" w:hAnsi="Arial" w:cs="Arial"/>
                <w:b/>
                <w:bCs/>
                <w:color w:val="000000"/>
                <w:kern w:val="24"/>
                <w:sz w:val="20"/>
                <w:szCs w:val="24"/>
              </w:rPr>
            </w:pPr>
            <w:r w:rsidRPr="00E47D0F">
              <w:rPr>
                <w:rFonts w:ascii="Arial" w:eastAsia="Times New Roman" w:hAnsi="Arial" w:cs="Arial"/>
                <w:b/>
                <w:bCs/>
                <w:color w:val="000000"/>
                <w:kern w:val="24"/>
                <w:sz w:val="20"/>
                <w:szCs w:val="24"/>
              </w:rPr>
              <w:t>75</w:t>
            </w:r>
            <w:r w:rsidRPr="00E47D0F">
              <w:rPr>
                <w:rFonts w:ascii="Arial" w:eastAsia="Times New Roman" w:hAnsi="Arial" w:cs="Arial"/>
                <w:b/>
                <w:bCs/>
                <w:color w:val="000000"/>
                <w:kern w:val="24"/>
                <w:sz w:val="20"/>
                <w:szCs w:val="24"/>
                <w:vertAlign w:val="superscript"/>
              </w:rPr>
              <w:t>th</w:t>
            </w:r>
          </w:p>
          <w:p w:rsidR="00ED7F02" w:rsidRPr="00E47D0F" w:rsidRDefault="00ED7F02" w:rsidP="00BF0787">
            <w:pPr>
              <w:spacing w:after="0" w:line="240" w:lineRule="auto"/>
              <w:jc w:val="center"/>
              <w:textAlignment w:val="center"/>
              <w:rPr>
                <w:rFonts w:ascii="Arial" w:eastAsia="Times New Roman" w:hAnsi="Arial" w:cs="Arial"/>
                <w:b/>
                <w:bCs/>
                <w:color w:val="000000"/>
                <w:kern w:val="24"/>
                <w:sz w:val="20"/>
                <w:szCs w:val="24"/>
              </w:rPr>
            </w:pPr>
            <w:r w:rsidRPr="00E47D0F">
              <w:rPr>
                <w:rFonts w:ascii="Arial" w:eastAsia="Times New Roman" w:hAnsi="Arial" w:cs="Arial"/>
                <w:b/>
                <w:bCs/>
                <w:color w:val="000000"/>
                <w:kern w:val="24"/>
                <w:sz w:val="20"/>
                <w:szCs w:val="24"/>
              </w:rPr>
              <w:t>p</w:t>
            </w:r>
            <w:r>
              <w:rPr>
                <w:rFonts w:ascii="Arial" w:eastAsia="Times New Roman" w:hAnsi="Arial" w:cs="Arial"/>
                <w:b/>
                <w:bCs/>
                <w:color w:val="000000"/>
                <w:kern w:val="24"/>
                <w:sz w:val="20"/>
                <w:szCs w:val="24"/>
              </w:rPr>
              <w:t>ercentile</w:t>
            </w:r>
          </w:p>
          <w:p w:rsidR="00ED7F02" w:rsidRPr="00E47D0F" w:rsidRDefault="00ED7F02" w:rsidP="00BF0787">
            <w:pPr>
              <w:spacing w:after="0" w:line="240" w:lineRule="auto"/>
              <w:jc w:val="center"/>
              <w:textAlignment w:val="center"/>
              <w:rPr>
                <w:rFonts w:ascii="Arial" w:eastAsia="Times New Roman" w:hAnsi="Arial" w:cs="Arial"/>
                <w:b/>
                <w:bCs/>
                <w:color w:val="000000"/>
                <w:kern w:val="24"/>
                <w:sz w:val="20"/>
                <w:szCs w:val="24"/>
              </w:rPr>
            </w:pPr>
            <w:r w:rsidRPr="00E47D0F">
              <w:rPr>
                <w:rFonts w:ascii="Arial" w:eastAsia="Times New Roman" w:hAnsi="Arial" w:cs="Arial"/>
                <w:b/>
                <w:sz w:val="20"/>
                <w:szCs w:val="24"/>
              </w:rPr>
              <w:t>(% weight)</w:t>
            </w:r>
          </w:p>
        </w:tc>
        <w:tc>
          <w:tcPr>
            <w:tcW w:w="1327" w:type="dxa"/>
            <w:shd w:val="clear" w:color="auto" w:fill="D9D9D9" w:themeFill="background1" w:themeFillShade="D9"/>
            <w:vAlign w:val="center"/>
          </w:tcPr>
          <w:p w:rsidR="00ED7F02" w:rsidRDefault="00ED7F02" w:rsidP="00BF0787">
            <w:pPr>
              <w:spacing w:after="0" w:line="240" w:lineRule="auto"/>
              <w:jc w:val="center"/>
              <w:textAlignment w:val="center"/>
              <w:rPr>
                <w:rFonts w:ascii="Arial" w:eastAsia="Times New Roman" w:hAnsi="Arial" w:cs="Arial"/>
                <w:b/>
                <w:bCs/>
                <w:color w:val="000000"/>
                <w:kern w:val="24"/>
                <w:sz w:val="20"/>
                <w:szCs w:val="24"/>
              </w:rPr>
            </w:pPr>
            <w:r w:rsidRPr="00E47D0F">
              <w:rPr>
                <w:rFonts w:ascii="Arial" w:eastAsia="Times New Roman" w:hAnsi="Arial" w:cs="Arial"/>
                <w:b/>
                <w:bCs/>
                <w:color w:val="000000"/>
                <w:kern w:val="24"/>
                <w:sz w:val="20"/>
                <w:szCs w:val="24"/>
              </w:rPr>
              <w:t>95</w:t>
            </w:r>
            <w:r w:rsidRPr="00E47D0F">
              <w:rPr>
                <w:rFonts w:ascii="Arial" w:eastAsia="Times New Roman" w:hAnsi="Arial" w:cs="Arial"/>
                <w:b/>
                <w:bCs/>
                <w:color w:val="000000"/>
                <w:kern w:val="24"/>
                <w:sz w:val="20"/>
                <w:szCs w:val="24"/>
                <w:vertAlign w:val="superscript"/>
              </w:rPr>
              <w:t>th</w:t>
            </w:r>
          </w:p>
          <w:p w:rsidR="00ED7F02" w:rsidRPr="00E47D0F" w:rsidRDefault="00ED7F02" w:rsidP="00BF0787">
            <w:pPr>
              <w:spacing w:after="0" w:line="240" w:lineRule="auto"/>
              <w:jc w:val="center"/>
              <w:textAlignment w:val="center"/>
              <w:rPr>
                <w:rFonts w:ascii="Arial" w:eastAsia="Times New Roman" w:hAnsi="Arial" w:cs="Arial"/>
                <w:b/>
                <w:bCs/>
                <w:color w:val="000000"/>
                <w:kern w:val="24"/>
                <w:sz w:val="20"/>
                <w:szCs w:val="24"/>
              </w:rPr>
            </w:pPr>
            <w:r w:rsidRPr="00E47D0F">
              <w:rPr>
                <w:rFonts w:ascii="Arial" w:eastAsia="Times New Roman" w:hAnsi="Arial" w:cs="Arial"/>
                <w:b/>
                <w:bCs/>
                <w:color w:val="000000"/>
                <w:kern w:val="24"/>
                <w:sz w:val="20"/>
                <w:szCs w:val="24"/>
              </w:rPr>
              <w:t>p</w:t>
            </w:r>
            <w:r>
              <w:rPr>
                <w:rFonts w:ascii="Arial" w:eastAsia="Times New Roman" w:hAnsi="Arial" w:cs="Arial"/>
                <w:b/>
                <w:bCs/>
                <w:color w:val="000000"/>
                <w:kern w:val="24"/>
                <w:sz w:val="20"/>
                <w:szCs w:val="24"/>
              </w:rPr>
              <w:t>er</w:t>
            </w:r>
            <w:r w:rsidRPr="00E47D0F">
              <w:rPr>
                <w:rFonts w:ascii="Arial" w:eastAsia="Times New Roman" w:hAnsi="Arial" w:cs="Arial"/>
                <w:b/>
                <w:bCs/>
                <w:color w:val="000000"/>
                <w:kern w:val="24"/>
                <w:sz w:val="20"/>
                <w:szCs w:val="24"/>
              </w:rPr>
              <w:t>c</w:t>
            </w:r>
            <w:r>
              <w:rPr>
                <w:rFonts w:ascii="Arial" w:eastAsia="Times New Roman" w:hAnsi="Arial" w:cs="Arial"/>
                <w:b/>
                <w:bCs/>
                <w:color w:val="000000"/>
                <w:kern w:val="24"/>
                <w:sz w:val="20"/>
                <w:szCs w:val="24"/>
              </w:rPr>
              <w:t>entile</w:t>
            </w:r>
          </w:p>
          <w:p w:rsidR="00ED7F02" w:rsidRPr="00E47D0F" w:rsidRDefault="00ED7F02" w:rsidP="00BF0787">
            <w:pPr>
              <w:spacing w:after="0" w:line="240" w:lineRule="auto"/>
              <w:jc w:val="center"/>
              <w:textAlignment w:val="center"/>
              <w:rPr>
                <w:rFonts w:ascii="Arial" w:eastAsia="Times New Roman" w:hAnsi="Arial" w:cs="Arial"/>
                <w:b/>
                <w:bCs/>
                <w:color w:val="000000"/>
                <w:kern w:val="24"/>
                <w:sz w:val="20"/>
                <w:szCs w:val="24"/>
              </w:rPr>
            </w:pPr>
            <w:r w:rsidRPr="00E47D0F">
              <w:rPr>
                <w:rFonts w:ascii="Arial" w:eastAsia="Times New Roman" w:hAnsi="Arial" w:cs="Arial"/>
                <w:b/>
                <w:bCs/>
                <w:color w:val="000000"/>
                <w:kern w:val="24"/>
                <w:sz w:val="20"/>
                <w:szCs w:val="24"/>
              </w:rPr>
              <w:t>(% weight)</w:t>
            </w:r>
          </w:p>
        </w:tc>
        <w:tc>
          <w:tcPr>
            <w:tcW w:w="1327" w:type="dxa"/>
            <w:shd w:val="clear" w:color="auto" w:fill="D9D9D9" w:themeFill="background1" w:themeFillShade="D9"/>
            <w:vAlign w:val="center"/>
          </w:tcPr>
          <w:p w:rsidR="00ED7F02" w:rsidRPr="00E47D0F" w:rsidRDefault="00ED7F02" w:rsidP="00BF0787">
            <w:pPr>
              <w:spacing w:after="0" w:line="240" w:lineRule="auto"/>
              <w:jc w:val="center"/>
              <w:textAlignment w:val="center"/>
              <w:rPr>
                <w:rFonts w:ascii="Arial" w:eastAsia="Times New Roman" w:hAnsi="Arial" w:cs="Arial"/>
                <w:b/>
                <w:bCs/>
                <w:color w:val="000000"/>
                <w:kern w:val="24"/>
                <w:sz w:val="20"/>
                <w:szCs w:val="24"/>
              </w:rPr>
            </w:pPr>
            <w:r w:rsidRPr="00E47D0F">
              <w:rPr>
                <w:rFonts w:ascii="Arial" w:eastAsia="Times New Roman" w:hAnsi="Arial" w:cs="Arial"/>
                <w:b/>
                <w:bCs/>
                <w:color w:val="000000"/>
                <w:kern w:val="24"/>
                <w:sz w:val="20"/>
                <w:szCs w:val="24"/>
              </w:rPr>
              <w:t>Maximum</w:t>
            </w:r>
          </w:p>
          <w:p w:rsidR="00ED7F02" w:rsidRPr="00E47D0F" w:rsidRDefault="00ED7F02" w:rsidP="00BF0787">
            <w:pPr>
              <w:spacing w:after="0" w:line="240" w:lineRule="auto"/>
              <w:jc w:val="center"/>
              <w:textAlignment w:val="center"/>
              <w:rPr>
                <w:rFonts w:ascii="Arial" w:eastAsia="Times New Roman" w:hAnsi="Arial" w:cs="Arial"/>
                <w:b/>
                <w:bCs/>
                <w:color w:val="000000"/>
                <w:kern w:val="24"/>
                <w:sz w:val="20"/>
                <w:szCs w:val="24"/>
              </w:rPr>
            </w:pPr>
            <w:r w:rsidRPr="00E47D0F">
              <w:rPr>
                <w:rFonts w:ascii="Arial" w:eastAsia="Times New Roman" w:hAnsi="Arial" w:cs="Arial"/>
                <w:b/>
                <w:sz w:val="20"/>
                <w:szCs w:val="24"/>
              </w:rPr>
              <w:t>(% weight)</w:t>
            </w:r>
          </w:p>
        </w:tc>
      </w:tr>
      <w:tr w:rsidR="00ED7F02" w:rsidRPr="00DD50C5" w:rsidTr="00BF0787">
        <w:trPr>
          <w:trHeight w:hRule="exact" w:val="288"/>
        </w:trPr>
        <w:tc>
          <w:tcPr>
            <w:tcW w:w="8629" w:type="dxa"/>
            <w:gridSpan w:val="7"/>
            <w:shd w:val="clear" w:color="auto" w:fill="A6A6A6" w:themeFill="background1" w:themeFillShade="A6"/>
          </w:tcPr>
          <w:p w:rsidR="00ED7F02" w:rsidRPr="00E47D0F" w:rsidRDefault="00ED7F02" w:rsidP="00BF0787">
            <w:pPr>
              <w:spacing w:after="0" w:line="240" w:lineRule="auto"/>
              <w:jc w:val="center"/>
              <w:textAlignment w:val="center"/>
              <w:rPr>
                <w:rFonts w:ascii="Arial" w:eastAsia="Times New Roman" w:hAnsi="Arial" w:cs="Arial"/>
                <w:b/>
                <w:sz w:val="24"/>
                <w:szCs w:val="24"/>
              </w:rPr>
            </w:pPr>
          </w:p>
        </w:tc>
      </w:tr>
      <w:tr w:rsidR="00ED7F02" w:rsidRPr="00DD50C5" w:rsidTr="005C4296">
        <w:trPr>
          <w:trHeight w:val="245"/>
        </w:trPr>
        <w:tc>
          <w:tcPr>
            <w:tcW w:w="1935" w:type="dxa"/>
            <w:shd w:val="clear" w:color="auto" w:fill="auto"/>
            <w:tcMar>
              <w:top w:w="15" w:type="dxa"/>
              <w:left w:w="15" w:type="dxa"/>
              <w:bottom w:w="0" w:type="dxa"/>
              <w:right w:w="15" w:type="dxa"/>
            </w:tcMar>
            <w:vAlign w:val="center"/>
            <w:hideMark/>
          </w:tcPr>
          <w:p w:rsidR="00ED7F02" w:rsidRPr="00DD50C5" w:rsidRDefault="00ED7F02" w:rsidP="00BF0787">
            <w:pPr>
              <w:spacing w:after="0" w:line="240" w:lineRule="auto"/>
              <w:textAlignment w:val="bottom"/>
              <w:rPr>
                <w:rFonts w:ascii="Arial" w:eastAsia="Times New Roman" w:hAnsi="Arial" w:cs="Arial"/>
                <w:sz w:val="24"/>
                <w:szCs w:val="24"/>
              </w:rPr>
            </w:pPr>
            <w:r w:rsidRPr="00DD50C5">
              <w:rPr>
                <w:rFonts w:ascii="Arial" w:eastAsia="Times New Roman" w:hAnsi="Arial" w:cs="Arial"/>
                <w:color w:val="000000"/>
                <w:kern w:val="24"/>
                <w:sz w:val="24"/>
                <w:szCs w:val="24"/>
              </w:rPr>
              <w:t>Flower</w:t>
            </w:r>
          </w:p>
        </w:tc>
        <w:tc>
          <w:tcPr>
            <w:tcW w:w="60"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center"/>
              <w:rPr>
                <w:rFonts w:ascii="Arial" w:eastAsia="Times New Roman" w:hAnsi="Arial" w:cs="Arial"/>
                <w:sz w:val="24"/>
                <w:szCs w:val="24"/>
              </w:rPr>
            </w:pPr>
          </w:p>
        </w:tc>
        <w:tc>
          <w:tcPr>
            <w:tcW w:w="1326" w:type="dxa"/>
          </w:tcPr>
          <w:p w:rsidR="00ED7F02" w:rsidRPr="00DD50C5" w:rsidRDefault="00ED7F02" w:rsidP="00BF0787">
            <w:pPr>
              <w:spacing w:after="0" w:line="240" w:lineRule="auto"/>
              <w:jc w:val="center"/>
              <w:textAlignment w:val="center"/>
              <w:rPr>
                <w:rFonts w:ascii="Arial" w:eastAsia="Times New Roman" w:hAnsi="Arial" w:cs="Arial"/>
                <w:sz w:val="24"/>
                <w:szCs w:val="24"/>
              </w:rPr>
            </w:pPr>
            <w:r w:rsidRPr="00DD50C5">
              <w:rPr>
                <w:rFonts w:ascii="Arial" w:eastAsia="Calibri" w:hAnsi="Arial" w:cs="Arial"/>
                <w:color w:val="000000"/>
                <w:sz w:val="24"/>
                <w:szCs w:val="24"/>
              </w:rPr>
              <w:t>0.2</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center"/>
              <w:rPr>
                <w:rFonts w:ascii="Arial" w:eastAsia="Times New Roman" w:hAnsi="Arial" w:cs="Arial"/>
                <w:sz w:val="24"/>
                <w:szCs w:val="24"/>
              </w:rPr>
            </w:pPr>
            <w:r w:rsidRPr="00DD50C5">
              <w:rPr>
                <w:rFonts w:ascii="Arial" w:eastAsia="Calibri" w:hAnsi="Arial" w:cs="Arial"/>
                <w:color w:val="000000"/>
                <w:sz w:val="24"/>
                <w:szCs w:val="24"/>
              </w:rPr>
              <w:t>0.3</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center"/>
              <w:rPr>
                <w:rFonts w:ascii="Arial" w:eastAsia="Times New Roman" w:hAnsi="Arial" w:cs="Arial"/>
                <w:sz w:val="24"/>
                <w:szCs w:val="24"/>
              </w:rPr>
            </w:pPr>
            <w:r w:rsidRPr="00DD50C5">
              <w:rPr>
                <w:rFonts w:ascii="Arial" w:eastAsia="Calibri" w:hAnsi="Arial" w:cs="Arial"/>
                <w:color w:val="000000"/>
                <w:sz w:val="24"/>
                <w:szCs w:val="24"/>
              </w:rPr>
              <w:t>0.7</w:t>
            </w:r>
          </w:p>
        </w:tc>
        <w:tc>
          <w:tcPr>
            <w:tcW w:w="1327" w:type="dxa"/>
          </w:tcPr>
          <w:p w:rsidR="00ED7F02" w:rsidRPr="00DD50C5" w:rsidRDefault="00ED7F02" w:rsidP="00BF0787">
            <w:pPr>
              <w:spacing w:after="0" w:line="240" w:lineRule="auto"/>
              <w:jc w:val="center"/>
              <w:textAlignment w:val="center"/>
              <w:rPr>
                <w:rFonts w:ascii="Arial" w:eastAsia="Times New Roman" w:hAnsi="Arial" w:cs="Arial"/>
                <w:sz w:val="24"/>
                <w:szCs w:val="24"/>
              </w:rPr>
            </w:pPr>
            <w:r w:rsidRPr="00DD50C5">
              <w:rPr>
                <w:rFonts w:ascii="Arial" w:eastAsia="Calibri" w:hAnsi="Arial" w:cs="Arial"/>
                <w:color w:val="000000"/>
                <w:sz w:val="24"/>
                <w:szCs w:val="24"/>
              </w:rPr>
              <w:t>1.9</w:t>
            </w:r>
          </w:p>
        </w:tc>
        <w:tc>
          <w:tcPr>
            <w:tcW w:w="1327" w:type="dxa"/>
          </w:tcPr>
          <w:p w:rsidR="00ED7F02" w:rsidRPr="00DD50C5" w:rsidRDefault="00ED7F02" w:rsidP="00BF0787">
            <w:pPr>
              <w:spacing w:after="0" w:line="240" w:lineRule="auto"/>
              <w:jc w:val="center"/>
              <w:textAlignment w:val="center"/>
              <w:rPr>
                <w:rFonts w:ascii="Arial" w:eastAsia="Times New Roman" w:hAnsi="Arial" w:cs="Arial"/>
                <w:sz w:val="24"/>
                <w:szCs w:val="24"/>
              </w:rPr>
            </w:pPr>
            <w:r w:rsidRPr="00DD50C5">
              <w:rPr>
                <w:rFonts w:ascii="Arial" w:eastAsia="Calibri" w:hAnsi="Arial" w:cs="Arial"/>
                <w:color w:val="000000"/>
                <w:sz w:val="24"/>
                <w:szCs w:val="24"/>
              </w:rPr>
              <w:t>24.1</w:t>
            </w:r>
          </w:p>
        </w:tc>
      </w:tr>
      <w:tr w:rsidR="00ED7F02" w:rsidRPr="00DD50C5" w:rsidTr="005C4296">
        <w:trPr>
          <w:trHeight w:val="245"/>
        </w:trPr>
        <w:tc>
          <w:tcPr>
            <w:tcW w:w="1935" w:type="dxa"/>
            <w:shd w:val="clear" w:color="auto" w:fill="auto"/>
            <w:tcMar>
              <w:top w:w="15" w:type="dxa"/>
              <w:left w:w="15" w:type="dxa"/>
              <w:bottom w:w="0" w:type="dxa"/>
              <w:right w:w="15" w:type="dxa"/>
            </w:tcMar>
            <w:vAlign w:val="center"/>
            <w:hideMark/>
          </w:tcPr>
          <w:p w:rsidR="00ED7F02" w:rsidRPr="00DD50C5" w:rsidRDefault="00ED7F02" w:rsidP="00BF0787">
            <w:pPr>
              <w:spacing w:after="0" w:line="240" w:lineRule="auto"/>
              <w:textAlignment w:val="bottom"/>
              <w:rPr>
                <w:rFonts w:ascii="Arial" w:eastAsia="Times New Roman" w:hAnsi="Arial" w:cs="Arial"/>
                <w:sz w:val="24"/>
                <w:szCs w:val="24"/>
              </w:rPr>
            </w:pPr>
            <w:r w:rsidRPr="00DD50C5">
              <w:rPr>
                <w:rFonts w:ascii="Arial" w:eastAsia="Times New Roman" w:hAnsi="Arial" w:cs="Arial"/>
                <w:color w:val="000000"/>
                <w:kern w:val="24"/>
                <w:sz w:val="24"/>
                <w:szCs w:val="24"/>
              </w:rPr>
              <w:t>Concentrate</w:t>
            </w:r>
          </w:p>
        </w:tc>
        <w:tc>
          <w:tcPr>
            <w:tcW w:w="60"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p>
        </w:tc>
        <w:tc>
          <w:tcPr>
            <w:tcW w:w="1326"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3.1</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20.5</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63.0</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87.</w:t>
            </w:r>
            <w:r>
              <w:rPr>
                <w:rFonts w:ascii="Arial" w:eastAsia="Calibri" w:hAnsi="Arial" w:cs="Arial"/>
                <w:color w:val="000000"/>
                <w:sz w:val="24"/>
                <w:szCs w:val="24"/>
              </w:rPr>
              <w:t>1</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96.9</w:t>
            </w:r>
          </w:p>
        </w:tc>
      </w:tr>
      <w:tr w:rsidR="00ED7F02" w:rsidRPr="00DD50C5" w:rsidTr="005C4296">
        <w:trPr>
          <w:trHeight w:val="245"/>
        </w:trPr>
        <w:tc>
          <w:tcPr>
            <w:tcW w:w="1935" w:type="dxa"/>
            <w:shd w:val="clear" w:color="auto" w:fill="auto"/>
            <w:tcMar>
              <w:top w:w="15" w:type="dxa"/>
              <w:left w:w="15" w:type="dxa"/>
              <w:bottom w:w="0" w:type="dxa"/>
              <w:right w:w="15" w:type="dxa"/>
            </w:tcMar>
            <w:vAlign w:val="center"/>
            <w:hideMark/>
          </w:tcPr>
          <w:p w:rsidR="00ED7F02" w:rsidRPr="00DD50C5" w:rsidRDefault="00ED7F02" w:rsidP="00BF0787">
            <w:pPr>
              <w:spacing w:after="0" w:line="240" w:lineRule="auto"/>
              <w:textAlignment w:val="bottom"/>
              <w:rPr>
                <w:rFonts w:ascii="Arial" w:eastAsia="Times New Roman" w:hAnsi="Arial" w:cs="Arial"/>
                <w:sz w:val="24"/>
                <w:szCs w:val="24"/>
              </w:rPr>
            </w:pPr>
            <w:r w:rsidRPr="00DD50C5">
              <w:rPr>
                <w:rFonts w:ascii="Arial" w:eastAsia="Times New Roman" w:hAnsi="Arial" w:cs="Arial"/>
                <w:color w:val="000000"/>
                <w:kern w:val="24"/>
                <w:sz w:val="24"/>
                <w:szCs w:val="24"/>
              </w:rPr>
              <w:t>MIPs</w:t>
            </w:r>
          </w:p>
        </w:tc>
        <w:tc>
          <w:tcPr>
            <w:tcW w:w="60"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p>
        </w:tc>
        <w:tc>
          <w:tcPr>
            <w:tcW w:w="1326"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0.1</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0.2</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0.5</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4.5</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75.2</w:t>
            </w:r>
          </w:p>
        </w:tc>
      </w:tr>
      <w:tr w:rsidR="00ED7F02" w:rsidRPr="00DD50C5" w:rsidTr="00BF0787">
        <w:trPr>
          <w:trHeight w:hRule="exact" w:val="288"/>
        </w:trPr>
        <w:tc>
          <w:tcPr>
            <w:tcW w:w="8629" w:type="dxa"/>
            <w:gridSpan w:val="7"/>
            <w:shd w:val="clear" w:color="auto" w:fill="A6A6A6" w:themeFill="background1" w:themeFillShade="A6"/>
            <w:vAlign w:val="center"/>
          </w:tcPr>
          <w:p w:rsidR="00ED7F02" w:rsidRPr="00E47D0F" w:rsidRDefault="00ED7F02" w:rsidP="00BF0787">
            <w:pPr>
              <w:spacing w:after="0" w:line="240" w:lineRule="auto"/>
              <w:jc w:val="center"/>
              <w:textAlignment w:val="bottom"/>
              <w:rPr>
                <w:rFonts w:ascii="Arial" w:eastAsia="Times New Roman" w:hAnsi="Arial" w:cs="Arial"/>
                <w:b/>
                <w:sz w:val="24"/>
                <w:szCs w:val="24"/>
              </w:rPr>
            </w:pPr>
          </w:p>
        </w:tc>
      </w:tr>
      <w:tr w:rsidR="00ED7F02" w:rsidRPr="00DD50C5" w:rsidTr="005C4296">
        <w:trPr>
          <w:trHeight w:val="245"/>
        </w:trPr>
        <w:tc>
          <w:tcPr>
            <w:tcW w:w="1935" w:type="dxa"/>
            <w:shd w:val="clear" w:color="auto" w:fill="auto"/>
            <w:tcMar>
              <w:top w:w="15" w:type="dxa"/>
              <w:left w:w="15" w:type="dxa"/>
              <w:bottom w:w="0" w:type="dxa"/>
              <w:right w:w="15" w:type="dxa"/>
            </w:tcMar>
            <w:vAlign w:val="center"/>
            <w:hideMark/>
          </w:tcPr>
          <w:p w:rsidR="00ED7F02" w:rsidRPr="00DD50C5" w:rsidRDefault="00ED7F02" w:rsidP="00BF0787">
            <w:pPr>
              <w:spacing w:after="0" w:line="240" w:lineRule="auto"/>
              <w:textAlignment w:val="bottom"/>
              <w:rPr>
                <w:rFonts w:ascii="Arial" w:eastAsia="Times New Roman" w:hAnsi="Arial" w:cs="Arial"/>
                <w:sz w:val="24"/>
                <w:szCs w:val="24"/>
              </w:rPr>
            </w:pPr>
            <w:r w:rsidRPr="00DD50C5">
              <w:rPr>
                <w:rFonts w:ascii="Arial" w:eastAsia="Times New Roman" w:hAnsi="Arial" w:cs="Arial"/>
                <w:color w:val="000000"/>
                <w:kern w:val="24"/>
                <w:sz w:val="24"/>
                <w:szCs w:val="24"/>
              </w:rPr>
              <w:t>Flower</w:t>
            </w:r>
          </w:p>
        </w:tc>
        <w:tc>
          <w:tcPr>
            <w:tcW w:w="60"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center"/>
              <w:rPr>
                <w:rFonts w:ascii="Arial" w:eastAsia="Times New Roman" w:hAnsi="Arial" w:cs="Arial"/>
                <w:sz w:val="24"/>
                <w:szCs w:val="24"/>
              </w:rPr>
            </w:pPr>
          </w:p>
        </w:tc>
        <w:tc>
          <w:tcPr>
            <w:tcW w:w="1326"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16.3</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20.0</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23.3</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28.0</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45.4</w:t>
            </w:r>
          </w:p>
        </w:tc>
      </w:tr>
      <w:tr w:rsidR="00ED7F02" w:rsidRPr="00DD50C5" w:rsidTr="005C4296">
        <w:trPr>
          <w:trHeight w:val="245"/>
        </w:trPr>
        <w:tc>
          <w:tcPr>
            <w:tcW w:w="1935" w:type="dxa"/>
            <w:shd w:val="clear" w:color="auto" w:fill="auto"/>
            <w:tcMar>
              <w:top w:w="15" w:type="dxa"/>
              <w:left w:w="15" w:type="dxa"/>
              <w:bottom w:w="0" w:type="dxa"/>
              <w:right w:w="15" w:type="dxa"/>
            </w:tcMar>
            <w:vAlign w:val="center"/>
            <w:hideMark/>
          </w:tcPr>
          <w:p w:rsidR="00ED7F02" w:rsidRPr="00DD50C5" w:rsidRDefault="00ED7F02" w:rsidP="00BF0787">
            <w:pPr>
              <w:spacing w:after="0" w:line="240" w:lineRule="auto"/>
              <w:textAlignment w:val="bottom"/>
              <w:rPr>
                <w:rFonts w:ascii="Arial" w:eastAsia="Times New Roman" w:hAnsi="Arial" w:cs="Arial"/>
                <w:sz w:val="24"/>
                <w:szCs w:val="24"/>
              </w:rPr>
            </w:pPr>
            <w:r w:rsidRPr="00DD50C5">
              <w:rPr>
                <w:rFonts w:ascii="Arial" w:eastAsia="Times New Roman" w:hAnsi="Arial" w:cs="Arial"/>
                <w:color w:val="000000"/>
                <w:kern w:val="24"/>
                <w:sz w:val="24"/>
                <w:szCs w:val="24"/>
              </w:rPr>
              <w:t>Concentrate</w:t>
            </w:r>
          </w:p>
        </w:tc>
        <w:tc>
          <w:tcPr>
            <w:tcW w:w="60"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p>
        </w:tc>
        <w:tc>
          <w:tcPr>
            <w:tcW w:w="1326"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13.7</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45.5</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71.5</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84.4</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99.8</w:t>
            </w:r>
          </w:p>
        </w:tc>
      </w:tr>
      <w:tr w:rsidR="00ED7F02" w:rsidRPr="00DD50C5" w:rsidTr="005C4296">
        <w:trPr>
          <w:trHeight w:val="245"/>
        </w:trPr>
        <w:tc>
          <w:tcPr>
            <w:tcW w:w="1935" w:type="dxa"/>
            <w:shd w:val="clear" w:color="auto" w:fill="auto"/>
            <w:tcMar>
              <w:top w:w="15" w:type="dxa"/>
              <w:left w:w="15" w:type="dxa"/>
              <w:bottom w:w="0" w:type="dxa"/>
              <w:right w:w="15" w:type="dxa"/>
            </w:tcMar>
            <w:vAlign w:val="center"/>
            <w:hideMark/>
          </w:tcPr>
          <w:p w:rsidR="00ED7F02" w:rsidRPr="00DD50C5" w:rsidRDefault="00ED7F02" w:rsidP="00BF0787">
            <w:pPr>
              <w:spacing w:after="0" w:line="240" w:lineRule="auto"/>
              <w:textAlignment w:val="bottom"/>
              <w:rPr>
                <w:rFonts w:ascii="Arial" w:eastAsia="Times New Roman" w:hAnsi="Arial" w:cs="Arial"/>
                <w:sz w:val="24"/>
                <w:szCs w:val="24"/>
              </w:rPr>
            </w:pPr>
            <w:r w:rsidRPr="00DD50C5">
              <w:rPr>
                <w:rFonts w:ascii="Arial" w:eastAsia="Times New Roman" w:hAnsi="Arial" w:cs="Arial"/>
                <w:color w:val="000000"/>
                <w:kern w:val="24"/>
                <w:sz w:val="24"/>
                <w:szCs w:val="24"/>
              </w:rPr>
              <w:t>MIPs</w:t>
            </w:r>
          </w:p>
        </w:tc>
        <w:tc>
          <w:tcPr>
            <w:tcW w:w="60"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p>
        </w:tc>
        <w:tc>
          <w:tcPr>
            <w:tcW w:w="1326"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0.0</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0.0</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0.1</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0.9</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62.8</w:t>
            </w:r>
          </w:p>
        </w:tc>
      </w:tr>
      <w:tr w:rsidR="00ED7F02" w:rsidRPr="00DD50C5" w:rsidTr="00BF0787">
        <w:trPr>
          <w:trHeight w:hRule="exact" w:val="288"/>
        </w:trPr>
        <w:tc>
          <w:tcPr>
            <w:tcW w:w="8629" w:type="dxa"/>
            <w:gridSpan w:val="7"/>
            <w:shd w:val="clear" w:color="auto" w:fill="A6A6A6" w:themeFill="background1" w:themeFillShade="A6"/>
            <w:vAlign w:val="center"/>
          </w:tcPr>
          <w:p w:rsidR="00ED7F02" w:rsidRPr="00E47D0F" w:rsidRDefault="00ED7F02" w:rsidP="00BF0787">
            <w:pPr>
              <w:spacing w:after="0" w:line="240" w:lineRule="auto"/>
              <w:jc w:val="center"/>
              <w:textAlignment w:val="bottom"/>
              <w:rPr>
                <w:rFonts w:ascii="Arial" w:eastAsia="Times New Roman" w:hAnsi="Arial" w:cs="Arial"/>
                <w:b/>
                <w:sz w:val="24"/>
                <w:szCs w:val="24"/>
              </w:rPr>
            </w:pPr>
          </w:p>
        </w:tc>
      </w:tr>
      <w:tr w:rsidR="00ED7F02" w:rsidRPr="00DD50C5" w:rsidTr="005C4296">
        <w:trPr>
          <w:trHeight w:val="245"/>
        </w:trPr>
        <w:tc>
          <w:tcPr>
            <w:tcW w:w="1935" w:type="dxa"/>
            <w:shd w:val="clear" w:color="auto" w:fill="auto"/>
            <w:tcMar>
              <w:top w:w="15" w:type="dxa"/>
              <w:left w:w="15" w:type="dxa"/>
              <w:bottom w:w="0" w:type="dxa"/>
              <w:right w:w="15" w:type="dxa"/>
            </w:tcMar>
            <w:vAlign w:val="center"/>
            <w:hideMark/>
          </w:tcPr>
          <w:p w:rsidR="00ED7F02" w:rsidRPr="00DD50C5" w:rsidRDefault="00ED7F02" w:rsidP="00BF0787">
            <w:pPr>
              <w:spacing w:after="0" w:line="240" w:lineRule="auto"/>
              <w:textAlignment w:val="bottom"/>
              <w:rPr>
                <w:rFonts w:ascii="Arial" w:eastAsia="Times New Roman" w:hAnsi="Arial" w:cs="Arial"/>
                <w:sz w:val="24"/>
                <w:szCs w:val="24"/>
              </w:rPr>
            </w:pPr>
            <w:r w:rsidRPr="00DD50C5">
              <w:rPr>
                <w:rFonts w:ascii="Arial" w:eastAsia="Times New Roman" w:hAnsi="Arial" w:cs="Arial"/>
                <w:color w:val="000000"/>
                <w:kern w:val="24"/>
                <w:sz w:val="24"/>
                <w:szCs w:val="24"/>
              </w:rPr>
              <w:t>Flower</w:t>
            </w:r>
          </w:p>
        </w:tc>
        <w:tc>
          <w:tcPr>
            <w:tcW w:w="60"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center"/>
              <w:rPr>
                <w:rFonts w:ascii="Arial" w:eastAsia="Times New Roman" w:hAnsi="Arial" w:cs="Arial"/>
                <w:sz w:val="24"/>
                <w:szCs w:val="24"/>
              </w:rPr>
            </w:pPr>
          </w:p>
        </w:tc>
        <w:tc>
          <w:tcPr>
            <w:tcW w:w="1326"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0.1</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0.2</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0.3</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0.6</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3.4</w:t>
            </w:r>
          </w:p>
        </w:tc>
      </w:tr>
      <w:tr w:rsidR="00ED7F02" w:rsidRPr="00DD50C5" w:rsidTr="005C4296">
        <w:trPr>
          <w:trHeight w:val="245"/>
        </w:trPr>
        <w:tc>
          <w:tcPr>
            <w:tcW w:w="1935" w:type="dxa"/>
            <w:shd w:val="clear" w:color="auto" w:fill="auto"/>
            <w:tcMar>
              <w:top w:w="15" w:type="dxa"/>
              <w:left w:w="15" w:type="dxa"/>
              <w:bottom w:w="0" w:type="dxa"/>
              <w:right w:w="15" w:type="dxa"/>
            </w:tcMar>
            <w:vAlign w:val="center"/>
            <w:hideMark/>
          </w:tcPr>
          <w:p w:rsidR="00ED7F02" w:rsidRPr="00DD50C5" w:rsidRDefault="00ED7F02" w:rsidP="00BF0787">
            <w:pPr>
              <w:spacing w:after="0" w:line="240" w:lineRule="auto"/>
              <w:textAlignment w:val="bottom"/>
              <w:rPr>
                <w:rFonts w:ascii="Arial" w:eastAsia="Times New Roman" w:hAnsi="Arial" w:cs="Arial"/>
                <w:sz w:val="24"/>
                <w:szCs w:val="24"/>
              </w:rPr>
            </w:pPr>
            <w:r w:rsidRPr="00DD50C5">
              <w:rPr>
                <w:rFonts w:ascii="Arial" w:eastAsia="Times New Roman" w:hAnsi="Arial" w:cs="Arial"/>
                <w:color w:val="000000"/>
                <w:kern w:val="24"/>
                <w:sz w:val="24"/>
                <w:szCs w:val="24"/>
              </w:rPr>
              <w:t>Concentrate</w:t>
            </w:r>
          </w:p>
        </w:tc>
        <w:tc>
          <w:tcPr>
            <w:tcW w:w="60"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p>
        </w:tc>
        <w:tc>
          <w:tcPr>
            <w:tcW w:w="1326"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0.5</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1.0</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4.7</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49.0</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99.0</w:t>
            </w:r>
          </w:p>
        </w:tc>
      </w:tr>
      <w:tr w:rsidR="00ED7F02" w:rsidRPr="00DD50C5" w:rsidTr="005C4296">
        <w:trPr>
          <w:trHeight w:val="245"/>
        </w:trPr>
        <w:tc>
          <w:tcPr>
            <w:tcW w:w="1935" w:type="dxa"/>
            <w:shd w:val="clear" w:color="auto" w:fill="auto"/>
            <w:tcMar>
              <w:top w:w="15" w:type="dxa"/>
              <w:left w:w="15" w:type="dxa"/>
              <w:bottom w:w="0" w:type="dxa"/>
              <w:right w:w="15" w:type="dxa"/>
            </w:tcMar>
            <w:vAlign w:val="center"/>
            <w:hideMark/>
          </w:tcPr>
          <w:p w:rsidR="00ED7F02" w:rsidRPr="00DD50C5" w:rsidRDefault="00ED7F02" w:rsidP="00BF0787">
            <w:pPr>
              <w:spacing w:after="0" w:line="240" w:lineRule="auto"/>
              <w:textAlignment w:val="bottom"/>
              <w:rPr>
                <w:rFonts w:ascii="Arial" w:eastAsia="Times New Roman" w:hAnsi="Arial" w:cs="Arial"/>
                <w:sz w:val="24"/>
                <w:szCs w:val="24"/>
              </w:rPr>
            </w:pPr>
            <w:r w:rsidRPr="00DD50C5">
              <w:rPr>
                <w:rFonts w:ascii="Arial" w:eastAsia="Times New Roman" w:hAnsi="Arial" w:cs="Arial"/>
                <w:color w:val="000000"/>
                <w:kern w:val="24"/>
                <w:sz w:val="24"/>
                <w:szCs w:val="24"/>
              </w:rPr>
              <w:t>MIPs</w:t>
            </w:r>
          </w:p>
        </w:tc>
        <w:tc>
          <w:tcPr>
            <w:tcW w:w="60"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p>
        </w:tc>
        <w:tc>
          <w:tcPr>
            <w:tcW w:w="1326"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0.1</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0.1</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0.5</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5.8</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92.0</w:t>
            </w:r>
          </w:p>
        </w:tc>
      </w:tr>
      <w:tr w:rsidR="00ED7F02" w:rsidRPr="00DD50C5" w:rsidTr="00BF0787">
        <w:trPr>
          <w:trHeight w:hRule="exact" w:val="288"/>
        </w:trPr>
        <w:tc>
          <w:tcPr>
            <w:tcW w:w="8629" w:type="dxa"/>
            <w:gridSpan w:val="7"/>
            <w:shd w:val="clear" w:color="auto" w:fill="A6A6A6" w:themeFill="background1" w:themeFillShade="A6"/>
            <w:vAlign w:val="center"/>
          </w:tcPr>
          <w:p w:rsidR="00ED7F02" w:rsidRPr="00E47D0F" w:rsidRDefault="00ED7F02" w:rsidP="00BF0787">
            <w:pPr>
              <w:spacing w:after="0" w:line="240" w:lineRule="auto"/>
              <w:jc w:val="center"/>
              <w:textAlignment w:val="bottom"/>
              <w:rPr>
                <w:rFonts w:ascii="Arial" w:eastAsia="Times New Roman" w:hAnsi="Arial" w:cs="Arial"/>
                <w:b/>
                <w:sz w:val="24"/>
                <w:szCs w:val="24"/>
              </w:rPr>
            </w:pPr>
          </w:p>
        </w:tc>
      </w:tr>
      <w:tr w:rsidR="00ED7F02" w:rsidRPr="00DD50C5" w:rsidTr="005C4296">
        <w:trPr>
          <w:trHeight w:val="245"/>
        </w:trPr>
        <w:tc>
          <w:tcPr>
            <w:tcW w:w="1935" w:type="dxa"/>
            <w:shd w:val="clear" w:color="auto" w:fill="auto"/>
            <w:tcMar>
              <w:top w:w="15" w:type="dxa"/>
              <w:left w:w="15" w:type="dxa"/>
              <w:bottom w:w="0" w:type="dxa"/>
              <w:right w:w="15" w:type="dxa"/>
            </w:tcMar>
            <w:vAlign w:val="center"/>
            <w:hideMark/>
          </w:tcPr>
          <w:p w:rsidR="00ED7F02" w:rsidRPr="00DD50C5" w:rsidRDefault="00ED7F02" w:rsidP="00BF0787">
            <w:pPr>
              <w:spacing w:after="0" w:line="240" w:lineRule="auto"/>
              <w:textAlignment w:val="bottom"/>
              <w:rPr>
                <w:rFonts w:ascii="Arial" w:eastAsia="Times New Roman" w:hAnsi="Arial" w:cs="Arial"/>
                <w:sz w:val="24"/>
                <w:szCs w:val="24"/>
              </w:rPr>
            </w:pPr>
            <w:r w:rsidRPr="00DD50C5">
              <w:rPr>
                <w:rFonts w:ascii="Arial" w:eastAsia="Times New Roman" w:hAnsi="Arial" w:cs="Arial"/>
                <w:color w:val="000000"/>
                <w:kern w:val="24"/>
                <w:sz w:val="24"/>
                <w:szCs w:val="24"/>
              </w:rPr>
              <w:t>Flower</w:t>
            </w:r>
          </w:p>
        </w:tc>
        <w:tc>
          <w:tcPr>
            <w:tcW w:w="60"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center"/>
              <w:rPr>
                <w:rFonts w:ascii="Arial" w:eastAsia="Times New Roman" w:hAnsi="Arial" w:cs="Arial"/>
                <w:sz w:val="24"/>
                <w:szCs w:val="24"/>
              </w:rPr>
            </w:pPr>
          </w:p>
        </w:tc>
        <w:tc>
          <w:tcPr>
            <w:tcW w:w="1326"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0.1</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0.1</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0.2</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12.5</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28.3</w:t>
            </w:r>
          </w:p>
        </w:tc>
      </w:tr>
      <w:tr w:rsidR="00ED7F02" w:rsidRPr="00DD50C5" w:rsidTr="005C4296">
        <w:trPr>
          <w:trHeight w:val="245"/>
        </w:trPr>
        <w:tc>
          <w:tcPr>
            <w:tcW w:w="1935" w:type="dxa"/>
            <w:shd w:val="clear" w:color="auto" w:fill="auto"/>
            <w:tcMar>
              <w:top w:w="15" w:type="dxa"/>
              <w:left w:w="15" w:type="dxa"/>
              <w:bottom w:w="0" w:type="dxa"/>
              <w:right w:w="15" w:type="dxa"/>
            </w:tcMar>
            <w:vAlign w:val="center"/>
            <w:hideMark/>
          </w:tcPr>
          <w:p w:rsidR="00ED7F02" w:rsidRPr="00DD50C5" w:rsidRDefault="00ED7F02" w:rsidP="00BF0787">
            <w:pPr>
              <w:spacing w:after="0" w:line="240" w:lineRule="auto"/>
              <w:textAlignment w:val="bottom"/>
              <w:rPr>
                <w:rFonts w:ascii="Arial" w:eastAsia="Times New Roman" w:hAnsi="Arial" w:cs="Arial"/>
                <w:sz w:val="24"/>
                <w:szCs w:val="24"/>
              </w:rPr>
            </w:pPr>
            <w:r w:rsidRPr="00DD50C5">
              <w:rPr>
                <w:rFonts w:ascii="Arial" w:eastAsia="Times New Roman" w:hAnsi="Arial" w:cs="Arial"/>
                <w:color w:val="000000"/>
                <w:kern w:val="24"/>
                <w:sz w:val="24"/>
                <w:szCs w:val="24"/>
              </w:rPr>
              <w:t>Concentrate</w:t>
            </w:r>
          </w:p>
        </w:tc>
        <w:tc>
          <w:tcPr>
            <w:tcW w:w="60"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p>
        </w:tc>
        <w:tc>
          <w:tcPr>
            <w:tcW w:w="1326"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0.1</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0.2</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0.4</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12.1</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64.2</w:t>
            </w:r>
          </w:p>
        </w:tc>
      </w:tr>
      <w:tr w:rsidR="00ED7F02" w:rsidRPr="00DD50C5" w:rsidTr="005C4296">
        <w:trPr>
          <w:trHeight w:val="245"/>
        </w:trPr>
        <w:tc>
          <w:tcPr>
            <w:tcW w:w="1935" w:type="dxa"/>
            <w:shd w:val="clear" w:color="auto" w:fill="auto"/>
            <w:tcMar>
              <w:top w:w="15" w:type="dxa"/>
              <w:left w:w="15" w:type="dxa"/>
              <w:bottom w:w="0" w:type="dxa"/>
              <w:right w:w="15" w:type="dxa"/>
            </w:tcMar>
            <w:vAlign w:val="center"/>
            <w:hideMark/>
          </w:tcPr>
          <w:p w:rsidR="00ED7F02" w:rsidRPr="00DD50C5" w:rsidRDefault="00ED7F02" w:rsidP="00BF0787">
            <w:pPr>
              <w:spacing w:after="0" w:line="240" w:lineRule="auto"/>
              <w:textAlignment w:val="bottom"/>
              <w:rPr>
                <w:rFonts w:ascii="Arial" w:eastAsia="Times New Roman" w:hAnsi="Arial" w:cs="Arial"/>
                <w:sz w:val="24"/>
                <w:szCs w:val="24"/>
              </w:rPr>
            </w:pPr>
            <w:r w:rsidRPr="00DD50C5">
              <w:rPr>
                <w:rFonts w:ascii="Arial" w:eastAsia="Times New Roman" w:hAnsi="Arial" w:cs="Arial"/>
                <w:color w:val="000000"/>
                <w:kern w:val="24"/>
                <w:sz w:val="24"/>
                <w:szCs w:val="24"/>
              </w:rPr>
              <w:t>MIPs</w:t>
            </w:r>
          </w:p>
        </w:tc>
        <w:tc>
          <w:tcPr>
            <w:tcW w:w="60"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p>
        </w:tc>
        <w:tc>
          <w:tcPr>
            <w:tcW w:w="1326"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0.0</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0.0</w:t>
            </w:r>
          </w:p>
        </w:tc>
        <w:tc>
          <w:tcPr>
            <w:tcW w:w="1327" w:type="dxa"/>
            <w:shd w:val="clear" w:color="auto" w:fill="auto"/>
            <w:tcMar>
              <w:top w:w="15" w:type="dxa"/>
              <w:left w:w="15" w:type="dxa"/>
              <w:bottom w:w="0" w:type="dxa"/>
              <w:right w:w="15" w:type="dxa"/>
            </w:tcMar>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0.1</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Pr>
                <w:rFonts w:ascii="Arial" w:eastAsia="Calibri" w:hAnsi="Arial" w:cs="Arial"/>
                <w:color w:val="000000"/>
                <w:sz w:val="24"/>
                <w:szCs w:val="24"/>
              </w:rPr>
              <w:t>0.6</w:t>
            </w:r>
          </w:p>
        </w:tc>
        <w:tc>
          <w:tcPr>
            <w:tcW w:w="1327" w:type="dxa"/>
          </w:tcPr>
          <w:p w:rsidR="00ED7F02" w:rsidRPr="00DD50C5" w:rsidRDefault="00ED7F02" w:rsidP="00BF0787">
            <w:pPr>
              <w:spacing w:after="0" w:line="240" w:lineRule="auto"/>
              <w:jc w:val="center"/>
              <w:textAlignment w:val="bottom"/>
              <w:rPr>
                <w:rFonts w:ascii="Arial" w:eastAsia="Times New Roman" w:hAnsi="Arial" w:cs="Arial"/>
                <w:sz w:val="24"/>
                <w:szCs w:val="24"/>
              </w:rPr>
            </w:pPr>
            <w:r w:rsidRPr="00DD50C5">
              <w:rPr>
                <w:rFonts w:ascii="Arial" w:eastAsia="Calibri" w:hAnsi="Arial" w:cs="Arial"/>
                <w:color w:val="000000"/>
                <w:sz w:val="24"/>
                <w:szCs w:val="24"/>
              </w:rPr>
              <w:t>3.3</w:t>
            </w:r>
          </w:p>
        </w:tc>
      </w:tr>
    </w:tbl>
    <w:p w:rsidR="00ED7F02" w:rsidRPr="00ED7F02" w:rsidRDefault="00ED7F02" w:rsidP="00ED7F02">
      <w:pPr>
        <w:spacing w:after="0" w:line="240" w:lineRule="auto"/>
        <w:rPr>
          <w:rFonts w:ascii="Arial" w:eastAsia="Calibri" w:hAnsi="Arial" w:cs="Arial"/>
          <w:sz w:val="24"/>
          <w:szCs w:val="24"/>
        </w:rPr>
      </w:pPr>
      <w:r w:rsidRPr="00ED7F02">
        <w:rPr>
          <w:rFonts w:ascii="Arial" w:eastAsia="Calibri" w:hAnsi="Arial" w:cs="Arial"/>
          <w:sz w:val="24"/>
          <w:szCs w:val="24"/>
        </w:rPr>
        <w:t xml:space="preserve">  </w:t>
      </w:r>
    </w:p>
    <w:p w:rsidR="00ED7F02" w:rsidRPr="00ED7F02" w:rsidRDefault="00ED7F02" w:rsidP="00ED7F02">
      <w:pPr>
        <w:spacing w:after="160" w:line="259" w:lineRule="auto"/>
        <w:rPr>
          <w:rFonts w:ascii="Arial" w:eastAsia="Calibri" w:hAnsi="Arial" w:cs="Arial"/>
          <w:b/>
          <w:sz w:val="24"/>
          <w:szCs w:val="24"/>
        </w:rPr>
      </w:pPr>
      <w:r w:rsidRPr="00ED7F02">
        <w:rPr>
          <w:rFonts w:ascii="Arial" w:eastAsia="Calibri" w:hAnsi="Arial" w:cs="Arial"/>
          <w:b/>
          <w:sz w:val="24"/>
          <w:szCs w:val="24"/>
        </w:rPr>
        <w:br w:type="page"/>
        <w:t>Table 4: Summary of Retail Product Prices Provided in RMD Survey</w:t>
      </w:r>
    </w:p>
    <w:tbl>
      <w:tblPr>
        <w:tblW w:w="9270" w:type="dxa"/>
        <w:jc w:val="center"/>
        <w:tblInd w:w="720" w:type="dxa"/>
        <w:tblLayout w:type="fixed"/>
        <w:tblLook w:val="04A0" w:firstRow="1" w:lastRow="0" w:firstColumn="1" w:lastColumn="0" w:noHBand="0" w:noVBand="1"/>
        <w:tblCaption w:val="Table 1: RMD Retail Product Price Survey"/>
      </w:tblPr>
      <w:tblGrid>
        <w:gridCol w:w="630"/>
        <w:gridCol w:w="1530"/>
        <w:gridCol w:w="1260"/>
        <w:gridCol w:w="2250"/>
        <w:gridCol w:w="1170"/>
        <w:gridCol w:w="1260"/>
        <w:gridCol w:w="1170"/>
      </w:tblGrid>
      <w:tr w:rsidR="002F21FE" w:rsidRPr="00ED7F02" w:rsidTr="003F1FF5">
        <w:trPr>
          <w:trHeight w:val="375"/>
          <w:jc w:val="center"/>
        </w:trPr>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F21FE" w:rsidRPr="00ED7F02" w:rsidRDefault="002F21FE" w:rsidP="00ED7F02">
            <w:pPr>
              <w:spacing w:after="0" w:line="240" w:lineRule="auto"/>
              <w:ind w:right="22"/>
              <w:jc w:val="center"/>
              <w:rPr>
                <w:rFonts w:ascii="Arial" w:eastAsia="Times New Roman" w:hAnsi="Arial" w:cs="Arial"/>
                <w:b/>
                <w:bCs/>
                <w:color w:val="000000"/>
                <w:sz w:val="20"/>
                <w:szCs w:val="24"/>
              </w:rPr>
            </w:pP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21FE" w:rsidRPr="00ED7F02" w:rsidRDefault="002F21FE" w:rsidP="00ED7F02">
            <w:pPr>
              <w:spacing w:after="0" w:line="240" w:lineRule="auto"/>
              <w:ind w:right="22"/>
              <w:jc w:val="center"/>
              <w:rPr>
                <w:rFonts w:ascii="Arial" w:eastAsia="Times New Roman" w:hAnsi="Arial" w:cs="Arial"/>
                <w:b/>
                <w:bCs/>
                <w:color w:val="000000"/>
                <w:sz w:val="20"/>
                <w:szCs w:val="24"/>
              </w:rPr>
            </w:pPr>
            <w:r w:rsidRPr="00ED7F02">
              <w:rPr>
                <w:rFonts w:ascii="Arial" w:eastAsia="Times New Roman" w:hAnsi="Arial" w:cs="Arial"/>
                <w:b/>
                <w:bCs/>
                <w:color w:val="000000"/>
                <w:sz w:val="20"/>
                <w:szCs w:val="24"/>
              </w:rPr>
              <w:t>Product Group</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21FE" w:rsidRPr="00ED7F02" w:rsidRDefault="002F21FE" w:rsidP="00ED7F02">
            <w:pPr>
              <w:spacing w:after="0" w:line="240" w:lineRule="auto"/>
              <w:ind w:right="22"/>
              <w:jc w:val="center"/>
              <w:rPr>
                <w:rFonts w:ascii="Arial" w:eastAsia="Times New Roman" w:hAnsi="Arial" w:cs="Arial"/>
                <w:b/>
                <w:bCs/>
                <w:color w:val="000000"/>
                <w:sz w:val="20"/>
                <w:szCs w:val="24"/>
              </w:rPr>
            </w:pPr>
            <w:r w:rsidRPr="00ED7F02">
              <w:rPr>
                <w:rFonts w:ascii="Arial" w:eastAsia="Times New Roman" w:hAnsi="Arial" w:cs="Arial"/>
                <w:b/>
                <w:bCs/>
                <w:color w:val="000000"/>
                <w:sz w:val="20"/>
                <w:szCs w:val="24"/>
              </w:rPr>
              <w:t>Type</w:t>
            </w:r>
          </w:p>
        </w:tc>
        <w:tc>
          <w:tcPr>
            <w:tcW w:w="225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21FE" w:rsidRPr="00ED7F02" w:rsidRDefault="002F21FE" w:rsidP="00ED7F02">
            <w:pPr>
              <w:spacing w:after="0" w:line="240" w:lineRule="auto"/>
              <w:ind w:right="22"/>
              <w:jc w:val="center"/>
              <w:rPr>
                <w:rFonts w:ascii="Arial" w:eastAsia="Times New Roman" w:hAnsi="Arial" w:cs="Arial"/>
                <w:b/>
                <w:bCs/>
                <w:color w:val="000000"/>
                <w:sz w:val="20"/>
                <w:szCs w:val="24"/>
              </w:rPr>
            </w:pPr>
            <w:r w:rsidRPr="00ED7F02">
              <w:rPr>
                <w:rFonts w:ascii="Arial" w:eastAsia="Times New Roman" w:hAnsi="Arial" w:cs="Arial"/>
                <w:b/>
                <w:bCs/>
                <w:color w:val="000000"/>
                <w:sz w:val="20"/>
                <w:szCs w:val="24"/>
              </w:rPr>
              <w:t>Description</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21FE" w:rsidRPr="00ED7F02" w:rsidRDefault="002F21FE" w:rsidP="00ED7F02">
            <w:pPr>
              <w:spacing w:after="0" w:line="240" w:lineRule="auto"/>
              <w:ind w:right="22"/>
              <w:jc w:val="center"/>
              <w:rPr>
                <w:rFonts w:ascii="Arial" w:eastAsia="Times New Roman" w:hAnsi="Arial" w:cs="Arial"/>
                <w:b/>
                <w:bCs/>
                <w:color w:val="000000"/>
                <w:sz w:val="20"/>
                <w:szCs w:val="24"/>
              </w:rPr>
            </w:pPr>
            <w:r w:rsidRPr="00ED7F02">
              <w:rPr>
                <w:rFonts w:ascii="Arial" w:eastAsia="Times New Roman" w:hAnsi="Arial" w:cs="Arial"/>
                <w:b/>
                <w:bCs/>
                <w:color w:val="000000"/>
                <w:sz w:val="20"/>
                <w:szCs w:val="24"/>
              </w:rPr>
              <w:t>Product Weight</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F1FF5" w:rsidRDefault="002F21FE" w:rsidP="003F1FF5">
            <w:pPr>
              <w:spacing w:after="0" w:line="240" w:lineRule="auto"/>
              <w:ind w:right="22"/>
              <w:jc w:val="center"/>
              <w:rPr>
                <w:rFonts w:ascii="Arial" w:eastAsia="Times New Roman" w:hAnsi="Arial" w:cs="Arial"/>
                <w:b/>
                <w:bCs/>
                <w:color w:val="000000"/>
                <w:sz w:val="20"/>
                <w:szCs w:val="24"/>
              </w:rPr>
            </w:pPr>
            <w:r w:rsidRPr="00ED7F02">
              <w:rPr>
                <w:rFonts w:ascii="Arial" w:eastAsia="Times New Roman" w:hAnsi="Arial" w:cs="Arial"/>
                <w:b/>
                <w:bCs/>
                <w:color w:val="000000"/>
                <w:sz w:val="20"/>
                <w:szCs w:val="24"/>
              </w:rPr>
              <w:t xml:space="preserve">THC </w:t>
            </w:r>
          </w:p>
          <w:p w:rsidR="002F21FE" w:rsidRPr="00ED7F02" w:rsidRDefault="003F1FF5" w:rsidP="003F1FF5">
            <w:pPr>
              <w:spacing w:after="0" w:line="240" w:lineRule="auto"/>
              <w:ind w:right="22"/>
              <w:jc w:val="center"/>
              <w:rPr>
                <w:rFonts w:ascii="Arial" w:eastAsia="Times New Roman" w:hAnsi="Arial" w:cs="Arial"/>
                <w:b/>
                <w:bCs/>
                <w:color w:val="000000"/>
                <w:sz w:val="20"/>
                <w:szCs w:val="24"/>
              </w:rPr>
            </w:pPr>
            <w:r>
              <w:rPr>
                <w:rFonts w:ascii="Arial" w:eastAsia="Times New Roman" w:hAnsi="Arial" w:cs="Arial"/>
                <w:b/>
                <w:bCs/>
                <w:color w:val="000000"/>
                <w:sz w:val="20"/>
                <w:szCs w:val="24"/>
              </w:rPr>
              <w:t>D</w:t>
            </w:r>
            <w:r w:rsidR="002F21FE" w:rsidRPr="00ED7F02">
              <w:rPr>
                <w:rFonts w:ascii="Arial" w:eastAsia="Times New Roman" w:hAnsi="Arial" w:cs="Arial"/>
                <w:b/>
                <w:bCs/>
                <w:color w:val="000000"/>
                <w:sz w:val="20"/>
                <w:szCs w:val="24"/>
              </w:rPr>
              <w:t xml:space="preserve">ose </w:t>
            </w:r>
          </w:p>
        </w:tc>
        <w:tc>
          <w:tcPr>
            <w:tcW w:w="11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F21FE" w:rsidRPr="00ED7F02" w:rsidRDefault="002F21FE" w:rsidP="00ED7F02">
            <w:pPr>
              <w:spacing w:after="0" w:line="240" w:lineRule="auto"/>
              <w:jc w:val="center"/>
              <w:rPr>
                <w:rFonts w:ascii="Arial" w:eastAsia="Times New Roman" w:hAnsi="Arial" w:cs="Arial"/>
                <w:b/>
                <w:bCs/>
                <w:color w:val="000000"/>
                <w:sz w:val="20"/>
                <w:szCs w:val="24"/>
              </w:rPr>
            </w:pPr>
            <w:r w:rsidRPr="00ED7F02">
              <w:rPr>
                <w:rFonts w:ascii="Arial" w:eastAsia="Times New Roman" w:hAnsi="Arial" w:cs="Arial"/>
                <w:b/>
                <w:bCs/>
                <w:color w:val="000000"/>
                <w:sz w:val="20"/>
                <w:szCs w:val="24"/>
              </w:rPr>
              <w:t>Retail Price</w:t>
            </w:r>
          </w:p>
        </w:tc>
      </w:tr>
      <w:tr w:rsidR="002F21FE" w:rsidRPr="00ED7F02" w:rsidTr="003F1FF5">
        <w:trPr>
          <w:trHeight w:val="240"/>
          <w:jc w:val="center"/>
        </w:trPr>
        <w:tc>
          <w:tcPr>
            <w:tcW w:w="630" w:type="dxa"/>
            <w:vMerge w:val="restart"/>
            <w:tcBorders>
              <w:top w:val="nil"/>
              <w:left w:val="single" w:sz="4" w:space="0" w:color="auto"/>
              <w:bottom w:val="single" w:sz="4" w:space="0" w:color="000000"/>
              <w:right w:val="single" w:sz="4" w:space="0" w:color="A6A6A6"/>
            </w:tcBorders>
            <w:shd w:val="clear" w:color="auto" w:fill="auto"/>
            <w:noWrap/>
            <w:textDirection w:val="btLr"/>
            <w:vAlign w:val="center"/>
            <w:hideMark/>
          </w:tcPr>
          <w:p w:rsidR="002F21FE" w:rsidRPr="00ED7F02" w:rsidRDefault="002F21FE" w:rsidP="00ED7F02">
            <w:pPr>
              <w:spacing w:after="0" w:line="240" w:lineRule="auto"/>
              <w:ind w:left="113" w:right="22"/>
              <w:jc w:val="center"/>
              <w:rPr>
                <w:rFonts w:ascii="Arial" w:eastAsia="Times New Roman" w:hAnsi="Arial" w:cs="Arial"/>
                <w:b/>
                <w:color w:val="000000"/>
                <w:szCs w:val="24"/>
              </w:rPr>
            </w:pPr>
            <w:r w:rsidRPr="00ED7F02">
              <w:rPr>
                <w:rFonts w:ascii="Arial" w:eastAsia="Times New Roman" w:hAnsi="Arial" w:cs="Arial"/>
                <w:b/>
                <w:color w:val="000000"/>
                <w:szCs w:val="24"/>
              </w:rPr>
              <w:t>Concentrates</w:t>
            </w:r>
          </w:p>
        </w:tc>
        <w:tc>
          <w:tcPr>
            <w:tcW w:w="153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Resin</w:t>
            </w:r>
          </w:p>
        </w:tc>
        <w:tc>
          <w:tcPr>
            <w:tcW w:w="126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Rosin</w:t>
            </w:r>
          </w:p>
        </w:tc>
        <w:tc>
          <w:tcPr>
            <w:tcW w:w="2250" w:type="dxa"/>
            <w:tcBorders>
              <w:top w:val="nil"/>
              <w:left w:val="nil"/>
              <w:bottom w:val="single" w:sz="4" w:space="0" w:color="A6A6A6"/>
              <w:right w:val="single" w:sz="4" w:space="0" w:color="A6A6A6"/>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Concentrate for vaporization</w:t>
            </w:r>
          </w:p>
        </w:tc>
        <w:tc>
          <w:tcPr>
            <w:tcW w:w="117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0.5-1g</w:t>
            </w:r>
          </w:p>
        </w:tc>
        <w:tc>
          <w:tcPr>
            <w:tcW w:w="126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50-85%</w:t>
            </w:r>
          </w:p>
        </w:tc>
        <w:tc>
          <w:tcPr>
            <w:tcW w:w="1170" w:type="dxa"/>
            <w:tcBorders>
              <w:top w:val="nil"/>
              <w:left w:val="nil"/>
              <w:bottom w:val="single" w:sz="4" w:space="0" w:color="A6A6A6"/>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$25-$45</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A6A6A6"/>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Resin</w:t>
            </w:r>
          </w:p>
        </w:tc>
        <w:tc>
          <w:tcPr>
            <w:tcW w:w="126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Keif</w:t>
            </w:r>
          </w:p>
        </w:tc>
        <w:tc>
          <w:tcPr>
            <w:tcW w:w="2250" w:type="dxa"/>
            <w:tcBorders>
              <w:top w:val="nil"/>
              <w:left w:val="nil"/>
              <w:bottom w:val="single" w:sz="4" w:space="0" w:color="A6A6A6"/>
              <w:right w:val="single" w:sz="4" w:space="0" w:color="A6A6A6"/>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Cold pressed bar for vaporization</w:t>
            </w:r>
          </w:p>
        </w:tc>
        <w:tc>
          <w:tcPr>
            <w:tcW w:w="117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7g</w:t>
            </w:r>
          </w:p>
        </w:tc>
        <w:tc>
          <w:tcPr>
            <w:tcW w:w="126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38%</w:t>
            </w:r>
          </w:p>
        </w:tc>
        <w:tc>
          <w:tcPr>
            <w:tcW w:w="1170" w:type="dxa"/>
            <w:tcBorders>
              <w:top w:val="nil"/>
              <w:left w:val="nil"/>
              <w:bottom w:val="single" w:sz="4" w:space="0" w:color="A6A6A6"/>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$100</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A6A6A6"/>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Vape Oil</w:t>
            </w:r>
          </w:p>
        </w:tc>
        <w:tc>
          <w:tcPr>
            <w:tcW w:w="126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Cartridge</w:t>
            </w:r>
          </w:p>
        </w:tc>
        <w:tc>
          <w:tcPr>
            <w:tcW w:w="2250" w:type="dxa"/>
            <w:tcBorders>
              <w:top w:val="nil"/>
              <w:left w:val="nil"/>
              <w:bottom w:val="single" w:sz="4" w:space="0" w:color="A6A6A6"/>
              <w:right w:val="single" w:sz="4" w:space="0" w:color="A6A6A6"/>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Concentrate oil for vaporization</w:t>
            </w:r>
          </w:p>
        </w:tc>
        <w:tc>
          <w:tcPr>
            <w:tcW w:w="117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0.9mL</w:t>
            </w:r>
          </w:p>
        </w:tc>
        <w:tc>
          <w:tcPr>
            <w:tcW w:w="126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200-1000mg</w:t>
            </w:r>
          </w:p>
        </w:tc>
        <w:tc>
          <w:tcPr>
            <w:tcW w:w="1170" w:type="dxa"/>
            <w:tcBorders>
              <w:top w:val="nil"/>
              <w:left w:val="nil"/>
              <w:bottom w:val="single" w:sz="4" w:space="0" w:color="A6A6A6"/>
              <w:right w:val="single" w:sz="4" w:space="0" w:color="auto"/>
            </w:tcBorders>
            <w:shd w:val="clear" w:color="auto" w:fill="auto"/>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$25 - $100</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A6A6A6"/>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Wax</w:t>
            </w:r>
          </w:p>
        </w:tc>
        <w:tc>
          <w:tcPr>
            <w:tcW w:w="126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Wax</w:t>
            </w:r>
          </w:p>
        </w:tc>
        <w:tc>
          <w:tcPr>
            <w:tcW w:w="2250" w:type="dxa"/>
            <w:tcBorders>
              <w:top w:val="nil"/>
              <w:left w:val="nil"/>
              <w:bottom w:val="single" w:sz="4" w:space="0" w:color="A6A6A6"/>
              <w:right w:val="single" w:sz="4" w:space="0" w:color="A6A6A6"/>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Concentrate for vaporization</w:t>
            </w:r>
          </w:p>
        </w:tc>
        <w:tc>
          <w:tcPr>
            <w:tcW w:w="117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1g</w:t>
            </w:r>
          </w:p>
        </w:tc>
        <w:tc>
          <w:tcPr>
            <w:tcW w:w="126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900mg</w:t>
            </w:r>
          </w:p>
        </w:tc>
        <w:tc>
          <w:tcPr>
            <w:tcW w:w="1170" w:type="dxa"/>
            <w:tcBorders>
              <w:top w:val="nil"/>
              <w:left w:val="nil"/>
              <w:bottom w:val="single" w:sz="4" w:space="0" w:color="A6A6A6"/>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$50</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A6A6A6"/>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Vape Oil</w:t>
            </w:r>
          </w:p>
        </w:tc>
        <w:tc>
          <w:tcPr>
            <w:tcW w:w="126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Cartridge</w:t>
            </w:r>
          </w:p>
        </w:tc>
        <w:tc>
          <w:tcPr>
            <w:tcW w:w="2250" w:type="dxa"/>
            <w:tcBorders>
              <w:top w:val="nil"/>
              <w:left w:val="nil"/>
              <w:bottom w:val="single" w:sz="4" w:space="0" w:color="A6A6A6"/>
              <w:right w:val="single" w:sz="4" w:space="0" w:color="A6A6A6"/>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Concentrate oil for vaporization</w:t>
            </w:r>
          </w:p>
        </w:tc>
        <w:tc>
          <w:tcPr>
            <w:tcW w:w="117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0.25-0.5g</w:t>
            </w:r>
          </w:p>
        </w:tc>
        <w:tc>
          <w:tcPr>
            <w:tcW w:w="126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30-90%</w:t>
            </w:r>
          </w:p>
        </w:tc>
        <w:tc>
          <w:tcPr>
            <w:tcW w:w="1170" w:type="dxa"/>
            <w:tcBorders>
              <w:top w:val="nil"/>
              <w:left w:val="nil"/>
              <w:bottom w:val="single" w:sz="4" w:space="0" w:color="A6A6A6"/>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$60 - $75</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A6A6A6"/>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Shatter</w:t>
            </w:r>
          </w:p>
        </w:tc>
        <w:tc>
          <w:tcPr>
            <w:tcW w:w="126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Shatter</w:t>
            </w:r>
          </w:p>
        </w:tc>
        <w:tc>
          <w:tcPr>
            <w:tcW w:w="2250" w:type="dxa"/>
            <w:tcBorders>
              <w:top w:val="nil"/>
              <w:left w:val="nil"/>
              <w:bottom w:val="single" w:sz="4" w:space="0" w:color="A6A6A6"/>
              <w:right w:val="single" w:sz="4" w:space="0" w:color="A6A6A6"/>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Solid concentrate for vaporization</w:t>
            </w:r>
          </w:p>
        </w:tc>
        <w:tc>
          <w:tcPr>
            <w:tcW w:w="117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1g</w:t>
            </w:r>
          </w:p>
        </w:tc>
        <w:tc>
          <w:tcPr>
            <w:tcW w:w="126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85%</w:t>
            </w:r>
          </w:p>
        </w:tc>
        <w:tc>
          <w:tcPr>
            <w:tcW w:w="1170" w:type="dxa"/>
            <w:tcBorders>
              <w:top w:val="nil"/>
              <w:left w:val="nil"/>
              <w:bottom w:val="single" w:sz="4" w:space="0" w:color="A6A6A6"/>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$60</w:t>
            </w:r>
          </w:p>
        </w:tc>
      </w:tr>
      <w:tr w:rsidR="002F21FE" w:rsidRPr="00ED7F02" w:rsidTr="003F1FF5">
        <w:trPr>
          <w:trHeight w:val="557"/>
          <w:jc w:val="center"/>
        </w:trPr>
        <w:tc>
          <w:tcPr>
            <w:tcW w:w="630" w:type="dxa"/>
            <w:vMerge/>
            <w:tcBorders>
              <w:top w:val="nil"/>
              <w:left w:val="single" w:sz="4" w:space="0" w:color="auto"/>
              <w:bottom w:val="single" w:sz="4" w:space="0" w:color="000000"/>
              <w:right w:val="single" w:sz="4" w:space="0" w:color="A6A6A6"/>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single" w:sz="4" w:space="0" w:color="auto"/>
              <w:right w:val="single" w:sz="4" w:space="0" w:color="A6A6A6"/>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Oil</w:t>
            </w:r>
          </w:p>
        </w:tc>
        <w:tc>
          <w:tcPr>
            <w:tcW w:w="1260" w:type="dxa"/>
            <w:tcBorders>
              <w:top w:val="nil"/>
              <w:left w:val="nil"/>
              <w:bottom w:val="single" w:sz="4" w:space="0" w:color="auto"/>
              <w:right w:val="single" w:sz="4" w:space="0" w:color="A6A6A6"/>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 xml:space="preserve">Extract or distillate </w:t>
            </w:r>
          </w:p>
        </w:tc>
        <w:tc>
          <w:tcPr>
            <w:tcW w:w="2250" w:type="dxa"/>
            <w:tcBorders>
              <w:top w:val="nil"/>
              <w:left w:val="nil"/>
              <w:bottom w:val="single" w:sz="4" w:space="0" w:color="auto"/>
              <w:right w:val="single" w:sz="4" w:space="0" w:color="A6A6A6"/>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Extract or distillate for infusion</w:t>
            </w:r>
          </w:p>
        </w:tc>
        <w:tc>
          <w:tcPr>
            <w:tcW w:w="1170" w:type="dxa"/>
            <w:tcBorders>
              <w:top w:val="nil"/>
              <w:left w:val="nil"/>
              <w:bottom w:val="single" w:sz="4" w:space="0" w:color="auto"/>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1g</w:t>
            </w:r>
          </w:p>
        </w:tc>
        <w:tc>
          <w:tcPr>
            <w:tcW w:w="1260" w:type="dxa"/>
            <w:tcBorders>
              <w:top w:val="nil"/>
              <w:left w:val="nil"/>
              <w:bottom w:val="single" w:sz="4" w:space="0" w:color="auto"/>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65-87%</w:t>
            </w:r>
          </w:p>
        </w:tc>
        <w:tc>
          <w:tcPr>
            <w:tcW w:w="1170" w:type="dxa"/>
            <w:tcBorders>
              <w:top w:val="nil"/>
              <w:left w:val="nil"/>
              <w:bottom w:val="single" w:sz="4" w:space="0" w:color="auto"/>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$65-$80</w:t>
            </w:r>
          </w:p>
        </w:tc>
      </w:tr>
      <w:tr w:rsidR="002F21FE" w:rsidRPr="00ED7F02" w:rsidTr="003F1FF5">
        <w:trPr>
          <w:trHeight w:val="240"/>
          <w:jc w:val="center"/>
        </w:trPr>
        <w:tc>
          <w:tcPr>
            <w:tcW w:w="630" w:type="dxa"/>
            <w:vMerge w:val="restart"/>
            <w:tcBorders>
              <w:top w:val="nil"/>
              <w:left w:val="single" w:sz="4" w:space="0" w:color="auto"/>
              <w:bottom w:val="single" w:sz="4" w:space="0" w:color="000000"/>
              <w:right w:val="single" w:sz="4" w:space="0" w:color="A6A6A6"/>
            </w:tcBorders>
            <w:shd w:val="clear" w:color="auto" w:fill="auto"/>
            <w:noWrap/>
            <w:textDirection w:val="btLr"/>
            <w:vAlign w:val="center"/>
            <w:hideMark/>
          </w:tcPr>
          <w:p w:rsidR="002F21FE" w:rsidRPr="00ED7F02" w:rsidRDefault="002F21FE" w:rsidP="00ED7F02">
            <w:pPr>
              <w:spacing w:after="0" w:line="240" w:lineRule="auto"/>
              <w:ind w:left="113" w:right="22"/>
              <w:jc w:val="center"/>
              <w:rPr>
                <w:rFonts w:ascii="Arial" w:eastAsia="Times New Roman" w:hAnsi="Arial" w:cs="Arial"/>
                <w:b/>
                <w:color w:val="000000"/>
                <w:szCs w:val="24"/>
              </w:rPr>
            </w:pPr>
            <w:r w:rsidRPr="00ED7F02">
              <w:rPr>
                <w:rFonts w:ascii="Arial" w:eastAsia="Times New Roman" w:hAnsi="Arial" w:cs="Arial"/>
                <w:b/>
                <w:color w:val="000000"/>
                <w:szCs w:val="24"/>
              </w:rPr>
              <w:t>Dried Flower</w:t>
            </w:r>
          </w:p>
        </w:tc>
        <w:tc>
          <w:tcPr>
            <w:tcW w:w="153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Pre-roll</w:t>
            </w:r>
          </w:p>
        </w:tc>
        <w:tc>
          <w:tcPr>
            <w:tcW w:w="126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Joint/cigar/</w:t>
            </w:r>
          </w:p>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cigarette</w:t>
            </w:r>
          </w:p>
        </w:tc>
        <w:tc>
          <w:tcPr>
            <w:tcW w:w="2250" w:type="dxa"/>
            <w:tcBorders>
              <w:top w:val="nil"/>
              <w:left w:val="nil"/>
              <w:bottom w:val="single" w:sz="4" w:space="0" w:color="A6A6A6"/>
              <w:right w:val="single" w:sz="4" w:space="0" w:color="A6A6A6"/>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Intended for smoking</w:t>
            </w:r>
          </w:p>
        </w:tc>
        <w:tc>
          <w:tcPr>
            <w:tcW w:w="117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1g</w:t>
            </w:r>
          </w:p>
        </w:tc>
        <w:tc>
          <w:tcPr>
            <w:tcW w:w="126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15-35%</w:t>
            </w:r>
          </w:p>
        </w:tc>
        <w:tc>
          <w:tcPr>
            <w:tcW w:w="1170" w:type="dxa"/>
            <w:tcBorders>
              <w:top w:val="nil"/>
              <w:left w:val="nil"/>
              <w:bottom w:val="single" w:sz="4" w:space="0" w:color="A6A6A6"/>
              <w:right w:val="single" w:sz="4" w:space="0" w:color="auto"/>
            </w:tcBorders>
            <w:shd w:val="clear" w:color="auto" w:fill="auto"/>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$15-$20</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A6A6A6"/>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Flower</w:t>
            </w:r>
          </w:p>
        </w:tc>
        <w:tc>
          <w:tcPr>
            <w:tcW w:w="126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Finished flower</w:t>
            </w:r>
          </w:p>
        </w:tc>
        <w:tc>
          <w:tcPr>
            <w:tcW w:w="2250" w:type="dxa"/>
            <w:tcBorders>
              <w:top w:val="nil"/>
              <w:left w:val="nil"/>
              <w:bottom w:val="single" w:sz="4" w:space="0" w:color="A6A6A6"/>
              <w:right w:val="single" w:sz="4" w:space="0" w:color="A6A6A6"/>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Various strains</w:t>
            </w:r>
          </w:p>
        </w:tc>
        <w:tc>
          <w:tcPr>
            <w:tcW w:w="117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1g</w:t>
            </w:r>
          </w:p>
        </w:tc>
        <w:tc>
          <w:tcPr>
            <w:tcW w:w="126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15-35%</w:t>
            </w:r>
          </w:p>
        </w:tc>
        <w:tc>
          <w:tcPr>
            <w:tcW w:w="1170" w:type="dxa"/>
            <w:tcBorders>
              <w:top w:val="nil"/>
              <w:left w:val="nil"/>
              <w:bottom w:val="single" w:sz="4" w:space="0" w:color="A6A6A6"/>
              <w:right w:val="single" w:sz="4" w:space="0" w:color="auto"/>
            </w:tcBorders>
            <w:shd w:val="clear" w:color="auto" w:fill="auto"/>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$15</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A6A6A6"/>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Flower</w:t>
            </w:r>
          </w:p>
        </w:tc>
        <w:tc>
          <w:tcPr>
            <w:tcW w:w="1260" w:type="dxa"/>
            <w:tcBorders>
              <w:top w:val="nil"/>
              <w:left w:val="nil"/>
              <w:bottom w:val="single" w:sz="4" w:space="0" w:color="A6A6A6"/>
              <w:right w:val="single" w:sz="4" w:space="0" w:color="A6A6A6"/>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Finished flower</w:t>
            </w:r>
          </w:p>
        </w:tc>
        <w:tc>
          <w:tcPr>
            <w:tcW w:w="2250" w:type="dxa"/>
            <w:tcBorders>
              <w:top w:val="nil"/>
              <w:left w:val="nil"/>
              <w:bottom w:val="single" w:sz="4" w:space="0" w:color="A6A6A6"/>
              <w:right w:val="single" w:sz="4" w:space="0" w:color="A6A6A6"/>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Various strains</w:t>
            </w:r>
          </w:p>
        </w:tc>
        <w:tc>
          <w:tcPr>
            <w:tcW w:w="117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3.5g</w:t>
            </w:r>
          </w:p>
        </w:tc>
        <w:tc>
          <w:tcPr>
            <w:tcW w:w="1260" w:type="dxa"/>
            <w:tcBorders>
              <w:top w:val="nil"/>
              <w:left w:val="nil"/>
              <w:bottom w:val="single" w:sz="4" w:space="0" w:color="A6A6A6"/>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15-35%</w:t>
            </w:r>
          </w:p>
        </w:tc>
        <w:tc>
          <w:tcPr>
            <w:tcW w:w="1170" w:type="dxa"/>
            <w:tcBorders>
              <w:top w:val="nil"/>
              <w:left w:val="nil"/>
              <w:bottom w:val="single" w:sz="4" w:space="0" w:color="A6A6A6"/>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$50</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A6A6A6"/>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nil"/>
              <w:right w:val="single" w:sz="4" w:space="0" w:color="A6A6A6"/>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Flower</w:t>
            </w:r>
          </w:p>
        </w:tc>
        <w:tc>
          <w:tcPr>
            <w:tcW w:w="1260" w:type="dxa"/>
            <w:tcBorders>
              <w:top w:val="nil"/>
              <w:left w:val="nil"/>
              <w:bottom w:val="nil"/>
              <w:right w:val="single" w:sz="4" w:space="0" w:color="A6A6A6"/>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Finished flower</w:t>
            </w:r>
          </w:p>
        </w:tc>
        <w:tc>
          <w:tcPr>
            <w:tcW w:w="2250" w:type="dxa"/>
            <w:tcBorders>
              <w:top w:val="nil"/>
              <w:left w:val="nil"/>
              <w:bottom w:val="nil"/>
              <w:right w:val="single" w:sz="4" w:space="0" w:color="A6A6A6"/>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Strain blend</w:t>
            </w:r>
          </w:p>
        </w:tc>
        <w:tc>
          <w:tcPr>
            <w:tcW w:w="1170" w:type="dxa"/>
            <w:tcBorders>
              <w:top w:val="nil"/>
              <w:left w:val="nil"/>
              <w:bottom w:val="nil"/>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28g</w:t>
            </w:r>
          </w:p>
        </w:tc>
        <w:tc>
          <w:tcPr>
            <w:tcW w:w="1260" w:type="dxa"/>
            <w:tcBorders>
              <w:top w:val="nil"/>
              <w:left w:val="nil"/>
              <w:bottom w:val="nil"/>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15-30%</w:t>
            </w:r>
          </w:p>
        </w:tc>
        <w:tc>
          <w:tcPr>
            <w:tcW w:w="1170" w:type="dxa"/>
            <w:tcBorders>
              <w:top w:val="nil"/>
              <w:left w:val="nil"/>
              <w:bottom w:val="nil"/>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$250</w:t>
            </w:r>
          </w:p>
        </w:tc>
      </w:tr>
      <w:tr w:rsidR="002F21FE" w:rsidRPr="00ED7F02" w:rsidTr="003F1FF5">
        <w:trPr>
          <w:trHeight w:val="215"/>
          <w:jc w:val="center"/>
        </w:trPr>
        <w:tc>
          <w:tcPr>
            <w:tcW w:w="630" w:type="dxa"/>
            <w:vMerge/>
            <w:tcBorders>
              <w:top w:val="nil"/>
              <w:left w:val="single" w:sz="4" w:space="0" w:color="auto"/>
              <w:bottom w:val="single" w:sz="4" w:space="0" w:color="000000"/>
              <w:right w:val="single" w:sz="4" w:space="0" w:color="A6A6A6"/>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single" w:sz="4" w:space="0" w:color="A6A6A6"/>
              <w:left w:val="nil"/>
              <w:bottom w:val="single" w:sz="4" w:space="0" w:color="auto"/>
              <w:right w:val="single" w:sz="4" w:space="0" w:color="A6A6A6"/>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Flower</w:t>
            </w:r>
          </w:p>
        </w:tc>
        <w:tc>
          <w:tcPr>
            <w:tcW w:w="1260" w:type="dxa"/>
            <w:tcBorders>
              <w:top w:val="single" w:sz="4" w:space="0" w:color="A6A6A6"/>
              <w:left w:val="nil"/>
              <w:bottom w:val="single" w:sz="4" w:space="0" w:color="auto"/>
              <w:right w:val="single" w:sz="4" w:space="0" w:color="A6A6A6"/>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Finished flower</w:t>
            </w:r>
          </w:p>
        </w:tc>
        <w:tc>
          <w:tcPr>
            <w:tcW w:w="2250" w:type="dxa"/>
            <w:tcBorders>
              <w:top w:val="single" w:sz="4" w:space="0" w:color="A6A6A6"/>
              <w:left w:val="nil"/>
              <w:bottom w:val="single" w:sz="4" w:space="0" w:color="auto"/>
              <w:right w:val="single" w:sz="4" w:space="0" w:color="A6A6A6"/>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Various strains</w:t>
            </w:r>
          </w:p>
        </w:tc>
        <w:tc>
          <w:tcPr>
            <w:tcW w:w="1170" w:type="dxa"/>
            <w:tcBorders>
              <w:top w:val="single" w:sz="4" w:space="0" w:color="A6A6A6"/>
              <w:left w:val="nil"/>
              <w:bottom w:val="single" w:sz="4" w:space="0" w:color="auto"/>
              <w:right w:val="single" w:sz="4" w:space="0" w:color="A6A6A6"/>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28.4g</w:t>
            </w:r>
          </w:p>
        </w:tc>
        <w:tc>
          <w:tcPr>
            <w:tcW w:w="1260" w:type="dxa"/>
            <w:tcBorders>
              <w:top w:val="single" w:sz="4" w:space="0" w:color="A6A6A6"/>
              <w:left w:val="nil"/>
              <w:bottom w:val="single" w:sz="4" w:space="0" w:color="auto"/>
              <w:right w:val="single" w:sz="4" w:space="0" w:color="A6A6A6"/>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15-35%</w:t>
            </w:r>
          </w:p>
        </w:tc>
        <w:tc>
          <w:tcPr>
            <w:tcW w:w="1170" w:type="dxa"/>
            <w:tcBorders>
              <w:top w:val="single" w:sz="4" w:space="0" w:color="A6A6A6"/>
              <w:left w:val="nil"/>
              <w:bottom w:val="single" w:sz="4" w:space="0" w:color="auto"/>
              <w:right w:val="single" w:sz="4" w:space="0" w:color="auto"/>
            </w:tcBorders>
            <w:shd w:val="clear" w:color="auto" w:fill="auto"/>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$250-$350</w:t>
            </w:r>
          </w:p>
        </w:tc>
      </w:tr>
      <w:tr w:rsidR="002F21FE" w:rsidRPr="00ED7F02" w:rsidTr="003F1FF5">
        <w:trPr>
          <w:trHeight w:val="240"/>
          <w:jc w:val="center"/>
        </w:trPr>
        <w:tc>
          <w:tcPr>
            <w:tcW w:w="630" w:type="dxa"/>
            <w:vMerge w:val="restart"/>
            <w:tcBorders>
              <w:top w:val="nil"/>
              <w:left w:val="single" w:sz="4" w:space="0" w:color="auto"/>
              <w:bottom w:val="single" w:sz="4" w:space="0" w:color="000000"/>
              <w:right w:val="single" w:sz="4" w:space="0" w:color="808080"/>
            </w:tcBorders>
            <w:shd w:val="clear" w:color="auto" w:fill="auto"/>
            <w:noWrap/>
            <w:textDirection w:val="btLr"/>
            <w:vAlign w:val="center"/>
            <w:hideMark/>
          </w:tcPr>
          <w:p w:rsidR="002F21FE" w:rsidRPr="00ED7F02" w:rsidRDefault="002F21FE" w:rsidP="00ED7F02">
            <w:pPr>
              <w:spacing w:after="0" w:line="240" w:lineRule="auto"/>
              <w:ind w:left="113" w:right="22"/>
              <w:jc w:val="center"/>
              <w:rPr>
                <w:rFonts w:ascii="Arial" w:eastAsia="Times New Roman" w:hAnsi="Arial" w:cs="Arial"/>
                <w:b/>
                <w:color w:val="000000"/>
                <w:szCs w:val="24"/>
              </w:rPr>
            </w:pPr>
            <w:r w:rsidRPr="00ED7F02">
              <w:rPr>
                <w:rFonts w:ascii="Arial" w:eastAsia="Times New Roman" w:hAnsi="Arial" w:cs="Arial"/>
                <w:b/>
                <w:color w:val="000000"/>
                <w:szCs w:val="24"/>
              </w:rPr>
              <w:t>Edible MIPs</w:t>
            </w:r>
          </w:p>
        </w:tc>
        <w:tc>
          <w:tcPr>
            <w:tcW w:w="153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Capsule</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Capsule</w:t>
            </w:r>
          </w:p>
        </w:tc>
        <w:tc>
          <w:tcPr>
            <w:tcW w:w="2250" w:type="dxa"/>
            <w:tcBorders>
              <w:top w:val="nil"/>
              <w:left w:val="nil"/>
              <w:bottom w:val="single" w:sz="4" w:space="0" w:color="808080"/>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Infused for ingestion</w:t>
            </w:r>
          </w:p>
        </w:tc>
        <w:tc>
          <w:tcPr>
            <w:tcW w:w="1170" w:type="dxa"/>
            <w:tcBorders>
              <w:top w:val="nil"/>
              <w:left w:val="nil"/>
              <w:bottom w:val="single" w:sz="4" w:space="0" w:color="808080"/>
              <w:right w:val="single" w:sz="4" w:space="0" w:color="808080"/>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1-2g</w:t>
            </w:r>
          </w:p>
        </w:tc>
        <w:tc>
          <w:tcPr>
            <w:tcW w:w="1260" w:type="dxa"/>
            <w:tcBorders>
              <w:top w:val="nil"/>
              <w:left w:val="nil"/>
              <w:bottom w:val="single" w:sz="4" w:space="0" w:color="808080"/>
              <w:right w:val="single" w:sz="4" w:space="0" w:color="808080"/>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10-25mg</w:t>
            </w:r>
          </w:p>
        </w:tc>
        <w:tc>
          <w:tcPr>
            <w:tcW w:w="1170" w:type="dxa"/>
            <w:tcBorders>
              <w:top w:val="nil"/>
              <w:left w:val="nil"/>
              <w:bottom w:val="single" w:sz="4" w:space="0" w:color="808080"/>
              <w:right w:val="single" w:sz="4" w:space="0" w:color="auto"/>
            </w:tcBorders>
            <w:shd w:val="clear" w:color="auto" w:fill="auto"/>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$2.50-$5</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808080"/>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nil"/>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Lozenge</w:t>
            </w:r>
          </w:p>
        </w:tc>
        <w:tc>
          <w:tcPr>
            <w:tcW w:w="1260" w:type="dxa"/>
            <w:tcBorders>
              <w:top w:val="nil"/>
              <w:left w:val="nil"/>
              <w:bottom w:val="nil"/>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Flavored hard confection</w:t>
            </w:r>
          </w:p>
        </w:tc>
        <w:tc>
          <w:tcPr>
            <w:tcW w:w="2250" w:type="dxa"/>
            <w:tcBorders>
              <w:top w:val="nil"/>
              <w:left w:val="nil"/>
              <w:bottom w:val="nil"/>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Infused for ingestion</w:t>
            </w:r>
          </w:p>
        </w:tc>
        <w:tc>
          <w:tcPr>
            <w:tcW w:w="1170" w:type="dxa"/>
            <w:tcBorders>
              <w:top w:val="nil"/>
              <w:left w:val="nil"/>
              <w:bottom w:val="nil"/>
              <w:right w:val="single" w:sz="4" w:space="0" w:color="808080"/>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6.5g</w:t>
            </w:r>
          </w:p>
        </w:tc>
        <w:tc>
          <w:tcPr>
            <w:tcW w:w="1260" w:type="dxa"/>
            <w:tcBorders>
              <w:top w:val="nil"/>
              <w:left w:val="nil"/>
              <w:bottom w:val="nil"/>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10mg</w:t>
            </w:r>
          </w:p>
        </w:tc>
        <w:tc>
          <w:tcPr>
            <w:tcW w:w="1170" w:type="dxa"/>
            <w:tcBorders>
              <w:top w:val="nil"/>
              <w:left w:val="nil"/>
              <w:bottom w:val="nil"/>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$4-$5</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808080"/>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single" w:sz="4" w:space="0" w:color="808080"/>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Chocolate</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Chocolate bar/nugget</w:t>
            </w:r>
          </w:p>
        </w:tc>
        <w:tc>
          <w:tcPr>
            <w:tcW w:w="2250" w:type="dxa"/>
            <w:tcBorders>
              <w:top w:val="single" w:sz="4" w:space="0" w:color="808080"/>
              <w:left w:val="nil"/>
              <w:bottom w:val="single" w:sz="4" w:space="0" w:color="808080"/>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Infused for ingestion</w:t>
            </w:r>
          </w:p>
        </w:tc>
        <w:tc>
          <w:tcPr>
            <w:tcW w:w="1170" w:type="dxa"/>
            <w:tcBorders>
              <w:top w:val="single" w:sz="4" w:space="0" w:color="808080"/>
              <w:left w:val="nil"/>
              <w:bottom w:val="single" w:sz="4" w:space="0" w:color="808080"/>
              <w:right w:val="single" w:sz="4" w:space="0" w:color="808080"/>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9-68g</w:t>
            </w:r>
          </w:p>
        </w:tc>
        <w:tc>
          <w:tcPr>
            <w:tcW w:w="1260" w:type="dxa"/>
            <w:tcBorders>
              <w:top w:val="single" w:sz="4" w:space="0" w:color="808080"/>
              <w:left w:val="nil"/>
              <w:bottom w:val="single" w:sz="4" w:space="0" w:color="808080"/>
              <w:right w:val="single" w:sz="4" w:space="0" w:color="808080"/>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10mg</w:t>
            </w:r>
          </w:p>
        </w:tc>
        <w:tc>
          <w:tcPr>
            <w:tcW w:w="1170" w:type="dxa"/>
            <w:tcBorders>
              <w:top w:val="single" w:sz="4" w:space="0" w:color="808080"/>
              <w:left w:val="nil"/>
              <w:bottom w:val="single" w:sz="4" w:space="0" w:color="808080"/>
              <w:right w:val="single" w:sz="4" w:space="0" w:color="auto"/>
            </w:tcBorders>
            <w:shd w:val="clear" w:color="auto" w:fill="auto"/>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$4-$10</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808080"/>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Beverage</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Lemonade</w:t>
            </w:r>
          </w:p>
        </w:tc>
        <w:tc>
          <w:tcPr>
            <w:tcW w:w="2250" w:type="dxa"/>
            <w:tcBorders>
              <w:top w:val="nil"/>
              <w:left w:val="nil"/>
              <w:bottom w:val="single" w:sz="4" w:space="0" w:color="808080"/>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Infused for ingestion</w:t>
            </w:r>
          </w:p>
        </w:tc>
        <w:tc>
          <w:tcPr>
            <w:tcW w:w="117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20mg</w:t>
            </w:r>
          </w:p>
        </w:tc>
        <w:tc>
          <w:tcPr>
            <w:tcW w:w="1170" w:type="dxa"/>
            <w:tcBorders>
              <w:top w:val="nil"/>
              <w:left w:val="nil"/>
              <w:bottom w:val="single" w:sz="4" w:space="0" w:color="808080"/>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$10</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808080"/>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Baked Good</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Cookie/</w:t>
            </w:r>
          </w:p>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muffin</w:t>
            </w:r>
          </w:p>
        </w:tc>
        <w:tc>
          <w:tcPr>
            <w:tcW w:w="2250" w:type="dxa"/>
            <w:tcBorders>
              <w:top w:val="nil"/>
              <w:left w:val="nil"/>
              <w:bottom w:val="single" w:sz="4" w:space="0" w:color="808080"/>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Infused for ingestion</w:t>
            </w:r>
          </w:p>
        </w:tc>
        <w:tc>
          <w:tcPr>
            <w:tcW w:w="117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10-85mg</w:t>
            </w:r>
          </w:p>
        </w:tc>
        <w:tc>
          <w:tcPr>
            <w:tcW w:w="1170" w:type="dxa"/>
            <w:tcBorders>
              <w:top w:val="nil"/>
              <w:left w:val="nil"/>
              <w:bottom w:val="single" w:sz="4" w:space="0" w:color="808080"/>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$10-$40</w:t>
            </w:r>
          </w:p>
        </w:tc>
      </w:tr>
      <w:tr w:rsidR="002F21FE" w:rsidRPr="00ED7F02" w:rsidTr="003F1FF5">
        <w:trPr>
          <w:trHeight w:val="512"/>
          <w:jc w:val="center"/>
        </w:trPr>
        <w:tc>
          <w:tcPr>
            <w:tcW w:w="630" w:type="dxa"/>
            <w:vMerge/>
            <w:tcBorders>
              <w:top w:val="nil"/>
              <w:left w:val="single" w:sz="4" w:space="0" w:color="auto"/>
              <w:bottom w:val="single" w:sz="4" w:space="0" w:color="000000"/>
              <w:right w:val="single" w:sz="4" w:space="0" w:color="808080"/>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nil"/>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Gummy</w:t>
            </w:r>
          </w:p>
        </w:tc>
        <w:tc>
          <w:tcPr>
            <w:tcW w:w="1260" w:type="dxa"/>
            <w:tcBorders>
              <w:top w:val="nil"/>
              <w:left w:val="nil"/>
              <w:bottom w:val="nil"/>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 xml:space="preserve">Flavored gummy confection </w:t>
            </w:r>
          </w:p>
        </w:tc>
        <w:tc>
          <w:tcPr>
            <w:tcW w:w="2250" w:type="dxa"/>
            <w:tcBorders>
              <w:top w:val="nil"/>
              <w:left w:val="nil"/>
              <w:bottom w:val="nil"/>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Infused for ingestion</w:t>
            </w:r>
          </w:p>
        </w:tc>
        <w:tc>
          <w:tcPr>
            <w:tcW w:w="1170" w:type="dxa"/>
            <w:tcBorders>
              <w:top w:val="nil"/>
              <w:left w:val="nil"/>
              <w:bottom w:val="nil"/>
              <w:right w:val="single" w:sz="4" w:space="0" w:color="808080"/>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5g</w:t>
            </w:r>
          </w:p>
        </w:tc>
        <w:tc>
          <w:tcPr>
            <w:tcW w:w="1260" w:type="dxa"/>
            <w:tcBorders>
              <w:top w:val="nil"/>
              <w:left w:val="nil"/>
              <w:bottom w:val="nil"/>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25-50mg</w:t>
            </w:r>
          </w:p>
        </w:tc>
        <w:tc>
          <w:tcPr>
            <w:tcW w:w="1170" w:type="dxa"/>
            <w:tcBorders>
              <w:top w:val="nil"/>
              <w:left w:val="nil"/>
              <w:bottom w:val="nil"/>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$12-$23</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808080"/>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single" w:sz="4" w:space="0" w:color="808080"/>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Chocolate</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Chocolate bar/nugget</w:t>
            </w:r>
          </w:p>
        </w:tc>
        <w:tc>
          <w:tcPr>
            <w:tcW w:w="2250" w:type="dxa"/>
            <w:tcBorders>
              <w:top w:val="single" w:sz="4" w:space="0" w:color="808080"/>
              <w:left w:val="nil"/>
              <w:bottom w:val="single" w:sz="4" w:space="0" w:color="808080"/>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Infused for ingestion</w:t>
            </w:r>
          </w:p>
        </w:tc>
        <w:tc>
          <w:tcPr>
            <w:tcW w:w="1170" w:type="dxa"/>
            <w:tcBorders>
              <w:top w:val="single" w:sz="4" w:space="0" w:color="808080"/>
              <w:left w:val="nil"/>
              <w:bottom w:val="single" w:sz="4" w:space="0" w:color="808080"/>
              <w:right w:val="single" w:sz="4" w:space="0" w:color="808080"/>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9-68g</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100mg</w:t>
            </w:r>
          </w:p>
        </w:tc>
        <w:tc>
          <w:tcPr>
            <w:tcW w:w="1170" w:type="dxa"/>
            <w:tcBorders>
              <w:top w:val="single" w:sz="4" w:space="0" w:color="808080"/>
              <w:left w:val="nil"/>
              <w:bottom w:val="single" w:sz="4" w:space="0" w:color="808080"/>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$25-$30</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808080"/>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nil"/>
              <w:left w:val="nil"/>
              <w:bottom w:val="nil"/>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Lozenge</w:t>
            </w:r>
          </w:p>
        </w:tc>
        <w:tc>
          <w:tcPr>
            <w:tcW w:w="1260" w:type="dxa"/>
            <w:tcBorders>
              <w:top w:val="nil"/>
              <w:left w:val="nil"/>
              <w:bottom w:val="nil"/>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Flavored hard confection</w:t>
            </w:r>
          </w:p>
        </w:tc>
        <w:tc>
          <w:tcPr>
            <w:tcW w:w="2250" w:type="dxa"/>
            <w:tcBorders>
              <w:top w:val="nil"/>
              <w:left w:val="nil"/>
              <w:bottom w:val="nil"/>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Infused for ingestion</w:t>
            </w:r>
          </w:p>
        </w:tc>
        <w:tc>
          <w:tcPr>
            <w:tcW w:w="1170" w:type="dxa"/>
            <w:tcBorders>
              <w:top w:val="nil"/>
              <w:left w:val="nil"/>
              <w:bottom w:val="nil"/>
              <w:right w:val="single" w:sz="4" w:space="0" w:color="808080"/>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6.5g</w:t>
            </w:r>
          </w:p>
        </w:tc>
        <w:tc>
          <w:tcPr>
            <w:tcW w:w="1260" w:type="dxa"/>
            <w:tcBorders>
              <w:top w:val="nil"/>
              <w:left w:val="nil"/>
              <w:bottom w:val="nil"/>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100mg</w:t>
            </w:r>
          </w:p>
        </w:tc>
        <w:tc>
          <w:tcPr>
            <w:tcW w:w="1170" w:type="dxa"/>
            <w:tcBorders>
              <w:top w:val="nil"/>
              <w:left w:val="nil"/>
              <w:bottom w:val="nil"/>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$25-$35</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808080"/>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single" w:sz="4" w:space="0" w:color="808080"/>
              <w:left w:val="nil"/>
              <w:bottom w:val="single" w:sz="4" w:space="0" w:color="auto"/>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Gummy</w:t>
            </w:r>
          </w:p>
        </w:tc>
        <w:tc>
          <w:tcPr>
            <w:tcW w:w="1260" w:type="dxa"/>
            <w:tcBorders>
              <w:top w:val="single" w:sz="4" w:space="0" w:color="808080"/>
              <w:left w:val="nil"/>
              <w:bottom w:val="single" w:sz="4" w:space="0" w:color="auto"/>
              <w:right w:val="single" w:sz="4" w:space="0" w:color="808080"/>
            </w:tcBorders>
            <w:shd w:val="clear" w:color="auto" w:fill="auto"/>
            <w:noWrap/>
            <w:vAlign w:val="center"/>
            <w:hideMark/>
          </w:tcPr>
          <w:p w:rsidR="002F21FE" w:rsidRPr="00ED7F02" w:rsidRDefault="003F1FF5" w:rsidP="00ED7F02">
            <w:pPr>
              <w:spacing w:after="0" w:line="240" w:lineRule="auto"/>
              <w:ind w:right="22"/>
              <w:rPr>
                <w:rFonts w:ascii="Arial" w:eastAsia="Times New Roman" w:hAnsi="Arial" w:cs="Arial"/>
                <w:color w:val="000000"/>
                <w:sz w:val="18"/>
                <w:szCs w:val="18"/>
              </w:rPr>
            </w:pPr>
            <w:r>
              <w:rPr>
                <w:rFonts w:ascii="Arial" w:eastAsia="Times New Roman" w:hAnsi="Arial" w:cs="Arial"/>
                <w:color w:val="000000"/>
                <w:sz w:val="18"/>
                <w:szCs w:val="18"/>
              </w:rPr>
              <w:t xml:space="preserve">Gummy confection </w:t>
            </w:r>
          </w:p>
        </w:tc>
        <w:tc>
          <w:tcPr>
            <w:tcW w:w="2250" w:type="dxa"/>
            <w:tcBorders>
              <w:top w:val="single" w:sz="4" w:space="0" w:color="808080"/>
              <w:left w:val="nil"/>
              <w:bottom w:val="single" w:sz="4" w:space="0" w:color="auto"/>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Infused for ingestion</w:t>
            </w:r>
          </w:p>
        </w:tc>
        <w:tc>
          <w:tcPr>
            <w:tcW w:w="1170" w:type="dxa"/>
            <w:tcBorders>
              <w:top w:val="single" w:sz="4" w:space="0" w:color="808080"/>
              <w:left w:val="nil"/>
              <w:bottom w:val="single" w:sz="4" w:space="0" w:color="auto"/>
              <w:right w:val="single" w:sz="4" w:space="0" w:color="808080"/>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50-100g</w:t>
            </w:r>
          </w:p>
        </w:tc>
        <w:tc>
          <w:tcPr>
            <w:tcW w:w="1260" w:type="dxa"/>
            <w:tcBorders>
              <w:top w:val="single" w:sz="4" w:space="0" w:color="808080"/>
              <w:left w:val="nil"/>
              <w:bottom w:val="single" w:sz="4" w:space="0" w:color="auto"/>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100-500mg</w:t>
            </w:r>
          </w:p>
        </w:tc>
        <w:tc>
          <w:tcPr>
            <w:tcW w:w="1170" w:type="dxa"/>
            <w:tcBorders>
              <w:top w:val="single" w:sz="4" w:space="0" w:color="808080"/>
              <w:left w:val="nil"/>
              <w:bottom w:val="single" w:sz="4" w:space="0" w:color="auto"/>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$30-$80</w:t>
            </w:r>
          </w:p>
        </w:tc>
      </w:tr>
      <w:tr w:rsidR="002F21FE" w:rsidRPr="00ED7F02" w:rsidTr="003F1FF5">
        <w:trPr>
          <w:trHeight w:val="240"/>
          <w:jc w:val="center"/>
        </w:trPr>
        <w:tc>
          <w:tcPr>
            <w:tcW w:w="630" w:type="dxa"/>
            <w:vMerge/>
            <w:tcBorders>
              <w:top w:val="nil"/>
              <w:left w:val="single" w:sz="4" w:space="0" w:color="auto"/>
              <w:bottom w:val="single" w:sz="4" w:space="0" w:color="auto"/>
              <w:right w:val="single" w:sz="4" w:space="0" w:color="808080"/>
            </w:tcBorders>
            <w:shd w:val="clear" w:color="auto" w:fill="auto"/>
            <w:textDirection w:val="btLr"/>
            <w:vAlign w:val="center"/>
            <w:hideMark/>
          </w:tcPr>
          <w:p w:rsidR="002F21FE" w:rsidRPr="00ED7F02" w:rsidRDefault="002F21FE" w:rsidP="00ED7F02">
            <w:pPr>
              <w:spacing w:after="0" w:line="240" w:lineRule="auto"/>
              <w:ind w:left="113" w:right="22"/>
              <w:rPr>
                <w:rFonts w:ascii="Arial" w:eastAsia="Times New Roman" w:hAnsi="Arial" w:cs="Arial"/>
                <w:b/>
                <w:color w:val="000000"/>
                <w:szCs w:val="24"/>
              </w:rPr>
            </w:pPr>
          </w:p>
        </w:tc>
        <w:tc>
          <w:tcPr>
            <w:tcW w:w="1530" w:type="dxa"/>
            <w:tcBorders>
              <w:top w:val="single" w:sz="4" w:space="0" w:color="auto"/>
              <w:left w:val="nil"/>
              <w:bottom w:val="single" w:sz="4" w:space="0" w:color="auto"/>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Cooking oil</w:t>
            </w:r>
          </w:p>
        </w:tc>
        <w:tc>
          <w:tcPr>
            <w:tcW w:w="1260" w:type="dxa"/>
            <w:tcBorders>
              <w:top w:val="single" w:sz="4" w:space="0" w:color="auto"/>
              <w:left w:val="nil"/>
              <w:bottom w:val="single" w:sz="4" w:space="0" w:color="auto"/>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Grapeseed oil</w:t>
            </w:r>
          </w:p>
        </w:tc>
        <w:tc>
          <w:tcPr>
            <w:tcW w:w="2250" w:type="dxa"/>
            <w:tcBorders>
              <w:top w:val="single" w:sz="4" w:space="0" w:color="auto"/>
              <w:left w:val="nil"/>
              <w:bottom w:val="single" w:sz="4" w:space="0" w:color="auto"/>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Infused for ingestion</w:t>
            </w:r>
          </w:p>
        </w:tc>
        <w:tc>
          <w:tcPr>
            <w:tcW w:w="1170" w:type="dxa"/>
            <w:tcBorders>
              <w:top w:val="single" w:sz="4" w:space="0" w:color="auto"/>
              <w:left w:val="nil"/>
              <w:bottom w:val="single" w:sz="4" w:space="0" w:color="auto"/>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188g</w:t>
            </w:r>
          </w:p>
        </w:tc>
        <w:tc>
          <w:tcPr>
            <w:tcW w:w="1260" w:type="dxa"/>
            <w:tcBorders>
              <w:top w:val="single" w:sz="4" w:space="0" w:color="auto"/>
              <w:left w:val="nil"/>
              <w:bottom w:val="single" w:sz="4" w:space="0" w:color="auto"/>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840mg</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$100</w:t>
            </w:r>
          </w:p>
        </w:tc>
      </w:tr>
      <w:tr w:rsidR="002F21FE" w:rsidRPr="00ED7F02" w:rsidTr="003F1FF5">
        <w:trPr>
          <w:trHeight w:val="240"/>
          <w:jc w:val="center"/>
        </w:trPr>
        <w:tc>
          <w:tcPr>
            <w:tcW w:w="630" w:type="dxa"/>
            <w:vMerge w:val="restart"/>
            <w:tcBorders>
              <w:top w:val="single" w:sz="4" w:space="0" w:color="auto"/>
              <w:left w:val="single" w:sz="4" w:space="0" w:color="auto"/>
              <w:bottom w:val="single" w:sz="4" w:space="0" w:color="000000"/>
              <w:right w:val="single" w:sz="4" w:space="0" w:color="808080"/>
            </w:tcBorders>
            <w:shd w:val="clear" w:color="auto" w:fill="auto"/>
            <w:noWrap/>
            <w:textDirection w:val="btLr"/>
            <w:vAlign w:val="center"/>
            <w:hideMark/>
          </w:tcPr>
          <w:p w:rsidR="002F21FE" w:rsidRPr="00ED7F02" w:rsidRDefault="002F21FE" w:rsidP="00ED7F02">
            <w:pPr>
              <w:spacing w:after="0" w:line="240" w:lineRule="auto"/>
              <w:ind w:left="113" w:right="22"/>
              <w:jc w:val="center"/>
              <w:rPr>
                <w:rFonts w:ascii="Arial" w:eastAsia="Times New Roman" w:hAnsi="Arial" w:cs="Arial"/>
                <w:b/>
                <w:color w:val="000000"/>
                <w:szCs w:val="24"/>
              </w:rPr>
            </w:pPr>
            <w:r w:rsidRPr="00ED7F02">
              <w:rPr>
                <w:rFonts w:ascii="Arial" w:eastAsia="Times New Roman" w:hAnsi="Arial" w:cs="Arial"/>
                <w:b/>
                <w:color w:val="000000"/>
                <w:szCs w:val="24"/>
              </w:rPr>
              <w:t>Non-Edible MIPs</w:t>
            </w:r>
          </w:p>
        </w:tc>
        <w:tc>
          <w:tcPr>
            <w:tcW w:w="1530" w:type="dxa"/>
            <w:tcBorders>
              <w:top w:val="single" w:sz="4" w:space="0" w:color="auto"/>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Suppository</w:t>
            </w:r>
          </w:p>
        </w:tc>
        <w:tc>
          <w:tcPr>
            <w:tcW w:w="1260" w:type="dxa"/>
            <w:tcBorders>
              <w:top w:val="single" w:sz="4" w:space="0" w:color="auto"/>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suppository</w:t>
            </w:r>
          </w:p>
        </w:tc>
        <w:tc>
          <w:tcPr>
            <w:tcW w:w="2250" w:type="dxa"/>
            <w:tcBorders>
              <w:top w:val="single" w:sz="4" w:space="0" w:color="auto"/>
              <w:left w:val="nil"/>
              <w:bottom w:val="single" w:sz="4" w:space="0" w:color="808080"/>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Rectal/</w:t>
            </w:r>
          </w:p>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vaginal use</w:t>
            </w:r>
          </w:p>
        </w:tc>
        <w:tc>
          <w:tcPr>
            <w:tcW w:w="1170" w:type="dxa"/>
            <w:tcBorders>
              <w:top w:val="single" w:sz="4" w:space="0" w:color="auto"/>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2g</w:t>
            </w:r>
          </w:p>
        </w:tc>
        <w:tc>
          <w:tcPr>
            <w:tcW w:w="1260" w:type="dxa"/>
            <w:tcBorders>
              <w:top w:val="single" w:sz="4" w:space="0" w:color="auto"/>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10mg</w:t>
            </w:r>
          </w:p>
        </w:tc>
        <w:tc>
          <w:tcPr>
            <w:tcW w:w="1170" w:type="dxa"/>
            <w:tcBorders>
              <w:top w:val="single" w:sz="4" w:space="0" w:color="auto"/>
              <w:left w:val="nil"/>
              <w:bottom w:val="single" w:sz="4" w:space="0" w:color="808080"/>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$4</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808080"/>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Cs w:val="24"/>
              </w:rPr>
            </w:pPr>
          </w:p>
        </w:tc>
        <w:tc>
          <w:tcPr>
            <w:tcW w:w="153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Topical</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Lip Balm</w:t>
            </w:r>
          </w:p>
        </w:tc>
        <w:tc>
          <w:tcPr>
            <w:tcW w:w="2250" w:type="dxa"/>
            <w:tcBorders>
              <w:top w:val="nil"/>
              <w:left w:val="nil"/>
              <w:bottom w:val="single" w:sz="4" w:space="0" w:color="808080"/>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Stick for lip application</w:t>
            </w:r>
          </w:p>
        </w:tc>
        <w:tc>
          <w:tcPr>
            <w:tcW w:w="117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10.15mg</w:t>
            </w:r>
          </w:p>
        </w:tc>
        <w:tc>
          <w:tcPr>
            <w:tcW w:w="1170" w:type="dxa"/>
            <w:tcBorders>
              <w:top w:val="nil"/>
              <w:left w:val="nil"/>
              <w:bottom w:val="single" w:sz="4" w:space="0" w:color="808080"/>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$5</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808080"/>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Cs w:val="24"/>
              </w:rPr>
            </w:pPr>
          </w:p>
        </w:tc>
        <w:tc>
          <w:tcPr>
            <w:tcW w:w="153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Suppository</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suppository</w:t>
            </w:r>
          </w:p>
        </w:tc>
        <w:tc>
          <w:tcPr>
            <w:tcW w:w="2250" w:type="dxa"/>
            <w:tcBorders>
              <w:top w:val="nil"/>
              <w:left w:val="nil"/>
              <w:bottom w:val="single" w:sz="4" w:space="0" w:color="808080"/>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Rectal/</w:t>
            </w:r>
          </w:p>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vaginal use</w:t>
            </w:r>
          </w:p>
        </w:tc>
        <w:tc>
          <w:tcPr>
            <w:tcW w:w="117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2g</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25mg</w:t>
            </w:r>
          </w:p>
        </w:tc>
        <w:tc>
          <w:tcPr>
            <w:tcW w:w="1170" w:type="dxa"/>
            <w:tcBorders>
              <w:top w:val="nil"/>
              <w:left w:val="nil"/>
              <w:bottom w:val="single" w:sz="4" w:space="0" w:color="808080"/>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$7-$12</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808080"/>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Cs w:val="24"/>
              </w:rPr>
            </w:pPr>
          </w:p>
        </w:tc>
        <w:tc>
          <w:tcPr>
            <w:tcW w:w="153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Topical</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Salve</w:t>
            </w:r>
          </w:p>
        </w:tc>
        <w:tc>
          <w:tcPr>
            <w:tcW w:w="2250" w:type="dxa"/>
            <w:tcBorders>
              <w:top w:val="nil"/>
              <w:left w:val="nil"/>
              <w:bottom w:val="single" w:sz="4" w:space="0" w:color="808080"/>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Cream for dermal application</w:t>
            </w:r>
          </w:p>
        </w:tc>
        <w:tc>
          <w:tcPr>
            <w:tcW w:w="117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28.4g</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8-25%</w:t>
            </w:r>
          </w:p>
        </w:tc>
        <w:tc>
          <w:tcPr>
            <w:tcW w:w="1170" w:type="dxa"/>
            <w:tcBorders>
              <w:top w:val="nil"/>
              <w:left w:val="nil"/>
              <w:bottom w:val="single" w:sz="4" w:space="0" w:color="808080"/>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$30-$45</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808080"/>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Cs w:val="24"/>
              </w:rPr>
            </w:pPr>
          </w:p>
        </w:tc>
        <w:tc>
          <w:tcPr>
            <w:tcW w:w="153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Topical</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Lotion</w:t>
            </w:r>
          </w:p>
        </w:tc>
        <w:tc>
          <w:tcPr>
            <w:tcW w:w="2250" w:type="dxa"/>
            <w:tcBorders>
              <w:top w:val="nil"/>
              <w:left w:val="nil"/>
              <w:bottom w:val="single" w:sz="4" w:space="0" w:color="808080"/>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Cannabis infused topical lotion</w:t>
            </w:r>
          </w:p>
        </w:tc>
        <w:tc>
          <w:tcPr>
            <w:tcW w:w="1170" w:type="dxa"/>
            <w:tcBorders>
              <w:top w:val="nil"/>
              <w:left w:val="nil"/>
              <w:bottom w:val="single" w:sz="4" w:space="0" w:color="808080"/>
              <w:right w:val="single" w:sz="4" w:space="0" w:color="808080"/>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112.5g</w:t>
            </w:r>
          </w:p>
        </w:tc>
        <w:tc>
          <w:tcPr>
            <w:tcW w:w="1260" w:type="dxa"/>
            <w:tcBorders>
              <w:top w:val="nil"/>
              <w:left w:val="nil"/>
              <w:bottom w:val="single" w:sz="4" w:space="0" w:color="808080"/>
              <w:right w:val="single" w:sz="4" w:space="0" w:color="808080"/>
            </w:tcBorders>
            <w:shd w:val="clear" w:color="auto" w:fill="auto"/>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350-375mg</w:t>
            </w:r>
          </w:p>
        </w:tc>
        <w:tc>
          <w:tcPr>
            <w:tcW w:w="1170" w:type="dxa"/>
            <w:tcBorders>
              <w:top w:val="nil"/>
              <w:left w:val="nil"/>
              <w:bottom w:val="single" w:sz="4" w:space="0" w:color="808080"/>
              <w:right w:val="single" w:sz="4" w:space="0" w:color="auto"/>
            </w:tcBorders>
            <w:shd w:val="clear" w:color="auto" w:fill="auto"/>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$30-$60</w:t>
            </w:r>
          </w:p>
        </w:tc>
      </w:tr>
      <w:tr w:rsidR="002F21FE" w:rsidRPr="00ED7F02" w:rsidTr="003F1FF5">
        <w:trPr>
          <w:trHeight w:val="240"/>
          <w:jc w:val="center"/>
        </w:trPr>
        <w:tc>
          <w:tcPr>
            <w:tcW w:w="630" w:type="dxa"/>
            <w:vMerge/>
            <w:tcBorders>
              <w:top w:val="nil"/>
              <w:left w:val="single" w:sz="4" w:space="0" w:color="auto"/>
              <w:bottom w:val="single" w:sz="4" w:space="0" w:color="000000"/>
              <w:right w:val="single" w:sz="4" w:space="0" w:color="808080"/>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Cs w:val="24"/>
              </w:rPr>
            </w:pPr>
          </w:p>
        </w:tc>
        <w:tc>
          <w:tcPr>
            <w:tcW w:w="153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Topical</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 xml:space="preserve">Transdermal patch </w:t>
            </w:r>
          </w:p>
        </w:tc>
        <w:tc>
          <w:tcPr>
            <w:tcW w:w="2250" w:type="dxa"/>
            <w:tcBorders>
              <w:top w:val="nil"/>
              <w:left w:val="nil"/>
              <w:bottom w:val="single" w:sz="4" w:space="0" w:color="808080"/>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Skin application</w:t>
            </w:r>
          </w:p>
        </w:tc>
        <w:tc>
          <w:tcPr>
            <w:tcW w:w="117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w:t>
            </w:r>
          </w:p>
        </w:tc>
        <w:tc>
          <w:tcPr>
            <w:tcW w:w="1260" w:type="dxa"/>
            <w:tcBorders>
              <w:top w:val="nil"/>
              <w:left w:val="nil"/>
              <w:bottom w:val="single" w:sz="4" w:space="0" w:color="808080"/>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125mg</w:t>
            </w:r>
          </w:p>
        </w:tc>
        <w:tc>
          <w:tcPr>
            <w:tcW w:w="1170" w:type="dxa"/>
            <w:tcBorders>
              <w:top w:val="nil"/>
              <w:left w:val="nil"/>
              <w:bottom w:val="single" w:sz="4" w:space="0" w:color="808080"/>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$40</w:t>
            </w:r>
          </w:p>
        </w:tc>
      </w:tr>
      <w:tr w:rsidR="002F21FE" w:rsidRPr="00ED7F02" w:rsidTr="003F1FF5">
        <w:trPr>
          <w:trHeight w:val="240"/>
          <w:jc w:val="center"/>
        </w:trPr>
        <w:tc>
          <w:tcPr>
            <w:tcW w:w="630" w:type="dxa"/>
            <w:vMerge/>
            <w:tcBorders>
              <w:top w:val="nil"/>
              <w:left w:val="single" w:sz="4" w:space="0" w:color="auto"/>
              <w:bottom w:val="single" w:sz="4" w:space="0" w:color="auto"/>
              <w:right w:val="single" w:sz="4" w:space="0" w:color="808080"/>
            </w:tcBorders>
            <w:shd w:val="clear" w:color="auto" w:fill="auto"/>
            <w:vAlign w:val="center"/>
            <w:hideMark/>
          </w:tcPr>
          <w:p w:rsidR="002F21FE" w:rsidRPr="00ED7F02" w:rsidRDefault="002F21FE" w:rsidP="00ED7F02">
            <w:pPr>
              <w:spacing w:after="0" w:line="240" w:lineRule="auto"/>
              <w:ind w:right="22"/>
              <w:rPr>
                <w:rFonts w:ascii="Arial" w:eastAsia="Times New Roman" w:hAnsi="Arial" w:cs="Arial"/>
                <w:color w:val="000000"/>
                <w:szCs w:val="24"/>
              </w:rPr>
            </w:pPr>
          </w:p>
        </w:tc>
        <w:tc>
          <w:tcPr>
            <w:tcW w:w="1530" w:type="dxa"/>
            <w:tcBorders>
              <w:top w:val="nil"/>
              <w:left w:val="nil"/>
              <w:bottom w:val="single" w:sz="4" w:space="0" w:color="auto"/>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24"/>
              </w:rPr>
            </w:pPr>
            <w:r w:rsidRPr="00ED7F02">
              <w:rPr>
                <w:rFonts w:ascii="Arial" w:eastAsia="Times New Roman" w:hAnsi="Arial" w:cs="Arial"/>
                <w:color w:val="000000"/>
                <w:sz w:val="18"/>
                <w:szCs w:val="24"/>
              </w:rPr>
              <w:t>Tincture</w:t>
            </w:r>
          </w:p>
        </w:tc>
        <w:tc>
          <w:tcPr>
            <w:tcW w:w="1260" w:type="dxa"/>
            <w:tcBorders>
              <w:top w:val="nil"/>
              <w:left w:val="nil"/>
              <w:bottom w:val="single" w:sz="4" w:space="0" w:color="auto"/>
              <w:right w:val="single" w:sz="4" w:space="0" w:color="808080"/>
            </w:tcBorders>
            <w:shd w:val="clear" w:color="auto" w:fill="auto"/>
            <w:noWrap/>
            <w:vAlign w:val="center"/>
            <w:hideMark/>
          </w:tcPr>
          <w:p w:rsidR="002F21FE" w:rsidRPr="00ED7F02" w:rsidRDefault="002F21FE" w:rsidP="00ED7F02">
            <w:pPr>
              <w:spacing w:after="0" w:line="240" w:lineRule="auto"/>
              <w:ind w:right="22"/>
              <w:rPr>
                <w:rFonts w:ascii="Arial" w:eastAsia="Times New Roman" w:hAnsi="Arial" w:cs="Arial"/>
                <w:color w:val="000000"/>
                <w:sz w:val="18"/>
                <w:szCs w:val="18"/>
              </w:rPr>
            </w:pPr>
            <w:r w:rsidRPr="00ED7F02">
              <w:rPr>
                <w:rFonts w:ascii="Arial" w:eastAsia="Times New Roman" w:hAnsi="Arial" w:cs="Arial"/>
                <w:color w:val="000000"/>
                <w:sz w:val="18"/>
                <w:szCs w:val="18"/>
              </w:rPr>
              <w:t>Tincture</w:t>
            </w:r>
          </w:p>
        </w:tc>
        <w:tc>
          <w:tcPr>
            <w:tcW w:w="2250" w:type="dxa"/>
            <w:tcBorders>
              <w:top w:val="nil"/>
              <w:left w:val="nil"/>
              <w:bottom w:val="single" w:sz="4" w:space="0" w:color="auto"/>
              <w:right w:val="single" w:sz="4" w:space="0" w:color="808080"/>
            </w:tcBorders>
            <w:shd w:val="clear" w:color="auto" w:fill="auto"/>
            <w:noWrap/>
            <w:vAlign w:val="center"/>
            <w:hideMark/>
          </w:tcPr>
          <w:p w:rsidR="002F21FE" w:rsidRPr="002F21FE" w:rsidRDefault="002F21FE" w:rsidP="00ED7F02">
            <w:pPr>
              <w:spacing w:after="0" w:line="240" w:lineRule="auto"/>
              <w:ind w:right="22"/>
              <w:rPr>
                <w:rFonts w:ascii="Arial" w:eastAsia="Times New Roman" w:hAnsi="Arial" w:cs="Arial"/>
                <w:color w:val="000000"/>
                <w:sz w:val="16"/>
                <w:szCs w:val="18"/>
              </w:rPr>
            </w:pPr>
            <w:r w:rsidRPr="002F21FE">
              <w:rPr>
                <w:rFonts w:ascii="Arial" w:eastAsia="Times New Roman" w:hAnsi="Arial" w:cs="Arial"/>
                <w:color w:val="000000"/>
                <w:sz w:val="16"/>
                <w:szCs w:val="18"/>
              </w:rPr>
              <w:t>Infused for sublingual application</w:t>
            </w:r>
          </w:p>
        </w:tc>
        <w:tc>
          <w:tcPr>
            <w:tcW w:w="1170" w:type="dxa"/>
            <w:tcBorders>
              <w:top w:val="nil"/>
              <w:left w:val="nil"/>
              <w:bottom w:val="single" w:sz="4" w:space="0" w:color="auto"/>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30mL</w:t>
            </w:r>
          </w:p>
        </w:tc>
        <w:tc>
          <w:tcPr>
            <w:tcW w:w="1260" w:type="dxa"/>
            <w:tcBorders>
              <w:top w:val="nil"/>
              <w:left w:val="nil"/>
              <w:bottom w:val="single" w:sz="4" w:space="0" w:color="auto"/>
              <w:right w:val="single" w:sz="4" w:space="0" w:color="808080"/>
            </w:tcBorders>
            <w:shd w:val="clear" w:color="auto" w:fill="auto"/>
            <w:noWrap/>
            <w:vAlign w:val="center"/>
            <w:hideMark/>
          </w:tcPr>
          <w:p w:rsidR="002F21FE" w:rsidRPr="00ED7F02" w:rsidRDefault="002F21FE" w:rsidP="00ED7F02">
            <w:pPr>
              <w:spacing w:after="0" w:line="240" w:lineRule="auto"/>
              <w:ind w:right="22"/>
              <w:jc w:val="center"/>
              <w:rPr>
                <w:rFonts w:ascii="Arial" w:eastAsia="Times New Roman" w:hAnsi="Arial" w:cs="Arial"/>
                <w:color w:val="000000"/>
                <w:sz w:val="20"/>
                <w:szCs w:val="24"/>
              </w:rPr>
            </w:pPr>
            <w:r w:rsidRPr="00ED7F02">
              <w:rPr>
                <w:rFonts w:ascii="Arial" w:eastAsia="Times New Roman" w:hAnsi="Arial" w:cs="Arial"/>
                <w:color w:val="000000"/>
                <w:sz w:val="20"/>
                <w:szCs w:val="24"/>
              </w:rPr>
              <w:t>500mg</w:t>
            </w:r>
          </w:p>
        </w:tc>
        <w:tc>
          <w:tcPr>
            <w:tcW w:w="1170" w:type="dxa"/>
            <w:tcBorders>
              <w:top w:val="nil"/>
              <w:left w:val="nil"/>
              <w:bottom w:val="single" w:sz="4" w:space="0" w:color="auto"/>
              <w:right w:val="single" w:sz="4" w:space="0" w:color="auto"/>
            </w:tcBorders>
            <w:shd w:val="clear" w:color="auto" w:fill="auto"/>
            <w:noWrap/>
            <w:vAlign w:val="center"/>
            <w:hideMark/>
          </w:tcPr>
          <w:p w:rsidR="002F21FE" w:rsidRPr="00ED7F02" w:rsidRDefault="002F21FE" w:rsidP="00ED7F02">
            <w:pPr>
              <w:spacing w:after="0" w:line="240" w:lineRule="auto"/>
              <w:jc w:val="center"/>
              <w:rPr>
                <w:rFonts w:ascii="Arial" w:eastAsia="Times New Roman" w:hAnsi="Arial" w:cs="Arial"/>
                <w:color w:val="000000"/>
                <w:sz w:val="20"/>
                <w:szCs w:val="24"/>
              </w:rPr>
            </w:pPr>
            <w:r w:rsidRPr="00ED7F02">
              <w:rPr>
                <w:rFonts w:ascii="Arial" w:eastAsia="Times New Roman" w:hAnsi="Arial" w:cs="Arial"/>
                <w:color w:val="000000"/>
                <w:sz w:val="20"/>
                <w:szCs w:val="24"/>
              </w:rPr>
              <w:t>$60-$75</w:t>
            </w:r>
          </w:p>
        </w:tc>
      </w:tr>
    </w:tbl>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160" w:line="259" w:lineRule="auto"/>
        <w:rPr>
          <w:rFonts w:ascii="Arial" w:eastAsia="Calibri" w:hAnsi="Arial" w:cs="Arial"/>
          <w:b/>
          <w:sz w:val="24"/>
          <w:szCs w:val="24"/>
        </w:rPr>
      </w:pPr>
      <w:r w:rsidRPr="00ED7F02">
        <w:rPr>
          <w:rFonts w:ascii="Arial" w:eastAsia="Calibri" w:hAnsi="Arial" w:cs="Arial"/>
          <w:b/>
          <w:sz w:val="24"/>
          <w:szCs w:val="24"/>
        </w:rPr>
        <w:t xml:space="preserve">Figure 1.  Cannabinoid Testing Results of Retail Marijuana Products for </w:t>
      </w:r>
      <w:r w:rsidRPr="00ED7F02">
        <w:rPr>
          <w:rFonts w:ascii="Arial" w:eastAsia="Calibri" w:hAnsi="Arial" w:cs="Arial"/>
          <w:b/>
          <w:bCs/>
          <w:sz w:val="24"/>
          <w:szCs w:val="24"/>
        </w:rPr>
        <w:t>Δ9-THC, THCa, CBD, CBDa through December 31, 2018</w:t>
      </w:r>
    </w:p>
    <w:p w:rsidR="00ED7F02" w:rsidRPr="00ED7F02" w:rsidRDefault="00ED7F02" w:rsidP="00ED7F02">
      <w:pPr>
        <w:spacing w:after="0" w:line="240" w:lineRule="auto"/>
        <w:rPr>
          <w:rFonts w:ascii="Arial" w:eastAsia="Calibri" w:hAnsi="Arial" w:cs="Arial"/>
          <w:b/>
          <w:sz w:val="24"/>
          <w:szCs w:val="24"/>
        </w:rPr>
      </w:pPr>
      <w:r w:rsidRPr="00ED7F02">
        <w:rPr>
          <w:rFonts w:ascii="Arial" w:eastAsia="Calibri" w:hAnsi="Arial" w:cs="Arial"/>
          <w:noProof/>
          <w:sz w:val="24"/>
          <w:szCs w:val="24"/>
        </w:rPr>
        <w:drawing>
          <wp:inline distT="0" distB="0" distL="0" distR="0" wp14:anchorId="4573294C" wp14:editId="6E0431CE">
            <wp:extent cx="5695950" cy="3767138"/>
            <wp:effectExtent l="0" t="0" r="19050" b="24130"/>
            <wp:docPr id="29" name="Chart 29" title="Figure 1.  Cannabinoid Testing Results through December 31,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160" w:line="259" w:lineRule="auto"/>
        <w:rPr>
          <w:rFonts w:ascii="Arial" w:eastAsia="Calibri" w:hAnsi="Arial" w:cs="Arial"/>
          <w:b/>
          <w:sz w:val="24"/>
          <w:szCs w:val="24"/>
        </w:rPr>
      </w:pPr>
      <w:r w:rsidRPr="00ED7F02">
        <w:rPr>
          <w:rFonts w:ascii="Arial" w:eastAsia="Calibri" w:hAnsi="Arial" w:cs="Arial"/>
          <w:b/>
          <w:sz w:val="24"/>
          <w:szCs w:val="24"/>
        </w:rPr>
        <w:br w:type="page"/>
      </w:r>
    </w:p>
    <w:p w:rsidR="00ED7F02" w:rsidRPr="00ED7F02" w:rsidRDefault="00ED7F02" w:rsidP="00ED7F02">
      <w:pPr>
        <w:spacing w:after="0" w:line="240" w:lineRule="auto"/>
        <w:rPr>
          <w:rFonts w:ascii="Arial" w:eastAsia="Calibri" w:hAnsi="Arial" w:cs="Arial"/>
          <w:b/>
          <w:sz w:val="24"/>
          <w:szCs w:val="24"/>
        </w:rPr>
      </w:pPr>
      <w:r w:rsidRPr="00ED7F02">
        <w:rPr>
          <w:rFonts w:ascii="Arial" w:eastAsia="Calibri" w:hAnsi="Arial" w:cs="Arial"/>
          <w:b/>
          <w:sz w:val="24"/>
          <w:szCs w:val="24"/>
        </w:rPr>
        <w:t>Figure 2: RMD Retail Price Survey*</w:t>
      </w:r>
    </w:p>
    <w:p w:rsidR="00ED7F02" w:rsidRPr="00ED7F02" w:rsidRDefault="00ED7F02" w:rsidP="00ED7F02">
      <w:pPr>
        <w:spacing w:after="0" w:line="240" w:lineRule="auto"/>
        <w:rPr>
          <w:rFonts w:ascii="Arial" w:eastAsia="Calibri" w:hAnsi="Arial" w:cs="Arial"/>
          <w:b/>
          <w:sz w:val="24"/>
          <w:szCs w:val="24"/>
        </w:rPr>
      </w:pPr>
      <w:r w:rsidRPr="00ED7F02">
        <w:rPr>
          <w:rFonts w:ascii="Arial" w:eastAsia="Calibri" w:hAnsi="Arial" w:cs="Arial"/>
          <w:b/>
          <w:noProof/>
          <w:sz w:val="24"/>
          <w:szCs w:val="24"/>
        </w:rPr>
        <w:drawing>
          <wp:inline distT="0" distB="0" distL="0" distR="0" wp14:anchorId="5AD6317E" wp14:editId="66358C82">
            <wp:extent cx="6285331" cy="4546121"/>
            <wp:effectExtent l="0" t="0" r="1270" b="6985"/>
            <wp:docPr id="50" name="Picture 50" title="Figure 1: RMD Retail Pric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6285331" cy="4546121"/>
                    </a:xfrm>
                    <a:prstGeom prst="rect">
                      <a:avLst/>
                    </a:prstGeom>
                  </pic:spPr>
                </pic:pic>
              </a:graphicData>
            </a:graphic>
          </wp:inline>
        </w:drawing>
      </w:r>
    </w:p>
    <w:p w:rsidR="00ED7F02" w:rsidRPr="00ED7F02" w:rsidRDefault="00ED7F02" w:rsidP="00ED7F02">
      <w:pPr>
        <w:spacing w:after="0" w:line="240" w:lineRule="auto"/>
        <w:rPr>
          <w:rFonts w:ascii="Arial" w:eastAsia="Calibri" w:hAnsi="Arial" w:cs="Arial"/>
          <w:b/>
          <w:sz w:val="24"/>
          <w:szCs w:val="24"/>
        </w:rPr>
      </w:pPr>
    </w:p>
    <w:p w:rsidR="00ED7F02" w:rsidRPr="00ED7F02" w:rsidRDefault="00ED7F02" w:rsidP="00ED7F02">
      <w:pPr>
        <w:spacing w:after="0" w:line="240" w:lineRule="auto"/>
        <w:rPr>
          <w:rFonts w:ascii="Arial" w:eastAsia="Calibri" w:hAnsi="Arial" w:cs="Arial"/>
          <w:b/>
          <w:i/>
          <w:sz w:val="20"/>
          <w:szCs w:val="24"/>
        </w:rPr>
      </w:pPr>
      <w:r w:rsidRPr="00ED7F02">
        <w:rPr>
          <w:rFonts w:ascii="Arial" w:eastAsia="Calibri" w:hAnsi="Arial" w:cs="Arial"/>
          <w:b/>
          <w:i/>
          <w:sz w:val="20"/>
          <w:szCs w:val="24"/>
        </w:rPr>
        <w:t>*Instructions provided for filling out the above survey:</w:t>
      </w:r>
    </w:p>
    <w:p w:rsidR="00ED7F02" w:rsidRPr="00ED7F02" w:rsidRDefault="00ED7F02" w:rsidP="00ED7F02">
      <w:pPr>
        <w:spacing w:after="0" w:line="240" w:lineRule="auto"/>
        <w:rPr>
          <w:rFonts w:ascii="Arial" w:eastAsia="Calibri" w:hAnsi="Arial" w:cs="Arial"/>
          <w:sz w:val="20"/>
          <w:szCs w:val="24"/>
        </w:rPr>
      </w:pPr>
    </w:p>
    <w:p w:rsidR="00ED7F02" w:rsidRPr="00ED7F02" w:rsidRDefault="00ED7F02" w:rsidP="00ED7F02">
      <w:pPr>
        <w:spacing w:after="0" w:line="240" w:lineRule="auto"/>
        <w:rPr>
          <w:rFonts w:ascii="Arial" w:eastAsia="Calibri" w:hAnsi="Arial" w:cs="Arial"/>
          <w:sz w:val="24"/>
          <w:szCs w:val="24"/>
        </w:rPr>
      </w:pPr>
      <w:r w:rsidRPr="00ED7F02">
        <w:rPr>
          <w:rFonts w:ascii="Arial" w:eastAsia="Calibri" w:hAnsi="Arial" w:cs="Arial"/>
          <w:sz w:val="24"/>
          <w:szCs w:val="24"/>
          <w:u w:val="single"/>
        </w:rPr>
        <w:t>Category</w:t>
      </w:r>
      <w:r w:rsidRPr="00ED7F02">
        <w:rPr>
          <w:rFonts w:ascii="Arial" w:eastAsia="Calibri" w:hAnsi="Arial" w:cs="Arial"/>
          <w:sz w:val="24"/>
          <w:szCs w:val="24"/>
        </w:rPr>
        <w:t>: This column identifies the product-type category (i.e., dried flower, concentrate, edible MIPs, and non-edible MIPs).</w:t>
      </w:r>
    </w:p>
    <w:p w:rsidR="00ED7F02" w:rsidRPr="00ED7F02" w:rsidRDefault="00ED7F02" w:rsidP="00ED7F02">
      <w:pPr>
        <w:spacing w:after="0" w:line="240" w:lineRule="auto"/>
        <w:rPr>
          <w:rFonts w:ascii="Arial" w:eastAsia="Calibri" w:hAnsi="Arial" w:cs="Arial"/>
          <w:sz w:val="24"/>
          <w:szCs w:val="24"/>
        </w:rPr>
      </w:pPr>
    </w:p>
    <w:p w:rsidR="00ED7F02" w:rsidRPr="002F21FE" w:rsidRDefault="00ED7F02" w:rsidP="00ED7F02">
      <w:pPr>
        <w:spacing w:after="0" w:line="240" w:lineRule="auto"/>
        <w:ind w:left="720"/>
        <w:rPr>
          <w:rFonts w:ascii="Arial" w:eastAsia="Calibri" w:hAnsi="Arial" w:cs="Arial"/>
          <w:szCs w:val="24"/>
        </w:rPr>
      </w:pPr>
      <w:r w:rsidRPr="002F21FE">
        <w:rPr>
          <w:rFonts w:ascii="Arial" w:eastAsia="Calibri" w:hAnsi="Arial" w:cs="Arial"/>
          <w:szCs w:val="24"/>
        </w:rPr>
        <w:t>Dried Flower: dried leaves and flowers of the female marijuana plant that have been trimmed and dried and include most importantly the inflorescences (i.e., “buds”) that may be used directly (e.g., smoked) as a medical product without further processing.</w:t>
      </w:r>
    </w:p>
    <w:p w:rsidR="00ED7F02" w:rsidRPr="002F21FE" w:rsidRDefault="00ED7F02" w:rsidP="00ED7F02">
      <w:pPr>
        <w:spacing w:after="0" w:line="240" w:lineRule="auto"/>
        <w:ind w:left="720"/>
        <w:rPr>
          <w:rFonts w:ascii="Arial" w:eastAsia="Calibri" w:hAnsi="Arial" w:cs="Arial"/>
          <w:szCs w:val="24"/>
        </w:rPr>
      </w:pPr>
    </w:p>
    <w:p w:rsidR="00ED7F02" w:rsidRPr="002F21FE" w:rsidRDefault="00ED7F02" w:rsidP="00ED7F02">
      <w:pPr>
        <w:spacing w:after="0" w:line="240" w:lineRule="auto"/>
        <w:ind w:left="720"/>
        <w:rPr>
          <w:rFonts w:ascii="Arial" w:eastAsia="Calibri" w:hAnsi="Arial" w:cs="Arial"/>
          <w:szCs w:val="24"/>
        </w:rPr>
      </w:pPr>
      <w:r w:rsidRPr="002F21FE">
        <w:rPr>
          <w:rFonts w:ascii="Arial" w:eastAsia="Calibri" w:hAnsi="Arial" w:cs="Arial"/>
          <w:szCs w:val="24"/>
        </w:rPr>
        <w:t>Concentrate: marijuana product derived by using solvents to extract and concentrate cannabinoid compounds (e.g., oils, pastes, waxes, or solids) or a solid medical marijuana product produced by gathering and compressing the cannabinoid-rich trichomes (i.e., keif) of the marijuana plant (e.g., cannabis resin, “hashish,” “hash,” or “bubble hash”).</w:t>
      </w:r>
    </w:p>
    <w:p w:rsidR="00ED7F02" w:rsidRPr="002F21FE" w:rsidRDefault="00ED7F02" w:rsidP="00ED7F02">
      <w:pPr>
        <w:spacing w:after="0" w:line="240" w:lineRule="auto"/>
        <w:ind w:left="720"/>
        <w:rPr>
          <w:rFonts w:ascii="Arial" w:eastAsia="Calibri" w:hAnsi="Arial" w:cs="Arial"/>
          <w:szCs w:val="24"/>
        </w:rPr>
      </w:pPr>
    </w:p>
    <w:p w:rsidR="00ED7F02" w:rsidRPr="002F21FE" w:rsidRDefault="00ED7F02" w:rsidP="00ED7F02">
      <w:pPr>
        <w:spacing w:after="0" w:line="240" w:lineRule="auto"/>
        <w:ind w:left="720"/>
        <w:rPr>
          <w:rFonts w:ascii="Arial" w:eastAsia="Calibri" w:hAnsi="Arial" w:cs="Arial"/>
          <w:szCs w:val="24"/>
        </w:rPr>
      </w:pPr>
      <w:r w:rsidRPr="002F21FE">
        <w:rPr>
          <w:rFonts w:ascii="Arial" w:eastAsia="Calibri" w:hAnsi="Arial" w:cs="Arial"/>
          <w:szCs w:val="24"/>
        </w:rPr>
        <w:t>Edible Marijuana-Infused Products (edible MIPs): a marijuana-infused product that is to be consumed by eating or drinking.</w:t>
      </w:r>
    </w:p>
    <w:p w:rsidR="00ED7F02" w:rsidRPr="002F21FE" w:rsidRDefault="00ED7F02" w:rsidP="00ED7F02">
      <w:pPr>
        <w:spacing w:after="0" w:line="240" w:lineRule="auto"/>
        <w:ind w:left="720"/>
        <w:rPr>
          <w:rFonts w:ascii="Arial" w:eastAsia="Calibri" w:hAnsi="Arial" w:cs="Arial"/>
          <w:szCs w:val="24"/>
        </w:rPr>
      </w:pPr>
    </w:p>
    <w:p w:rsidR="00ED7F02" w:rsidRPr="002F21FE" w:rsidRDefault="00ED7F02" w:rsidP="00ED7F02">
      <w:pPr>
        <w:spacing w:after="0" w:line="240" w:lineRule="auto"/>
        <w:ind w:left="720"/>
        <w:rPr>
          <w:rFonts w:ascii="Arial" w:eastAsia="Calibri" w:hAnsi="Arial" w:cs="Arial"/>
          <w:szCs w:val="24"/>
        </w:rPr>
      </w:pPr>
      <w:r w:rsidRPr="002F21FE">
        <w:rPr>
          <w:rFonts w:ascii="Arial" w:eastAsia="Calibri" w:hAnsi="Arial" w:cs="Arial"/>
          <w:szCs w:val="24"/>
        </w:rPr>
        <w:t xml:space="preserve">Non-edible Marijuana-Infused Products (non-edible MIPs): a marijuana-infused product that is to be used through routes other than eating or drinking (i.e., all other uses). </w:t>
      </w:r>
    </w:p>
    <w:p w:rsidR="00ED7F02" w:rsidRPr="00EE0155" w:rsidRDefault="00ED7F02" w:rsidP="00ED7F02">
      <w:pPr>
        <w:spacing w:after="0" w:line="240" w:lineRule="auto"/>
        <w:rPr>
          <w:rFonts w:ascii="Arial" w:eastAsia="Calibri" w:hAnsi="Arial" w:cs="Arial"/>
          <w:sz w:val="24"/>
          <w:szCs w:val="24"/>
        </w:rPr>
      </w:pPr>
    </w:p>
    <w:p w:rsidR="00ED7F02" w:rsidRPr="00EE0155" w:rsidRDefault="00ED7F02" w:rsidP="00ED7F02">
      <w:pPr>
        <w:spacing w:after="0" w:line="240" w:lineRule="auto"/>
        <w:rPr>
          <w:rFonts w:ascii="Arial" w:eastAsia="Calibri" w:hAnsi="Arial" w:cs="Arial"/>
          <w:sz w:val="24"/>
          <w:szCs w:val="24"/>
        </w:rPr>
      </w:pPr>
      <w:r w:rsidRPr="00EE0155">
        <w:rPr>
          <w:rFonts w:ascii="Arial" w:eastAsia="Calibri" w:hAnsi="Arial" w:cs="Arial"/>
          <w:sz w:val="24"/>
          <w:szCs w:val="24"/>
          <w:u w:val="single"/>
        </w:rPr>
        <w:t>Examples:</w:t>
      </w:r>
      <w:r w:rsidRPr="00EE0155">
        <w:rPr>
          <w:rFonts w:ascii="Arial" w:eastAsia="Calibri" w:hAnsi="Arial" w:cs="Arial"/>
          <w:sz w:val="24"/>
          <w:szCs w:val="24"/>
        </w:rPr>
        <w:t xml:space="preserve"> This column identifies common product-type examples and is not considered an exhaustive list.</w:t>
      </w:r>
    </w:p>
    <w:p w:rsidR="00ED7F02" w:rsidRPr="00EE0155" w:rsidRDefault="00ED7F02" w:rsidP="00ED7F02">
      <w:pPr>
        <w:spacing w:after="0" w:line="240" w:lineRule="auto"/>
        <w:rPr>
          <w:rFonts w:ascii="Arial" w:eastAsia="Calibri" w:hAnsi="Arial" w:cs="Arial"/>
          <w:sz w:val="24"/>
          <w:szCs w:val="24"/>
        </w:rPr>
      </w:pPr>
    </w:p>
    <w:p w:rsidR="00ED7F02" w:rsidRPr="00EE0155" w:rsidRDefault="00ED7F02" w:rsidP="00ED7F02">
      <w:pPr>
        <w:spacing w:after="0" w:line="240" w:lineRule="auto"/>
        <w:rPr>
          <w:rFonts w:ascii="Arial" w:eastAsia="Calibri" w:hAnsi="Arial" w:cs="Arial"/>
          <w:sz w:val="24"/>
          <w:szCs w:val="24"/>
        </w:rPr>
      </w:pPr>
      <w:r w:rsidRPr="00EE0155">
        <w:rPr>
          <w:rFonts w:ascii="Arial" w:eastAsia="Calibri" w:hAnsi="Arial" w:cs="Arial"/>
          <w:sz w:val="24"/>
          <w:szCs w:val="24"/>
          <w:u w:val="single"/>
        </w:rPr>
        <w:t>Type</w:t>
      </w:r>
      <w:r w:rsidRPr="00EE0155">
        <w:rPr>
          <w:rFonts w:ascii="Arial" w:eastAsia="Calibri" w:hAnsi="Arial" w:cs="Arial"/>
          <w:sz w:val="24"/>
          <w:szCs w:val="24"/>
        </w:rPr>
        <w:t xml:space="preserve">: This column provides fields to describe further product-type classification. Examples of Types by Category are provided in the Examples column (e.g., finished flower, pre-rolls, “mini"-pre-rolls, etc.). </w:t>
      </w:r>
    </w:p>
    <w:p w:rsidR="00ED7F02" w:rsidRPr="00EE0155" w:rsidRDefault="00ED7F02" w:rsidP="00ED7F02">
      <w:pPr>
        <w:spacing w:after="0" w:line="240" w:lineRule="auto"/>
        <w:rPr>
          <w:rFonts w:ascii="Arial" w:eastAsia="Calibri" w:hAnsi="Arial" w:cs="Arial"/>
          <w:sz w:val="24"/>
          <w:szCs w:val="24"/>
        </w:rPr>
      </w:pPr>
    </w:p>
    <w:p w:rsidR="00ED7F02" w:rsidRPr="00EE0155" w:rsidRDefault="00ED7F02" w:rsidP="00ED7F02">
      <w:pPr>
        <w:spacing w:after="0" w:line="240" w:lineRule="auto"/>
        <w:rPr>
          <w:rFonts w:ascii="Arial" w:eastAsia="Calibri" w:hAnsi="Arial" w:cs="Arial"/>
          <w:sz w:val="24"/>
          <w:szCs w:val="24"/>
        </w:rPr>
      </w:pPr>
      <w:r w:rsidRPr="00EE0155">
        <w:rPr>
          <w:rFonts w:ascii="Arial" w:eastAsia="Calibri" w:hAnsi="Arial" w:cs="Arial"/>
          <w:sz w:val="24"/>
          <w:szCs w:val="24"/>
          <w:u w:val="single"/>
        </w:rPr>
        <w:t>Description</w:t>
      </w:r>
      <w:r w:rsidRPr="00EE0155">
        <w:rPr>
          <w:rFonts w:ascii="Arial" w:eastAsia="Calibri" w:hAnsi="Arial" w:cs="Arial"/>
          <w:sz w:val="24"/>
          <w:szCs w:val="24"/>
        </w:rPr>
        <w:t xml:space="preserve">: This column provides fields to include a product description describing characteristics such as appearance, intended route of use, and instructions for use (e.g., suggested serving size). </w:t>
      </w:r>
    </w:p>
    <w:p w:rsidR="00ED7F02" w:rsidRPr="00EE0155" w:rsidRDefault="00ED7F02" w:rsidP="00ED7F02">
      <w:pPr>
        <w:spacing w:after="0" w:line="240" w:lineRule="auto"/>
        <w:rPr>
          <w:rFonts w:ascii="Arial" w:eastAsia="Calibri" w:hAnsi="Arial" w:cs="Arial"/>
          <w:sz w:val="24"/>
          <w:szCs w:val="24"/>
        </w:rPr>
      </w:pPr>
      <w:r w:rsidRPr="00EE0155">
        <w:rPr>
          <w:rFonts w:ascii="Arial" w:eastAsia="Calibri" w:hAnsi="Arial" w:cs="Arial"/>
          <w:sz w:val="24"/>
          <w:szCs w:val="24"/>
        </w:rPr>
        <w:t xml:space="preserve">Product Weight: This column provides fields to include the product weight (e.g., net weight) by unit of sale (e.g., a single serving edible MIP: 100 grams) </w:t>
      </w:r>
    </w:p>
    <w:p w:rsidR="00ED7F02" w:rsidRPr="00EE0155" w:rsidRDefault="00ED7F02" w:rsidP="00ED7F02">
      <w:pPr>
        <w:spacing w:after="0" w:line="240" w:lineRule="auto"/>
        <w:rPr>
          <w:rFonts w:ascii="Arial" w:eastAsia="Calibri" w:hAnsi="Arial" w:cs="Arial"/>
          <w:sz w:val="24"/>
          <w:szCs w:val="24"/>
        </w:rPr>
      </w:pPr>
    </w:p>
    <w:p w:rsidR="00ED7F02" w:rsidRPr="00EE0155" w:rsidRDefault="00ED7F02" w:rsidP="00ED7F02">
      <w:pPr>
        <w:spacing w:after="0" w:line="240" w:lineRule="auto"/>
        <w:rPr>
          <w:rFonts w:ascii="Arial" w:eastAsia="Calibri" w:hAnsi="Arial" w:cs="Arial"/>
          <w:sz w:val="24"/>
          <w:szCs w:val="24"/>
        </w:rPr>
      </w:pPr>
      <w:r w:rsidRPr="00EE0155">
        <w:rPr>
          <w:rFonts w:ascii="Arial" w:eastAsia="Calibri" w:hAnsi="Arial" w:cs="Arial"/>
          <w:sz w:val="24"/>
          <w:szCs w:val="24"/>
          <w:u w:val="single"/>
        </w:rPr>
        <w:t>Dose/Potency:</w:t>
      </w:r>
      <w:r w:rsidRPr="00EE0155">
        <w:rPr>
          <w:rFonts w:ascii="Arial" w:eastAsia="Calibri" w:hAnsi="Arial" w:cs="Arial"/>
          <w:sz w:val="24"/>
          <w:szCs w:val="24"/>
        </w:rPr>
        <w:t xml:space="preserve"> This column provides fields to include the product cannabinoid dose for each advertised cannabinoid in amounts, expressed as the dry-weight percentages or milligrams of ∆9 - tetrahydrocannnabinol (∆ 9 -THC), cannabidiol (CBD), tetrahydrocannabinolic acid (THCa) and cannabidiolic acid (CBDa) in a medical marijuana product. Amounts of other cannabinoids may be reported, but are not required. </w:t>
      </w:r>
    </w:p>
    <w:p w:rsidR="00ED7F02" w:rsidRPr="00EE0155" w:rsidRDefault="00ED7F02" w:rsidP="00ED7F02">
      <w:pPr>
        <w:spacing w:after="0" w:line="240" w:lineRule="auto"/>
        <w:rPr>
          <w:rFonts w:ascii="Arial" w:eastAsia="Calibri" w:hAnsi="Arial" w:cs="Arial"/>
          <w:sz w:val="24"/>
          <w:szCs w:val="24"/>
        </w:rPr>
      </w:pPr>
    </w:p>
    <w:p w:rsidR="00ED7F02" w:rsidRPr="00EE0155" w:rsidRDefault="00ED7F02" w:rsidP="00ED7F02">
      <w:pPr>
        <w:spacing w:after="0" w:line="240" w:lineRule="auto"/>
        <w:rPr>
          <w:rFonts w:ascii="Arial" w:eastAsia="Calibri" w:hAnsi="Arial" w:cs="Arial"/>
          <w:sz w:val="24"/>
          <w:szCs w:val="24"/>
        </w:rPr>
      </w:pPr>
      <w:r w:rsidRPr="00EE0155">
        <w:rPr>
          <w:rFonts w:ascii="Arial" w:eastAsia="Calibri" w:hAnsi="Arial" w:cs="Arial"/>
          <w:sz w:val="24"/>
          <w:szCs w:val="24"/>
          <w:u w:val="single"/>
        </w:rPr>
        <w:t>Retail Price:</w:t>
      </w:r>
      <w:r w:rsidRPr="00EE0155">
        <w:rPr>
          <w:rFonts w:ascii="Arial" w:eastAsia="Calibri" w:hAnsi="Arial" w:cs="Arial"/>
          <w:sz w:val="24"/>
          <w:szCs w:val="24"/>
        </w:rPr>
        <w:t xml:space="preserve"> This column provides fields to include the estimated retail price (US dollars) for the specific product described. Itemized prices are most useful but a price range may additionally be provided to capture market variability and other closely related products.</w:t>
      </w:r>
    </w:p>
    <w:p w:rsidR="00ED7F02" w:rsidRPr="00ED7F02" w:rsidRDefault="00ED7F02" w:rsidP="00ED7F02">
      <w:pPr>
        <w:spacing w:after="0" w:line="240" w:lineRule="auto"/>
        <w:rPr>
          <w:rFonts w:ascii="Arial" w:eastAsia="Calibri" w:hAnsi="Arial" w:cs="Arial"/>
          <w:sz w:val="24"/>
          <w:szCs w:val="24"/>
        </w:rPr>
      </w:pPr>
    </w:p>
    <w:p w:rsidR="00041518" w:rsidRPr="00C15012" w:rsidRDefault="00041518" w:rsidP="006744D5">
      <w:pPr>
        <w:spacing w:after="0" w:line="240" w:lineRule="auto"/>
        <w:jc w:val="center"/>
        <w:rPr>
          <w:rFonts w:ascii="Arial" w:hAnsi="Arial" w:cs="Arial"/>
          <w:b/>
          <w:szCs w:val="28"/>
        </w:rPr>
      </w:pPr>
    </w:p>
    <w:sectPr w:rsidR="00041518" w:rsidRPr="00C15012" w:rsidSect="004653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6C3" w:rsidRDefault="00D556C3" w:rsidP="00724391">
      <w:pPr>
        <w:spacing w:after="0" w:line="240" w:lineRule="auto"/>
      </w:pPr>
      <w:r>
        <w:separator/>
      </w:r>
    </w:p>
  </w:endnote>
  <w:endnote w:type="continuationSeparator" w:id="0">
    <w:p w:rsidR="00D556C3" w:rsidRDefault="00D556C3" w:rsidP="00724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Black">
    <w:panose1 w:val="020B0A04020102020204"/>
    <w:charset w:val="00"/>
    <w:family w:val="swiss"/>
    <w:pitch w:val="variable"/>
    <w:sig w:usb0="00000287" w:usb1="00000000"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188673"/>
      <w:docPartObj>
        <w:docPartGallery w:val="Page Numbers (Bottom of Page)"/>
        <w:docPartUnique/>
      </w:docPartObj>
    </w:sdtPr>
    <w:sdtEndPr>
      <w:rPr>
        <w:noProof/>
      </w:rPr>
    </w:sdtEndPr>
    <w:sdtContent>
      <w:p w:rsidR="00D556C3" w:rsidRDefault="00D556C3">
        <w:pPr>
          <w:pStyle w:val="Footer"/>
          <w:jc w:val="center"/>
        </w:pPr>
        <w:r>
          <w:fldChar w:fldCharType="begin"/>
        </w:r>
        <w:r>
          <w:instrText xml:space="preserve"> PAGE   \* MERGEFORMAT </w:instrText>
        </w:r>
        <w:r>
          <w:fldChar w:fldCharType="separate"/>
        </w:r>
        <w:r w:rsidR="000F38C4">
          <w:rPr>
            <w:noProof/>
          </w:rPr>
          <w:t>2</w:t>
        </w:r>
        <w:r>
          <w:rPr>
            <w:noProof/>
          </w:rPr>
          <w:fldChar w:fldCharType="end"/>
        </w:r>
      </w:p>
    </w:sdtContent>
  </w:sdt>
  <w:p w:rsidR="00D556C3" w:rsidRPr="00F3023B" w:rsidRDefault="00D556C3" w:rsidP="00B63E43">
    <w:pPr>
      <w:pStyle w:val="Footer"/>
      <w:tabs>
        <w:tab w:val="left" w:pos="4454"/>
      </w:tabs>
      <w:rPr>
        <w:rFonts w:ascii="Times New Roman" w:hAnsi="Times New Roman" w:cs="Times New Roman"/>
        <w:b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6C3" w:rsidRDefault="00D556C3">
    <w:pPr>
      <w:pStyle w:val="Footer"/>
      <w:jc w:val="center"/>
    </w:pPr>
  </w:p>
  <w:p w:rsidR="00D556C3" w:rsidRDefault="00D556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6C3" w:rsidRDefault="00D556C3">
    <w:pPr>
      <w:pStyle w:val="Footer"/>
      <w:jc w:val="center"/>
    </w:pPr>
  </w:p>
  <w:p w:rsidR="00D556C3" w:rsidRDefault="00D556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769609"/>
      <w:docPartObj>
        <w:docPartGallery w:val="Page Numbers (Bottom of Page)"/>
        <w:docPartUnique/>
      </w:docPartObj>
    </w:sdtPr>
    <w:sdtEndPr>
      <w:rPr>
        <w:noProof/>
      </w:rPr>
    </w:sdtEndPr>
    <w:sdtContent>
      <w:p w:rsidR="00D556C3" w:rsidRDefault="00D556C3">
        <w:pPr>
          <w:pStyle w:val="Footer"/>
          <w:jc w:val="center"/>
        </w:pPr>
        <w:r>
          <w:fldChar w:fldCharType="begin"/>
        </w:r>
        <w:r>
          <w:instrText xml:space="preserve"> PAGE   \* MERGEFORMAT </w:instrText>
        </w:r>
        <w:r>
          <w:fldChar w:fldCharType="separate"/>
        </w:r>
        <w:r w:rsidR="00ED455B">
          <w:rPr>
            <w:noProof/>
          </w:rPr>
          <w:t>327</w:t>
        </w:r>
        <w:r>
          <w:rPr>
            <w:noProof/>
          </w:rPr>
          <w:fldChar w:fldCharType="end"/>
        </w:r>
      </w:p>
    </w:sdtContent>
  </w:sdt>
  <w:p w:rsidR="00D556C3" w:rsidRPr="00F3023B" w:rsidRDefault="00D556C3" w:rsidP="00B63E43">
    <w:pPr>
      <w:pStyle w:val="Footer"/>
      <w:tabs>
        <w:tab w:val="left" w:pos="4454"/>
      </w:tabs>
      <w:rPr>
        <w:rFonts w:ascii="Times New Roman" w:hAnsi="Times New Roman" w:cs="Times New Roman"/>
        <w:bC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6C3" w:rsidRDefault="00D556C3">
    <w:pPr>
      <w:pStyle w:val="Footer"/>
      <w:jc w:val="center"/>
    </w:pPr>
  </w:p>
  <w:p w:rsidR="00D556C3" w:rsidRDefault="00D556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6C3" w:rsidRDefault="00D556C3" w:rsidP="00724391">
      <w:pPr>
        <w:spacing w:after="0" w:line="240" w:lineRule="auto"/>
      </w:pPr>
      <w:r>
        <w:separator/>
      </w:r>
    </w:p>
  </w:footnote>
  <w:footnote w:type="continuationSeparator" w:id="0">
    <w:p w:rsidR="00D556C3" w:rsidRDefault="00D556C3" w:rsidP="00724391">
      <w:pPr>
        <w:spacing w:after="0" w:line="240" w:lineRule="auto"/>
      </w:pPr>
      <w:r>
        <w:continuationSeparator/>
      </w:r>
    </w:p>
  </w:footnote>
  <w:footnote w:id="1">
    <w:p w:rsidR="00D556C3" w:rsidRDefault="00D556C3" w:rsidP="001324CA">
      <w:pPr>
        <w:pStyle w:val="FootnoteText"/>
      </w:pPr>
      <w:r>
        <w:rPr>
          <w:rStyle w:val="FootnoteReference"/>
        </w:rPr>
        <w:footnoteRef/>
      </w:r>
      <w:r>
        <w:t xml:space="preserve"> </w:t>
      </w:r>
      <w:hyperlink r:id="rId1" w:history="1">
        <w:r w:rsidRPr="00A530D4">
          <w:rPr>
            <w:rStyle w:val="Hyperlink"/>
            <w:rFonts w:ascii="Arial" w:hAnsi="Arial" w:cs="Arial"/>
          </w:rPr>
          <w:t>https://www.mass.gov/lists/medical-use-of-marijuana-program-monthly-dashboards</w:t>
        </w:r>
      </w:hyperlink>
      <w:r w:rsidRPr="00A530D4">
        <w:rPr>
          <w:rFonts w:ascii="Arial" w:hAnsi="Arial" w:cs="Arial"/>
        </w:rPr>
        <w:t>.</w:t>
      </w:r>
    </w:p>
  </w:footnote>
  <w:footnote w:id="2">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Mass. Session Laws ch. 351, § 18 (2016). </w:t>
      </w:r>
    </w:p>
  </w:footnote>
  <w:footnote w:id="3">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Mass. Gen. Laws ch. 94G, § 14. </w:t>
      </w:r>
    </w:p>
  </w:footnote>
  <w:footnote w:id="4">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Mass. Session Laws ch. 55, § 12 (2017). </w:t>
      </w:r>
    </w:p>
  </w:footnote>
  <w:footnote w:id="5">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Mass. Gen. Laws ch. 94G, § 14. </w:t>
      </w:r>
    </w:p>
  </w:footnote>
  <w:footnote w:id="6">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w:t>
      </w:r>
      <w:hyperlink r:id="rId2" w:history="1">
        <w:r w:rsidRPr="00A530D4">
          <w:rPr>
            <w:rStyle w:val="Hyperlink"/>
            <w:rFonts w:ascii="Arial" w:hAnsi="Arial" w:cs="Arial"/>
          </w:rPr>
          <w:t>https://www.mass.gov/medical-use-of-marijuana-program</w:t>
        </w:r>
      </w:hyperlink>
      <w:r w:rsidRPr="00A530D4">
        <w:rPr>
          <w:rFonts w:ascii="Arial" w:hAnsi="Arial" w:cs="Arial"/>
        </w:rPr>
        <w:t>.</w:t>
      </w:r>
    </w:p>
  </w:footnote>
  <w:footnote w:id="7">
    <w:p w:rsidR="00D556C3" w:rsidRDefault="00D556C3" w:rsidP="001324CA">
      <w:pPr>
        <w:pStyle w:val="FootnoteText"/>
      </w:pPr>
      <w:r w:rsidRPr="00A530D4">
        <w:rPr>
          <w:rStyle w:val="FootnoteReference"/>
          <w:rFonts w:ascii="Arial" w:hAnsi="Arial" w:cs="Arial"/>
        </w:rPr>
        <w:footnoteRef/>
      </w:r>
      <w:r w:rsidRPr="00A530D4">
        <w:rPr>
          <w:rFonts w:ascii="Arial" w:hAnsi="Arial" w:cs="Arial"/>
        </w:rPr>
        <w:t xml:space="preserve"> </w:t>
      </w:r>
      <w:hyperlink r:id="rId3" w:history="1">
        <w:r w:rsidRPr="00A530D4">
          <w:rPr>
            <w:rStyle w:val="Hyperlink"/>
            <w:rFonts w:ascii="Arial" w:hAnsi="Arial" w:cs="Arial"/>
          </w:rPr>
          <w:t>https://mass-cannabis-control.com/about-us-2/</w:t>
        </w:r>
      </w:hyperlink>
      <w:r w:rsidRPr="00A530D4">
        <w:rPr>
          <w:rFonts w:ascii="Arial" w:hAnsi="Arial" w:cs="Arial"/>
        </w:rPr>
        <w:t>.</w:t>
      </w:r>
    </w:p>
  </w:footnote>
  <w:footnote w:id="8">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Alaska: </w:t>
      </w:r>
      <w:hyperlink r:id="rId4" w:history="1">
        <w:r w:rsidRPr="00A530D4">
          <w:rPr>
            <w:rStyle w:val="Hyperlink"/>
            <w:rFonts w:ascii="Arial" w:hAnsi="Arial" w:cs="Arial"/>
          </w:rPr>
          <w:t>http://tax.alaska.gov/programs/programs/reports/monthly/Marijuana.aspx?ReportDate=8/1/2017</w:t>
        </w:r>
      </w:hyperlink>
      <w:r w:rsidRPr="00A530D4">
        <w:rPr>
          <w:rFonts w:ascii="Arial" w:hAnsi="Arial" w:cs="Arial"/>
        </w:rPr>
        <w:t xml:space="preserve">; Colorado: </w:t>
      </w:r>
      <w:hyperlink r:id="rId5" w:history="1">
        <w:r w:rsidRPr="00A530D4">
          <w:rPr>
            <w:rStyle w:val="Hyperlink"/>
            <w:rFonts w:ascii="Arial" w:hAnsi="Arial" w:cs="Arial"/>
          </w:rPr>
          <w:t>https://www.colorado.gov/pacific/revenue/colorado-marijuana-tax-data</w:t>
        </w:r>
      </w:hyperlink>
      <w:r w:rsidRPr="00A530D4">
        <w:rPr>
          <w:rFonts w:ascii="Arial" w:hAnsi="Arial" w:cs="Arial"/>
        </w:rPr>
        <w:t xml:space="preserve">; for a summary of revenue collected, see </w:t>
      </w:r>
      <w:hyperlink r:id="rId6" w:history="1">
        <w:r w:rsidRPr="00A530D4">
          <w:rPr>
            <w:rStyle w:val="Hyperlink"/>
            <w:rFonts w:ascii="Arial" w:hAnsi="Arial" w:cs="Arial"/>
          </w:rPr>
          <w:t>http://www.drugpolicy.org/legalization-status-report</w:t>
        </w:r>
      </w:hyperlink>
      <w:r w:rsidRPr="00A530D4">
        <w:rPr>
          <w:rFonts w:ascii="Arial" w:hAnsi="Arial" w:cs="Arial"/>
        </w:rPr>
        <w:t>.</w:t>
      </w:r>
    </w:p>
  </w:footnote>
  <w:footnote w:id="9">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w:t>
      </w:r>
      <w:hyperlink r:id="rId7" w:history="1">
        <w:r w:rsidRPr="00A530D4">
          <w:rPr>
            <w:rStyle w:val="Hyperlink"/>
            <w:rFonts w:ascii="Arial" w:hAnsi="Arial" w:cs="Arial"/>
          </w:rPr>
          <w:t>http://www.denverpost.com/2016/01/06/washington-state-marijuana-retailers-cope-with-falling-pot-prices/</w:t>
        </w:r>
      </w:hyperlink>
      <w:r w:rsidRPr="00A530D4">
        <w:rPr>
          <w:rFonts w:ascii="Arial" w:hAnsi="Arial" w:cs="Arial"/>
        </w:rPr>
        <w:t xml:space="preserve"> and </w:t>
      </w:r>
      <w:hyperlink r:id="rId8" w:history="1">
        <w:r w:rsidRPr="00A530D4">
          <w:rPr>
            <w:rStyle w:val="Hyperlink"/>
            <w:rFonts w:ascii="Arial" w:hAnsi="Arial" w:cs="Arial"/>
          </w:rPr>
          <w:t>https://www.economist.com/news/briefing/21692873-growing-number-countries-are-deciding-ditch-prohibition-what-comes</w:t>
        </w:r>
      </w:hyperlink>
      <w:r w:rsidRPr="00A530D4">
        <w:rPr>
          <w:rFonts w:ascii="Arial" w:hAnsi="Arial" w:cs="Arial"/>
        </w:rPr>
        <w:t xml:space="preserve">. </w:t>
      </w:r>
    </w:p>
  </w:footnote>
  <w:footnote w:id="10">
    <w:p w:rsidR="00D556C3" w:rsidRDefault="00D556C3" w:rsidP="001324CA">
      <w:pPr>
        <w:pStyle w:val="FootnoteText"/>
      </w:pPr>
      <w:r>
        <w:rPr>
          <w:rStyle w:val="FootnoteReference"/>
        </w:rPr>
        <w:footnoteRef/>
      </w:r>
      <w:r>
        <w:t xml:space="preserve"> </w:t>
      </w:r>
      <w:hyperlink r:id="rId9" w:history="1">
        <w:r w:rsidRPr="00A530D4">
          <w:rPr>
            <w:rStyle w:val="Hyperlink"/>
            <w:rFonts w:ascii="Arial" w:hAnsi="Arial" w:cs="Arial"/>
          </w:rPr>
          <w:t>https://medicalmarijuana.procon.org/view.resource.php?resourceID=005889</w:t>
        </w:r>
      </w:hyperlink>
      <w:r w:rsidRPr="00A530D4">
        <w:rPr>
          <w:rFonts w:ascii="Arial" w:hAnsi="Arial" w:cs="Arial"/>
        </w:rPr>
        <w:t>.</w:t>
      </w:r>
    </w:p>
  </w:footnote>
  <w:footnote w:id="11">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These guidelines follow the Clearinghouse for Labor Evaluation and Research (CLEAR). CLEAR was established by the Department of Labor to promote informed decision making and policy development by providing a central and trusted source of research evidence.</w:t>
      </w:r>
    </w:p>
  </w:footnote>
  <w:footnote w:id="12">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w:t>
      </w:r>
      <w:hyperlink r:id="rId10" w:history="1">
        <w:r w:rsidRPr="00A530D4">
          <w:rPr>
            <w:rStyle w:val="Hyperlink"/>
            <w:rFonts w:ascii="Arial" w:hAnsi="Arial" w:cs="Arial"/>
          </w:rPr>
          <w:t>https://www.samhsa.gov/samhsa-data-outcomes-quality/major-data-collections/reports-detailed-tables-2015-NSDUH</w:t>
        </w:r>
      </w:hyperlink>
      <w:r w:rsidRPr="00A530D4">
        <w:rPr>
          <w:rFonts w:ascii="Arial" w:hAnsi="Arial" w:cs="Arial"/>
        </w:rPr>
        <w:t>.</w:t>
      </w:r>
    </w:p>
  </w:footnote>
  <w:footnote w:id="13">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w:t>
      </w:r>
      <w:hyperlink r:id="rId11" w:history="1">
        <w:r w:rsidRPr="00A530D4">
          <w:rPr>
            <w:rStyle w:val="Hyperlink"/>
            <w:rFonts w:ascii="Arial" w:hAnsi="Arial" w:cs="Arial"/>
          </w:rPr>
          <w:t>https://www.cdc.gov/brfss/annual_data/annual_2015.html</w:t>
        </w:r>
      </w:hyperlink>
      <w:r w:rsidRPr="00A530D4">
        <w:rPr>
          <w:rFonts w:ascii="Arial" w:hAnsi="Arial" w:cs="Arial"/>
        </w:rPr>
        <w:t>.</w:t>
      </w:r>
    </w:p>
  </w:footnote>
  <w:footnote w:id="14">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We defined respondents who indicated past-month or past-30 day marijuana use as current users. We chose past-month use because it was the most contemporary use option available, and because we identified only minor differences (less than 5%) between past-month and past-year users in 90% of records.</w:t>
      </w:r>
    </w:p>
  </w:footnote>
  <w:footnote w:id="15">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w:t>
      </w:r>
      <w:hyperlink r:id="rId12" w:history="1">
        <w:r w:rsidRPr="00A530D4">
          <w:rPr>
            <w:rStyle w:val="Hyperlink"/>
            <w:rFonts w:ascii="Arial" w:hAnsi="Arial" w:cs="Arial"/>
          </w:rPr>
          <w:t>https://nccd.cdc.gov/youthonline/App/Results.aspx?LID=MA</w:t>
        </w:r>
      </w:hyperlink>
      <w:r w:rsidRPr="00A530D4">
        <w:rPr>
          <w:rFonts w:ascii="Arial" w:hAnsi="Arial" w:cs="Arial"/>
        </w:rPr>
        <w:t>.</w:t>
      </w:r>
    </w:p>
  </w:footnote>
  <w:footnote w:id="16">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w:t>
      </w:r>
      <w:hyperlink r:id="rId13" w:history="1">
        <w:r w:rsidRPr="00A530D4">
          <w:rPr>
            <w:rStyle w:val="Hyperlink"/>
            <w:rFonts w:ascii="Arial" w:hAnsi="Arial" w:cs="Arial"/>
          </w:rPr>
          <w:t>https://www.mass.gov/files/documents/2016/09/vp/youth-health-risk-report-2015.pdf</w:t>
        </w:r>
      </w:hyperlink>
      <w:r w:rsidRPr="00A530D4">
        <w:rPr>
          <w:rFonts w:ascii="Arial" w:hAnsi="Arial" w:cs="Arial"/>
        </w:rPr>
        <w:t>.</w:t>
      </w:r>
    </w:p>
  </w:footnote>
  <w:footnote w:id="17">
    <w:p w:rsidR="00D556C3" w:rsidRDefault="00D556C3" w:rsidP="001324CA">
      <w:pPr>
        <w:pStyle w:val="FootnoteText"/>
      </w:pPr>
      <w:r w:rsidRPr="00A530D4">
        <w:rPr>
          <w:rStyle w:val="FootnoteReference"/>
          <w:rFonts w:ascii="Arial" w:hAnsi="Arial" w:cs="Arial"/>
        </w:rPr>
        <w:footnoteRef/>
      </w:r>
      <w:r w:rsidRPr="00A530D4">
        <w:rPr>
          <w:rFonts w:ascii="Arial" w:hAnsi="Arial" w:cs="Arial"/>
        </w:rPr>
        <w:t xml:space="preserve"> </w:t>
      </w:r>
      <w:hyperlink r:id="rId14" w:history="1">
        <w:r w:rsidRPr="00A530D4">
          <w:rPr>
            <w:rStyle w:val="Hyperlink"/>
            <w:rFonts w:ascii="Arial" w:hAnsi="Arial" w:cs="Arial"/>
          </w:rPr>
          <w:t>https://www.samhsa.gov/data/sites/default/files/NSDUHsaePercents2016/NSDUHsaePercents2016.pdf</w:t>
        </w:r>
      </w:hyperlink>
      <w:r w:rsidRPr="00A530D4">
        <w:rPr>
          <w:rFonts w:ascii="Arial" w:hAnsi="Arial" w:cs="Arial"/>
        </w:rPr>
        <w:t>.</w:t>
      </w:r>
      <w:r>
        <w:t xml:space="preserve"> </w:t>
      </w:r>
    </w:p>
  </w:footnote>
  <w:footnote w:id="18">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w:t>
      </w:r>
      <w:hyperlink r:id="rId15" w:history="1">
        <w:r w:rsidRPr="00A530D4">
          <w:rPr>
            <w:rStyle w:val="Hyperlink"/>
            <w:rFonts w:ascii="Arial" w:hAnsi="Arial" w:cs="Arial"/>
          </w:rPr>
          <w:t>https://www.mass.gov/files/documents/2017/11/08/CNB_Budget_Request_FINAL.pdf</w:t>
        </w:r>
      </w:hyperlink>
      <w:r w:rsidRPr="00A530D4">
        <w:rPr>
          <w:rFonts w:ascii="Arial" w:hAnsi="Arial" w:cs="Arial"/>
        </w:rPr>
        <w:t>.</w:t>
      </w:r>
    </w:p>
  </w:footnote>
  <w:footnote w:id="19">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w:t>
      </w:r>
      <w:hyperlink r:id="rId16" w:history="1">
        <w:r w:rsidRPr="00A530D4">
          <w:rPr>
            <w:rStyle w:val="Hyperlink"/>
            <w:rFonts w:ascii="Arial" w:hAnsi="Arial" w:cs="Arial"/>
          </w:rPr>
          <w:t>https://www.mass.gov/files/documents/2017/03/zs/mmj-annual-trust-fund-report-2017.pdf</w:t>
        </w:r>
      </w:hyperlink>
      <w:r w:rsidRPr="00A530D4">
        <w:rPr>
          <w:rFonts w:ascii="Arial" w:hAnsi="Arial" w:cs="Arial"/>
        </w:rPr>
        <w:t>.</w:t>
      </w:r>
    </w:p>
  </w:footnote>
  <w:footnote w:id="20">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w:t>
      </w:r>
      <w:hyperlink r:id="rId17" w:history="1">
        <w:r w:rsidRPr="00A530D4">
          <w:rPr>
            <w:rStyle w:val="Hyperlink"/>
            <w:rFonts w:ascii="Arial" w:hAnsi="Arial" w:cs="Arial"/>
          </w:rPr>
          <w:t>https://www.mass.gov/service-details/massachusetts-medical-use-of-marijuana-program-snapshot</w:t>
        </w:r>
      </w:hyperlink>
      <w:r w:rsidRPr="00A530D4">
        <w:rPr>
          <w:rStyle w:val="Hyperlink"/>
          <w:rFonts w:ascii="Arial" w:hAnsi="Arial" w:cs="Arial"/>
        </w:rPr>
        <w:t>.</w:t>
      </w:r>
    </w:p>
  </w:footnote>
  <w:footnote w:id="21">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w:t>
      </w:r>
      <w:hyperlink r:id="rId18" w:history="1">
        <w:r w:rsidRPr="00A530D4">
          <w:rPr>
            <w:rStyle w:val="Hyperlink"/>
            <w:rFonts w:ascii="Arial" w:hAnsi="Arial" w:cs="Arial"/>
          </w:rPr>
          <w:t>http://www.vote.wa.gov/guides/2012/I-502-Fiscal-Impact.html</w:t>
        </w:r>
      </w:hyperlink>
      <w:r w:rsidRPr="00A530D4">
        <w:rPr>
          <w:rFonts w:ascii="Arial" w:hAnsi="Arial" w:cs="Arial"/>
        </w:rPr>
        <w:t>.</w:t>
      </w:r>
    </w:p>
  </w:footnote>
  <w:footnote w:id="22">
    <w:p w:rsidR="00D556C3" w:rsidRDefault="00D556C3" w:rsidP="001324CA">
      <w:pPr>
        <w:pStyle w:val="FootnoteText"/>
      </w:pPr>
      <w:r w:rsidRPr="00A530D4">
        <w:rPr>
          <w:rStyle w:val="FootnoteReference"/>
          <w:rFonts w:ascii="Arial" w:hAnsi="Arial" w:cs="Arial"/>
        </w:rPr>
        <w:footnoteRef/>
      </w:r>
      <w:r w:rsidRPr="00A530D4">
        <w:rPr>
          <w:rFonts w:ascii="Arial" w:hAnsi="Arial" w:cs="Arial"/>
        </w:rPr>
        <w:t xml:space="preserve"> </w:t>
      </w:r>
      <w:hyperlink r:id="rId19" w:history="1">
        <w:r w:rsidRPr="00A530D4">
          <w:rPr>
            <w:rStyle w:val="Hyperlink"/>
            <w:rFonts w:ascii="Arial" w:hAnsi="Arial" w:cs="Arial"/>
          </w:rPr>
          <w:t>https://drive.google.com/file/d/0B0TNL0CtD9wXdjFWWUhIMm5TMjQ/view</w:t>
        </w:r>
      </w:hyperlink>
      <w:r w:rsidRPr="00A530D4">
        <w:rPr>
          <w:rFonts w:ascii="Arial" w:hAnsi="Arial" w:cs="Arial"/>
        </w:rPr>
        <w:t>.</w:t>
      </w:r>
    </w:p>
  </w:footnote>
  <w:footnote w:id="23">
    <w:p w:rsidR="00D556C3" w:rsidRPr="00A530D4" w:rsidRDefault="00D556C3" w:rsidP="001324CA">
      <w:pPr>
        <w:pStyle w:val="FootnoteText"/>
        <w:rPr>
          <w:rFonts w:ascii="Arial" w:hAnsi="Arial" w:cs="Arial"/>
        </w:rPr>
      </w:pPr>
      <w:r w:rsidRPr="00A530D4">
        <w:rPr>
          <w:rStyle w:val="FootnoteReference"/>
          <w:rFonts w:ascii="Arial" w:hAnsi="Arial" w:cs="Arial"/>
        </w:rPr>
        <w:footnoteRef/>
      </w:r>
      <w:r w:rsidRPr="00A530D4">
        <w:rPr>
          <w:rFonts w:ascii="Arial" w:hAnsi="Arial" w:cs="Arial"/>
        </w:rPr>
        <w:t xml:space="preserve"> </w:t>
      </w:r>
      <w:hyperlink r:id="rId20" w:history="1">
        <w:r w:rsidRPr="00A530D4">
          <w:rPr>
            <w:rStyle w:val="Hyperlink"/>
            <w:rFonts w:ascii="Arial" w:hAnsi="Arial" w:cs="Arial"/>
          </w:rPr>
          <w:t>http://apps.leg.wa.gov/wac/default.aspx?cite=314-55-525</w:t>
        </w:r>
      </w:hyperlink>
      <w:r w:rsidRPr="00A530D4">
        <w:rPr>
          <w:rFonts w:ascii="Arial" w:hAnsi="Arial" w:cs="Arial"/>
        </w:rPr>
        <w:t>.</w:t>
      </w:r>
    </w:p>
  </w:footnote>
  <w:footnote w:id="24">
    <w:p w:rsidR="00D556C3" w:rsidRDefault="00D556C3" w:rsidP="001324CA">
      <w:pPr>
        <w:pStyle w:val="FootnoteText"/>
      </w:pPr>
      <w:r w:rsidRPr="00A530D4">
        <w:rPr>
          <w:rStyle w:val="FootnoteReference"/>
          <w:rFonts w:ascii="Arial" w:hAnsi="Arial" w:cs="Arial"/>
        </w:rPr>
        <w:footnoteRef/>
      </w:r>
      <w:r w:rsidRPr="00A530D4">
        <w:rPr>
          <w:rFonts w:ascii="Arial" w:hAnsi="Arial" w:cs="Arial"/>
        </w:rPr>
        <w:t xml:space="preserve"> </w:t>
      </w:r>
      <w:hyperlink r:id="rId21" w:history="1">
        <w:r w:rsidRPr="00A530D4">
          <w:rPr>
            <w:rStyle w:val="Hyperlink"/>
            <w:rFonts w:ascii="Arial" w:hAnsi="Arial" w:cs="Arial"/>
          </w:rPr>
          <w:t>https://www.samhsa.gov/data/sites/default/files/TEDS2011St_Web/TEDS2011St_Web/TEDS2011St_Web.pdf</w:t>
        </w:r>
      </w:hyperlink>
      <w:r w:rsidRPr="00A530D4">
        <w:rPr>
          <w:rFonts w:ascii="Arial" w:hAnsi="Arial" w:cs="Arial"/>
        </w:rPr>
        <w:t xml:space="preserve"> (Tables 2.1 and 2.2) and </w:t>
      </w:r>
      <w:hyperlink r:id="rId22" w:history="1">
        <w:r w:rsidRPr="00A530D4">
          <w:rPr>
            <w:rStyle w:val="Hyperlink"/>
            <w:rFonts w:ascii="Arial" w:hAnsi="Arial" w:cs="Arial"/>
          </w:rPr>
          <w:t>https://wwwdasis.samhsa.gov/webt/quicklink/MA16.htm</w:t>
        </w:r>
      </w:hyperlink>
      <w:r w:rsidRPr="00A530D4">
        <w:rPr>
          <w:rFonts w:ascii="Arial" w:hAnsi="Arial" w:cs="Arial"/>
        </w:rPr>
        <w:t>.</w:t>
      </w:r>
    </w:p>
  </w:footnote>
  <w:footnote w:id="25">
    <w:p w:rsidR="00D556C3" w:rsidRPr="00322150" w:rsidRDefault="00D556C3" w:rsidP="001324CA">
      <w:pPr>
        <w:pStyle w:val="FootnoteText"/>
        <w:rPr>
          <w:rFonts w:ascii="Arial" w:hAnsi="Arial" w:cs="Arial"/>
        </w:rPr>
      </w:pPr>
      <w:r w:rsidRPr="00322150">
        <w:rPr>
          <w:rStyle w:val="FootnoteReference"/>
          <w:rFonts w:ascii="Arial" w:hAnsi="Arial" w:cs="Arial"/>
        </w:rPr>
        <w:footnoteRef/>
      </w:r>
      <w:r w:rsidRPr="00322150">
        <w:rPr>
          <w:rFonts w:ascii="Arial" w:hAnsi="Arial" w:cs="Arial"/>
        </w:rPr>
        <w:t xml:space="preserve"> </w:t>
      </w:r>
      <w:hyperlink r:id="rId23" w:history="1">
        <w:r w:rsidRPr="00322150">
          <w:rPr>
            <w:rStyle w:val="Hyperlink"/>
            <w:rFonts w:ascii="Arial" w:hAnsi="Arial" w:cs="Arial"/>
          </w:rPr>
          <w:t>https://docs.digital.mass.gov/dataset/massgis-data/zip-codes-5-digit-here0navteq-0</w:t>
        </w:r>
      </w:hyperlink>
      <w:r w:rsidRPr="00322150">
        <w:rPr>
          <w:rFonts w:ascii="Arial" w:hAnsi="Arial" w:cs="Arial"/>
        </w:rPr>
        <w:t>.</w:t>
      </w:r>
    </w:p>
  </w:footnote>
  <w:footnote w:id="26">
    <w:p w:rsidR="00D556C3" w:rsidRPr="00322150" w:rsidRDefault="00D556C3" w:rsidP="001324CA">
      <w:pPr>
        <w:pStyle w:val="FootnoteText"/>
        <w:rPr>
          <w:rFonts w:ascii="Arial" w:hAnsi="Arial" w:cs="Arial"/>
        </w:rPr>
      </w:pPr>
      <w:r w:rsidRPr="00322150">
        <w:rPr>
          <w:rStyle w:val="FootnoteReference"/>
          <w:rFonts w:ascii="Arial" w:hAnsi="Arial" w:cs="Arial"/>
        </w:rPr>
        <w:footnoteRef/>
      </w:r>
      <w:r w:rsidRPr="00322150">
        <w:rPr>
          <w:rFonts w:ascii="Arial" w:hAnsi="Arial" w:cs="Arial"/>
        </w:rPr>
        <w:t xml:space="preserve"> Because we produce a distribution of outcome values for each level of impact (measure, domain, and model), the average value for a summed outcome will not exactly equal the sum of the average components that fed into it (for example, the sum of the individual measures used to calculate sales tax revenue does not exactly equal the total impact of the sales tax revenue domain); however, we the differences are small.  </w:t>
      </w:r>
    </w:p>
  </w:footnote>
  <w:footnote w:id="27">
    <w:p w:rsidR="00D556C3" w:rsidRPr="00322150" w:rsidRDefault="00D556C3" w:rsidP="001324CA">
      <w:pPr>
        <w:pStyle w:val="FootnoteText"/>
        <w:rPr>
          <w:rFonts w:ascii="Arial" w:hAnsi="Arial" w:cs="Arial"/>
        </w:rPr>
      </w:pPr>
      <w:r w:rsidRPr="00322150">
        <w:rPr>
          <w:rStyle w:val="FootnoteReference"/>
          <w:rFonts w:ascii="Arial" w:hAnsi="Arial" w:cs="Arial"/>
        </w:rPr>
        <w:footnoteRef/>
      </w:r>
      <w:r w:rsidRPr="00322150">
        <w:rPr>
          <w:rFonts w:ascii="Arial" w:hAnsi="Arial" w:cs="Arial"/>
        </w:rPr>
        <w:t xml:space="preserve"> Alaska collected less tax revenue from legal marijuana in its second year of sales than in its first. However, Alaska differs from other states that have legalized marijuana—including Massachusetts—in many respects, including the fact that they tax marijuana by plant weight, rather than through a tax rate applied to retail sales (</w:t>
      </w:r>
      <w:hyperlink r:id="rId24" w:history="1">
        <w:r w:rsidRPr="00322150">
          <w:rPr>
            <w:rStyle w:val="Hyperlink"/>
            <w:rFonts w:ascii="Arial" w:hAnsi="Arial" w:cs="Arial"/>
          </w:rPr>
          <w:t>http://tax.alaska.gov/programs/programs/reports/Annual.aspx?60000&amp;Year=2017</w:t>
        </w:r>
      </w:hyperlink>
      <w:r w:rsidRPr="00322150">
        <w:rPr>
          <w:rFonts w:ascii="Arial" w:hAnsi="Arial" w:cs="Arial"/>
        </w:rPr>
        <w:t>). Therefore, we excluded Alaska when reviewing the experiences of states that allow marijuana sales.</w:t>
      </w:r>
    </w:p>
  </w:footnote>
  <w:footnote w:id="28">
    <w:p w:rsidR="00D556C3" w:rsidRDefault="00D556C3" w:rsidP="001324CA">
      <w:pPr>
        <w:pStyle w:val="FootnoteText"/>
      </w:pPr>
      <w:r w:rsidRPr="00322150">
        <w:rPr>
          <w:rStyle w:val="FootnoteReference"/>
          <w:rFonts w:ascii="Arial" w:hAnsi="Arial" w:cs="Arial"/>
        </w:rPr>
        <w:footnoteRef/>
      </w:r>
      <w:r w:rsidRPr="00322150">
        <w:rPr>
          <w:rFonts w:ascii="Arial" w:hAnsi="Arial" w:cs="Arial"/>
        </w:rPr>
        <w:t xml:space="preserve"> This approach is similar to the one used by Cooper, Johnston, &amp; Segal (2016) to model the economic impact of marijuana sales in California.</w:t>
      </w:r>
    </w:p>
  </w:footnote>
  <w:footnote w:id="29">
    <w:p w:rsidR="00D556C3" w:rsidRPr="00322150" w:rsidRDefault="00D556C3" w:rsidP="001324CA">
      <w:pPr>
        <w:pStyle w:val="FootnoteText"/>
        <w:rPr>
          <w:rFonts w:ascii="Arial" w:hAnsi="Arial" w:cs="Arial"/>
        </w:rPr>
      </w:pPr>
      <w:r w:rsidRPr="00322150">
        <w:rPr>
          <w:rStyle w:val="FootnoteReference"/>
          <w:rFonts w:ascii="Arial" w:hAnsi="Arial" w:cs="Arial"/>
        </w:rPr>
        <w:footnoteRef/>
      </w:r>
      <w:r w:rsidRPr="00322150">
        <w:rPr>
          <w:rFonts w:ascii="Arial" w:hAnsi="Arial" w:cs="Arial"/>
        </w:rPr>
        <w:t xml:space="preserve"> Based on data from </w:t>
      </w:r>
      <w:hyperlink r:id="rId25" w:history="1">
        <w:r w:rsidRPr="00322150">
          <w:rPr>
            <w:rStyle w:val="Hyperlink"/>
            <w:rFonts w:ascii="Arial" w:hAnsi="Arial" w:cs="Arial"/>
          </w:rPr>
          <w:t>https://www.marijuanadoctors.com/medical-marijuana-dispensaries/WA</w:t>
        </w:r>
      </w:hyperlink>
      <w:r w:rsidRPr="00322150">
        <w:rPr>
          <w:rFonts w:ascii="Arial" w:hAnsi="Arial" w:cs="Arial"/>
        </w:rPr>
        <w:t>.</w:t>
      </w:r>
    </w:p>
  </w:footnote>
  <w:footnote w:id="30">
    <w:p w:rsidR="00D556C3" w:rsidRDefault="00D556C3" w:rsidP="001324CA">
      <w:pPr>
        <w:pStyle w:val="FootnoteText"/>
      </w:pPr>
      <w:r w:rsidRPr="00322150">
        <w:rPr>
          <w:rStyle w:val="FootnoteReference"/>
          <w:rFonts w:ascii="Arial" w:hAnsi="Arial" w:cs="Arial"/>
        </w:rPr>
        <w:footnoteRef/>
      </w:r>
      <w:r w:rsidRPr="00322150">
        <w:rPr>
          <w:rFonts w:ascii="Arial" w:hAnsi="Arial" w:cs="Arial"/>
        </w:rPr>
        <w:t xml:space="preserve"> Based on data from </w:t>
      </w:r>
      <w:hyperlink r:id="rId26" w:history="1">
        <w:r w:rsidRPr="00322150">
          <w:rPr>
            <w:rStyle w:val="Hyperlink"/>
            <w:rFonts w:ascii="Arial" w:hAnsi="Arial" w:cs="Arial"/>
          </w:rPr>
          <w:t>https://www.colorado.gov/pacific/enforcement/med-licensed-facilities</w:t>
        </w:r>
      </w:hyperlink>
      <w:r w:rsidRPr="00322150">
        <w:rPr>
          <w:rFonts w:ascii="Arial" w:hAnsi="Arial" w:cs="Arial"/>
        </w:rPr>
        <w:t>.</w:t>
      </w:r>
    </w:p>
  </w:footnote>
  <w:footnote w:id="31">
    <w:p w:rsidR="00D556C3" w:rsidRPr="00322150" w:rsidRDefault="00D556C3" w:rsidP="001324CA">
      <w:pPr>
        <w:pStyle w:val="FootnoteText"/>
        <w:rPr>
          <w:rFonts w:ascii="Arial" w:hAnsi="Arial" w:cs="Arial"/>
        </w:rPr>
      </w:pPr>
      <w:r w:rsidRPr="00322150">
        <w:rPr>
          <w:rStyle w:val="FootnoteReference"/>
          <w:rFonts w:ascii="Arial" w:hAnsi="Arial" w:cs="Arial"/>
        </w:rPr>
        <w:footnoteRef/>
      </w:r>
      <w:hyperlink r:id="rId27" w:history="1">
        <w:r w:rsidRPr="00322150">
          <w:rPr>
            <w:rStyle w:val="Hyperlink"/>
            <w:rFonts w:ascii="Arial" w:hAnsi="Arial" w:cs="Arial"/>
          </w:rPr>
          <w:t>https://www.doh.wa.gov/YouandYourFamily/Marijuana/MedicalMarijuana/LawsandRules/HistoryinWashington</w:t>
        </w:r>
      </w:hyperlink>
      <w:r w:rsidRPr="00322150">
        <w:rPr>
          <w:rFonts w:ascii="Arial" w:hAnsi="Arial" w:cs="Arial"/>
        </w:rPr>
        <w:t>.</w:t>
      </w:r>
    </w:p>
  </w:footnote>
  <w:footnote w:id="32">
    <w:p w:rsidR="00D556C3" w:rsidRPr="00322150" w:rsidRDefault="00D556C3" w:rsidP="001324CA">
      <w:pPr>
        <w:pStyle w:val="FootnoteText"/>
        <w:rPr>
          <w:rFonts w:ascii="Arial" w:hAnsi="Arial" w:cs="Arial"/>
        </w:rPr>
      </w:pPr>
      <w:r w:rsidRPr="00322150">
        <w:rPr>
          <w:rStyle w:val="FootnoteReference"/>
          <w:rFonts w:ascii="Arial" w:hAnsi="Arial" w:cs="Arial"/>
        </w:rPr>
        <w:footnoteRef/>
      </w:r>
      <w:r w:rsidRPr="00322150">
        <w:rPr>
          <w:rFonts w:ascii="Arial" w:hAnsi="Arial" w:cs="Arial"/>
        </w:rPr>
        <w:t xml:space="preserve"> </w:t>
      </w:r>
      <w:hyperlink r:id="rId28" w:history="1">
        <w:r w:rsidRPr="00322150">
          <w:rPr>
            <w:rStyle w:val="Hyperlink"/>
            <w:rFonts w:ascii="Arial" w:hAnsi="Arial" w:cs="Arial"/>
          </w:rPr>
          <w:t>https://malegislature.gov/Laws/GeneralLaws/PartI/TitleXV/Chapter94G/Section14</w:t>
        </w:r>
      </w:hyperlink>
      <w:r w:rsidRPr="00322150">
        <w:rPr>
          <w:rFonts w:ascii="Arial" w:hAnsi="Arial" w:cs="Arial"/>
        </w:rPr>
        <w:t>.</w:t>
      </w:r>
    </w:p>
  </w:footnote>
  <w:footnote w:id="33">
    <w:p w:rsidR="00D556C3" w:rsidRDefault="00D556C3" w:rsidP="001324CA">
      <w:pPr>
        <w:pStyle w:val="FootnoteText"/>
      </w:pPr>
      <w:r w:rsidRPr="00322150">
        <w:rPr>
          <w:rStyle w:val="FootnoteReference"/>
          <w:rFonts w:ascii="Arial" w:hAnsi="Arial" w:cs="Arial"/>
        </w:rPr>
        <w:footnoteRef/>
      </w:r>
      <w:r w:rsidRPr="00322150">
        <w:rPr>
          <w:rFonts w:ascii="Arial" w:hAnsi="Arial" w:cs="Arial"/>
        </w:rPr>
        <w:t xml:space="preserve"> According to data supplied to the authors by the Massachusetts Department of Corrections, the number of cases charged with a marijuana governing offense declined from 975 in 2010 to 336 in 2014.</w:t>
      </w:r>
    </w:p>
  </w:footnote>
  <w:footnote w:id="34">
    <w:p w:rsidR="00D556C3" w:rsidRPr="00C91942" w:rsidRDefault="00D556C3" w:rsidP="001324CA">
      <w:pPr>
        <w:pStyle w:val="FootnoteText"/>
        <w:rPr>
          <w:rFonts w:ascii="Arial" w:hAnsi="Arial" w:cs="Arial"/>
        </w:rPr>
      </w:pPr>
      <w:r w:rsidRPr="00C91942">
        <w:rPr>
          <w:rStyle w:val="FootnoteReference"/>
          <w:rFonts w:ascii="Arial" w:hAnsi="Arial" w:cs="Arial"/>
        </w:rPr>
        <w:footnoteRef/>
      </w:r>
      <w:r w:rsidRPr="00C91942">
        <w:rPr>
          <w:rFonts w:ascii="Arial" w:hAnsi="Arial" w:cs="Arial"/>
        </w:rPr>
        <w:t xml:space="preserve"> For comparability with retail sales estimates in Massachusetts and in Oregon (calculated by dividing revenue estimates from </w:t>
      </w:r>
      <w:hyperlink r:id="rId29" w:history="1">
        <w:r w:rsidRPr="00C91942">
          <w:rPr>
            <w:rStyle w:val="Hyperlink"/>
            <w:rFonts w:ascii="Arial" w:hAnsi="Arial" w:cs="Arial"/>
          </w:rPr>
          <w:t>http://www.oregon.gov/DOR/programs/gov-research/Pages/research-marijuana.aspx</w:t>
        </w:r>
      </w:hyperlink>
      <w:r w:rsidRPr="00C91942">
        <w:rPr>
          <w:rFonts w:ascii="Arial" w:hAnsi="Arial" w:cs="Arial"/>
        </w:rPr>
        <w:t xml:space="preserve"> by the 17% tax rate), we converted total sales revenue (which included medical plus retail sales) in Colorado (</w:t>
      </w:r>
      <w:hyperlink r:id="rId30" w:history="1">
        <w:r w:rsidRPr="00C91942">
          <w:rPr>
            <w:rStyle w:val="Hyperlink"/>
            <w:rFonts w:ascii="Arial" w:hAnsi="Arial" w:cs="Arial"/>
          </w:rPr>
          <w:t>https://www.colorado.gov/pacific/revenue/colorado-marijuana-sales-reports</w:t>
        </w:r>
      </w:hyperlink>
      <w:r w:rsidRPr="00C91942">
        <w:rPr>
          <w:rFonts w:ascii="Arial" w:hAnsi="Arial" w:cs="Arial"/>
        </w:rPr>
        <w:t>) and Washington (Washington State LCB dashboard, n.d.) to retail sales revenue by subtracting the percentage of revenue due to medical sales, which we assumed would be equal to the percentage of total marijuana users (</w:t>
      </w:r>
      <w:hyperlink r:id="rId31" w:history="1">
        <w:r w:rsidRPr="00C91942">
          <w:rPr>
            <w:rStyle w:val="Hyperlink"/>
            <w:rFonts w:ascii="Arial" w:hAnsi="Arial" w:cs="Arial"/>
          </w:rPr>
          <w:t>https://www.samhsa.gov/data/sites/default/files/NSDUHsaeSpecificStates2016A/NSDUHsaeSpecificStates2016.htm</w:t>
        </w:r>
      </w:hyperlink>
      <w:r w:rsidRPr="00C91942">
        <w:rPr>
          <w:rFonts w:ascii="Arial" w:hAnsi="Arial" w:cs="Arial"/>
        </w:rPr>
        <w:t>) that are medical users (</w:t>
      </w:r>
      <w:hyperlink r:id="rId32" w:history="1">
        <w:r w:rsidRPr="00C91942">
          <w:rPr>
            <w:rStyle w:val="Hyperlink"/>
            <w:rFonts w:ascii="Arial" w:hAnsi="Arial" w:cs="Arial"/>
          </w:rPr>
          <w:t>https://www.mpp.org/issues/medical-marijuana/state-by-state-medical-marijuana-laws/medical-marijuana-patient-numbers/</w:t>
        </w:r>
      </w:hyperlink>
      <w:r w:rsidRPr="00C91942">
        <w:rPr>
          <w:rStyle w:val="Hyperlink"/>
          <w:rFonts w:ascii="Arial" w:hAnsi="Arial" w:cs="Arial"/>
        </w:rPr>
        <w:t>).</w:t>
      </w:r>
    </w:p>
  </w:footnote>
  <w:footnote w:id="35">
    <w:p w:rsidR="00D556C3" w:rsidRPr="00C91942" w:rsidRDefault="00D556C3" w:rsidP="001324CA">
      <w:pPr>
        <w:pStyle w:val="FootnoteText"/>
        <w:rPr>
          <w:rFonts w:ascii="Arial" w:hAnsi="Arial" w:cs="Arial"/>
        </w:rPr>
      </w:pPr>
      <w:r w:rsidRPr="00C91942">
        <w:rPr>
          <w:rStyle w:val="FootnoteReference"/>
          <w:rFonts w:ascii="Arial" w:hAnsi="Arial" w:cs="Arial"/>
        </w:rPr>
        <w:footnoteRef/>
      </w:r>
      <w:r w:rsidRPr="00C91942">
        <w:rPr>
          <w:rFonts w:ascii="Arial" w:hAnsi="Arial" w:cs="Arial"/>
        </w:rPr>
        <w:t xml:space="preserve"> The Massachusetts DOR estimates $128 million of tax revenue collected on $1.07 billion in taxable sales based on a 12% total tax rate (including sales, excise, and local taxes). In a sensitivity analysis, they estimate $237 million of tax revenue collected on $1.018 billion in sales assuming a total tax rate of 23.25%. Based on these estimates, we calculate that the DOR estimate would be roughly $205 million in tax revenue with a total tax rate of 20%.</w:t>
      </w:r>
    </w:p>
  </w:footnote>
  <w:footnote w:id="36">
    <w:p w:rsidR="00D556C3" w:rsidRDefault="00D556C3" w:rsidP="001324CA">
      <w:pPr>
        <w:pStyle w:val="FootnoteText"/>
      </w:pPr>
      <w:r w:rsidRPr="00C91942">
        <w:rPr>
          <w:rStyle w:val="FootnoteReference"/>
          <w:rFonts w:ascii="Arial" w:hAnsi="Arial" w:cs="Arial"/>
        </w:rPr>
        <w:footnoteRef/>
      </w:r>
      <w:r w:rsidRPr="00C91942">
        <w:rPr>
          <w:rFonts w:ascii="Arial" w:hAnsi="Arial" w:cs="Arial"/>
        </w:rPr>
        <w:t xml:space="preserve"> The Massachusetts DOR report cites two reports with estimates that were lower than its own – a Tax Foundation Report (estimating $747 million in taxable sales based on a 15% tax rate) and a study by the Massachusetts Special Senate Committee on Marijuana (estimating $500 million in taxable sales) – and a third report with an estimate that was similar to their own (a study by ArcView Market Research estimating $1.07 billion in taxable sales in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6C3" w:rsidRPr="00F531F9" w:rsidRDefault="00D556C3" w:rsidP="009D3C3A">
    <w:pPr>
      <w:pStyle w:val="Header"/>
      <w:rPr>
        <w:rFonts w:ascii="Times New Roman" w:hAnsi="Times New Roman" w:cs="Times New Roman"/>
      </w:rPr>
    </w:pPr>
    <w:r>
      <w:tab/>
    </w:r>
    <w:r>
      <w:tab/>
    </w:r>
    <w:r w:rsidRPr="00F531F9">
      <w:rPr>
        <w:rFonts w:ascii="Times New Roman" w:hAnsi="Times New Roman" w:cs="Times New Roma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6C3" w:rsidRPr="00FA653E" w:rsidRDefault="00D556C3" w:rsidP="00784755">
    <w:pPr>
      <w:pStyle w:val="Header"/>
      <w:jc w:val="center"/>
      <w:rPr>
        <w:rFonts w:ascii="Arial" w:hAnsi="Arial" w:cs="Arial"/>
        <w:b/>
        <w:bCs/>
        <w:sz w:val="2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6C3" w:rsidRPr="0077187C" w:rsidRDefault="00D556C3" w:rsidP="00C23696">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6C3" w:rsidRPr="00A5361F" w:rsidRDefault="00D556C3" w:rsidP="00C23696">
    <w:pPr>
      <w:tabs>
        <w:tab w:val="center" w:pos="4680"/>
        <w:tab w:val="right" w:pos="9360"/>
      </w:tabs>
      <w:spacing w:after="0" w:line="240" w:lineRule="auto"/>
      <w:jc w:val="center"/>
      <w:rPr>
        <w:rFonts w:ascii="Arial" w:eastAsia="Calibri" w:hAnsi="Arial" w:cs="Times New Roman"/>
        <w:sz w:val="20"/>
        <w:szCs w:val="20"/>
      </w:rPr>
    </w:pPr>
  </w:p>
  <w:p w:rsidR="00D556C3" w:rsidRDefault="00D556C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6C3" w:rsidRPr="00494487" w:rsidRDefault="00D556C3" w:rsidP="00CF13EB">
    <w:pPr>
      <w:tabs>
        <w:tab w:val="left" w:pos="1935"/>
        <w:tab w:val="left" w:pos="3834"/>
      </w:tabs>
      <w:spacing w:after="0" w:line="240" w:lineRule="auto"/>
      <w:rPr>
        <w:rFonts w:ascii="Arial" w:eastAsia="Calibri" w:hAnsi="Arial" w:cs="Times New Roman"/>
        <w:bCs/>
        <w:sz w:val="20"/>
        <w:szCs w:val="20"/>
      </w:rPr>
    </w:pPr>
    <w:r>
      <w:rPr>
        <w:rFonts w:ascii="Arial" w:eastAsia="Calibri" w:hAnsi="Arial" w:cs="Times New Roman"/>
        <w:bCs/>
        <w:sz w:val="20"/>
        <w:szCs w:val="20"/>
      </w:rPr>
      <w:tab/>
    </w:r>
  </w:p>
  <w:p w:rsidR="00D556C3" w:rsidRPr="00C23770" w:rsidRDefault="00D556C3" w:rsidP="00CF13EB">
    <w:pPr>
      <w:tabs>
        <w:tab w:val="center" w:pos="4680"/>
        <w:tab w:val="right" w:pos="9360"/>
      </w:tabs>
      <w:spacing w:after="0" w:line="240" w:lineRule="auto"/>
      <w:jc w:val="center"/>
      <w:rPr>
        <w:rFonts w:ascii="Arial" w:eastAsia="Calibri" w:hAnsi="Arial" w:cs="Times New Roman"/>
        <w:b/>
        <w:bCs/>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6C3" w:rsidRPr="0077187C" w:rsidRDefault="00D556C3" w:rsidP="007C23AA">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6C3" w:rsidRPr="00494487" w:rsidRDefault="00D556C3" w:rsidP="007C23AA">
    <w:pPr>
      <w:tabs>
        <w:tab w:val="center" w:pos="4680"/>
        <w:tab w:val="right" w:pos="9360"/>
      </w:tabs>
      <w:spacing w:after="0" w:line="240" w:lineRule="auto"/>
      <w:jc w:val="center"/>
      <w:rPr>
        <w:rFonts w:ascii="Arial" w:eastAsia="Calibri" w:hAnsi="Arial" w:cs="Times New Roman"/>
        <w:bCs/>
        <w:sz w:val="20"/>
        <w:szCs w:val="20"/>
      </w:rPr>
    </w:pPr>
    <w:r w:rsidRPr="00494487">
      <w:rPr>
        <w:rFonts w:ascii="Arial" w:eastAsia="Calibri" w:hAnsi="Arial" w:cs="Times New Roman"/>
        <w:bCs/>
        <w:sz w:val="20"/>
        <w:szCs w:val="20"/>
      </w:rPr>
      <w:t>DRAFT FOR POLICY DISCUSSION</w:t>
    </w:r>
  </w:p>
  <w:p w:rsidR="00D556C3" w:rsidRPr="00494487" w:rsidRDefault="00D556C3" w:rsidP="007C23AA">
    <w:pPr>
      <w:tabs>
        <w:tab w:val="left" w:pos="1935"/>
        <w:tab w:val="center" w:pos="4680"/>
        <w:tab w:val="right" w:pos="9360"/>
      </w:tabs>
      <w:spacing w:after="0" w:line="240" w:lineRule="auto"/>
      <w:rPr>
        <w:rFonts w:ascii="Arial" w:eastAsia="Calibri" w:hAnsi="Arial" w:cs="Times New Roman"/>
        <w:bCs/>
        <w:sz w:val="20"/>
        <w:szCs w:val="20"/>
      </w:rPr>
    </w:pPr>
    <w:r w:rsidRPr="00494487">
      <w:rPr>
        <w:rFonts w:ascii="Arial" w:eastAsia="Calibri" w:hAnsi="Arial" w:cs="Times New Roman"/>
        <w:bCs/>
        <w:sz w:val="20"/>
        <w:szCs w:val="20"/>
      </w:rPr>
      <w:tab/>
    </w:r>
  </w:p>
  <w:p w:rsidR="00D556C3" w:rsidRPr="00494487" w:rsidRDefault="00D556C3" w:rsidP="007C23AA">
    <w:pPr>
      <w:tabs>
        <w:tab w:val="center" w:pos="4680"/>
        <w:tab w:val="right" w:pos="9360"/>
      </w:tabs>
      <w:spacing w:after="0" w:line="240" w:lineRule="auto"/>
      <w:jc w:val="center"/>
      <w:rPr>
        <w:rFonts w:ascii="Arial" w:eastAsia="Calibri" w:hAnsi="Arial" w:cs="Times New Roman"/>
        <w:b/>
        <w:bCs/>
        <w:sz w:val="20"/>
        <w:szCs w:val="20"/>
      </w:rPr>
    </w:pPr>
    <w:r>
      <w:rPr>
        <w:rFonts w:ascii="Arial" w:eastAsia="Calibri" w:hAnsi="Arial" w:cs="Times New Roman"/>
        <w:b/>
        <w:bCs/>
        <w:sz w:val="20"/>
        <w:szCs w:val="20"/>
      </w:rPr>
      <w:t>Task 2, Chapter 3</w:t>
    </w:r>
    <w:r w:rsidRPr="00494487">
      <w:rPr>
        <w:rFonts w:ascii="Arial" w:eastAsia="Calibri" w:hAnsi="Arial" w:cs="Times New Roman"/>
        <w:b/>
        <w:bCs/>
        <w:sz w:val="20"/>
        <w:szCs w:val="20"/>
      </w:rPr>
      <w:t>: Driving Under the Influence of Marijuana and Marijuana-Involved Motor Vehicle Crashes in Massachusetts</w:t>
    </w:r>
  </w:p>
  <w:p w:rsidR="00D556C3" w:rsidRDefault="00D556C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6C3" w:rsidRDefault="00D556C3" w:rsidP="00E3428E">
    <w:pPr>
      <w:spacing w:line="240" w:lineRule="auto"/>
      <w:ind w:left="-450"/>
      <w:jc w:val="center"/>
      <w:rPr>
        <w:rFonts w:ascii="Arial" w:hAnsi="Arial"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8C8352E"/>
    <w:lvl w:ilvl="0">
      <w:start w:val="1"/>
      <w:numFmt w:val="bullet"/>
      <w:pStyle w:val="ListBullet1"/>
      <w:lvlText w:val=""/>
      <w:lvlJc w:val="left"/>
      <w:pPr>
        <w:tabs>
          <w:tab w:val="num" w:pos="360"/>
        </w:tabs>
        <w:ind w:left="360" w:hanging="360"/>
      </w:pPr>
      <w:rPr>
        <w:rFonts w:ascii="Symbol" w:hAnsi="Symbol" w:hint="default"/>
      </w:rPr>
    </w:lvl>
  </w:abstractNum>
  <w:abstractNum w:abstractNumId="1">
    <w:nsid w:val="005144F6"/>
    <w:multiLevelType w:val="hybridMultilevel"/>
    <w:tmpl w:val="B05C4686"/>
    <w:lvl w:ilvl="0" w:tplc="F53A6A24">
      <w:start w:val="1"/>
      <w:numFmt w:val="decimal"/>
      <w:lvlText w:val="(%1)"/>
      <w:lvlJc w:val="left"/>
      <w:pPr>
        <w:ind w:left="1152" w:hanging="360"/>
      </w:pPr>
      <w:rPr>
        <w:rFonts w:hint="default"/>
        <w:color w:val="auto"/>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nsid w:val="02E947B8"/>
    <w:multiLevelType w:val="hybridMultilevel"/>
    <w:tmpl w:val="DF96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E0F7D"/>
    <w:multiLevelType w:val="hybridMultilevel"/>
    <w:tmpl w:val="DC66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92728"/>
    <w:multiLevelType w:val="hybridMultilevel"/>
    <w:tmpl w:val="70726924"/>
    <w:lvl w:ilvl="0" w:tplc="9A30C3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7864A2"/>
    <w:multiLevelType w:val="hybridMultilevel"/>
    <w:tmpl w:val="725E1650"/>
    <w:lvl w:ilvl="0" w:tplc="5C98C364">
      <w:start w:val="1"/>
      <w:numFmt w:val="lowerLetter"/>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27D46"/>
    <w:multiLevelType w:val="hybridMultilevel"/>
    <w:tmpl w:val="FB885D58"/>
    <w:lvl w:ilvl="0" w:tplc="7F30B25E">
      <w:start w:val="1"/>
      <w:numFmt w:val="lowerLetter"/>
      <w:lvlText w:val="%1."/>
      <w:lvlJc w:val="left"/>
      <w:pPr>
        <w:ind w:left="720" w:hanging="360"/>
      </w:pPr>
      <w:rPr>
        <w:rFonts w:hint="default"/>
        <w:sz w:val="2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9B027C2"/>
    <w:multiLevelType w:val="hybridMultilevel"/>
    <w:tmpl w:val="D07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560CE7"/>
    <w:multiLevelType w:val="hybridMultilevel"/>
    <w:tmpl w:val="27729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DD43A9"/>
    <w:multiLevelType w:val="hybridMultilevel"/>
    <w:tmpl w:val="EEF81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C02913"/>
    <w:multiLevelType w:val="hybridMultilevel"/>
    <w:tmpl w:val="38E04368"/>
    <w:lvl w:ilvl="0" w:tplc="8E48FEFC">
      <w:start w:val="1"/>
      <w:numFmt w:val="decimal"/>
      <w:lvlText w:val="%1."/>
      <w:lvlJc w:val="left"/>
      <w:pPr>
        <w:ind w:left="360" w:hanging="360"/>
      </w:pPr>
      <w:rPr>
        <w:rFonts w:ascii="Calibri" w:eastAsia="Times New Roman" w:hAnsi="Calibr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5C06C21"/>
    <w:multiLevelType w:val="hybridMultilevel"/>
    <w:tmpl w:val="E034C290"/>
    <w:lvl w:ilvl="0" w:tplc="A1A0EB6C">
      <w:start w:val="1"/>
      <w:numFmt w:val="bullet"/>
      <w:lvlText w:val="•"/>
      <w:lvlJc w:val="left"/>
      <w:pPr>
        <w:tabs>
          <w:tab w:val="num" w:pos="720"/>
        </w:tabs>
        <w:ind w:left="720" w:hanging="360"/>
      </w:pPr>
      <w:rPr>
        <w:rFonts w:ascii="Arial" w:hAnsi="Arial" w:hint="default"/>
      </w:rPr>
    </w:lvl>
    <w:lvl w:ilvl="1" w:tplc="19C4CA50">
      <w:start w:val="24"/>
      <w:numFmt w:val="bullet"/>
      <w:lvlText w:val="•"/>
      <w:lvlJc w:val="left"/>
      <w:pPr>
        <w:tabs>
          <w:tab w:val="num" w:pos="1440"/>
        </w:tabs>
        <w:ind w:left="1440" w:hanging="360"/>
      </w:pPr>
      <w:rPr>
        <w:rFonts w:ascii="Arial" w:hAnsi="Arial" w:hint="default"/>
      </w:rPr>
    </w:lvl>
    <w:lvl w:ilvl="2" w:tplc="128A8C20" w:tentative="1">
      <w:start w:val="1"/>
      <w:numFmt w:val="bullet"/>
      <w:lvlText w:val="•"/>
      <w:lvlJc w:val="left"/>
      <w:pPr>
        <w:tabs>
          <w:tab w:val="num" w:pos="2160"/>
        </w:tabs>
        <w:ind w:left="2160" w:hanging="360"/>
      </w:pPr>
      <w:rPr>
        <w:rFonts w:ascii="Arial" w:hAnsi="Arial" w:hint="default"/>
      </w:rPr>
    </w:lvl>
    <w:lvl w:ilvl="3" w:tplc="1A88235A" w:tentative="1">
      <w:start w:val="1"/>
      <w:numFmt w:val="bullet"/>
      <w:lvlText w:val="•"/>
      <w:lvlJc w:val="left"/>
      <w:pPr>
        <w:tabs>
          <w:tab w:val="num" w:pos="2880"/>
        </w:tabs>
        <w:ind w:left="2880" w:hanging="360"/>
      </w:pPr>
      <w:rPr>
        <w:rFonts w:ascii="Arial" w:hAnsi="Arial" w:hint="default"/>
      </w:rPr>
    </w:lvl>
    <w:lvl w:ilvl="4" w:tplc="B55AB2C0" w:tentative="1">
      <w:start w:val="1"/>
      <w:numFmt w:val="bullet"/>
      <w:lvlText w:val="•"/>
      <w:lvlJc w:val="left"/>
      <w:pPr>
        <w:tabs>
          <w:tab w:val="num" w:pos="3600"/>
        </w:tabs>
        <w:ind w:left="3600" w:hanging="360"/>
      </w:pPr>
      <w:rPr>
        <w:rFonts w:ascii="Arial" w:hAnsi="Arial" w:hint="default"/>
      </w:rPr>
    </w:lvl>
    <w:lvl w:ilvl="5" w:tplc="038449A6" w:tentative="1">
      <w:start w:val="1"/>
      <w:numFmt w:val="bullet"/>
      <w:lvlText w:val="•"/>
      <w:lvlJc w:val="left"/>
      <w:pPr>
        <w:tabs>
          <w:tab w:val="num" w:pos="4320"/>
        </w:tabs>
        <w:ind w:left="4320" w:hanging="360"/>
      </w:pPr>
      <w:rPr>
        <w:rFonts w:ascii="Arial" w:hAnsi="Arial" w:hint="default"/>
      </w:rPr>
    </w:lvl>
    <w:lvl w:ilvl="6" w:tplc="B6021CA4" w:tentative="1">
      <w:start w:val="1"/>
      <w:numFmt w:val="bullet"/>
      <w:lvlText w:val="•"/>
      <w:lvlJc w:val="left"/>
      <w:pPr>
        <w:tabs>
          <w:tab w:val="num" w:pos="5040"/>
        </w:tabs>
        <w:ind w:left="5040" w:hanging="360"/>
      </w:pPr>
      <w:rPr>
        <w:rFonts w:ascii="Arial" w:hAnsi="Arial" w:hint="default"/>
      </w:rPr>
    </w:lvl>
    <w:lvl w:ilvl="7" w:tplc="1E38A6F6" w:tentative="1">
      <w:start w:val="1"/>
      <w:numFmt w:val="bullet"/>
      <w:lvlText w:val="•"/>
      <w:lvlJc w:val="left"/>
      <w:pPr>
        <w:tabs>
          <w:tab w:val="num" w:pos="5760"/>
        </w:tabs>
        <w:ind w:left="5760" w:hanging="360"/>
      </w:pPr>
      <w:rPr>
        <w:rFonts w:ascii="Arial" w:hAnsi="Arial" w:hint="default"/>
      </w:rPr>
    </w:lvl>
    <w:lvl w:ilvl="8" w:tplc="B2887B9C" w:tentative="1">
      <w:start w:val="1"/>
      <w:numFmt w:val="bullet"/>
      <w:lvlText w:val="•"/>
      <w:lvlJc w:val="left"/>
      <w:pPr>
        <w:tabs>
          <w:tab w:val="num" w:pos="6480"/>
        </w:tabs>
        <w:ind w:left="6480" w:hanging="360"/>
      </w:pPr>
      <w:rPr>
        <w:rFonts w:ascii="Arial" w:hAnsi="Arial" w:hint="default"/>
      </w:rPr>
    </w:lvl>
  </w:abstractNum>
  <w:abstractNum w:abstractNumId="13">
    <w:nsid w:val="29892D58"/>
    <w:multiLevelType w:val="hybridMultilevel"/>
    <w:tmpl w:val="9718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E121AC"/>
    <w:multiLevelType w:val="hybridMultilevel"/>
    <w:tmpl w:val="0A24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A57988"/>
    <w:multiLevelType w:val="hybridMultilevel"/>
    <w:tmpl w:val="4508B9D2"/>
    <w:lvl w:ilvl="0" w:tplc="323C7D4E">
      <w:start w:val="1"/>
      <w:numFmt w:val="bullet"/>
      <w:lvlText w:val="•"/>
      <w:lvlJc w:val="left"/>
      <w:pPr>
        <w:tabs>
          <w:tab w:val="num" w:pos="720"/>
        </w:tabs>
        <w:ind w:left="720" w:hanging="360"/>
      </w:pPr>
      <w:rPr>
        <w:rFonts w:ascii="Arial" w:hAnsi="Arial" w:hint="default"/>
      </w:rPr>
    </w:lvl>
    <w:lvl w:ilvl="1" w:tplc="B2225004">
      <w:start w:val="24"/>
      <w:numFmt w:val="bullet"/>
      <w:lvlText w:val="•"/>
      <w:lvlJc w:val="left"/>
      <w:pPr>
        <w:tabs>
          <w:tab w:val="num" w:pos="1440"/>
        </w:tabs>
        <w:ind w:left="1440" w:hanging="360"/>
      </w:pPr>
      <w:rPr>
        <w:rFonts w:ascii="Arial" w:hAnsi="Arial" w:hint="default"/>
      </w:rPr>
    </w:lvl>
    <w:lvl w:ilvl="2" w:tplc="2DBE4D0C" w:tentative="1">
      <w:start w:val="1"/>
      <w:numFmt w:val="bullet"/>
      <w:lvlText w:val="•"/>
      <w:lvlJc w:val="left"/>
      <w:pPr>
        <w:tabs>
          <w:tab w:val="num" w:pos="2160"/>
        </w:tabs>
        <w:ind w:left="2160" w:hanging="360"/>
      </w:pPr>
      <w:rPr>
        <w:rFonts w:ascii="Arial" w:hAnsi="Arial" w:hint="default"/>
      </w:rPr>
    </w:lvl>
    <w:lvl w:ilvl="3" w:tplc="4284475A" w:tentative="1">
      <w:start w:val="1"/>
      <w:numFmt w:val="bullet"/>
      <w:lvlText w:val="•"/>
      <w:lvlJc w:val="left"/>
      <w:pPr>
        <w:tabs>
          <w:tab w:val="num" w:pos="2880"/>
        </w:tabs>
        <w:ind w:left="2880" w:hanging="360"/>
      </w:pPr>
      <w:rPr>
        <w:rFonts w:ascii="Arial" w:hAnsi="Arial" w:hint="default"/>
      </w:rPr>
    </w:lvl>
    <w:lvl w:ilvl="4" w:tplc="DFBA69CA" w:tentative="1">
      <w:start w:val="1"/>
      <w:numFmt w:val="bullet"/>
      <w:lvlText w:val="•"/>
      <w:lvlJc w:val="left"/>
      <w:pPr>
        <w:tabs>
          <w:tab w:val="num" w:pos="3600"/>
        </w:tabs>
        <w:ind w:left="3600" w:hanging="360"/>
      </w:pPr>
      <w:rPr>
        <w:rFonts w:ascii="Arial" w:hAnsi="Arial" w:hint="default"/>
      </w:rPr>
    </w:lvl>
    <w:lvl w:ilvl="5" w:tplc="CB9466B4" w:tentative="1">
      <w:start w:val="1"/>
      <w:numFmt w:val="bullet"/>
      <w:lvlText w:val="•"/>
      <w:lvlJc w:val="left"/>
      <w:pPr>
        <w:tabs>
          <w:tab w:val="num" w:pos="4320"/>
        </w:tabs>
        <w:ind w:left="4320" w:hanging="360"/>
      </w:pPr>
      <w:rPr>
        <w:rFonts w:ascii="Arial" w:hAnsi="Arial" w:hint="default"/>
      </w:rPr>
    </w:lvl>
    <w:lvl w:ilvl="6" w:tplc="9D2058EA" w:tentative="1">
      <w:start w:val="1"/>
      <w:numFmt w:val="bullet"/>
      <w:lvlText w:val="•"/>
      <w:lvlJc w:val="left"/>
      <w:pPr>
        <w:tabs>
          <w:tab w:val="num" w:pos="5040"/>
        </w:tabs>
        <w:ind w:left="5040" w:hanging="360"/>
      </w:pPr>
      <w:rPr>
        <w:rFonts w:ascii="Arial" w:hAnsi="Arial" w:hint="default"/>
      </w:rPr>
    </w:lvl>
    <w:lvl w:ilvl="7" w:tplc="61440080" w:tentative="1">
      <w:start w:val="1"/>
      <w:numFmt w:val="bullet"/>
      <w:lvlText w:val="•"/>
      <w:lvlJc w:val="left"/>
      <w:pPr>
        <w:tabs>
          <w:tab w:val="num" w:pos="5760"/>
        </w:tabs>
        <w:ind w:left="5760" w:hanging="360"/>
      </w:pPr>
      <w:rPr>
        <w:rFonts w:ascii="Arial" w:hAnsi="Arial" w:hint="default"/>
      </w:rPr>
    </w:lvl>
    <w:lvl w:ilvl="8" w:tplc="9C4CA97A" w:tentative="1">
      <w:start w:val="1"/>
      <w:numFmt w:val="bullet"/>
      <w:lvlText w:val="•"/>
      <w:lvlJc w:val="left"/>
      <w:pPr>
        <w:tabs>
          <w:tab w:val="num" w:pos="6480"/>
        </w:tabs>
        <w:ind w:left="6480" w:hanging="360"/>
      </w:pPr>
      <w:rPr>
        <w:rFonts w:ascii="Arial" w:hAnsi="Arial" w:hint="default"/>
      </w:rPr>
    </w:lvl>
  </w:abstractNum>
  <w:abstractNum w:abstractNumId="16">
    <w:nsid w:val="3E201A09"/>
    <w:multiLevelType w:val="hybridMultilevel"/>
    <w:tmpl w:val="26E0BA6A"/>
    <w:lvl w:ilvl="0" w:tplc="2B68A010">
      <w:start w:val="1"/>
      <w:numFmt w:val="lowerLetter"/>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723680"/>
    <w:multiLevelType w:val="hybridMultilevel"/>
    <w:tmpl w:val="12326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685714"/>
    <w:multiLevelType w:val="hybridMultilevel"/>
    <w:tmpl w:val="AC58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20">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A73B04"/>
    <w:multiLevelType w:val="hybridMultilevel"/>
    <w:tmpl w:val="B6B8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C54DDE"/>
    <w:multiLevelType w:val="hybridMultilevel"/>
    <w:tmpl w:val="7DC21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805A2F"/>
    <w:multiLevelType w:val="hybridMultilevel"/>
    <w:tmpl w:val="FD68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6C470C"/>
    <w:multiLevelType w:val="hybridMultilevel"/>
    <w:tmpl w:val="D718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7E23561"/>
    <w:multiLevelType w:val="hybridMultilevel"/>
    <w:tmpl w:val="FB885D58"/>
    <w:lvl w:ilvl="0" w:tplc="7F30B25E">
      <w:start w:val="1"/>
      <w:numFmt w:val="lowerLetter"/>
      <w:lvlText w:val="%1."/>
      <w:lvlJc w:val="left"/>
      <w:pPr>
        <w:ind w:left="720" w:hanging="360"/>
      </w:pPr>
      <w:rPr>
        <w:rFonts w:hint="default"/>
        <w:sz w:val="2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720398"/>
    <w:multiLevelType w:val="hybridMultilevel"/>
    <w:tmpl w:val="F59AB42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15D0776"/>
    <w:multiLevelType w:val="hybridMultilevel"/>
    <w:tmpl w:val="882A53C8"/>
    <w:lvl w:ilvl="0" w:tplc="893676D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54006A"/>
    <w:multiLevelType w:val="hybridMultilevel"/>
    <w:tmpl w:val="35C2D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30">
    <w:nsid w:val="6FA25678"/>
    <w:multiLevelType w:val="hybridMultilevel"/>
    <w:tmpl w:val="E99220FE"/>
    <w:lvl w:ilvl="0" w:tplc="019620FC">
      <w:start w:val="1"/>
      <w:numFmt w:val="bullet"/>
      <w:lvlText w:val="•"/>
      <w:lvlJc w:val="left"/>
      <w:pPr>
        <w:tabs>
          <w:tab w:val="num" w:pos="720"/>
        </w:tabs>
        <w:ind w:left="720" w:hanging="360"/>
      </w:pPr>
      <w:rPr>
        <w:rFonts w:ascii="Arial" w:hAnsi="Arial" w:hint="default"/>
      </w:rPr>
    </w:lvl>
    <w:lvl w:ilvl="1" w:tplc="C2AE2E48">
      <w:start w:val="24"/>
      <w:numFmt w:val="bullet"/>
      <w:lvlText w:val="•"/>
      <w:lvlJc w:val="left"/>
      <w:pPr>
        <w:tabs>
          <w:tab w:val="num" w:pos="1440"/>
        </w:tabs>
        <w:ind w:left="1440" w:hanging="360"/>
      </w:pPr>
      <w:rPr>
        <w:rFonts w:ascii="Arial" w:hAnsi="Arial" w:hint="default"/>
      </w:rPr>
    </w:lvl>
    <w:lvl w:ilvl="2" w:tplc="08A8543E" w:tentative="1">
      <w:start w:val="1"/>
      <w:numFmt w:val="bullet"/>
      <w:lvlText w:val="•"/>
      <w:lvlJc w:val="left"/>
      <w:pPr>
        <w:tabs>
          <w:tab w:val="num" w:pos="2160"/>
        </w:tabs>
        <w:ind w:left="2160" w:hanging="360"/>
      </w:pPr>
      <w:rPr>
        <w:rFonts w:ascii="Arial" w:hAnsi="Arial" w:hint="default"/>
      </w:rPr>
    </w:lvl>
    <w:lvl w:ilvl="3" w:tplc="27F08316" w:tentative="1">
      <w:start w:val="1"/>
      <w:numFmt w:val="bullet"/>
      <w:lvlText w:val="•"/>
      <w:lvlJc w:val="left"/>
      <w:pPr>
        <w:tabs>
          <w:tab w:val="num" w:pos="2880"/>
        </w:tabs>
        <w:ind w:left="2880" w:hanging="360"/>
      </w:pPr>
      <w:rPr>
        <w:rFonts w:ascii="Arial" w:hAnsi="Arial" w:hint="default"/>
      </w:rPr>
    </w:lvl>
    <w:lvl w:ilvl="4" w:tplc="67D259CA" w:tentative="1">
      <w:start w:val="1"/>
      <w:numFmt w:val="bullet"/>
      <w:lvlText w:val="•"/>
      <w:lvlJc w:val="left"/>
      <w:pPr>
        <w:tabs>
          <w:tab w:val="num" w:pos="3600"/>
        </w:tabs>
        <w:ind w:left="3600" w:hanging="360"/>
      </w:pPr>
      <w:rPr>
        <w:rFonts w:ascii="Arial" w:hAnsi="Arial" w:hint="default"/>
      </w:rPr>
    </w:lvl>
    <w:lvl w:ilvl="5" w:tplc="182A55D2" w:tentative="1">
      <w:start w:val="1"/>
      <w:numFmt w:val="bullet"/>
      <w:lvlText w:val="•"/>
      <w:lvlJc w:val="left"/>
      <w:pPr>
        <w:tabs>
          <w:tab w:val="num" w:pos="4320"/>
        </w:tabs>
        <w:ind w:left="4320" w:hanging="360"/>
      </w:pPr>
      <w:rPr>
        <w:rFonts w:ascii="Arial" w:hAnsi="Arial" w:hint="default"/>
      </w:rPr>
    </w:lvl>
    <w:lvl w:ilvl="6" w:tplc="A9849A9C" w:tentative="1">
      <w:start w:val="1"/>
      <w:numFmt w:val="bullet"/>
      <w:lvlText w:val="•"/>
      <w:lvlJc w:val="left"/>
      <w:pPr>
        <w:tabs>
          <w:tab w:val="num" w:pos="5040"/>
        </w:tabs>
        <w:ind w:left="5040" w:hanging="360"/>
      </w:pPr>
      <w:rPr>
        <w:rFonts w:ascii="Arial" w:hAnsi="Arial" w:hint="default"/>
      </w:rPr>
    </w:lvl>
    <w:lvl w:ilvl="7" w:tplc="C30E72D4" w:tentative="1">
      <w:start w:val="1"/>
      <w:numFmt w:val="bullet"/>
      <w:lvlText w:val="•"/>
      <w:lvlJc w:val="left"/>
      <w:pPr>
        <w:tabs>
          <w:tab w:val="num" w:pos="5760"/>
        </w:tabs>
        <w:ind w:left="5760" w:hanging="360"/>
      </w:pPr>
      <w:rPr>
        <w:rFonts w:ascii="Arial" w:hAnsi="Arial" w:hint="default"/>
      </w:rPr>
    </w:lvl>
    <w:lvl w:ilvl="8" w:tplc="A574E192" w:tentative="1">
      <w:start w:val="1"/>
      <w:numFmt w:val="bullet"/>
      <w:lvlText w:val="•"/>
      <w:lvlJc w:val="left"/>
      <w:pPr>
        <w:tabs>
          <w:tab w:val="num" w:pos="6480"/>
        </w:tabs>
        <w:ind w:left="6480" w:hanging="360"/>
      </w:pPr>
      <w:rPr>
        <w:rFonts w:ascii="Arial" w:hAnsi="Arial" w:hint="default"/>
      </w:rPr>
    </w:lvl>
  </w:abstractNum>
  <w:abstractNum w:abstractNumId="31">
    <w:nsid w:val="7020478C"/>
    <w:multiLevelType w:val="hybridMultilevel"/>
    <w:tmpl w:val="63B470E8"/>
    <w:lvl w:ilvl="0" w:tplc="B6882E8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B27425"/>
    <w:multiLevelType w:val="hybridMultilevel"/>
    <w:tmpl w:val="0B3C41B2"/>
    <w:lvl w:ilvl="0" w:tplc="57129DBE">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235838"/>
    <w:multiLevelType w:val="hybridMultilevel"/>
    <w:tmpl w:val="8FC063BC"/>
    <w:lvl w:ilvl="0" w:tplc="A7783B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30"/>
  </w:num>
  <w:num w:numId="4">
    <w:abstractNumId w:val="12"/>
  </w:num>
  <w:num w:numId="5">
    <w:abstractNumId w:val="13"/>
  </w:num>
  <w:num w:numId="6">
    <w:abstractNumId w:val="24"/>
  </w:num>
  <w:num w:numId="7">
    <w:abstractNumId w:val="27"/>
  </w:num>
  <w:num w:numId="8">
    <w:abstractNumId w:val="26"/>
  </w:num>
  <w:num w:numId="9">
    <w:abstractNumId w:val="21"/>
  </w:num>
  <w:num w:numId="10">
    <w:abstractNumId w:val="11"/>
  </w:num>
  <w:num w:numId="11">
    <w:abstractNumId w:val="14"/>
  </w:num>
  <w:num w:numId="12">
    <w:abstractNumId w:val="18"/>
  </w:num>
  <w:num w:numId="13">
    <w:abstractNumId w:val="17"/>
  </w:num>
  <w:num w:numId="14">
    <w:abstractNumId w:val="10"/>
  </w:num>
  <w:num w:numId="15">
    <w:abstractNumId w:val="23"/>
  </w:num>
  <w:num w:numId="16">
    <w:abstractNumId w:val="31"/>
  </w:num>
  <w:num w:numId="17">
    <w:abstractNumId w:val="20"/>
  </w:num>
  <w:num w:numId="18">
    <w:abstractNumId w:val="33"/>
  </w:num>
  <w:num w:numId="19">
    <w:abstractNumId w:val="7"/>
  </w:num>
  <w:num w:numId="20">
    <w:abstractNumId w:val="32"/>
  </w:num>
  <w:num w:numId="21">
    <w:abstractNumId w:val="29"/>
  </w:num>
  <w:num w:numId="22">
    <w:abstractNumId w:val="19"/>
  </w:num>
  <w:num w:numId="23">
    <w:abstractNumId w:val="1"/>
  </w:num>
  <w:num w:numId="24">
    <w:abstractNumId w:val="4"/>
  </w:num>
  <w:num w:numId="25">
    <w:abstractNumId w:val="16"/>
  </w:num>
  <w:num w:numId="26">
    <w:abstractNumId w:val="5"/>
  </w:num>
  <w:num w:numId="27">
    <w:abstractNumId w:val="3"/>
  </w:num>
  <w:num w:numId="28">
    <w:abstractNumId w:val="2"/>
  </w:num>
  <w:num w:numId="29">
    <w:abstractNumId w:val="28"/>
  </w:num>
  <w:num w:numId="30">
    <w:abstractNumId w:val="0"/>
  </w:num>
  <w:num w:numId="31">
    <w:abstractNumId w:val="6"/>
  </w:num>
  <w:num w:numId="32">
    <w:abstractNumId w:val="25"/>
  </w:num>
  <w:num w:numId="33">
    <w:abstractNumId w:val="8"/>
  </w:num>
  <w:num w:numId="34">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391"/>
    <w:rsid w:val="0000532F"/>
    <w:rsid w:val="00015C58"/>
    <w:rsid w:val="00026674"/>
    <w:rsid w:val="00040913"/>
    <w:rsid w:val="00041518"/>
    <w:rsid w:val="00046375"/>
    <w:rsid w:val="00053395"/>
    <w:rsid w:val="00060A55"/>
    <w:rsid w:val="000610F1"/>
    <w:rsid w:val="00062261"/>
    <w:rsid w:val="000941B7"/>
    <w:rsid w:val="000A008F"/>
    <w:rsid w:val="000A1B37"/>
    <w:rsid w:val="000C2813"/>
    <w:rsid w:val="000C2BF1"/>
    <w:rsid w:val="000C7451"/>
    <w:rsid w:val="000D35DC"/>
    <w:rsid w:val="000D530B"/>
    <w:rsid w:val="000E5D59"/>
    <w:rsid w:val="000F38C4"/>
    <w:rsid w:val="000F3E15"/>
    <w:rsid w:val="00104C7B"/>
    <w:rsid w:val="0010613B"/>
    <w:rsid w:val="001131A6"/>
    <w:rsid w:val="00114942"/>
    <w:rsid w:val="00121153"/>
    <w:rsid w:val="001324CA"/>
    <w:rsid w:val="001403F7"/>
    <w:rsid w:val="001435CD"/>
    <w:rsid w:val="0016507E"/>
    <w:rsid w:val="001710C6"/>
    <w:rsid w:val="001758A2"/>
    <w:rsid w:val="001C30C1"/>
    <w:rsid w:val="001E02BA"/>
    <w:rsid w:val="0022066A"/>
    <w:rsid w:val="00254A79"/>
    <w:rsid w:val="002555FA"/>
    <w:rsid w:val="002611DD"/>
    <w:rsid w:val="00286B34"/>
    <w:rsid w:val="00294CE6"/>
    <w:rsid w:val="002A4EB3"/>
    <w:rsid w:val="002B40EF"/>
    <w:rsid w:val="002D051E"/>
    <w:rsid w:val="002D6014"/>
    <w:rsid w:val="002F21FE"/>
    <w:rsid w:val="003058FA"/>
    <w:rsid w:val="00306A15"/>
    <w:rsid w:val="003224ED"/>
    <w:rsid w:val="00332358"/>
    <w:rsid w:val="00335C52"/>
    <w:rsid w:val="003534DB"/>
    <w:rsid w:val="00354F37"/>
    <w:rsid w:val="003A6862"/>
    <w:rsid w:val="003C663D"/>
    <w:rsid w:val="003C7D9C"/>
    <w:rsid w:val="003F0C9E"/>
    <w:rsid w:val="003F1FF5"/>
    <w:rsid w:val="004030DE"/>
    <w:rsid w:val="00437549"/>
    <w:rsid w:val="0044348D"/>
    <w:rsid w:val="004540E3"/>
    <w:rsid w:val="00460FBA"/>
    <w:rsid w:val="00465399"/>
    <w:rsid w:val="0047529A"/>
    <w:rsid w:val="00476AD9"/>
    <w:rsid w:val="00484177"/>
    <w:rsid w:val="00485527"/>
    <w:rsid w:val="004A532C"/>
    <w:rsid w:val="004C1771"/>
    <w:rsid w:val="004D7FD0"/>
    <w:rsid w:val="004E0491"/>
    <w:rsid w:val="004E429B"/>
    <w:rsid w:val="004E59DC"/>
    <w:rsid w:val="004F4FD5"/>
    <w:rsid w:val="00503DB6"/>
    <w:rsid w:val="00505004"/>
    <w:rsid w:val="00516ADA"/>
    <w:rsid w:val="005335A1"/>
    <w:rsid w:val="00533D68"/>
    <w:rsid w:val="005354C3"/>
    <w:rsid w:val="0055729D"/>
    <w:rsid w:val="005732EB"/>
    <w:rsid w:val="00573BAE"/>
    <w:rsid w:val="00586C1C"/>
    <w:rsid w:val="0059539C"/>
    <w:rsid w:val="005A0614"/>
    <w:rsid w:val="005B3E38"/>
    <w:rsid w:val="005C2F88"/>
    <w:rsid w:val="005C4296"/>
    <w:rsid w:val="005D614A"/>
    <w:rsid w:val="005D6C32"/>
    <w:rsid w:val="005D7694"/>
    <w:rsid w:val="005E2275"/>
    <w:rsid w:val="005F7A46"/>
    <w:rsid w:val="006014CB"/>
    <w:rsid w:val="006033CA"/>
    <w:rsid w:val="006057BE"/>
    <w:rsid w:val="00625B58"/>
    <w:rsid w:val="00626599"/>
    <w:rsid w:val="00645716"/>
    <w:rsid w:val="00666CB5"/>
    <w:rsid w:val="00671A2B"/>
    <w:rsid w:val="006744D5"/>
    <w:rsid w:val="00676EC3"/>
    <w:rsid w:val="006D0A50"/>
    <w:rsid w:val="006D254E"/>
    <w:rsid w:val="006E16CD"/>
    <w:rsid w:val="006F41A4"/>
    <w:rsid w:val="006F5E7B"/>
    <w:rsid w:val="00713C24"/>
    <w:rsid w:val="00722D61"/>
    <w:rsid w:val="00724391"/>
    <w:rsid w:val="007413B0"/>
    <w:rsid w:val="00746130"/>
    <w:rsid w:val="00765DA1"/>
    <w:rsid w:val="00766542"/>
    <w:rsid w:val="007837F5"/>
    <w:rsid w:val="00784755"/>
    <w:rsid w:val="00785BA5"/>
    <w:rsid w:val="00792C11"/>
    <w:rsid w:val="007A7A6A"/>
    <w:rsid w:val="007B6DB6"/>
    <w:rsid w:val="007C192E"/>
    <w:rsid w:val="007C23AA"/>
    <w:rsid w:val="00804165"/>
    <w:rsid w:val="00812F07"/>
    <w:rsid w:val="008332D4"/>
    <w:rsid w:val="00856E96"/>
    <w:rsid w:val="008737BE"/>
    <w:rsid w:val="00882103"/>
    <w:rsid w:val="00886119"/>
    <w:rsid w:val="008976A8"/>
    <w:rsid w:val="008A25CE"/>
    <w:rsid w:val="008A42B3"/>
    <w:rsid w:val="008B4048"/>
    <w:rsid w:val="008E0DD4"/>
    <w:rsid w:val="008E794C"/>
    <w:rsid w:val="008F0D81"/>
    <w:rsid w:val="008F6B2A"/>
    <w:rsid w:val="008F7C69"/>
    <w:rsid w:val="009047AC"/>
    <w:rsid w:val="0090612A"/>
    <w:rsid w:val="00970B46"/>
    <w:rsid w:val="00985CEE"/>
    <w:rsid w:val="00997098"/>
    <w:rsid w:val="009A054E"/>
    <w:rsid w:val="009A7B56"/>
    <w:rsid w:val="009D3C3A"/>
    <w:rsid w:val="009D5033"/>
    <w:rsid w:val="009E0485"/>
    <w:rsid w:val="00A07315"/>
    <w:rsid w:val="00A26D70"/>
    <w:rsid w:val="00A3309E"/>
    <w:rsid w:val="00A4008F"/>
    <w:rsid w:val="00A45BC5"/>
    <w:rsid w:val="00A6772E"/>
    <w:rsid w:val="00A67FC3"/>
    <w:rsid w:val="00A742A7"/>
    <w:rsid w:val="00A86866"/>
    <w:rsid w:val="00AA6D32"/>
    <w:rsid w:val="00AC0C83"/>
    <w:rsid w:val="00AC40A7"/>
    <w:rsid w:val="00AD5307"/>
    <w:rsid w:val="00AF286C"/>
    <w:rsid w:val="00AF6214"/>
    <w:rsid w:val="00B133C6"/>
    <w:rsid w:val="00B310F9"/>
    <w:rsid w:val="00B324F3"/>
    <w:rsid w:val="00B360D3"/>
    <w:rsid w:val="00B41A71"/>
    <w:rsid w:val="00B42B39"/>
    <w:rsid w:val="00B431A6"/>
    <w:rsid w:val="00B46B84"/>
    <w:rsid w:val="00B505DE"/>
    <w:rsid w:val="00B52BF2"/>
    <w:rsid w:val="00B53D7D"/>
    <w:rsid w:val="00B557DE"/>
    <w:rsid w:val="00B565B3"/>
    <w:rsid w:val="00B63E43"/>
    <w:rsid w:val="00B65AB9"/>
    <w:rsid w:val="00B74EFE"/>
    <w:rsid w:val="00B8524B"/>
    <w:rsid w:val="00B92C0F"/>
    <w:rsid w:val="00B95306"/>
    <w:rsid w:val="00B9618A"/>
    <w:rsid w:val="00B97BC4"/>
    <w:rsid w:val="00BC0136"/>
    <w:rsid w:val="00BC38C6"/>
    <w:rsid w:val="00BF0787"/>
    <w:rsid w:val="00BF14B3"/>
    <w:rsid w:val="00BF2E51"/>
    <w:rsid w:val="00C00B06"/>
    <w:rsid w:val="00C15012"/>
    <w:rsid w:val="00C2322F"/>
    <w:rsid w:val="00C23696"/>
    <w:rsid w:val="00C34335"/>
    <w:rsid w:val="00C351BA"/>
    <w:rsid w:val="00C35201"/>
    <w:rsid w:val="00C54D53"/>
    <w:rsid w:val="00C57AC8"/>
    <w:rsid w:val="00C63090"/>
    <w:rsid w:val="00C63AA0"/>
    <w:rsid w:val="00C65EE8"/>
    <w:rsid w:val="00C86834"/>
    <w:rsid w:val="00C90535"/>
    <w:rsid w:val="00C93659"/>
    <w:rsid w:val="00C95502"/>
    <w:rsid w:val="00CE307D"/>
    <w:rsid w:val="00CE3F0F"/>
    <w:rsid w:val="00CE5AFB"/>
    <w:rsid w:val="00CF05B3"/>
    <w:rsid w:val="00CF13EB"/>
    <w:rsid w:val="00CF3D24"/>
    <w:rsid w:val="00CF443F"/>
    <w:rsid w:val="00CF53FF"/>
    <w:rsid w:val="00CF720D"/>
    <w:rsid w:val="00D173C3"/>
    <w:rsid w:val="00D31875"/>
    <w:rsid w:val="00D34B36"/>
    <w:rsid w:val="00D436FE"/>
    <w:rsid w:val="00D450ED"/>
    <w:rsid w:val="00D46CCC"/>
    <w:rsid w:val="00D556C3"/>
    <w:rsid w:val="00D56D9C"/>
    <w:rsid w:val="00D572BF"/>
    <w:rsid w:val="00D65D52"/>
    <w:rsid w:val="00D83557"/>
    <w:rsid w:val="00D83739"/>
    <w:rsid w:val="00D8669B"/>
    <w:rsid w:val="00D92DF8"/>
    <w:rsid w:val="00DB503E"/>
    <w:rsid w:val="00DB63D3"/>
    <w:rsid w:val="00E0259C"/>
    <w:rsid w:val="00E05413"/>
    <w:rsid w:val="00E11D12"/>
    <w:rsid w:val="00E16761"/>
    <w:rsid w:val="00E17FC0"/>
    <w:rsid w:val="00E3385A"/>
    <w:rsid w:val="00E3428E"/>
    <w:rsid w:val="00E76BAA"/>
    <w:rsid w:val="00E82261"/>
    <w:rsid w:val="00E910A5"/>
    <w:rsid w:val="00EA0518"/>
    <w:rsid w:val="00EA0AC1"/>
    <w:rsid w:val="00EA0BE5"/>
    <w:rsid w:val="00EA149B"/>
    <w:rsid w:val="00EA3F58"/>
    <w:rsid w:val="00EB6C91"/>
    <w:rsid w:val="00EC25F0"/>
    <w:rsid w:val="00ED2671"/>
    <w:rsid w:val="00ED455B"/>
    <w:rsid w:val="00ED7F02"/>
    <w:rsid w:val="00EE0155"/>
    <w:rsid w:val="00EE3C0B"/>
    <w:rsid w:val="00EE61DF"/>
    <w:rsid w:val="00F625DE"/>
    <w:rsid w:val="00F742D3"/>
    <w:rsid w:val="00F85D76"/>
    <w:rsid w:val="00F950A2"/>
    <w:rsid w:val="00FA4019"/>
    <w:rsid w:val="00FB5C38"/>
    <w:rsid w:val="00FD7D2F"/>
    <w:rsid w:val="00FF0BE1"/>
    <w:rsid w:val="00FF2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5AB9"/>
    <w:pPr>
      <w:keepNext/>
      <w:keepLines/>
      <w:spacing w:after="240" w:line="432" w:lineRule="exact"/>
      <w:jc w:val="center"/>
      <w:outlineLvl w:val="0"/>
    </w:pPr>
    <w:rPr>
      <w:rFonts w:ascii="Arial" w:eastAsiaTheme="majorEastAsia" w:hAnsi="Arial" w:cstheme="majorBidi"/>
      <w:b/>
      <w:sz w:val="28"/>
      <w:szCs w:val="32"/>
    </w:rPr>
  </w:style>
  <w:style w:type="paragraph" w:styleId="Heading2">
    <w:name w:val="heading 2"/>
    <w:basedOn w:val="Normal"/>
    <w:next w:val="BodyText"/>
    <w:link w:val="Heading2Char"/>
    <w:autoRedefine/>
    <w:uiPriority w:val="9"/>
    <w:qFormat/>
    <w:rsid w:val="005F7A46"/>
    <w:pPr>
      <w:widowControl w:val="0"/>
      <w:spacing w:after="0" w:line="240" w:lineRule="auto"/>
      <w:outlineLvl w:val="1"/>
    </w:pPr>
    <w:rPr>
      <w:rFonts w:ascii="Arial" w:eastAsiaTheme="majorEastAsia" w:hAnsi="Arial" w:cs="Arial"/>
      <w:b/>
      <w:sz w:val="28"/>
      <w:szCs w:val="24"/>
    </w:rPr>
  </w:style>
  <w:style w:type="paragraph" w:styleId="Heading3">
    <w:name w:val="heading 3"/>
    <w:basedOn w:val="Normal"/>
    <w:next w:val="BodyText"/>
    <w:link w:val="Heading3Char"/>
    <w:autoRedefine/>
    <w:uiPriority w:val="9"/>
    <w:qFormat/>
    <w:rsid w:val="00AC40A7"/>
    <w:pPr>
      <w:keepNext/>
      <w:keepLines/>
      <w:spacing w:after="0" w:line="240" w:lineRule="auto"/>
      <w:outlineLvl w:val="2"/>
    </w:pPr>
    <w:rPr>
      <w:rFonts w:ascii="Arial" w:eastAsia="Calibri" w:hAnsi="Arial" w:cs="Arial"/>
      <w:b/>
      <w:i/>
      <w:sz w:val="24"/>
      <w:szCs w:val="24"/>
    </w:rPr>
  </w:style>
  <w:style w:type="paragraph" w:styleId="Heading4">
    <w:name w:val="heading 4"/>
    <w:basedOn w:val="Normal"/>
    <w:next w:val="Normal"/>
    <w:link w:val="Heading4Char"/>
    <w:uiPriority w:val="9"/>
    <w:unhideWhenUsed/>
    <w:qFormat/>
    <w:rsid w:val="00AC40A7"/>
    <w:pPr>
      <w:keepNext/>
      <w:keepLines/>
      <w:spacing w:after="0" w:line="360" w:lineRule="auto"/>
      <w:outlineLvl w:val="3"/>
    </w:pPr>
    <w:rPr>
      <w:rFonts w:ascii="Arial" w:eastAsiaTheme="majorEastAsia" w:hAnsi="Arial" w:cstheme="majorBidi"/>
      <w:bCs/>
      <w:i/>
      <w:iCs/>
      <w:sz w:val="24"/>
    </w:rPr>
  </w:style>
  <w:style w:type="paragraph" w:styleId="Heading5">
    <w:name w:val="heading 5"/>
    <w:basedOn w:val="Normal"/>
    <w:next w:val="Normal"/>
    <w:link w:val="Heading5Char"/>
    <w:uiPriority w:val="9"/>
    <w:semiHidden/>
    <w:unhideWhenUsed/>
    <w:qFormat/>
    <w:rsid w:val="001324C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324C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324C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324CA"/>
    <w:pPr>
      <w:spacing w:after="0"/>
      <w:outlineLvl w:val="7"/>
    </w:pPr>
    <w:rPr>
      <w:rFonts w:asciiTheme="majorHAnsi" w:eastAsiaTheme="majorEastAsia" w:hAnsiTheme="majorHAnsi" w:cstheme="majorBidi"/>
      <w:sz w:val="20"/>
      <w:szCs w:val="20"/>
    </w:rPr>
  </w:style>
  <w:style w:type="paragraph" w:styleId="Heading9">
    <w:name w:val="heading 9"/>
    <w:aliases w:val="Heading 9 (business proposal only)"/>
    <w:basedOn w:val="Normal"/>
    <w:next w:val="Normal"/>
    <w:link w:val="Heading9Char"/>
    <w:uiPriority w:val="9"/>
    <w:semiHidden/>
    <w:unhideWhenUsed/>
    <w:qFormat/>
    <w:rsid w:val="001324C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391"/>
  </w:style>
  <w:style w:type="paragraph" w:styleId="Footer">
    <w:name w:val="footer"/>
    <w:basedOn w:val="Normal"/>
    <w:link w:val="FooterChar"/>
    <w:uiPriority w:val="99"/>
    <w:unhideWhenUsed/>
    <w:rsid w:val="00724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391"/>
  </w:style>
  <w:style w:type="paragraph" w:styleId="ListParagraph">
    <w:name w:val="List Paragraph"/>
    <w:basedOn w:val="Normal"/>
    <w:uiPriority w:val="34"/>
    <w:qFormat/>
    <w:rsid w:val="00040913"/>
    <w:pPr>
      <w:ind w:left="720"/>
      <w:contextualSpacing/>
    </w:pPr>
  </w:style>
  <w:style w:type="character" w:customStyle="1" w:styleId="Heading2Char">
    <w:name w:val="Heading 2 Char"/>
    <w:basedOn w:val="DefaultParagraphFont"/>
    <w:link w:val="Heading2"/>
    <w:uiPriority w:val="9"/>
    <w:rsid w:val="005F7A46"/>
    <w:rPr>
      <w:rFonts w:ascii="Arial" w:eastAsiaTheme="majorEastAsia" w:hAnsi="Arial" w:cs="Arial"/>
      <w:b/>
      <w:sz w:val="28"/>
      <w:szCs w:val="24"/>
    </w:rPr>
  </w:style>
  <w:style w:type="character" w:customStyle="1" w:styleId="Heading3Char">
    <w:name w:val="Heading 3 Char"/>
    <w:basedOn w:val="DefaultParagraphFont"/>
    <w:link w:val="Heading3"/>
    <w:uiPriority w:val="9"/>
    <w:rsid w:val="00AC40A7"/>
    <w:rPr>
      <w:rFonts w:ascii="Arial" w:eastAsia="Calibri" w:hAnsi="Arial" w:cs="Arial"/>
      <w:b/>
      <w:i/>
      <w:sz w:val="24"/>
      <w:szCs w:val="24"/>
    </w:rPr>
  </w:style>
  <w:style w:type="table" w:styleId="TableGrid">
    <w:name w:val="Table Grid"/>
    <w:basedOn w:val="TableNormal"/>
    <w:uiPriority w:val="59"/>
    <w:rsid w:val="009D3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D3C3A"/>
    <w:pPr>
      <w:spacing w:after="0" w:line="270" w:lineRule="atLeast"/>
    </w:pPr>
    <w:rPr>
      <w:rFonts w:ascii="Arial" w:hAnsi="Arial"/>
    </w:rPr>
  </w:style>
  <w:style w:type="character" w:customStyle="1" w:styleId="BodyTextChar">
    <w:name w:val="Body Text Char"/>
    <w:basedOn w:val="DefaultParagraphFont"/>
    <w:link w:val="BodyText"/>
    <w:uiPriority w:val="1"/>
    <w:rsid w:val="009D3C3A"/>
    <w:rPr>
      <w:rFonts w:ascii="Arial" w:hAnsi="Arial"/>
    </w:rPr>
  </w:style>
  <w:style w:type="character" w:styleId="Hyperlink">
    <w:name w:val="Hyperlink"/>
    <w:basedOn w:val="DefaultParagraphFont"/>
    <w:uiPriority w:val="99"/>
    <w:unhideWhenUsed/>
    <w:rsid w:val="009D3C3A"/>
    <w:rPr>
      <w:color w:val="0000FF"/>
      <w:u w:val="single"/>
    </w:rPr>
  </w:style>
  <w:style w:type="paragraph" w:customStyle="1" w:styleId="EndNoteBibliography">
    <w:name w:val="EndNote Bibliography"/>
    <w:basedOn w:val="Normal"/>
    <w:link w:val="EndNoteBibliographyChar"/>
    <w:rsid w:val="009D3C3A"/>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D3C3A"/>
    <w:rPr>
      <w:rFonts w:ascii="Calibri" w:hAnsi="Calibri" w:cs="Calibri"/>
      <w:noProof/>
    </w:rPr>
  </w:style>
  <w:style w:type="paragraph" w:styleId="BalloonText">
    <w:name w:val="Balloon Text"/>
    <w:basedOn w:val="Normal"/>
    <w:link w:val="BalloonTextChar"/>
    <w:uiPriority w:val="99"/>
    <w:semiHidden/>
    <w:unhideWhenUsed/>
    <w:rsid w:val="009D3C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C3A"/>
    <w:rPr>
      <w:rFonts w:ascii="Tahoma" w:hAnsi="Tahoma" w:cs="Tahoma"/>
      <w:sz w:val="16"/>
      <w:szCs w:val="16"/>
    </w:rPr>
  </w:style>
  <w:style w:type="character" w:customStyle="1" w:styleId="Heading4Char">
    <w:name w:val="Heading 4 Char"/>
    <w:basedOn w:val="DefaultParagraphFont"/>
    <w:link w:val="Heading4"/>
    <w:uiPriority w:val="9"/>
    <w:rsid w:val="00AC40A7"/>
    <w:rPr>
      <w:rFonts w:ascii="Arial" w:eastAsiaTheme="majorEastAsia" w:hAnsi="Arial" w:cstheme="majorBidi"/>
      <w:bCs/>
      <w:i/>
      <w:iCs/>
      <w:sz w:val="24"/>
    </w:rPr>
  </w:style>
  <w:style w:type="character" w:customStyle="1" w:styleId="Heading1Char">
    <w:name w:val="Heading 1 Char"/>
    <w:basedOn w:val="DefaultParagraphFont"/>
    <w:link w:val="Heading1"/>
    <w:uiPriority w:val="9"/>
    <w:rsid w:val="00B65AB9"/>
    <w:rPr>
      <w:rFonts w:ascii="Arial" w:eastAsiaTheme="majorEastAsia" w:hAnsi="Arial" w:cstheme="majorBidi"/>
      <w:b/>
      <w:sz w:val="28"/>
      <w:szCs w:val="32"/>
    </w:rPr>
  </w:style>
  <w:style w:type="numbering" w:customStyle="1" w:styleId="NoList1">
    <w:name w:val="No List1"/>
    <w:next w:val="NoList"/>
    <w:uiPriority w:val="99"/>
    <w:semiHidden/>
    <w:unhideWhenUsed/>
    <w:rsid w:val="009D3C3A"/>
  </w:style>
  <w:style w:type="paragraph" w:styleId="NoSpacing">
    <w:name w:val="No Spacing"/>
    <w:link w:val="NoSpacingChar"/>
    <w:uiPriority w:val="1"/>
    <w:qFormat/>
    <w:rsid w:val="009D3C3A"/>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9D3C3A"/>
    <w:rPr>
      <w:rFonts w:ascii="Calibri" w:eastAsia="Calibri" w:hAnsi="Calibri" w:cs="Times New Roman"/>
    </w:rPr>
  </w:style>
  <w:style w:type="character" w:styleId="LineNumber">
    <w:name w:val="line number"/>
    <w:basedOn w:val="DefaultParagraphFont"/>
    <w:uiPriority w:val="99"/>
    <w:semiHidden/>
    <w:unhideWhenUsed/>
    <w:rsid w:val="009D3C3A"/>
  </w:style>
  <w:style w:type="paragraph" w:styleId="BodyText2">
    <w:name w:val="Body Text 2"/>
    <w:basedOn w:val="Normal"/>
    <w:link w:val="BodyText2Char"/>
    <w:uiPriority w:val="99"/>
    <w:unhideWhenUsed/>
    <w:rsid w:val="000E5D59"/>
    <w:pPr>
      <w:spacing w:after="120" w:line="480" w:lineRule="auto"/>
    </w:pPr>
  </w:style>
  <w:style w:type="character" w:customStyle="1" w:styleId="BodyText2Char">
    <w:name w:val="Body Text 2 Char"/>
    <w:basedOn w:val="DefaultParagraphFont"/>
    <w:link w:val="BodyText2"/>
    <w:uiPriority w:val="99"/>
    <w:rsid w:val="000E5D59"/>
  </w:style>
  <w:style w:type="paragraph" w:styleId="BodyTextIndent">
    <w:name w:val="Body Text Indent"/>
    <w:basedOn w:val="Normal"/>
    <w:link w:val="BodyTextIndentChar"/>
    <w:unhideWhenUsed/>
    <w:rsid w:val="000E5D59"/>
    <w:pPr>
      <w:spacing w:after="120"/>
      <w:ind w:left="360"/>
    </w:pPr>
  </w:style>
  <w:style w:type="character" w:customStyle="1" w:styleId="BodyTextIndentChar">
    <w:name w:val="Body Text Indent Char"/>
    <w:basedOn w:val="DefaultParagraphFont"/>
    <w:link w:val="BodyTextIndent"/>
    <w:rsid w:val="000E5D59"/>
  </w:style>
  <w:style w:type="numbering" w:customStyle="1" w:styleId="NoList2">
    <w:name w:val="No List2"/>
    <w:next w:val="NoList"/>
    <w:uiPriority w:val="99"/>
    <w:semiHidden/>
    <w:unhideWhenUsed/>
    <w:rsid w:val="000E5D59"/>
  </w:style>
  <w:style w:type="paragraph" w:customStyle="1" w:styleId="TOCHeading1">
    <w:name w:val="TOC Heading1"/>
    <w:basedOn w:val="Heading1"/>
    <w:next w:val="Normal"/>
    <w:uiPriority w:val="39"/>
    <w:unhideWhenUsed/>
    <w:qFormat/>
    <w:rsid w:val="000E5D59"/>
    <w:pPr>
      <w:spacing w:before="480" w:after="0" w:line="276" w:lineRule="auto"/>
      <w:outlineLvl w:val="9"/>
    </w:pPr>
    <w:rPr>
      <w:rFonts w:ascii="Cambria" w:eastAsia="MS Gothic" w:hAnsi="Cambria" w:cs="Times New Roman"/>
      <w:bCs/>
      <w:color w:val="365F91"/>
      <w:szCs w:val="28"/>
      <w:lang w:val="x-none" w:eastAsia="ja-JP"/>
    </w:rPr>
  </w:style>
  <w:style w:type="paragraph" w:styleId="TOC1">
    <w:name w:val="toc 1"/>
    <w:basedOn w:val="Normal"/>
    <w:next w:val="Normal"/>
    <w:autoRedefine/>
    <w:uiPriority w:val="39"/>
    <w:unhideWhenUsed/>
    <w:qFormat/>
    <w:rsid w:val="00C00B06"/>
    <w:pPr>
      <w:tabs>
        <w:tab w:val="right" w:leader="dot" w:pos="9360"/>
      </w:tabs>
      <w:spacing w:after="0" w:line="240" w:lineRule="auto"/>
    </w:pPr>
    <w:rPr>
      <w:rFonts w:ascii="Arial" w:eastAsia="Calibri" w:hAnsi="Arial" w:cs="Arial"/>
      <w:b/>
      <w:sz w:val="24"/>
      <w:szCs w:val="24"/>
    </w:rPr>
  </w:style>
  <w:style w:type="paragraph" w:styleId="TOC2">
    <w:name w:val="toc 2"/>
    <w:basedOn w:val="Normal"/>
    <w:next w:val="Normal"/>
    <w:autoRedefine/>
    <w:uiPriority w:val="39"/>
    <w:unhideWhenUsed/>
    <w:qFormat/>
    <w:rsid w:val="00C00B06"/>
    <w:pPr>
      <w:tabs>
        <w:tab w:val="right" w:leader="dot" w:pos="9360"/>
      </w:tabs>
      <w:spacing w:after="0" w:line="240" w:lineRule="auto"/>
      <w:ind w:left="216"/>
    </w:pPr>
    <w:rPr>
      <w:rFonts w:ascii="Arial" w:eastAsia="Calibri" w:hAnsi="Arial" w:cs="Arial"/>
      <w:bCs/>
      <w:szCs w:val="24"/>
    </w:rPr>
  </w:style>
  <w:style w:type="paragraph" w:styleId="TOC3">
    <w:name w:val="toc 3"/>
    <w:basedOn w:val="Normal"/>
    <w:next w:val="Normal"/>
    <w:autoRedefine/>
    <w:uiPriority w:val="39"/>
    <w:unhideWhenUsed/>
    <w:qFormat/>
    <w:rsid w:val="000E5D59"/>
    <w:pPr>
      <w:ind w:left="440"/>
    </w:pPr>
    <w:rPr>
      <w:rFonts w:ascii="Calibri" w:eastAsia="Calibri" w:hAnsi="Calibri" w:cs="Times New Roman"/>
    </w:rPr>
  </w:style>
  <w:style w:type="paragraph" w:styleId="NormalWeb">
    <w:name w:val="Normal (Web)"/>
    <w:basedOn w:val="Normal"/>
    <w:uiPriority w:val="99"/>
    <w:unhideWhenUsed/>
    <w:rsid w:val="000E5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text">
    <w:name w:val="normaltext"/>
    <w:uiPriority w:val="99"/>
    <w:rsid w:val="000E5D59"/>
    <w:pPr>
      <w:spacing w:after="120" w:line="240" w:lineRule="auto"/>
    </w:pPr>
    <w:rPr>
      <w:rFonts w:ascii="Times New Roman" w:eastAsia="Times New Roman" w:hAnsi="Times New Roman" w:cs="Times New Roman"/>
      <w:sz w:val="24"/>
      <w:szCs w:val="24"/>
    </w:rPr>
  </w:style>
  <w:style w:type="character" w:styleId="Strong">
    <w:name w:val="Strong"/>
    <w:uiPriority w:val="22"/>
    <w:qFormat/>
    <w:rsid w:val="000E5D59"/>
    <w:rPr>
      <w:b/>
      <w:bCs/>
    </w:rPr>
  </w:style>
  <w:style w:type="paragraph" w:styleId="CommentText">
    <w:name w:val="annotation text"/>
    <w:basedOn w:val="Normal"/>
    <w:link w:val="CommentTextChar"/>
    <w:uiPriority w:val="99"/>
    <w:unhideWhenUsed/>
    <w:rsid w:val="000E5D59"/>
    <w:pPr>
      <w:spacing w:after="0" w:line="240" w:lineRule="auto"/>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uiPriority w:val="99"/>
    <w:rsid w:val="000E5D59"/>
    <w:rPr>
      <w:rFonts w:ascii="Times New Roman" w:eastAsia="Times New Roman" w:hAnsi="Times New Roman" w:cs="Times New Roman"/>
      <w:sz w:val="20"/>
      <w:szCs w:val="20"/>
      <w:lang w:val="x-none" w:eastAsia="x-none"/>
    </w:rPr>
  </w:style>
  <w:style w:type="character" w:styleId="CommentReference">
    <w:name w:val="annotation reference"/>
    <w:uiPriority w:val="99"/>
    <w:unhideWhenUsed/>
    <w:rsid w:val="000E5D59"/>
    <w:rPr>
      <w:sz w:val="16"/>
      <w:szCs w:val="16"/>
    </w:rPr>
  </w:style>
  <w:style w:type="character" w:styleId="Emphasis">
    <w:name w:val="Emphasis"/>
    <w:uiPriority w:val="20"/>
    <w:qFormat/>
    <w:rsid w:val="000E5D59"/>
    <w:rPr>
      <w:i/>
      <w:iCs/>
    </w:rPr>
  </w:style>
  <w:style w:type="paragraph" w:styleId="CommentSubject">
    <w:name w:val="annotation subject"/>
    <w:basedOn w:val="CommentText"/>
    <w:next w:val="CommentText"/>
    <w:link w:val="CommentSubjectChar"/>
    <w:uiPriority w:val="99"/>
    <w:semiHidden/>
    <w:unhideWhenUsed/>
    <w:rsid w:val="00EC25F0"/>
    <w:pPr>
      <w:spacing w:after="240"/>
      <w:contextualSpacing/>
    </w:pPr>
    <w:rPr>
      <w:rFonts w:eastAsiaTheme="minorHAnsi" w:cstheme="minorBidi"/>
      <w:b/>
      <w:bCs/>
      <w:lang w:val="en-US" w:eastAsia="en-US"/>
    </w:rPr>
  </w:style>
  <w:style w:type="character" w:customStyle="1" w:styleId="CommentSubjectChar">
    <w:name w:val="Comment Subject Char"/>
    <w:basedOn w:val="CommentTextChar"/>
    <w:link w:val="CommentSubject"/>
    <w:uiPriority w:val="99"/>
    <w:semiHidden/>
    <w:rsid w:val="00EC25F0"/>
    <w:rPr>
      <w:rFonts w:ascii="Times New Roman" w:eastAsia="Times New Roman" w:hAnsi="Times New Roman" w:cs="Times New Roman"/>
      <w:b/>
      <w:bCs/>
      <w:sz w:val="20"/>
      <w:szCs w:val="20"/>
      <w:lang w:val="x-none" w:eastAsia="x-none"/>
    </w:rPr>
  </w:style>
  <w:style w:type="paragraph" w:customStyle="1" w:styleId="Body">
    <w:name w:val="Body"/>
    <w:rsid w:val="00EC25F0"/>
    <w:pPr>
      <w:spacing w:after="0" w:line="240" w:lineRule="auto"/>
    </w:pPr>
    <w:rPr>
      <w:rFonts w:ascii="Helvetica" w:eastAsia="ヒラギノ角ゴ Pro W3" w:hAnsi="Helvetica" w:cs="Times New Roman"/>
      <w:color w:val="000000"/>
      <w:sz w:val="24"/>
      <w:szCs w:val="20"/>
    </w:rPr>
  </w:style>
  <w:style w:type="paragraph" w:styleId="Caption">
    <w:name w:val="caption"/>
    <w:basedOn w:val="Normal"/>
    <w:next w:val="Normal"/>
    <w:uiPriority w:val="35"/>
    <w:unhideWhenUsed/>
    <w:qFormat/>
    <w:rsid w:val="00EC25F0"/>
    <w:pPr>
      <w:spacing w:line="240" w:lineRule="auto"/>
      <w:contextualSpacing/>
    </w:pPr>
    <w:rPr>
      <w:rFonts w:ascii="Calibri" w:hAnsi="Calibri"/>
      <w:iCs/>
      <w:sz w:val="24"/>
      <w:szCs w:val="18"/>
    </w:rPr>
  </w:style>
  <w:style w:type="paragraph" w:customStyle="1" w:styleId="EndNoteBibliographyTitle">
    <w:name w:val="EndNote Bibliography Title"/>
    <w:basedOn w:val="Normal"/>
    <w:link w:val="EndNoteBibliographyTitleChar"/>
    <w:rsid w:val="00EC25F0"/>
    <w:pPr>
      <w:spacing w:after="0" w:line="270" w:lineRule="exact"/>
      <w:contextualSpacing/>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EC25F0"/>
    <w:rPr>
      <w:rFonts w:ascii="Times New Roman" w:hAnsi="Times New Roman" w:cs="Times New Roman"/>
      <w:noProof/>
      <w:sz w:val="24"/>
    </w:rPr>
  </w:style>
  <w:style w:type="character" w:customStyle="1" w:styleId="UnresolvedMention1">
    <w:name w:val="Unresolved Mention1"/>
    <w:basedOn w:val="DefaultParagraphFont"/>
    <w:uiPriority w:val="99"/>
    <w:semiHidden/>
    <w:unhideWhenUsed/>
    <w:rsid w:val="00EC25F0"/>
    <w:rPr>
      <w:color w:val="808080"/>
      <w:shd w:val="clear" w:color="auto" w:fill="E6E6E6"/>
    </w:rPr>
  </w:style>
  <w:style w:type="character" w:customStyle="1" w:styleId="UnresolvedMention2">
    <w:name w:val="Unresolved Mention2"/>
    <w:basedOn w:val="DefaultParagraphFont"/>
    <w:uiPriority w:val="99"/>
    <w:semiHidden/>
    <w:unhideWhenUsed/>
    <w:rsid w:val="00EC25F0"/>
    <w:rPr>
      <w:color w:val="808080"/>
      <w:shd w:val="clear" w:color="auto" w:fill="E6E6E6"/>
    </w:rPr>
  </w:style>
  <w:style w:type="character" w:customStyle="1" w:styleId="UnresolvedMention3">
    <w:name w:val="Unresolved Mention3"/>
    <w:basedOn w:val="DefaultParagraphFont"/>
    <w:uiPriority w:val="99"/>
    <w:semiHidden/>
    <w:unhideWhenUsed/>
    <w:rsid w:val="00EC25F0"/>
    <w:rPr>
      <w:color w:val="808080"/>
      <w:shd w:val="clear" w:color="auto" w:fill="E6E6E6"/>
    </w:rPr>
  </w:style>
  <w:style w:type="character" w:customStyle="1" w:styleId="UnresolvedMention4">
    <w:name w:val="Unresolved Mention4"/>
    <w:basedOn w:val="DefaultParagraphFont"/>
    <w:uiPriority w:val="99"/>
    <w:semiHidden/>
    <w:unhideWhenUsed/>
    <w:rsid w:val="00EC25F0"/>
    <w:rPr>
      <w:color w:val="808080"/>
      <w:shd w:val="clear" w:color="auto" w:fill="E6E6E6"/>
    </w:rPr>
  </w:style>
  <w:style w:type="character" w:customStyle="1" w:styleId="UnresolvedMention5">
    <w:name w:val="Unresolved Mention5"/>
    <w:basedOn w:val="DefaultParagraphFont"/>
    <w:uiPriority w:val="99"/>
    <w:semiHidden/>
    <w:unhideWhenUsed/>
    <w:rsid w:val="00EC25F0"/>
    <w:rPr>
      <w:color w:val="808080"/>
      <w:shd w:val="clear" w:color="auto" w:fill="E6E6E6"/>
    </w:rPr>
  </w:style>
  <w:style w:type="character" w:customStyle="1" w:styleId="UnresolvedMention">
    <w:name w:val="Unresolved Mention"/>
    <w:basedOn w:val="DefaultParagraphFont"/>
    <w:uiPriority w:val="99"/>
    <w:semiHidden/>
    <w:unhideWhenUsed/>
    <w:rsid w:val="00EC25F0"/>
    <w:rPr>
      <w:color w:val="808080"/>
      <w:shd w:val="clear" w:color="auto" w:fill="E6E6E6"/>
    </w:rPr>
  </w:style>
  <w:style w:type="paragraph" w:customStyle="1" w:styleId="TPHead">
    <w:name w:val="TP Head"/>
    <w:basedOn w:val="Normal"/>
    <w:uiPriority w:val="63"/>
    <w:qFormat/>
    <w:rsid w:val="00EC25F0"/>
    <w:pPr>
      <w:spacing w:after="240" w:line="600" w:lineRule="atLeast"/>
      <w:contextualSpacing/>
    </w:pPr>
    <w:rPr>
      <w:rFonts w:asciiTheme="majorHAnsi" w:hAnsiTheme="majorHAnsi"/>
      <w:b/>
      <w:color w:val="4D4D4F"/>
      <w:sz w:val="48"/>
      <w:szCs w:val="48"/>
    </w:rPr>
  </w:style>
  <w:style w:type="paragraph" w:customStyle="1" w:styleId="TPClient">
    <w:name w:val="TP Client"/>
    <w:basedOn w:val="Normal"/>
    <w:uiPriority w:val="64"/>
    <w:qFormat/>
    <w:rsid w:val="00EC25F0"/>
    <w:pPr>
      <w:spacing w:after="450" w:line="384" w:lineRule="exact"/>
    </w:pPr>
    <w:rPr>
      <w:rFonts w:asciiTheme="majorHAnsi" w:hAnsiTheme="majorHAnsi"/>
      <w:color w:val="4D4D4F"/>
      <w:sz w:val="32"/>
      <w:szCs w:val="32"/>
    </w:rPr>
  </w:style>
  <w:style w:type="paragraph" w:styleId="TOCHeading">
    <w:name w:val="TOC Heading"/>
    <w:basedOn w:val="Heading1"/>
    <w:next w:val="Normal"/>
    <w:uiPriority w:val="39"/>
    <w:unhideWhenUsed/>
    <w:qFormat/>
    <w:rsid w:val="00EC25F0"/>
    <w:pPr>
      <w:spacing w:before="240" w:after="0" w:line="259" w:lineRule="auto"/>
      <w:outlineLvl w:val="9"/>
    </w:pPr>
    <w:rPr>
      <w:rFonts w:asciiTheme="majorHAnsi" w:hAnsiTheme="majorHAnsi"/>
      <w:b w:val="0"/>
      <w:color w:val="365F91" w:themeColor="accent1" w:themeShade="BF"/>
      <w:sz w:val="32"/>
    </w:rPr>
  </w:style>
  <w:style w:type="character" w:styleId="FollowedHyperlink">
    <w:name w:val="FollowedHyperlink"/>
    <w:basedOn w:val="DefaultParagraphFont"/>
    <w:uiPriority w:val="99"/>
    <w:semiHidden/>
    <w:unhideWhenUsed/>
    <w:rsid w:val="00EC25F0"/>
    <w:rPr>
      <w:color w:val="800080" w:themeColor="followedHyperlink"/>
      <w:u w:val="single"/>
    </w:rPr>
  </w:style>
  <w:style w:type="paragraph" w:styleId="TableofFigures">
    <w:name w:val="table of figures"/>
    <w:basedOn w:val="Normal"/>
    <w:next w:val="Normal"/>
    <w:uiPriority w:val="99"/>
    <w:unhideWhenUsed/>
    <w:rsid w:val="00EC25F0"/>
    <w:pPr>
      <w:spacing w:after="0" w:line="256" w:lineRule="auto"/>
    </w:pPr>
  </w:style>
  <w:style w:type="character" w:customStyle="1" w:styleId="UnresolvedMention6">
    <w:name w:val="Unresolved Mention6"/>
    <w:basedOn w:val="DefaultParagraphFont"/>
    <w:uiPriority w:val="99"/>
    <w:semiHidden/>
    <w:unhideWhenUsed/>
    <w:rsid w:val="00CF13EB"/>
    <w:rPr>
      <w:color w:val="808080"/>
      <w:shd w:val="clear" w:color="auto" w:fill="E6E6E6"/>
    </w:rPr>
  </w:style>
  <w:style w:type="paragraph" w:styleId="Revision">
    <w:name w:val="Revision"/>
    <w:hidden/>
    <w:uiPriority w:val="99"/>
    <w:semiHidden/>
    <w:rsid w:val="00CF13EB"/>
    <w:pPr>
      <w:spacing w:after="0" w:line="240" w:lineRule="auto"/>
    </w:pPr>
    <w:rPr>
      <w:rFonts w:ascii="Times New Roman" w:hAnsi="Times New Roman"/>
      <w:sz w:val="24"/>
    </w:rPr>
  </w:style>
  <w:style w:type="table" w:customStyle="1" w:styleId="TableGrid1">
    <w:name w:val="Table Grid1"/>
    <w:basedOn w:val="TableNormal"/>
    <w:next w:val="TableGrid"/>
    <w:uiPriority w:val="39"/>
    <w:rsid w:val="00CF1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1324C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324C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324C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324CA"/>
    <w:rPr>
      <w:rFonts w:asciiTheme="majorHAnsi" w:eastAsiaTheme="majorEastAsia" w:hAnsiTheme="majorHAnsi" w:cstheme="majorBidi"/>
      <w:sz w:val="20"/>
      <w:szCs w:val="20"/>
    </w:rPr>
  </w:style>
  <w:style w:type="character" w:customStyle="1" w:styleId="Heading9Char">
    <w:name w:val="Heading 9 Char"/>
    <w:aliases w:val="Heading 9 (business proposal only) Char"/>
    <w:basedOn w:val="DefaultParagraphFont"/>
    <w:link w:val="Heading9"/>
    <w:uiPriority w:val="9"/>
    <w:semiHidden/>
    <w:rsid w:val="001324CA"/>
    <w:rPr>
      <w:rFonts w:asciiTheme="majorHAnsi" w:eastAsiaTheme="majorEastAsia" w:hAnsiTheme="majorHAnsi" w:cstheme="majorBidi"/>
      <w:i/>
      <w:iCs/>
      <w:spacing w:val="5"/>
      <w:sz w:val="20"/>
      <w:szCs w:val="20"/>
    </w:rPr>
  </w:style>
  <w:style w:type="paragraph" w:customStyle="1" w:styleId="AcknowledgmentnoTOC">
    <w:name w:val="Acknowledgment no TOC"/>
    <w:basedOn w:val="Normal"/>
    <w:next w:val="Normal"/>
    <w:rsid w:val="001324CA"/>
    <w:pPr>
      <w:pBdr>
        <w:bottom w:val="single" w:sz="2" w:space="1" w:color="auto"/>
      </w:pBdr>
      <w:spacing w:before="240" w:after="240" w:line="240" w:lineRule="auto"/>
      <w:outlineLvl w:val="8"/>
    </w:pPr>
    <w:rPr>
      <w:rFonts w:ascii="Arial Black" w:eastAsiaTheme="minorEastAsia" w:hAnsi="Arial Black"/>
      <w:caps/>
    </w:rPr>
  </w:style>
  <w:style w:type="paragraph" w:customStyle="1" w:styleId="Bullet">
    <w:name w:val="Bullet"/>
    <w:basedOn w:val="Normal"/>
    <w:rsid w:val="001324CA"/>
    <w:pPr>
      <w:numPr>
        <w:numId w:val="16"/>
      </w:numPr>
      <w:tabs>
        <w:tab w:val="left" w:pos="432"/>
      </w:tabs>
      <w:spacing w:after="120" w:line="240" w:lineRule="auto"/>
      <w:ind w:left="432" w:hanging="432"/>
    </w:pPr>
    <w:rPr>
      <w:rFonts w:eastAsiaTheme="minorEastAsia"/>
    </w:rPr>
  </w:style>
  <w:style w:type="paragraph" w:customStyle="1" w:styleId="BulletLastSS">
    <w:name w:val="Bullet (Last SS)"/>
    <w:basedOn w:val="Bullet"/>
    <w:next w:val="NormalSS"/>
    <w:rsid w:val="001324CA"/>
    <w:pPr>
      <w:numPr>
        <w:numId w:val="17"/>
      </w:numPr>
      <w:spacing w:after="240"/>
      <w:ind w:left="432" w:hanging="432"/>
    </w:pPr>
  </w:style>
  <w:style w:type="paragraph" w:customStyle="1" w:styleId="BulletLastDS">
    <w:name w:val="Bullet (Last DS)"/>
    <w:basedOn w:val="Bullet"/>
    <w:next w:val="Normal"/>
    <w:rsid w:val="001324CA"/>
    <w:pPr>
      <w:numPr>
        <w:numId w:val="18"/>
      </w:numPr>
      <w:spacing w:after="320"/>
      <w:ind w:left="432" w:hanging="432"/>
    </w:pPr>
  </w:style>
  <w:style w:type="paragraph" w:customStyle="1" w:styleId="Center">
    <w:name w:val="Center"/>
    <w:basedOn w:val="Normal"/>
    <w:semiHidden/>
    <w:unhideWhenUsed/>
    <w:rsid w:val="001324CA"/>
    <w:pPr>
      <w:jc w:val="center"/>
    </w:pPr>
    <w:rPr>
      <w:rFonts w:eastAsiaTheme="minorEastAsia"/>
    </w:rPr>
  </w:style>
  <w:style w:type="paragraph" w:customStyle="1" w:styleId="Dash">
    <w:name w:val="Dash"/>
    <w:basedOn w:val="Normal"/>
    <w:rsid w:val="001324CA"/>
    <w:pPr>
      <w:numPr>
        <w:numId w:val="19"/>
      </w:numPr>
      <w:tabs>
        <w:tab w:val="left" w:pos="288"/>
      </w:tabs>
      <w:spacing w:after="120" w:line="240" w:lineRule="auto"/>
    </w:pPr>
    <w:rPr>
      <w:rFonts w:eastAsiaTheme="minorEastAsia"/>
    </w:rPr>
  </w:style>
  <w:style w:type="paragraph" w:customStyle="1" w:styleId="DashLASTSS">
    <w:name w:val="Dash (LAST SS)"/>
    <w:basedOn w:val="Dash"/>
    <w:next w:val="NormalSS"/>
    <w:rsid w:val="001324CA"/>
    <w:pPr>
      <w:numPr>
        <w:numId w:val="20"/>
      </w:numPr>
      <w:spacing w:after="240"/>
    </w:pPr>
  </w:style>
  <w:style w:type="paragraph" w:customStyle="1" w:styleId="DashLASTDS">
    <w:name w:val="Dash (LAST DS)"/>
    <w:basedOn w:val="Dash"/>
    <w:next w:val="Normal"/>
    <w:rsid w:val="001324CA"/>
    <w:pPr>
      <w:spacing w:after="320"/>
    </w:pPr>
    <w:rPr>
      <w:szCs w:val="24"/>
    </w:rPr>
  </w:style>
  <w:style w:type="paragraph" w:styleId="DocumentMap">
    <w:name w:val="Document Map"/>
    <w:basedOn w:val="Normal"/>
    <w:link w:val="DocumentMapChar"/>
    <w:semiHidden/>
    <w:unhideWhenUsed/>
    <w:rsid w:val="001324CA"/>
    <w:pPr>
      <w:spacing w:line="240" w:lineRule="auto"/>
    </w:pPr>
    <w:rPr>
      <w:rFonts w:asciiTheme="majorHAnsi" w:eastAsiaTheme="minorEastAsia" w:hAnsiTheme="majorHAnsi"/>
    </w:rPr>
  </w:style>
  <w:style w:type="character" w:customStyle="1" w:styleId="DocumentMapChar">
    <w:name w:val="Document Map Char"/>
    <w:basedOn w:val="DefaultParagraphFont"/>
    <w:link w:val="DocumentMap"/>
    <w:semiHidden/>
    <w:rsid w:val="001324CA"/>
    <w:rPr>
      <w:rFonts w:asciiTheme="majorHAnsi" w:eastAsiaTheme="minorEastAsia" w:hAnsiTheme="majorHAnsi"/>
    </w:rPr>
  </w:style>
  <w:style w:type="character" w:styleId="FootnoteReference">
    <w:name w:val="footnote reference"/>
    <w:basedOn w:val="DefaultParagraphFont"/>
    <w:uiPriority w:val="99"/>
    <w:rsid w:val="001324CA"/>
    <w:rPr>
      <w:rFonts w:ascii="Times New Roman" w:hAnsi="Times New Roman"/>
      <w:color w:val="auto"/>
      <w:spacing w:val="0"/>
      <w:position w:val="0"/>
      <w:sz w:val="20"/>
      <w:u w:color="000080"/>
      <w:effect w:val="none"/>
      <w:vertAlign w:val="superscript"/>
    </w:rPr>
  </w:style>
  <w:style w:type="paragraph" w:styleId="FootnoteText">
    <w:name w:val="footnote text"/>
    <w:basedOn w:val="Normal"/>
    <w:link w:val="FootnoteTextChar"/>
    <w:uiPriority w:val="99"/>
    <w:rsid w:val="001324CA"/>
    <w:pPr>
      <w:spacing w:after="120" w:line="240" w:lineRule="auto"/>
    </w:pPr>
    <w:rPr>
      <w:rFonts w:eastAsiaTheme="minorEastAsia"/>
      <w:sz w:val="20"/>
    </w:rPr>
  </w:style>
  <w:style w:type="character" w:customStyle="1" w:styleId="FootnoteTextChar">
    <w:name w:val="Footnote Text Char"/>
    <w:basedOn w:val="DefaultParagraphFont"/>
    <w:link w:val="FootnoteText"/>
    <w:uiPriority w:val="99"/>
    <w:rsid w:val="001324CA"/>
    <w:rPr>
      <w:rFonts w:eastAsiaTheme="minorEastAsia"/>
      <w:sz w:val="20"/>
    </w:rPr>
  </w:style>
  <w:style w:type="paragraph" w:customStyle="1" w:styleId="Heading3NoTOC">
    <w:name w:val="Heading 3_No TOC"/>
    <w:basedOn w:val="Normal"/>
    <w:next w:val="NormalSS"/>
    <w:semiHidden/>
    <w:rsid w:val="001324CA"/>
    <w:pPr>
      <w:keepNext/>
      <w:spacing w:after="120" w:line="240" w:lineRule="auto"/>
      <w:ind w:left="432" w:hanging="432"/>
    </w:pPr>
    <w:rPr>
      <w:rFonts w:ascii="Arial Black" w:eastAsiaTheme="minorEastAsia" w:hAnsi="Arial Black"/>
    </w:rPr>
  </w:style>
  <w:style w:type="paragraph" w:customStyle="1" w:styleId="Heading4NoTOC">
    <w:name w:val="Heading 4_No TOC"/>
    <w:basedOn w:val="Heading4"/>
    <w:next w:val="NormalSS"/>
    <w:semiHidden/>
    <w:rsid w:val="001324CA"/>
    <w:pPr>
      <w:keepNext w:val="0"/>
      <w:keepLines w:val="0"/>
      <w:outlineLvl w:val="9"/>
    </w:pPr>
  </w:style>
  <w:style w:type="paragraph" w:customStyle="1" w:styleId="MarkforAppendixTitle">
    <w:name w:val="Mark for Appendix Title"/>
    <w:basedOn w:val="Normal"/>
    <w:next w:val="Normal"/>
    <w:rsid w:val="001324CA"/>
    <w:pPr>
      <w:spacing w:before="2640" w:after="240" w:line="240" w:lineRule="auto"/>
      <w:jc w:val="center"/>
      <w:outlineLvl w:val="1"/>
    </w:pPr>
    <w:rPr>
      <w:rFonts w:ascii="Arial Black" w:eastAsiaTheme="minorEastAsia" w:hAnsi="Arial Black"/>
      <w:caps/>
    </w:rPr>
  </w:style>
  <w:style w:type="paragraph" w:customStyle="1" w:styleId="MarkforAttachmentTitle">
    <w:name w:val="Mark for Attachment Title"/>
    <w:basedOn w:val="Normal"/>
    <w:next w:val="Normal"/>
    <w:rsid w:val="001324CA"/>
    <w:pPr>
      <w:spacing w:before="2640" w:after="240" w:line="240" w:lineRule="auto"/>
      <w:jc w:val="center"/>
      <w:outlineLvl w:val="1"/>
    </w:pPr>
    <w:rPr>
      <w:rFonts w:ascii="Arial Black" w:eastAsiaTheme="minorEastAsia" w:hAnsi="Arial Black"/>
      <w:caps/>
    </w:rPr>
  </w:style>
  <w:style w:type="paragraph" w:customStyle="1" w:styleId="MarkforExhibitTitle">
    <w:name w:val="Mark for Exhibit Title"/>
    <w:basedOn w:val="MarkforTableTitle"/>
    <w:next w:val="NormalSS"/>
    <w:rsid w:val="001324CA"/>
  </w:style>
  <w:style w:type="paragraph" w:customStyle="1" w:styleId="MarkforTableTitle">
    <w:name w:val="Mark for Table Title"/>
    <w:basedOn w:val="Normal"/>
    <w:next w:val="NormalSS"/>
    <w:rsid w:val="001324CA"/>
    <w:pPr>
      <w:keepNext/>
      <w:spacing w:after="60" w:line="240" w:lineRule="auto"/>
    </w:pPr>
    <w:rPr>
      <w:rFonts w:ascii="Arial Black" w:eastAsiaTheme="minorEastAsia" w:hAnsi="Arial Black"/>
    </w:rPr>
  </w:style>
  <w:style w:type="paragraph" w:customStyle="1" w:styleId="MarkforFigureTitle">
    <w:name w:val="Mark for Figure Title"/>
    <w:basedOn w:val="MarkforTableTitle"/>
    <w:next w:val="NormalSS"/>
    <w:rsid w:val="001324CA"/>
  </w:style>
  <w:style w:type="numbering" w:customStyle="1" w:styleId="MPROutline">
    <w:name w:val="MPROutline"/>
    <w:uiPriority w:val="99"/>
    <w:locked/>
    <w:rsid w:val="001324CA"/>
    <w:pPr>
      <w:numPr>
        <w:numId w:val="21"/>
      </w:numPr>
    </w:pPr>
  </w:style>
  <w:style w:type="character" w:customStyle="1" w:styleId="MTEquationSection">
    <w:name w:val="MTEquationSection"/>
    <w:basedOn w:val="DefaultParagraphFont"/>
    <w:rsid w:val="001324CA"/>
    <w:rPr>
      <w:rFonts w:ascii="Arial" w:hAnsi="Arial"/>
      <w:vanish/>
      <w:color w:val="auto"/>
      <w:sz w:val="18"/>
    </w:rPr>
  </w:style>
  <w:style w:type="paragraph" w:customStyle="1" w:styleId="Normalcontinued">
    <w:name w:val="Normal (continued)"/>
    <w:basedOn w:val="Normal"/>
    <w:next w:val="Normal"/>
    <w:rsid w:val="001324CA"/>
    <w:rPr>
      <w:rFonts w:eastAsiaTheme="minorEastAsia"/>
    </w:rPr>
  </w:style>
  <w:style w:type="paragraph" w:customStyle="1" w:styleId="NormalSS">
    <w:name w:val="NormalSS"/>
    <w:basedOn w:val="Normal"/>
    <w:link w:val="NormalSSChar"/>
    <w:rsid w:val="001324CA"/>
    <w:pPr>
      <w:spacing w:after="240" w:line="240" w:lineRule="auto"/>
    </w:pPr>
    <w:rPr>
      <w:rFonts w:eastAsiaTheme="minorEastAsia"/>
    </w:rPr>
  </w:style>
  <w:style w:type="paragraph" w:customStyle="1" w:styleId="NormalSScontinued">
    <w:name w:val="NormalSS (continued)"/>
    <w:basedOn w:val="NormalSS"/>
    <w:next w:val="NormalSS"/>
    <w:rsid w:val="001324CA"/>
  </w:style>
  <w:style w:type="paragraph" w:customStyle="1" w:styleId="NumberedBullet">
    <w:name w:val="Numbered Bullet"/>
    <w:basedOn w:val="Normal"/>
    <w:link w:val="NumberedBulletChar"/>
    <w:rsid w:val="001324CA"/>
    <w:pPr>
      <w:numPr>
        <w:numId w:val="22"/>
      </w:numPr>
      <w:tabs>
        <w:tab w:val="clear" w:pos="792"/>
        <w:tab w:val="left" w:pos="432"/>
      </w:tabs>
      <w:spacing w:after="120" w:line="240" w:lineRule="auto"/>
      <w:ind w:left="432" w:hanging="432"/>
    </w:pPr>
    <w:rPr>
      <w:rFonts w:eastAsiaTheme="minorEastAsia"/>
    </w:rPr>
  </w:style>
  <w:style w:type="paragraph" w:customStyle="1" w:styleId="Outline">
    <w:name w:val="Outline"/>
    <w:basedOn w:val="Normal"/>
    <w:semiHidden/>
    <w:unhideWhenUsed/>
    <w:rsid w:val="001324CA"/>
    <w:pPr>
      <w:spacing w:after="240" w:line="240" w:lineRule="auto"/>
      <w:ind w:left="720" w:hanging="720"/>
    </w:pPr>
    <w:rPr>
      <w:rFonts w:eastAsiaTheme="minorEastAsia"/>
    </w:rPr>
  </w:style>
  <w:style w:type="character" w:styleId="PageNumber">
    <w:name w:val="page number"/>
    <w:basedOn w:val="DefaultParagraphFont"/>
    <w:uiPriority w:val="99"/>
    <w:semiHidden/>
    <w:rsid w:val="001324CA"/>
    <w:rPr>
      <w:rFonts w:ascii="Arial" w:hAnsi="Arial"/>
      <w:color w:val="auto"/>
      <w:sz w:val="20"/>
      <w:bdr w:val="none" w:sz="0" w:space="0" w:color="auto"/>
    </w:rPr>
  </w:style>
  <w:style w:type="paragraph" w:customStyle="1" w:styleId="References">
    <w:name w:val="References"/>
    <w:basedOn w:val="Normal"/>
    <w:rsid w:val="001324CA"/>
    <w:pPr>
      <w:keepLines/>
      <w:spacing w:after="240" w:line="240" w:lineRule="auto"/>
      <w:ind w:left="432" w:hanging="432"/>
    </w:pPr>
    <w:rPr>
      <w:rFonts w:eastAsiaTheme="minorEastAsia"/>
    </w:rPr>
  </w:style>
  <w:style w:type="paragraph" w:customStyle="1" w:styleId="TableFootnoteCaption">
    <w:name w:val="Table Footnote_Caption"/>
    <w:rsid w:val="001324CA"/>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rsid w:val="001324CA"/>
    <w:pPr>
      <w:spacing w:before="120" w:after="60"/>
    </w:pPr>
    <w:rPr>
      <w:b/>
      <w:color w:val="FFFFFF" w:themeColor="background1"/>
    </w:rPr>
  </w:style>
  <w:style w:type="paragraph" w:customStyle="1" w:styleId="TableHeaderCenter">
    <w:name w:val="Table Header Center"/>
    <w:basedOn w:val="TableHeaderLeft"/>
    <w:rsid w:val="001324CA"/>
    <w:pPr>
      <w:jc w:val="center"/>
    </w:pPr>
  </w:style>
  <w:style w:type="paragraph" w:customStyle="1" w:styleId="TableText">
    <w:name w:val="Table Text"/>
    <w:basedOn w:val="Normal"/>
    <w:rsid w:val="001324CA"/>
    <w:pPr>
      <w:spacing w:line="240" w:lineRule="auto"/>
    </w:pPr>
    <w:rPr>
      <w:rFonts w:ascii="Arial" w:eastAsiaTheme="minorEastAsia" w:hAnsi="Arial"/>
      <w:sz w:val="18"/>
    </w:rPr>
  </w:style>
  <w:style w:type="paragraph" w:customStyle="1" w:styleId="TableSourceCaption">
    <w:name w:val="Table Source_Caption"/>
    <w:rsid w:val="001324CA"/>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rsid w:val="001324CA"/>
  </w:style>
  <w:style w:type="paragraph" w:customStyle="1" w:styleId="Tabletext8">
    <w:name w:val="Table text 8"/>
    <w:basedOn w:val="TableText"/>
    <w:rsid w:val="001324CA"/>
    <w:rPr>
      <w:snapToGrid w:val="0"/>
      <w:sz w:val="16"/>
      <w:szCs w:val="16"/>
    </w:rPr>
  </w:style>
  <w:style w:type="paragraph" w:customStyle="1" w:styleId="TableSpace">
    <w:name w:val="TableSpace"/>
    <w:basedOn w:val="TableSourceCaption"/>
    <w:next w:val="TableFootnoteCaption"/>
    <w:semiHidden/>
    <w:rsid w:val="001324CA"/>
  </w:style>
  <w:style w:type="paragraph" w:styleId="Title">
    <w:name w:val="Title"/>
    <w:basedOn w:val="Normal"/>
    <w:next w:val="Normal"/>
    <w:link w:val="TitleChar"/>
    <w:uiPriority w:val="10"/>
    <w:qFormat/>
    <w:rsid w:val="001324C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324CA"/>
    <w:rPr>
      <w:rFonts w:asciiTheme="majorHAnsi" w:eastAsiaTheme="majorEastAsia" w:hAnsiTheme="majorHAnsi" w:cstheme="majorBidi"/>
      <w:spacing w:val="5"/>
      <w:sz w:val="52"/>
      <w:szCs w:val="52"/>
    </w:rPr>
  </w:style>
  <w:style w:type="paragraph" w:customStyle="1" w:styleId="TitleofDocumentVertical">
    <w:name w:val="Title of Document Vertical"/>
    <w:basedOn w:val="Normal"/>
    <w:semiHidden/>
    <w:rsid w:val="001324CA"/>
    <w:pPr>
      <w:spacing w:before="3120" w:after="240" w:line="360" w:lineRule="exact"/>
    </w:pPr>
    <w:rPr>
      <w:rFonts w:ascii="Arial" w:eastAsiaTheme="minorEastAsia" w:hAnsi="Arial"/>
      <w:b/>
    </w:rPr>
  </w:style>
  <w:style w:type="paragraph" w:customStyle="1" w:styleId="TitleofDocumentHorizontal">
    <w:name w:val="Title of Document Horizontal"/>
    <w:basedOn w:val="TitleofDocumentVertical"/>
    <w:semiHidden/>
    <w:rsid w:val="001324CA"/>
  </w:style>
  <w:style w:type="paragraph" w:customStyle="1" w:styleId="TitleofDocumentNoPhoto">
    <w:name w:val="Title of Document No Photo"/>
    <w:basedOn w:val="TitleofDocumentHorizontal"/>
    <w:semiHidden/>
    <w:rsid w:val="001324CA"/>
    <w:pPr>
      <w:spacing w:before="0" w:after="160"/>
    </w:pPr>
  </w:style>
  <w:style w:type="paragraph" w:styleId="TOC4">
    <w:name w:val="toc 4"/>
    <w:next w:val="Normal"/>
    <w:autoRedefine/>
    <w:uiPriority w:val="39"/>
    <w:rsid w:val="001324CA"/>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rsid w:val="001324CA"/>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rsid w:val="001324CA"/>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1324CA"/>
    <w:rPr>
      <w:rFonts w:eastAsiaTheme="minorEastAsia"/>
    </w:rPr>
  </w:style>
  <w:style w:type="paragraph" w:customStyle="1" w:styleId="NumberedBulletLastDS">
    <w:name w:val="Numbered Bullet (Last DS)"/>
    <w:basedOn w:val="NumberedBullet"/>
    <w:next w:val="Normal"/>
    <w:rsid w:val="001324CA"/>
    <w:pPr>
      <w:spacing w:after="320"/>
    </w:pPr>
  </w:style>
  <w:style w:type="paragraph" w:customStyle="1" w:styleId="NumberedBulletLastSS">
    <w:name w:val="Numbered Bullet (Last SS)"/>
    <w:basedOn w:val="NumberedBulletLastDS"/>
    <w:next w:val="NormalSS"/>
    <w:rsid w:val="001324CA"/>
    <w:pPr>
      <w:spacing w:after="240"/>
    </w:pPr>
  </w:style>
  <w:style w:type="table" w:styleId="LightList">
    <w:name w:val="Light List"/>
    <w:basedOn w:val="TableNormal"/>
    <w:uiPriority w:val="61"/>
    <w:rsid w:val="001324CA"/>
    <w:pPr>
      <w:spacing w:after="0"/>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1324CA"/>
    <w:pPr>
      <w:spacing w:after="0" w:line="360" w:lineRule="auto"/>
      <w:contextualSpacing/>
      <w:textboxTightWrap w:val="allLines"/>
    </w:pPr>
    <w:rPr>
      <w:rFonts w:ascii="Arial" w:eastAsiaTheme="minorEastAsia" w:hAnsi="Arial"/>
      <w:sz w:val="18"/>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outline w:val="0"/>
        <w:shadow w:val="0"/>
        <w:emboss w:val="0"/>
        <w:imprint w:val="0"/>
        <w:vanish w:val="0"/>
        <w:color w:val="FFFFFF" w:themeColor="background1"/>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outline w:val="0"/>
        <w:shadow w:val="0"/>
        <w:emboss w:val="0"/>
        <w:imprint w:val="0"/>
        <w:vanish w:val="0"/>
        <w:color w:val="FFFFFF" w:themeColor="background1"/>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H1Title">
    <w:name w:val="H1_Title"/>
    <w:basedOn w:val="Normal"/>
    <w:next w:val="Normal"/>
    <w:link w:val="H1TitleChar"/>
    <w:rsid w:val="001324CA"/>
    <w:pPr>
      <w:spacing w:after="184" w:line="440" w:lineRule="exact"/>
      <w:outlineLvl w:val="0"/>
    </w:pPr>
    <w:rPr>
      <w:rFonts w:ascii="Arial Black" w:eastAsiaTheme="minorEastAsia" w:hAnsi="Arial Black"/>
      <w:color w:val="E70033"/>
      <w:sz w:val="37"/>
    </w:rPr>
  </w:style>
  <w:style w:type="paragraph" w:customStyle="1" w:styleId="H2Chapter">
    <w:name w:val="H2_Chapter"/>
    <w:basedOn w:val="Heading1"/>
    <w:next w:val="NormalSS"/>
    <w:link w:val="H2ChapterChar"/>
    <w:rsid w:val="001324CA"/>
    <w:pPr>
      <w:keepNext w:val="0"/>
      <w:keepLines w:val="0"/>
      <w:spacing w:before="480" w:after="0" w:line="276" w:lineRule="auto"/>
      <w:ind w:left="432" w:hanging="432"/>
      <w:contextualSpacing/>
      <w:outlineLvl w:val="1"/>
    </w:pPr>
    <w:rPr>
      <w:rFonts w:asciiTheme="majorHAnsi" w:hAnsiTheme="majorHAnsi"/>
      <w:bCs/>
      <w:szCs w:val="28"/>
    </w:rPr>
  </w:style>
  <w:style w:type="character" w:customStyle="1" w:styleId="H1TitleChar">
    <w:name w:val="H1_Title Char"/>
    <w:basedOn w:val="DefaultParagraphFont"/>
    <w:link w:val="H1Title"/>
    <w:rsid w:val="001324CA"/>
    <w:rPr>
      <w:rFonts w:ascii="Arial Black" w:eastAsiaTheme="minorEastAsia" w:hAnsi="Arial Black"/>
      <w:color w:val="E70033"/>
      <w:sz w:val="37"/>
    </w:rPr>
  </w:style>
  <w:style w:type="paragraph" w:customStyle="1" w:styleId="H3Alpha">
    <w:name w:val="H3_Alpha"/>
    <w:basedOn w:val="Heading2"/>
    <w:next w:val="NormalSS"/>
    <w:link w:val="H3AlphaChar"/>
    <w:rsid w:val="001324CA"/>
    <w:pPr>
      <w:widowControl/>
      <w:spacing w:after="120" w:line="276" w:lineRule="auto"/>
      <w:ind w:left="432" w:hanging="432"/>
      <w:outlineLvl w:val="2"/>
    </w:pPr>
    <w:rPr>
      <w:rFonts w:asciiTheme="majorHAnsi" w:hAnsiTheme="majorHAnsi" w:cstheme="majorBidi"/>
      <w:bCs/>
      <w:caps/>
      <w:sz w:val="26"/>
      <w:szCs w:val="26"/>
    </w:rPr>
  </w:style>
  <w:style w:type="character" w:customStyle="1" w:styleId="H2ChapterChar">
    <w:name w:val="H2_Chapter Char"/>
    <w:basedOn w:val="Heading1Char"/>
    <w:link w:val="H2Chapter"/>
    <w:rsid w:val="001324CA"/>
    <w:rPr>
      <w:rFonts w:asciiTheme="majorHAnsi" w:eastAsiaTheme="majorEastAsia" w:hAnsiTheme="majorHAnsi" w:cstheme="majorBidi"/>
      <w:b/>
      <w:bCs/>
      <w:color w:val="1F497D" w:themeColor="text2"/>
      <w:sz w:val="28"/>
      <w:szCs w:val="28"/>
    </w:rPr>
  </w:style>
  <w:style w:type="paragraph" w:customStyle="1" w:styleId="H3AlphaNoTOC">
    <w:name w:val="H3_Alpha_No TOC"/>
    <w:basedOn w:val="H3Alpha"/>
    <w:next w:val="NormalSS"/>
    <w:link w:val="H3AlphaNoTOCChar"/>
    <w:rsid w:val="001324CA"/>
    <w:pPr>
      <w:outlineLvl w:val="9"/>
    </w:pPr>
  </w:style>
  <w:style w:type="character" w:customStyle="1" w:styleId="H3AlphaChar">
    <w:name w:val="H3_Alpha Char"/>
    <w:basedOn w:val="Heading2Char"/>
    <w:link w:val="H3Alpha"/>
    <w:rsid w:val="001324CA"/>
    <w:rPr>
      <w:rFonts w:asciiTheme="majorHAnsi" w:eastAsiaTheme="majorEastAsia" w:hAnsiTheme="majorHAnsi" w:cstheme="majorBidi"/>
      <w:b/>
      <w:bCs/>
      <w:caps/>
      <w:sz w:val="26"/>
      <w:szCs w:val="26"/>
    </w:rPr>
  </w:style>
  <w:style w:type="paragraph" w:customStyle="1" w:styleId="H4Number">
    <w:name w:val="H4_Number"/>
    <w:basedOn w:val="Heading3"/>
    <w:next w:val="NormalSS"/>
    <w:link w:val="H4NumberChar"/>
    <w:rsid w:val="001324CA"/>
    <w:pPr>
      <w:keepNext w:val="0"/>
      <w:keepLines w:val="0"/>
      <w:spacing w:before="200" w:line="271" w:lineRule="auto"/>
      <w:outlineLvl w:val="3"/>
    </w:pPr>
    <w:rPr>
      <w:rFonts w:ascii="Times New Roman" w:hAnsi="Times New Roman" w:cstheme="majorBidi"/>
      <w:b w:val="0"/>
      <w:bCs/>
      <w:i w:val="0"/>
    </w:rPr>
  </w:style>
  <w:style w:type="character" w:customStyle="1" w:styleId="H3AlphaNoTOCChar">
    <w:name w:val="H3_Alpha_No TOC Char"/>
    <w:basedOn w:val="H3AlphaChar"/>
    <w:link w:val="H3AlphaNoTOC"/>
    <w:rsid w:val="001324CA"/>
    <w:rPr>
      <w:rFonts w:asciiTheme="majorHAnsi" w:eastAsiaTheme="majorEastAsia" w:hAnsiTheme="majorHAnsi" w:cstheme="majorBidi"/>
      <w:b/>
      <w:bCs/>
      <w:caps/>
      <w:sz w:val="26"/>
      <w:szCs w:val="26"/>
    </w:rPr>
  </w:style>
  <w:style w:type="paragraph" w:customStyle="1" w:styleId="H4NumberNoTOC">
    <w:name w:val="H4_Number_No TOC"/>
    <w:basedOn w:val="H4Number"/>
    <w:next w:val="NormalSS"/>
    <w:link w:val="H4NumberNoTOCChar"/>
    <w:rsid w:val="001324CA"/>
    <w:pPr>
      <w:outlineLvl w:val="9"/>
    </w:pPr>
  </w:style>
  <w:style w:type="character" w:customStyle="1" w:styleId="H4NumberChar">
    <w:name w:val="H4_Number Char"/>
    <w:basedOn w:val="Heading3Char"/>
    <w:link w:val="H4Number"/>
    <w:rsid w:val="001324CA"/>
    <w:rPr>
      <w:rFonts w:ascii="Times New Roman" w:eastAsiaTheme="majorEastAsia" w:hAnsi="Times New Roman" w:cstheme="majorBidi"/>
      <w:b w:val="0"/>
      <w:bCs/>
      <w:i w:val="0"/>
      <w:sz w:val="24"/>
      <w:szCs w:val="24"/>
    </w:rPr>
  </w:style>
  <w:style w:type="paragraph" w:customStyle="1" w:styleId="H5Lower">
    <w:name w:val="H5_Lower"/>
    <w:basedOn w:val="Heading4"/>
    <w:next w:val="NormalSS"/>
    <w:link w:val="H5LowerChar"/>
    <w:rsid w:val="001324CA"/>
    <w:pPr>
      <w:keepNext w:val="0"/>
      <w:keepLines w:val="0"/>
      <w:outlineLvl w:val="4"/>
    </w:pPr>
  </w:style>
  <w:style w:type="character" w:customStyle="1" w:styleId="H4NumberNoTOCChar">
    <w:name w:val="H4_Number_No TOC Char"/>
    <w:basedOn w:val="H4NumberChar"/>
    <w:link w:val="H4NumberNoTOC"/>
    <w:rsid w:val="001324CA"/>
    <w:rPr>
      <w:rFonts w:ascii="Times New Roman" w:eastAsiaTheme="majorEastAsia" w:hAnsi="Times New Roman" w:cstheme="majorBidi"/>
      <w:b w:val="0"/>
      <w:bCs/>
      <w:i w:val="0"/>
      <w:sz w:val="24"/>
      <w:szCs w:val="24"/>
    </w:rPr>
  </w:style>
  <w:style w:type="character" w:customStyle="1" w:styleId="H5LowerChar">
    <w:name w:val="H5_Lower Char"/>
    <w:basedOn w:val="Heading4Char"/>
    <w:link w:val="H5Lower"/>
    <w:rsid w:val="001324CA"/>
    <w:rPr>
      <w:rFonts w:asciiTheme="majorHAnsi" w:eastAsiaTheme="majorEastAsia" w:hAnsiTheme="majorHAnsi" w:cstheme="majorBidi"/>
      <w:b w:val="0"/>
      <w:bCs/>
      <w:i/>
      <w:iCs/>
      <w:color w:val="4F81BD" w:themeColor="accent1"/>
      <w:sz w:val="24"/>
    </w:rPr>
  </w:style>
  <w:style w:type="character" w:styleId="PlaceholderText">
    <w:name w:val="Placeholder Text"/>
    <w:basedOn w:val="DefaultParagraphFont"/>
    <w:uiPriority w:val="99"/>
    <w:semiHidden/>
    <w:rsid w:val="001324CA"/>
    <w:rPr>
      <w:color w:val="808080"/>
    </w:rPr>
  </w:style>
  <w:style w:type="paragraph" w:styleId="EndnoteText">
    <w:name w:val="endnote text"/>
    <w:basedOn w:val="Normal"/>
    <w:link w:val="EndnoteTextChar"/>
    <w:semiHidden/>
    <w:unhideWhenUsed/>
    <w:rsid w:val="001324CA"/>
    <w:pPr>
      <w:spacing w:line="240" w:lineRule="auto"/>
    </w:pPr>
    <w:rPr>
      <w:rFonts w:eastAsiaTheme="minorEastAsia"/>
      <w:sz w:val="20"/>
    </w:rPr>
  </w:style>
  <w:style w:type="character" w:customStyle="1" w:styleId="EndnoteTextChar">
    <w:name w:val="Endnote Text Char"/>
    <w:basedOn w:val="DefaultParagraphFont"/>
    <w:link w:val="EndnoteText"/>
    <w:semiHidden/>
    <w:rsid w:val="001324CA"/>
    <w:rPr>
      <w:rFonts w:eastAsiaTheme="minorEastAsia"/>
      <w:sz w:val="20"/>
    </w:rPr>
  </w:style>
  <w:style w:type="character" w:styleId="EndnoteReference">
    <w:name w:val="endnote reference"/>
    <w:basedOn w:val="DefaultParagraphFont"/>
    <w:semiHidden/>
    <w:unhideWhenUsed/>
    <w:rsid w:val="001324CA"/>
    <w:rPr>
      <w:vertAlign w:val="superscript"/>
    </w:rPr>
  </w:style>
  <w:style w:type="character" w:customStyle="1" w:styleId="NormalSSChar">
    <w:name w:val="NormalSS Char"/>
    <w:link w:val="NormalSS"/>
    <w:locked/>
    <w:rsid w:val="001324CA"/>
    <w:rPr>
      <w:rFonts w:eastAsiaTheme="minorEastAsia"/>
    </w:rPr>
  </w:style>
  <w:style w:type="character" w:customStyle="1" w:styleId="dfm-title">
    <w:name w:val="dfm-title"/>
    <w:basedOn w:val="DefaultParagraphFont"/>
    <w:rsid w:val="001324CA"/>
  </w:style>
  <w:style w:type="table" w:customStyle="1" w:styleId="LightList1">
    <w:name w:val="Light List1"/>
    <w:basedOn w:val="TableNormal"/>
    <w:next w:val="LightList"/>
    <w:uiPriority w:val="61"/>
    <w:rsid w:val="001324CA"/>
    <w:pPr>
      <w:spacing w:after="0"/>
    </w:pPr>
    <w:rPr>
      <w:rFonts w:ascii="Calibri" w:eastAsiaTheme="minorEastAsia" w:hAnsi="Calibri"/>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isclosure">
    <w:name w:val="disclosure"/>
    <w:basedOn w:val="Footer"/>
    <w:rsid w:val="001324CA"/>
    <w:pPr>
      <w:tabs>
        <w:tab w:val="clear" w:pos="4680"/>
        <w:tab w:val="center" w:pos="4770"/>
      </w:tabs>
      <w:spacing w:before="120" w:after="200"/>
      <w:jc w:val="center"/>
    </w:pPr>
    <w:rPr>
      <w:rFonts w:ascii="Arial" w:eastAsiaTheme="minorEastAsia" w:hAnsi="Arial"/>
      <w:sz w:val="17"/>
    </w:rPr>
  </w:style>
  <w:style w:type="paragraph" w:customStyle="1" w:styleId="backcovercities">
    <w:name w:val="back cover cities"/>
    <w:basedOn w:val="Normal"/>
    <w:rsid w:val="001324CA"/>
    <w:pPr>
      <w:spacing w:line="240" w:lineRule="auto"/>
    </w:pPr>
    <w:rPr>
      <w:rFonts w:ascii="Arial Black" w:eastAsiaTheme="minorEastAsia" w:hAnsi="Arial Black"/>
      <w:caps/>
      <w:noProof/>
      <w:spacing w:val="-3"/>
      <w:sz w:val="14"/>
      <w:szCs w:val="19"/>
    </w:rPr>
  </w:style>
  <w:style w:type="paragraph" w:customStyle="1" w:styleId="backcovertitle">
    <w:name w:val="back cover title"/>
    <w:basedOn w:val="Normal"/>
    <w:rsid w:val="001324CA"/>
    <w:pPr>
      <w:pBdr>
        <w:top w:val="single" w:sz="4" w:space="5" w:color="auto"/>
        <w:bottom w:val="single" w:sz="4" w:space="5" w:color="auto"/>
      </w:pBdr>
      <w:spacing w:after="184" w:line="280" w:lineRule="exact"/>
      <w:outlineLvl w:val="0"/>
    </w:pPr>
    <w:rPr>
      <w:rFonts w:ascii="Arial Black" w:eastAsiaTheme="minorEastAsia" w:hAnsi="Arial Black"/>
      <w:noProof/>
      <w:color w:val="E70033"/>
      <w:szCs w:val="26"/>
    </w:rPr>
  </w:style>
  <w:style w:type="paragraph" w:styleId="Subtitle">
    <w:name w:val="Subtitle"/>
    <w:basedOn w:val="Normal"/>
    <w:next w:val="Normal"/>
    <w:link w:val="SubtitleChar"/>
    <w:uiPriority w:val="11"/>
    <w:qFormat/>
    <w:rsid w:val="001324C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324CA"/>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1324CA"/>
    <w:pPr>
      <w:spacing w:before="200" w:after="0"/>
      <w:ind w:left="360" w:right="360"/>
    </w:pPr>
    <w:rPr>
      <w:rFonts w:eastAsiaTheme="minorEastAsia"/>
      <w:i/>
      <w:iCs/>
    </w:rPr>
  </w:style>
  <w:style w:type="character" w:customStyle="1" w:styleId="QuoteChar">
    <w:name w:val="Quote Char"/>
    <w:basedOn w:val="DefaultParagraphFont"/>
    <w:link w:val="Quote"/>
    <w:uiPriority w:val="29"/>
    <w:rsid w:val="001324CA"/>
    <w:rPr>
      <w:rFonts w:eastAsiaTheme="minorEastAsia"/>
      <w:i/>
      <w:iCs/>
    </w:rPr>
  </w:style>
  <w:style w:type="paragraph" w:styleId="IntenseQuote">
    <w:name w:val="Intense Quote"/>
    <w:basedOn w:val="Normal"/>
    <w:next w:val="Normal"/>
    <w:link w:val="IntenseQuoteChar"/>
    <w:uiPriority w:val="30"/>
    <w:qFormat/>
    <w:rsid w:val="001324CA"/>
    <w:pPr>
      <w:pBdr>
        <w:bottom w:val="single" w:sz="4" w:space="1" w:color="auto"/>
      </w:pBdr>
      <w:spacing w:before="200" w:after="280"/>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1324CA"/>
    <w:rPr>
      <w:rFonts w:eastAsiaTheme="minorEastAsia"/>
      <w:b/>
      <w:bCs/>
      <w:i/>
      <w:iCs/>
    </w:rPr>
  </w:style>
  <w:style w:type="character" w:styleId="SubtleEmphasis">
    <w:name w:val="Subtle Emphasis"/>
    <w:uiPriority w:val="19"/>
    <w:qFormat/>
    <w:rsid w:val="001324CA"/>
    <w:rPr>
      <w:i/>
      <w:iCs/>
    </w:rPr>
  </w:style>
  <w:style w:type="character" w:styleId="IntenseEmphasis">
    <w:name w:val="Intense Emphasis"/>
    <w:uiPriority w:val="21"/>
    <w:qFormat/>
    <w:rsid w:val="001324CA"/>
    <w:rPr>
      <w:b/>
      <w:bCs/>
    </w:rPr>
  </w:style>
  <w:style w:type="character" w:styleId="SubtleReference">
    <w:name w:val="Subtle Reference"/>
    <w:uiPriority w:val="31"/>
    <w:qFormat/>
    <w:rsid w:val="001324CA"/>
    <w:rPr>
      <w:smallCaps/>
    </w:rPr>
  </w:style>
  <w:style w:type="character" w:styleId="IntenseReference">
    <w:name w:val="Intense Reference"/>
    <w:uiPriority w:val="32"/>
    <w:qFormat/>
    <w:rsid w:val="001324CA"/>
    <w:rPr>
      <w:smallCaps/>
      <w:spacing w:val="5"/>
      <w:u w:val="single"/>
    </w:rPr>
  </w:style>
  <w:style w:type="character" w:styleId="BookTitle">
    <w:name w:val="Book Title"/>
    <w:uiPriority w:val="33"/>
    <w:qFormat/>
    <w:rsid w:val="001324CA"/>
    <w:rPr>
      <w:i/>
      <w:iCs/>
      <w:smallCaps/>
      <w:spacing w:val="5"/>
    </w:rPr>
  </w:style>
  <w:style w:type="paragraph" w:styleId="TOC5">
    <w:name w:val="toc 5"/>
    <w:basedOn w:val="Normal"/>
    <w:next w:val="Normal"/>
    <w:autoRedefine/>
    <w:uiPriority w:val="39"/>
    <w:unhideWhenUsed/>
    <w:rsid w:val="000A1B37"/>
    <w:pPr>
      <w:spacing w:after="100"/>
      <w:ind w:left="880"/>
    </w:pPr>
    <w:rPr>
      <w:rFonts w:eastAsiaTheme="minorEastAsia"/>
    </w:rPr>
  </w:style>
  <w:style w:type="paragraph" w:styleId="TOC6">
    <w:name w:val="toc 6"/>
    <w:basedOn w:val="Normal"/>
    <w:next w:val="Normal"/>
    <w:autoRedefine/>
    <w:uiPriority w:val="39"/>
    <w:unhideWhenUsed/>
    <w:rsid w:val="000A1B37"/>
    <w:pPr>
      <w:spacing w:after="100"/>
      <w:ind w:left="1100"/>
    </w:pPr>
    <w:rPr>
      <w:rFonts w:eastAsiaTheme="minorEastAsia"/>
    </w:rPr>
  </w:style>
  <w:style w:type="paragraph" w:styleId="TOC7">
    <w:name w:val="toc 7"/>
    <w:basedOn w:val="Normal"/>
    <w:next w:val="Normal"/>
    <w:autoRedefine/>
    <w:uiPriority w:val="39"/>
    <w:unhideWhenUsed/>
    <w:rsid w:val="000A1B37"/>
    <w:pPr>
      <w:spacing w:after="100"/>
      <w:ind w:left="1320"/>
    </w:pPr>
    <w:rPr>
      <w:rFonts w:eastAsiaTheme="minorEastAsia"/>
    </w:rPr>
  </w:style>
  <w:style w:type="paragraph" w:styleId="TOC9">
    <w:name w:val="toc 9"/>
    <w:basedOn w:val="Normal"/>
    <w:next w:val="Normal"/>
    <w:autoRedefine/>
    <w:uiPriority w:val="39"/>
    <w:unhideWhenUsed/>
    <w:rsid w:val="000A1B37"/>
    <w:pPr>
      <w:spacing w:after="100"/>
      <w:ind w:left="1760"/>
    </w:pPr>
    <w:rPr>
      <w:rFonts w:eastAsiaTheme="minorEastAsia"/>
    </w:rPr>
  </w:style>
  <w:style w:type="numbering" w:customStyle="1" w:styleId="NoList3">
    <w:name w:val="No List3"/>
    <w:next w:val="NoList"/>
    <w:uiPriority w:val="99"/>
    <w:semiHidden/>
    <w:unhideWhenUsed/>
    <w:rsid w:val="00ED7F02"/>
  </w:style>
  <w:style w:type="table" w:customStyle="1" w:styleId="TableGrid2">
    <w:name w:val="Table Grid2"/>
    <w:basedOn w:val="TableNormal"/>
    <w:next w:val="TableGrid"/>
    <w:uiPriority w:val="59"/>
    <w:rsid w:val="00ED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ED7F02"/>
    <w:pPr>
      <w:spacing w:after="120" w:line="240" w:lineRule="auto"/>
      <w:ind w:firstLine="720"/>
      <w:jc w:val="both"/>
    </w:pPr>
    <w:rPr>
      <w:rFonts w:ascii="CG Times (WN)" w:eastAsia="PMingLiU" w:hAnsi="CG Times (WN)" w:cs="Times New Roman"/>
      <w:sz w:val="24"/>
      <w:szCs w:val="20"/>
    </w:rPr>
  </w:style>
  <w:style w:type="paragraph" w:customStyle="1" w:styleId="ListBullet1">
    <w:name w:val="List Bullet1"/>
    <w:basedOn w:val="Normal"/>
    <w:next w:val="ListBullet"/>
    <w:uiPriority w:val="17"/>
    <w:qFormat/>
    <w:rsid w:val="00ED7F02"/>
    <w:pPr>
      <w:numPr>
        <w:numId w:val="30"/>
      </w:numPr>
      <w:tabs>
        <w:tab w:val="clear" w:pos="360"/>
        <w:tab w:val="left" w:pos="288"/>
        <w:tab w:val="num" w:pos="720"/>
      </w:tabs>
      <w:spacing w:after="240" w:line="270" w:lineRule="atLeast"/>
      <w:ind w:left="288" w:hanging="288"/>
    </w:pPr>
  </w:style>
  <w:style w:type="paragraph" w:customStyle="1" w:styleId="Acknowledgments">
    <w:name w:val="Acknowledgments"/>
    <w:basedOn w:val="Normal"/>
    <w:uiPriority w:val="27"/>
    <w:qFormat/>
    <w:rsid w:val="00ED7F02"/>
    <w:pPr>
      <w:spacing w:after="180" w:line="270" w:lineRule="exact"/>
      <w:ind w:left="720" w:right="720"/>
    </w:pPr>
  </w:style>
  <w:style w:type="paragraph" w:customStyle="1" w:styleId="Style">
    <w:name w:val="Style"/>
    <w:rsid w:val="00ED7F02"/>
    <w:pPr>
      <w:widowControl w:val="0"/>
      <w:autoSpaceDE w:val="0"/>
      <w:autoSpaceDN w:val="0"/>
      <w:adjustRightInd w:val="0"/>
      <w:spacing w:after="0" w:line="240" w:lineRule="auto"/>
    </w:pPr>
    <w:rPr>
      <w:rFonts w:ascii="Arial" w:eastAsia="MS Mincho" w:hAnsi="Arial" w:cs="Arial"/>
      <w:sz w:val="24"/>
      <w:szCs w:val="24"/>
    </w:rPr>
  </w:style>
  <w:style w:type="character" w:customStyle="1" w:styleId="apple-converted-space">
    <w:name w:val="apple-converted-space"/>
    <w:basedOn w:val="DefaultParagraphFont"/>
    <w:rsid w:val="00ED7F02"/>
  </w:style>
  <w:style w:type="character" w:customStyle="1" w:styleId="ref-journal">
    <w:name w:val="ref-journal"/>
    <w:basedOn w:val="DefaultParagraphFont"/>
    <w:rsid w:val="00ED7F02"/>
  </w:style>
  <w:style w:type="character" w:customStyle="1" w:styleId="ref-vol">
    <w:name w:val="ref-vol"/>
    <w:basedOn w:val="DefaultParagraphFont"/>
    <w:rsid w:val="00ED7F02"/>
  </w:style>
  <w:style w:type="character" w:customStyle="1" w:styleId="BodyText2Char1">
    <w:name w:val="Body Text 2 Char1"/>
    <w:basedOn w:val="DefaultParagraphFont"/>
    <w:uiPriority w:val="99"/>
    <w:semiHidden/>
    <w:rsid w:val="00ED7F02"/>
  </w:style>
  <w:style w:type="character" w:customStyle="1" w:styleId="BodyText3Char">
    <w:name w:val="Body Text 3 Char"/>
    <w:basedOn w:val="DefaultParagraphFont"/>
    <w:link w:val="BodyText3"/>
    <w:uiPriority w:val="99"/>
    <w:semiHidden/>
    <w:rsid w:val="00ED7F02"/>
    <w:rPr>
      <w:sz w:val="16"/>
      <w:szCs w:val="16"/>
    </w:rPr>
  </w:style>
  <w:style w:type="paragraph" w:customStyle="1" w:styleId="BodyText31">
    <w:name w:val="Body Text 31"/>
    <w:basedOn w:val="Normal"/>
    <w:next w:val="BodyText3"/>
    <w:uiPriority w:val="99"/>
    <w:semiHidden/>
    <w:unhideWhenUsed/>
    <w:rsid w:val="00ED7F02"/>
    <w:pPr>
      <w:spacing w:after="120"/>
    </w:pPr>
    <w:rPr>
      <w:sz w:val="16"/>
      <w:szCs w:val="16"/>
    </w:rPr>
  </w:style>
  <w:style w:type="character" w:customStyle="1" w:styleId="BodyText3Char1">
    <w:name w:val="Body Text 3 Char1"/>
    <w:basedOn w:val="DefaultParagraphFont"/>
    <w:uiPriority w:val="99"/>
    <w:semiHidden/>
    <w:rsid w:val="00ED7F02"/>
    <w:rPr>
      <w:sz w:val="16"/>
      <w:szCs w:val="16"/>
    </w:rPr>
  </w:style>
  <w:style w:type="paragraph" w:customStyle="1" w:styleId="ProtocolText">
    <w:name w:val="ProtocolText"/>
    <w:basedOn w:val="Normal"/>
    <w:qFormat/>
    <w:rsid w:val="00ED7F02"/>
    <w:pPr>
      <w:spacing w:after="0" w:line="300" w:lineRule="auto"/>
    </w:pPr>
    <w:rPr>
      <w:rFonts w:ascii="Arial" w:eastAsia="Times New Roman" w:hAnsi="Arial" w:cs="Arial"/>
    </w:rPr>
  </w:style>
  <w:style w:type="paragraph" w:styleId="ListBullet">
    <w:name w:val="List Bullet"/>
    <w:basedOn w:val="Normal"/>
    <w:uiPriority w:val="99"/>
    <w:semiHidden/>
    <w:unhideWhenUsed/>
    <w:rsid w:val="00ED7F02"/>
    <w:pPr>
      <w:tabs>
        <w:tab w:val="num" w:pos="360"/>
      </w:tabs>
      <w:ind w:left="360" w:hanging="360"/>
      <w:contextualSpacing/>
    </w:pPr>
  </w:style>
  <w:style w:type="paragraph" w:styleId="BodyText3">
    <w:name w:val="Body Text 3"/>
    <w:basedOn w:val="Normal"/>
    <w:link w:val="BodyText3Char"/>
    <w:uiPriority w:val="99"/>
    <w:semiHidden/>
    <w:unhideWhenUsed/>
    <w:rsid w:val="00ED7F02"/>
    <w:pPr>
      <w:spacing w:after="120"/>
    </w:pPr>
    <w:rPr>
      <w:sz w:val="16"/>
      <w:szCs w:val="16"/>
    </w:rPr>
  </w:style>
  <w:style w:type="character" w:customStyle="1" w:styleId="BodyText3Char2">
    <w:name w:val="Body Text 3 Char2"/>
    <w:basedOn w:val="DefaultParagraphFont"/>
    <w:uiPriority w:val="99"/>
    <w:semiHidden/>
    <w:rsid w:val="00ED7F0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5AB9"/>
    <w:pPr>
      <w:keepNext/>
      <w:keepLines/>
      <w:spacing w:after="240" w:line="432" w:lineRule="exact"/>
      <w:jc w:val="center"/>
      <w:outlineLvl w:val="0"/>
    </w:pPr>
    <w:rPr>
      <w:rFonts w:ascii="Arial" w:eastAsiaTheme="majorEastAsia" w:hAnsi="Arial" w:cstheme="majorBidi"/>
      <w:b/>
      <w:sz w:val="28"/>
      <w:szCs w:val="32"/>
    </w:rPr>
  </w:style>
  <w:style w:type="paragraph" w:styleId="Heading2">
    <w:name w:val="heading 2"/>
    <w:basedOn w:val="Normal"/>
    <w:next w:val="BodyText"/>
    <w:link w:val="Heading2Char"/>
    <w:autoRedefine/>
    <w:uiPriority w:val="9"/>
    <w:qFormat/>
    <w:rsid w:val="005F7A46"/>
    <w:pPr>
      <w:widowControl w:val="0"/>
      <w:spacing w:after="0" w:line="240" w:lineRule="auto"/>
      <w:outlineLvl w:val="1"/>
    </w:pPr>
    <w:rPr>
      <w:rFonts w:ascii="Arial" w:eastAsiaTheme="majorEastAsia" w:hAnsi="Arial" w:cs="Arial"/>
      <w:b/>
      <w:sz w:val="28"/>
      <w:szCs w:val="24"/>
    </w:rPr>
  </w:style>
  <w:style w:type="paragraph" w:styleId="Heading3">
    <w:name w:val="heading 3"/>
    <w:basedOn w:val="Normal"/>
    <w:next w:val="BodyText"/>
    <w:link w:val="Heading3Char"/>
    <w:autoRedefine/>
    <w:uiPriority w:val="9"/>
    <w:qFormat/>
    <w:rsid w:val="00AC40A7"/>
    <w:pPr>
      <w:keepNext/>
      <w:keepLines/>
      <w:spacing w:after="0" w:line="240" w:lineRule="auto"/>
      <w:outlineLvl w:val="2"/>
    </w:pPr>
    <w:rPr>
      <w:rFonts w:ascii="Arial" w:eastAsia="Calibri" w:hAnsi="Arial" w:cs="Arial"/>
      <w:b/>
      <w:i/>
      <w:sz w:val="24"/>
      <w:szCs w:val="24"/>
    </w:rPr>
  </w:style>
  <w:style w:type="paragraph" w:styleId="Heading4">
    <w:name w:val="heading 4"/>
    <w:basedOn w:val="Normal"/>
    <w:next w:val="Normal"/>
    <w:link w:val="Heading4Char"/>
    <w:uiPriority w:val="9"/>
    <w:unhideWhenUsed/>
    <w:qFormat/>
    <w:rsid w:val="00AC40A7"/>
    <w:pPr>
      <w:keepNext/>
      <w:keepLines/>
      <w:spacing w:after="0" w:line="360" w:lineRule="auto"/>
      <w:outlineLvl w:val="3"/>
    </w:pPr>
    <w:rPr>
      <w:rFonts w:ascii="Arial" w:eastAsiaTheme="majorEastAsia" w:hAnsi="Arial" w:cstheme="majorBidi"/>
      <w:bCs/>
      <w:i/>
      <w:iCs/>
      <w:sz w:val="24"/>
    </w:rPr>
  </w:style>
  <w:style w:type="paragraph" w:styleId="Heading5">
    <w:name w:val="heading 5"/>
    <w:basedOn w:val="Normal"/>
    <w:next w:val="Normal"/>
    <w:link w:val="Heading5Char"/>
    <w:uiPriority w:val="9"/>
    <w:semiHidden/>
    <w:unhideWhenUsed/>
    <w:qFormat/>
    <w:rsid w:val="001324C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324C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324C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324CA"/>
    <w:pPr>
      <w:spacing w:after="0"/>
      <w:outlineLvl w:val="7"/>
    </w:pPr>
    <w:rPr>
      <w:rFonts w:asciiTheme="majorHAnsi" w:eastAsiaTheme="majorEastAsia" w:hAnsiTheme="majorHAnsi" w:cstheme="majorBidi"/>
      <w:sz w:val="20"/>
      <w:szCs w:val="20"/>
    </w:rPr>
  </w:style>
  <w:style w:type="paragraph" w:styleId="Heading9">
    <w:name w:val="heading 9"/>
    <w:aliases w:val="Heading 9 (business proposal only)"/>
    <w:basedOn w:val="Normal"/>
    <w:next w:val="Normal"/>
    <w:link w:val="Heading9Char"/>
    <w:uiPriority w:val="9"/>
    <w:semiHidden/>
    <w:unhideWhenUsed/>
    <w:qFormat/>
    <w:rsid w:val="001324C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391"/>
  </w:style>
  <w:style w:type="paragraph" w:styleId="Footer">
    <w:name w:val="footer"/>
    <w:basedOn w:val="Normal"/>
    <w:link w:val="FooterChar"/>
    <w:uiPriority w:val="99"/>
    <w:unhideWhenUsed/>
    <w:rsid w:val="00724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391"/>
  </w:style>
  <w:style w:type="paragraph" w:styleId="ListParagraph">
    <w:name w:val="List Paragraph"/>
    <w:basedOn w:val="Normal"/>
    <w:uiPriority w:val="34"/>
    <w:qFormat/>
    <w:rsid w:val="00040913"/>
    <w:pPr>
      <w:ind w:left="720"/>
      <w:contextualSpacing/>
    </w:pPr>
  </w:style>
  <w:style w:type="character" w:customStyle="1" w:styleId="Heading2Char">
    <w:name w:val="Heading 2 Char"/>
    <w:basedOn w:val="DefaultParagraphFont"/>
    <w:link w:val="Heading2"/>
    <w:uiPriority w:val="9"/>
    <w:rsid w:val="005F7A46"/>
    <w:rPr>
      <w:rFonts w:ascii="Arial" w:eastAsiaTheme="majorEastAsia" w:hAnsi="Arial" w:cs="Arial"/>
      <w:b/>
      <w:sz w:val="28"/>
      <w:szCs w:val="24"/>
    </w:rPr>
  </w:style>
  <w:style w:type="character" w:customStyle="1" w:styleId="Heading3Char">
    <w:name w:val="Heading 3 Char"/>
    <w:basedOn w:val="DefaultParagraphFont"/>
    <w:link w:val="Heading3"/>
    <w:uiPriority w:val="9"/>
    <w:rsid w:val="00AC40A7"/>
    <w:rPr>
      <w:rFonts w:ascii="Arial" w:eastAsia="Calibri" w:hAnsi="Arial" w:cs="Arial"/>
      <w:b/>
      <w:i/>
      <w:sz w:val="24"/>
      <w:szCs w:val="24"/>
    </w:rPr>
  </w:style>
  <w:style w:type="table" w:styleId="TableGrid">
    <w:name w:val="Table Grid"/>
    <w:basedOn w:val="TableNormal"/>
    <w:uiPriority w:val="59"/>
    <w:rsid w:val="009D3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D3C3A"/>
    <w:pPr>
      <w:spacing w:after="0" w:line="270" w:lineRule="atLeast"/>
    </w:pPr>
    <w:rPr>
      <w:rFonts w:ascii="Arial" w:hAnsi="Arial"/>
    </w:rPr>
  </w:style>
  <w:style w:type="character" w:customStyle="1" w:styleId="BodyTextChar">
    <w:name w:val="Body Text Char"/>
    <w:basedOn w:val="DefaultParagraphFont"/>
    <w:link w:val="BodyText"/>
    <w:uiPriority w:val="1"/>
    <w:rsid w:val="009D3C3A"/>
    <w:rPr>
      <w:rFonts w:ascii="Arial" w:hAnsi="Arial"/>
    </w:rPr>
  </w:style>
  <w:style w:type="character" w:styleId="Hyperlink">
    <w:name w:val="Hyperlink"/>
    <w:basedOn w:val="DefaultParagraphFont"/>
    <w:uiPriority w:val="99"/>
    <w:unhideWhenUsed/>
    <w:rsid w:val="009D3C3A"/>
    <w:rPr>
      <w:color w:val="0000FF"/>
      <w:u w:val="single"/>
    </w:rPr>
  </w:style>
  <w:style w:type="paragraph" w:customStyle="1" w:styleId="EndNoteBibliography">
    <w:name w:val="EndNote Bibliography"/>
    <w:basedOn w:val="Normal"/>
    <w:link w:val="EndNoteBibliographyChar"/>
    <w:rsid w:val="009D3C3A"/>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D3C3A"/>
    <w:rPr>
      <w:rFonts w:ascii="Calibri" w:hAnsi="Calibri" w:cs="Calibri"/>
      <w:noProof/>
    </w:rPr>
  </w:style>
  <w:style w:type="paragraph" w:styleId="BalloonText">
    <w:name w:val="Balloon Text"/>
    <w:basedOn w:val="Normal"/>
    <w:link w:val="BalloonTextChar"/>
    <w:uiPriority w:val="99"/>
    <w:semiHidden/>
    <w:unhideWhenUsed/>
    <w:rsid w:val="009D3C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C3A"/>
    <w:rPr>
      <w:rFonts w:ascii="Tahoma" w:hAnsi="Tahoma" w:cs="Tahoma"/>
      <w:sz w:val="16"/>
      <w:szCs w:val="16"/>
    </w:rPr>
  </w:style>
  <w:style w:type="character" w:customStyle="1" w:styleId="Heading4Char">
    <w:name w:val="Heading 4 Char"/>
    <w:basedOn w:val="DefaultParagraphFont"/>
    <w:link w:val="Heading4"/>
    <w:uiPriority w:val="9"/>
    <w:rsid w:val="00AC40A7"/>
    <w:rPr>
      <w:rFonts w:ascii="Arial" w:eastAsiaTheme="majorEastAsia" w:hAnsi="Arial" w:cstheme="majorBidi"/>
      <w:bCs/>
      <w:i/>
      <w:iCs/>
      <w:sz w:val="24"/>
    </w:rPr>
  </w:style>
  <w:style w:type="character" w:customStyle="1" w:styleId="Heading1Char">
    <w:name w:val="Heading 1 Char"/>
    <w:basedOn w:val="DefaultParagraphFont"/>
    <w:link w:val="Heading1"/>
    <w:uiPriority w:val="9"/>
    <w:rsid w:val="00B65AB9"/>
    <w:rPr>
      <w:rFonts w:ascii="Arial" w:eastAsiaTheme="majorEastAsia" w:hAnsi="Arial" w:cstheme="majorBidi"/>
      <w:b/>
      <w:sz w:val="28"/>
      <w:szCs w:val="32"/>
    </w:rPr>
  </w:style>
  <w:style w:type="numbering" w:customStyle="1" w:styleId="NoList1">
    <w:name w:val="No List1"/>
    <w:next w:val="NoList"/>
    <w:uiPriority w:val="99"/>
    <w:semiHidden/>
    <w:unhideWhenUsed/>
    <w:rsid w:val="009D3C3A"/>
  </w:style>
  <w:style w:type="paragraph" w:styleId="NoSpacing">
    <w:name w:val="No Spacing"/>
    <w:link w:val="NoSpacingChar"/>
    <w:uiPriority w:val="1"/>
    <w:qFormat/>
    <w:rsid w:val="009D3C3A"/>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9D3C3A"/>
    <w:rPr>
      <w:rFonts w:ascii="Calibri" w:eastAsia="Calibri" w:hAnsi="Calibri" w:cs="Times New Roman"/>
    </w:rPr>
  </w:style>
  <w:style w:type="character" w:styleId="LineNumber">
    <w:name w:val="line number"/>
    <w:basedOn w:val="DefaultParagraphFont"/>
    <w:uiPriority w:val="99"/>
    <w:semiHidden/>
    <w:unhideWhenUsed/>
    <w:rsid w:val="009D3C3A"/>
  </w:style>
  <w:style w:type="paragraph" w:styleId="BodyText2">
    <w:name w:val="Body Text 2"/>
    <w:basedOn w:val="Normal"/>
    <w:link w:val="BodyText2Char"/>
    <w:uiPriority w:val="99"/>
    <w:unhideWhenUsed/>
    <w:rsid w:val="000E5D59"/>
    <w:pPr>
      <w:spacing w:after="120" w:line="480" w:lineRule="auto"/>
    </w:pPr>
  </w:style>
  <w:style w:type="character" w:customStyle="1" w:styleId="BodyText2Char">
    <w:name w:val="Body Text 2 Char"/>
    <w:basedOn w:val="DefaultParagraphFont"/>
    <w:link w:val="BodyText2"/>
    <w:uiPriority w:val="99"/>
    <w:rsid w:val="000E5D59"/>
  </w:style>
  <w:style w:type="paragraph" w:styleId="BodyTextIndent">
    <w:name w:val="Body Text Indent"/>
    <w:basedOn w:val="Normal"/>
    <w:link w:val="BodyTextIndentChar"/>
    <w:unhideWhenUsed/>
    <w:rsid w:val="000E5D59"/>
    <w:pPr>
      <w:spacing w:after="120"/>
      <w:ind w:left="360"/>
    </w:pPr>
  </w:style>
  <w:style w:type="character" w:customStyle="1" w:styleId="BodyTextIndentChar">
    <w:name w:val="Body Text Indent Char"/>
    <w:basedOn w:val="DefaultParagraphFont"/>
    <w:link w:val="BodyTextIndent"/>
    <w:rsid w:val="000E5D59"/>
  </w:style>
  <w:style w:type="numbering" w:customStyle="1" w:styleId="NoList2">
    <w:name w:val="No List2"/>
    <w:next w:val="NoList"/>
    <w:uiPriority w:val="99"/>
    <w:semiHidden/>
    <w:unhideWhenUsed/>
    <w:rsid w:val="000E5D59"/>
  </w:style>
  <w:style w:type="paragraph" w:customStyle="1" w:styleId="TOCHeading1">
    <w:name w:val="TOC Heading1"/>
    <w:basedOn w:val="Heading1"/>
    <w:next w:val="Normal"/>
    <w:uiPriority w:val="39"/>
    <w:unhideWhenUsed/>
    <w:qFormat/>
    <w:rsid w:val="000E5D59"/>
    <w:pPr>
      <w:spacing w:before="480" w:after="0" w:line="276" w:lineRule="auto"/>
      <w:outlineLvl w:val="9"/>
    </w:pPr>
    <w:rPr>
      <w:rFonts w:ascii="Cambria" w:eastAsia="MS Gothic" w:hAnsi="Cambria" w:cs="Times New Roman"/>
      <w:bCs/>
      <w:color w:val="365F91"/>
      <w:szCs w:val="28"/>
      <w:lang w:val="x-none" w:eastAsia="ja-JP"/>
    </w:rPr>
  </w:style>
  <w:style w:type="paragraph" w:styleId="TOC1">
    <w:name w:val="toc 1"/>
    <w:basedOn w:val="Normal"/>
    <w:next w:val="Normal"/>
    <w:autoRedefine/>
    <w:uiPriority w:val="39"/>
    <w:unhideWhenUsed/>
    <w:qFormat/>
    <w:rsid w:val="00C00B06"/>
    <w:pPr>
      <w:tabs>
        <w:tab w:val="right" w:leader="dot" w:pos="9360"/>
      </w:tabs>
      <w:spacing w:after="0" w:line="240" w:lineRule="auto"/>
    </w:pPr>
    <w:rPr>
      <w:rFonts w:ascii="Arial" w:eastAsia="Calibri" w:hAnsi="Arial" w:cs="Arial"/>
      <w:b/>
      <w:sz w:val="24"/>
      <w:szCs w:val="24"/>
    </w:rPr>
  </w:style>
  <w:style w:type="paragraph" w:styleId="TOC2">
    <w:name w:val="toc 2"/>
    <w:basedOn w:val="Normal"/>
    <w:next w:val="Normal"/>
    <w:autoRedefine/>
    <w:uiPriority w:val="39"/>
    <w:unhideWhenUsed/>
    <w:qFormat/>
    <w:rsid w:val="00C00B06"/>
    <w:pPr>
      <w:tabs>
        <w:tab w:val="right" w:leader="dot" w:pos="9360"/>
      </w:tabs>
      <w:spacing w:after="0" w:line="240" w:lineRule="auto"/>
      <w:ind w:left="216"/>
    </w:pPr>
    <w:rPr>
      <w:rFonts w:ascii="Arial" w:eastAsia="Calibri" w:hAnsi="Arial" w:cs="Arial"/>
      <w:bCs/>
      <w:szCs w:val="24"/>
    </w:rPr>
  </w:style>
  <w:style w:type="paragraph" w:styleId="TOC3">
    <w:name w:val="toc 3"/>
    <w:basedOn w:val="Normal"/>
    <w:next w:val="Normal"/>
    <w:autoRedefine/>
    <w:uiPriority w:val="39"/>
    <w:unhideWhenUsed/>
    <w:qFormat/>
    <w:rsid w:val="000E5D59"/>
    <w:pPr>
      <w:ind w:left="440"/>
    </w:pPr>
    <w:rPr>
      <w:rFonts w:ascii="Calibri" w:eastAsia="Calibri" w:hAnsi="Calibri" w:cs="Times New Roman"/>
    </w:rPr>
  </w:style>
  <w:style w:type="paragraph" w:styleId="NormalWeb">
    <w:name w:val="Normal (Web)"/>
    <w:basedOn w:val="Normal"/>
    <w:uiPriority w:val="99"/>
    <w:unhideWhenUsed/>
    <w:rsid w:val="000E5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text">
    <w:name w:val="normaltext"/>
    <w:uiPriority w:val="99"/>
    <w:rsid w:val="000E5D59"/>
    <w:pPr>
      <w:spacing w:after="120" w:line="240" w:lineRule="auto"/>
    </w:pPr>
    <w:rPr>
      <w:rFonts w:ascii="Times New Roman" w:eastAsia="Times New Roman" w:hAnsi="Times New Roman" w:cs="Times New Roman"/>
      <w:sz w:val="24"/>
      <w:szCs w:val="24"/>
    </w:rPr>
  </w:style>
  <w:style w:type="character" w:styleId="Strong">
    <w:name w:val="Strong"/>
    <w:uiPriority w:val="22"/>
    <w:qFormat/>
    <w:rsid w:val="000E5D59"/>
    <w:rPr>
      <w:b/>
      <w:bCs/>
    </w:rPr>
  </w:style>
  <w:style w:type="paragraph" w:styleId="CommentText">
    <w:name w:val="annotation text"/>
    <w:basedOn w:val="Normal"/>
    <w:link w:val="CommentTextChar"/>
    <w:uiPriority w:val="99"/>
    <w:unhideWhenUsed/>
    <w:rsid w:val="000E5D59"/>
    <w:pPr>
      <w:spacing w:after="0" w:line="240" w:lineRule="auto"/>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uiPriority w:val="99"/>
    <w:rsid w:val="000E5D59"/>
    <w:rPr>
      <w:rFonts w:ascii="Times New Roman" w:eastAsia="Times New Roman" w:hAnsi="Times New Roman" w:cs="Times New Roman"/>
      <w:sz w:val="20"/>
      <w:szCs w:val="20"/>
      <w:lang w:val="x-none" w:eastAsia="x-none"/>
    </w:rPr>
  </w:style>
  <w:style w:type="character" w:styleId="CommentReference">
    <w:name w:val="annotation reference"/>
    <w:uiPriority w:val="99"/>
    <w:unhideWhenUsed/>
    <w:rsid w:val="000E5D59"/>
    <w:rPr>
      <w:sz w:val="16"/>
      <w:szCs w:val="16"/>
    </w:rPr>
  </w:style>
  <w:style w:type="character" w:styleId="Emphasis">
    <w:name w:val="Emphasis"/>
    <w:uiPriority w:val="20"/>
    <w:qFormat/>
    <w:rsid w:val="000E5D59"/>
    <w:rPr>
      <w:i/>
      <w:iCs/>
    </w:rPr>
  </w:style>
  <w:style w:type="paragraph" w:styleId="CommentSubject">
    <w:name w:val="annotation subject"/>
    <w:basedOn w:val="CommentText"/>
    <w:next w:val="CommentText"/>
    <w:link w:val="CommentSubjectChar"/>
    <w:uiPriority w:val="99"/>
    <w:semiHidden/>
    <w:unhideWhenUsed/>
    <w:rsid w:val="00EC25F0"/>
    <w:pPr>
      <w:spacing w:after="240"/>
      <w:contextualSpacing/>
    </w:pPr>
    <w:rPr>
      <w:rFonts w:eastAsiaTheme="minorHAnsi" w:cstheme="minorBidi"/>
      <w:b/>
      <w:bCs/>
      <w:lang w:val="en-US" w:eastAsia="en-US"/>
    </w:rPr>
  </w:style>
  <w:style w:type="character" w:customStyle="1" w:styleId="CommentSubjectChar">
    <w:name w:val="Comment Subject Char"/>
    <w:basedOn w:val="CommentTextChar"/>
    <w:link w:val="CommentSubject"/>
    <w:uiPriority w:val="99"/>
    <w:semiHidden/>
    <w:rsid w:val="00EC25F0"/>
    <w:rPr>
      <w:rFonts w:ascii="Times New Roman" w:eastAsia="Times New Roman" w:hAnsi="Times New Roman" w:cs="Times New Roman"/>
      <w:b/>
      <w:bCs/>
      <w:sz w:val="20"/>
      <w:szCs w:val="20"/>
      <w:lang w:val="x-none" w:eastAsia="x-none"/>
    </w:rPr>
  </w:style>
  <w:style w:type="paragraph" w:customStyle="1" w:styleId="Body">
    <w:name w:val="Body"/>
    <w:rsid w:val="00EC25F0"/>
    <w:pPr>
      <w:spacing w:after="0" w:line="240" w:lineRule="auto"/>
    </w:pPr>
    <w:rPr>
      <w:rFonts w:ascii="Helvetica" w:eastAsia="ヒラギノ角ゴ Pro W3" w:hAnsi="Helvetica" w:cs="Times New Roman"/>
      <w:color w:val="000000"/>
      <w:sz w:val="24"/>
      <w:szCs w:val="20"/>
    </w:rPr>
  </w:style>
  <w:style w:type="paragraph" w:styleId="Caption">
    <w:name w:val="caption"/>
    <w:basedOn w:val="Normal"/>
    <w:next w:val="Normal"/>
    <w:uiPriority w:val="35"/>
    <w:unhideWhenUsed/>
    <w:qFormat/>
    <w:rsid w:val="00EC25F0"/>
    <w:pPr>
      <w:spacing w:line="240" w:lineRule="auto"/>
      <w:contextualSpacing/>
    </w:pPr>
    <w:rPr>
      <w:rFonts w:ascii="Calibri" w:hAnsi="Calibri"/>
      <w:iCs/>
      <w:sz w:val="24"/>
      <w:szCs w:val="18"/>
    </w:rPr>
  </w:style>
  <w:style w:type="paragraph" w:customStyle="1" w:styleId="EndNoteBibliographyTitle">
    <w:name w:val="EndNote Bibliography Title"/>
    <w:basedOn w:val="Normal"/>
    <w:link w:val="EndNoteBibliographyTitleChar"/>
    <w:rsid w:val="00EC25F0"/>
    <w:pPr>
      <w:spacing w:after="0" w:line="270" w:lineRule="exact"/>
      <w:contextualSpacing/>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EC25F0"/>
    <w:rPr>
      <w:rFonts w:ascii="Times New Roman" w:hAnsi="Times New Roman" w:cs="Times New Roman"/>
      <w:noProof/>
      <w:sz w:val="24"/>
    </w:rPr>
  </w:style>
  <w:style w:type="character" w:customStyle="1" w:styleId="UnresolvedMention1">
    <w:name w:val="Unresolved Mention1"/>
    <w:basedOn w:val="DefaultParagraphFont"/>
    <w:uiPriority w:val="99"/>
    <w:semiHidden/>
    <w:unhideWhenUsed/>
    <w:rsid w:val="00EC25F0"/>
    <w:rPr>
      <w:color w:val="808080"/>
      <w:shd w:val="clear" w:color="auto" w:fill="E6E6E6"/>
    </w:rPr>
  </w:style>
  <w:style w:type="character" w:customStyle="1" w:styleId="UnresolvedMention2">
    <w:name w:val="Unresolved Mention2"/>
    <w:basedOn w:val="DefaultParagraphFont"/>
    <w:uiPriority w:val="99"/>
    <w:semiHidden/>
    <w:unhideWhenUsed/>
    <w:rsid w:val="00EC25F0"/>
    <w:rPr>
      <w:color w:val="808080"/>
      <w:shd w:val="clear" w:color="auto" w:fill="E6E6E6"/>
    </w:rPr>
  </w:style>
  <w:style w:type="character" w:customStyle="1" w:styleId="UnresolvedMention3">
    <w:name w:val="Unresolved Mention3"/>
    <w:basedOn w:val="DefaultParagraphFont"/>
    <w:uiPriority w:val="99"/>
    <w:semiHidden/>
    <w:unhideWhenUsed/>
    <w:rsid w:val="00EC25F0"/>
    <w:rPr>
      <w:color w:val="808080"/>
      <w:shd w:val="clear" w:color="auto" w:fill="E6E6E6"/>
    </w:rPr>
  </w:style>
  <w:style w:type="character" w:customStyle="1" w:styleId="UnresolvedMention4">
    <w:name w:val="Unresolved Mention4"/>
    <w:basedOn w:val="DefaultParagraphFont"/>
    <w:uiPriority w:val="99"/>
    <w:semiHidden/>
    <w:unhideWhenUsed/>
    <w:rsid w:val="00EC25F0"/>
    <w:rPr>
      <w:color w:val="808080"/>
      <w:shd w:val="clear" w:color="auto" w:fill="E6E6E6"/>
    </w:rPr>
  </w:style>
  <w:style w:type="character" w:customStyle="1" w:styleId="UnresolvedMention5">
    <w:name w:val="Unresolved Mention5"/>
    <w:basedOn w:val="DefaultParagraphFont"/>
    <w:uiPriority w:val="99"/>
    <w:semiHidden/>
    <w:unhideWhenUsed/>
    <w:rsid w:val="00EC25F0"/>
    <w:rPr>
      <w:color w:val="808080"/>
      <w:shd w:val="clear" w:color="auto" w:fill="E6E6E6"/>
    </w:rPr>
  </w:style>
  <w:style w:type="character" w:customStyle="1" w:styleId="UnresolvedMention">
    <w:name w:val="Unresolved Mention"/>
    <w:basedOn w:val="DefaultParagraphFont"/>
    <w:uiPriority w:val="99"/>
    <w:semiHidden/>
    <w:unhideWhenUsed/>
    <w:rsid w:val="00EC25F0"/>
    <w:rPr>
      <w:color w:val="808080"/>
      <w:shd w:val="clear" w:color="auto" w:fill="E6E6E6"/>
    </w:rPr>
  </w:style>
  <w:style w:type="paragraph" w:customStyle="1" w:styleId="TPHead">
    <w:name w:val="TP Head"/>
    <w:basedOn w:val="Normal"/>
    <w:uiPriority w:val="63"/>
    <w:qFormat/>
    <w:rsid w:val="00EC25F0"/>
    <w:pPr>
      <w:spacing w:after="240" w:line="600" w:lineRule="atLeast"/>
      <w:contextualSpacing/>
    </w:pPr>
    <w:rPr>
      <w:rFonts w:asciiTheme="majorHAnsi" w:hAnsiTheme="majorHAnsi"/>
      <w:b/>
      <w:color w:val="4D4D4F"/>
      <w:sz w:val="48"/>
      <w:szCs w:val="48"/>
    </w:rPr>
  </w:style>
  <w:style w:type="paragraph" w:customStyle="1" w:styleId="TPClient">
    <w:name w:val="TP Client"/>
    <w:basedOn w:val="Normal"/>
    <w:uiPriority w:val="64"/>
    <w:qFormat/>
    <w:rsid w:val="00EC25F0"/>
    <w:pPr>
      <w:spacing w:after="450" w:line="384" w:lineRule="exact"/>
    </w:pPr>
    <w:rPr>
      <w:rFonts w:asciiTheme="majorHAnsi" w:hAnsiTheme="majorHAnsi"/>
      <w:color w:val="4D4D4F"/>
      <w:sz w:val="32"/>
      <w:szCs w:val="32"/>
    </w:rPr>
  </w:style>
  <w:style w:type="paragraph" w:styleId="TOCHeading">
    <w:name w:val="TOC Heading"/>
    <w:basedOn w:val="Heading1"/>
    <w:next w:val="Normal"/>
    <w:uiPriority w:val="39"/>
    <w:unhideWhenUsed/>
    <w:qFormat/>
    <w:rsid w:val="00EC25F0"/>
    <w:pPr>
      <w:spacing w:before="240" w:after="0" w:line="259" w:lineRule="auto"/>
      <w:outlineLvl w:val="9"/>
    </w:pPr>
    <w:rPr>
      <w:rFonts w:asciiTheme="majorHAnsi" w:hAnsiTheme="majorHAnsi"/>
      <w:b w:val="0"/>
      <w:color w:val="365F91" w:themeColor="accent1" w:themeShade="BF"/>
      <w:sz w:val="32"/>
    </w:rPr>
  </w:style>
  <w:style w:type="character" w:styleId="FollowedHyperlink">
    <w:name w:val="FollowedHyperlink"/>
    <w:basedOn w:val="DefaultParagraphFont"/>
    <w:uiPriority w:val="99"/>
    <w:semiHidden/>
    <w:unhideWhenUsed/>
    <w:rsid w:val="00EC25F0"/>
    <w:rPr>
      <w:color w:val="800080" w:themeColor="followedHyperlink"/>
      <w:u w:val="single"/>
    </w:rPr>
  </w:style>
  <w:style w:type="paragraph" w:styleId="TableofFigures">
    <w:name w:val="table of figures"/>
    <w:basedOn w:val="Normal"/>
    <w:next w:val="Normal"/>
    <w:uiPriority w:val="99"/>
    <w:unhideWhenUsed/>
    <w:rsid w:val="00EC25F0"/>
    <w:pPr>
      <w:spacing w:after="0" w:line="256" w:lineRule="auto"/>
    </w:pPr>
  </w:style>
  <w:style w:type="character" w:customStyle="1" w:styleId="UnresolvedMention6">
    <w:name w:val="Unresolved Mention6"/>
    <w:basedOn w:val="DefaultParagraphFont"/>
    <w:uiPriority w:val="99"/>
    <w:semiHidden/>
    <w:unhideWhenUsed/>
    <w:rsid w:val="00CF13EB"/>
    <w:rPr>
      <w:color w:val="808080"/>
      <w:shd w:val="clear" w:color="auto" w:fill="E6E6E6"/>
    </w:rPr>
  </w:style>
  <w:style w:type="paragraph" w:styleId="Revision">
    <w:name w:val="Revision"/>
    <w:hidden/>
    <w:uiPriority w:val="99"/>
    <w:semiHidden/>
    <w:rsid w:val="00CF13EB"/>
    <w:pPr>
      <w:spacing w:after="0" w:line="240" w:lineRule="auto"/>
    </w:pPr>
    <w:rPr>
      <w:rFonts w:ascii="Times New Roman" w:hAnsi="Times New Roman"/>
      <w:sz w:val="24"/>
    </w:rPr>
  </w:style>
  <w:style w:type="table" w:customStyle="1" w:styleId="TableGrid1">
    <w:name w:val="Table Grid1"/>
    <w:basedOn w:val="TableNormal"/>
    <w:next w:val="TableGrid"/>
    <w:uiPriority w:val="39"/>
    <w:rsid w:val="00CF1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1324C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324C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324C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324CA"/>
    <w:rPr>
      <w:rFonts w:asciiTheme="majorHAnsi" w:eastAsiaTheme="majorEastAsia" w:hAnsiTheme="majorHAnsi" w:cstheme="majorBidi"/>
      <w:sz w:val="20"/>
      <w:szCs w:val="20"/>
    </w:rPr>
  </w:style>
  <w:style w:type="character" w:customStyle="1" w:styleId="Heading9Char">
    <w:name w:val="Heading 9 Char"/>
    <w:aliases w:val="Heading 9 (business proposal only) Char"/>
    <w:basedOn w:val="DefaultParagraphFont"/>
    <w:link w:val="Heading9"/>
    <w:uiPriority w:val="9"/>
    <w:semiHidden/>
    <w:rsid w:val="001324CA"/>
    <w:rPr>
      <w:rFonts w:asciiTheme="majorHAnsi" w:eastAsiaTheme="majorEastAsia" w:hAnsiTheme="majorHAnsi" w:cstheme="majorBidi"/>
      <w:i/>
      <w:iCs/>
      <w:spacing w:val="5"/>
      <w:sz w:val="20"/>
      <w:szCs w:val="20"/>
    </w:rPr>
  </w:style>
  <w:style w:type="paragraph" w:customStyle="1" w:styleId="AcknowledgmentnoTOC">
    <w:name w:val="Acknowledgment no TOC"/>
    <w:basedOn w:val="Normal"/>
    <w:next w:val="Normal"/>
    <w:rsid w:val="001324CA"/>
    <w:pPr>
      <w:pBdr>
        <w:bottom w:val="single" w:sz="2" w:space="1" w:color="auto"/>
      </w:pBdr>
      <w:spacing w:before="240" w:after="240" w:line="240" w:lineRule="auto"/>
      <w:outlineLvl w:val="8"/>
    </w:pPr>
    <w:rPr>
      <w:rFonts w:ascii="Arial Black" w:eastAsiaTheme="minorEastAsia" w:hAnsi="Arial Black"/>
      <w:caps/>
    </w:rPr>
  </w:style>
  <w:style w:type="paragraph" w:customStyle="1" w:styleId="Bullet">
    <w:name w:val="Bullet"/>
    <w:basedOn w:val="Normal"/>
    <w:rsid w:val="001324CA"/>
    <w:pPr>
      <w:numPr>
        <w:numId w:val="16"/>
      </w:numPr>
      <w:tabs>
        <w:tab w:val="left" w:pos="432"/>
      </w:tabs>
      <w:spacing w:after="120" w:line="240" w:lineRule="auto"/>
      <w:ind w:left="432" w:hanging="432"/>
    </w:pPr>
    <w:rPr>
      <w:rFonts w:eastAsiaTheme="minorEastAsia"/>
    </w:rPr>
  </w:style>
  <w:style w:type="paragraph" w:customStyle="1" w:styleId="BulletLastSS">
    <w:name w:val="Bullet (Last SS)"/>
    <w:basedOn w:val="Bullet"/>
    <w:next w:val="NormalSS"/>
    <w:rsid w:val="001324CA"/>
    <w:pPr>
      <w:numPr>
        <w:numId w:val="17"/>
      </w:numPr>
      <w:spacing w:after="240"/>
      <w:ind w:left="432" w:hanging="432"/>
    </w:pPr>
  </w:style>
  <w:style w:type="paragraph" w:customStyle="1" w:styleId="BulletLastDS">
    <w:name w:val="Bullet (Last DS)"/>
    <w:basedOn w:val="Bullet"/>
    <w:next w:val="Normal"/>
    <w:rsid w:val="001324CA"/>
    <w:pPr>
      <w:numPr>
        <w:numId w:val="18"/>
      </w:numPr>
      <w:spacing w:after="320"/>
      <w:ind w:left="432" w:hanging="432"/>
    </w:pPr>
  </w:style>
  <w:style w:type="paragraph" w:customStyle="1" w:styleId="Center">
    <w:name w:val="Center"/>
    <w:basedOn w:val="Normal"/>
    <w:semiHidden/>
    <w:unhideWhenUsed/>
    <w:rsid w:val="001324CA"/>
    <w:pPr>
      <w:jc w:val="center"/>
    </w:pPr>
    <w:rPr>
      <w:rFonts w:eastAsiaTheme="minorEastAsia"/>
    </w:rPr>
  </w:style>
  <w:style w:type="paragraph" w:customStyle="1" w:styleId="Dash">
    <w:name w:val="Dash"/>
    <w:basedOn w:val="Normal"/>
    <w:rsid w:val="001324CA"/>
    <w:pPr>
      <w:numPr>
        <w:numId w:val="19"/>
      </w:numPr>
      <w:tabs>
        <w:tab w:val="left" w:pos="288"/>
      </w:tabs>
      <w:spacing w:after="120" w:line="240" w:lineRule="auto"/>
    </w:pPr>
    <w:rPr>
      <w:rFonts w:eastAsiaTheme="minorEastAsia"/>
    </w:rPr>
  </w:style>
  <w:style w:type="paragraph" w:customStyle="1" w:styleId="DashLASTSS">
    <w:name w:val="Dash (LAST SS)"/>
    <w:basedOn w:val="Dash"/>
    <w:next w:val="NormalSS"/>
    <w:rsid w:val="001324CA"/>
    <w:pPr>
      <w:numPr>
        <w:numId w:val="20"/>
      </w:numPr>
      <w:spacing w:after="240"/>
    </w:pPr>
  </w:style>
  <w:style w:type="paragraph" w:customStyle="1" w:styleId="DashLASTDS">
    <w:name w:val="Dash (LAST DS)"/>
    <w:basedOn w:val="Dash"/>
    <w:next w:val="Normal"/>
    <w:rsid w:val="001324CA"/>
    <w:pPr>
      <w:spacing w:after="320"/>
    </w:pPr>
    <w:rPr>
      <w:szCs w:val="24"/>
    </w:rPr>
  </w:style>
  <w:style w:type="paragraph" w:styleId="DocumentMap">
    <w:name w:val="Document Map"/>
    <w:basedOn w:val="Normal"/>
    <w:link w:val="DocumentMapChar"/>
    <w:semiHidden/>
    <w:unhideWhenUsed/>
    <w:rsid w:val="001324CA"/>
    <w:pPr>
      <w:spacing w:line="240" w:lineRule="auto"/>
    </w:pPr>
    <w:rPr>
      <w:rFonts w:asciiTheme="majorHAnsi" w:eastAsiaTheme="minorEastAsia" w:hAnsiTheme="majorHAnsi"/>
    </w:rPr>
  </w:style>
  <w:style w:type="character" w:customStyle="1" w:styleId="DocumentMapChar">
    <w:name w:val="Document Map Char"/>
    <w:basedOn w:val="DefaultParagraphFont"/>
    <w:link w:val="DocumentMap"/>
    <w:semiHidden/>
    <w:rsid w:val="001324CA"/>
    <w:rPr>
      <w:rFonts w:asciiTheme="majorHAnsi" w:eastAsiaTheme="minorEastAsia" w:hAnsiTheme="majorHAnsi"/>
    </w:rPr>
  </w:style>
  <w:style w:type="character" w:styleId="FootnoteReference">
    <w:name w:val="footnote reference"/>
    <w:basedOn w:val="DefaultParagraphFont"/>
    <w:uiPriority w:val="99"/>
    <w:rsid w:val="001324CA"/>
    <w:rPr>
      <w:rFonts w:ascii="Times New Roman" w:hAnsi="Times New Roman"/>
      <w:color w:val="auto"/>
      <w:spacing w:val="0"/>
      <w:position w:val="0"/>
      <w:sz w:val="20"/>
      <w:u w:color="000080"/>
      <w:effect w:val="none"/>
      <w:vertAlign w:val="superscript"/>
    </w:rPr>
  </w:style>
  <w:style w:type="paragraph" w:styleId="FootnoteText">
    <w:name w:val="footnote text"/>
    <w:basedOn w:val="Normal"/>
    <w:link w:val="FootnoteTextChar"/>
    <w:uiPriority w:val="99"/>
    <w:rsid w:val="001324CA"/>
    <w:pPr>
      <w:spacing w:after="120" w:line="240" w:lineRule="auto"/>
    </w:pPr>
    <w:rPr>
      <w:rFonts w:eastAsiaTheme="minorEastAsia"/>
      <w:sz w:val="20"/>
    </w:rPr>
  </w:style>
  <w:style w:type="character" w:customStyle="1" w:styleId="FootnoteTextChar">
    <w:name w:val="Footnote Text Char"/>
    <w:basedOn w:val="DefaultParagraphFont"/>
    <w:link w:val="FootnoteText"/>
    <w:uiPriority w:val="99"/>
    <w:rsid w:val="001324CA"/>
    <w:rPr>
      <w:rFonts w:eastAsiaTheme="minorEastAsia"/>
      <w:sz w:val="20"/>
    </w:rPr>
  </w:style>
  <w:style w:type="paragraph" w:customStyle="1" w:styleId="Heading3NoTOC">
    <w:name w:val="Heading 3_No TOC"/>
    <w:basedOn w:val="Normal"/>
    <w:next w:val="NormalSS"/>
    <w:semiHidden/>
    <w:rsid w:val="001324CA"/>
    <w:pPr>
      <w:keepNext/>
      <w:spacing w:after="120" w:line="240" w:lineRule="auto"/>
      <w:ind w:left="432" w:hanging="432"/>
    </w:pPr>
    <w:rPr>
      <w:rFonts w:ascii="Arial Black" w:eastAsiaTheme="minorEastAsia" w:hAnsi="Arial Black"/>
    </w:rPr>
  </w:style>
  <w:style w:type="paragraph" w:customStyle="1" w:styleId="Heading4NoTOC">
    <w:name w:val="Heading 4_No TOC"/>
    <w:basedOn w:val="Heading4"/>
    <w:next w:val="NormalSS"/>
    <w:semiHidden/>
    <w:rsid w:val="001324CA"/>
    <w:pPr>
      <w:keepNext w:val="0"/>
      <w:keepLines w:val="0"/>
      <w:outlineLvl w:val="9"/>
    </w:pPr>
  </w:style>
  <w:style w:type="paragraph" w:customStyle="1" w:styleId="MarkforAppendixTitle">
    <w:name w:val="Mark for Appendix Title"/>
    <w:basedOn w:val="Normal"/>
    <w:next w:val="Normal"/>
    <w:rsid w:val="001324CA"/>
    <w:pPr>
      <w:spacing w:before="2640" w:after="240" w:line="240" w:lineRule="auto"/>
      <w:jc w:val="center"/>
      <w:outlineLvl w:val="1"/>
    </w:pPr>
    <w:rPr>
      <w:rFonts w:ascii="Arial Black" w:eastAsiaTheme="minorEastAsia" w:hAnsi="Arial Black"/>
      <w:caps/>
    </w:rPr>
  </w:style>
  <w:style w:type="paragraph" w:customStyle="1" w:styleId="MarkforAttachmentTitle">
    <w:name w:val="Mark for Attachment Title"/>
    <w:basedOn w:val="Normal"/>
    <w:next w:val="Normal"/>
    <w:rsid w:val="001324CA"/>
    <w:pPr>
      <w:spacing w:before="2640" w:after="240" w:line="240" w:lineRule="auto"/>
      <w:jc w:val="center"/>
      <w:outlineLvl w:val="1"/>
    </w:pPr>
    <w:rPr>
      <w:rFonts w:ascii="Arial Black" w:eastAsiaTheme="minorEastAsia" w:hAnsi="Arial Black"/>
      <w:caps/>
    </w:rPr>
  </w:style>
  <w:style w:type="paragraph" w:customStyle="1" w:styleId="MarkforExhibitTitle">
    <w:name w:val="Mark for Exhibit Title"/>
    <w:basedOn w:val="MarkforTableTitle"/>
    <w:next w:val="NormalSS"/>
    <w:rsid w:val="001324CA"/>
  </w:style>
  <w:style w:type="paragraph" w:customStyle="1" w:styleId="MarkforTableTitle">
    <w:name w:val="Mark for Table Title"/>
    <w:basedOn w:val="Normal"/>
    <w:next w:val="NormalSS"/>
    <w:rsid w:val="001324CA"/>
    <w:pPr>
      <w:keepNext/>
      <w:spacing w:after="60" w:line="240" w:lineRule="auto"/>
    </w:pPr>
    <w:rPr>
      <w:rFonts w:ascii="Arial Black" w:eastAsiaTheme="minorEastAsia" w:hAnsi="Arial Black"/>
    </w:rPr>
  </w:style>
  <w:style w:type="paragraph" w:customStyle="1" w:styleId="MarkforFigureTitle">
    <w:name w:val="Mark for Figure Title"/>
    <w:basedOn w:val="MarkforTableTitle"/>
    <w:next w:val="NormalSS"/>
    <w:rsid w:val="001324CA"/>
  </w:style>
  <w:style w:type="numbering" w:customStyle="1" w:styleId="MPROutline">
    <w:name w:val="MPROutline"/>
    <w:uiPriority w:val="99"/>
    <w:locked/>
    <w:rsid w:val="001324CA"/>
    <w:pPr>
      <w:numPr>
        <w:numId w:val="21"/>
      </w:numPr>
    </w:pPr>
  </w:style>
  <w:style w:type="character" w:customStyle="1" w:styleId="MTEquationSection">
    <w:name w:val="MTEquationSection"/>
    <w:basedOn w:val="DefaultParagraphFont"/>
    <w:rsid w:val="001324CA"/>
    <w:rPr>
      <w:rFonts w:ascii="Arial" w:hAnsi="Arial"/>
      <w:vanish/>
      <w:color w:val="auto"/>
      <w:sz w:val="18"/>
    </w:rPr>
  </w:style>
  <w:style w:type="paragraph" w:customStyle="1" w:styleId="Normalcontinued">
    <w:name w:val="Normal (continued)"/>
    <w:basedOn w:val="Normal"/>
    <w:next w:val="Normal"/>
    <w:rsid w:val="001324CA"/>
    <w:rPr>
      <w:rFonts w:eastAsiaTheme="minorEastAsia"/>
    </w:rPr>
  </w:style>
  <w:style w:type="paragraph" w:customStyle="1" w:styleId="NormalSS">
    <w:name w:val="NormalSS"/>
    <w:basedOn w:val="Normal"/>
    <w:link w:val="NormalSSChar"/>
    <w:rsid w:val="001324CA"/>
    <w:pPr>
      <w:spacing w:after="240" w:line="240" w:lineRule="auto"/>
    </w:pPr>
    <w:rPr>
      <w:rFonts w:eastAsiaTheme="minorEastAsia"/>
    </w:rPr>
  </w:style>
  <w:style w:type="paragraph" w:customStyle="1" w:styleId="NormalSScontinued">
    <w:name w:val="NormalSS (continued)"/>
    <w:basedOn w:val="NormalSS"/>
    <w:next w:val="NormalSS"/>
    <w:rsid w:val="001324CA"/>
  </w:style>
  <w:style w:type="paragraph" w:customStyle="1" w:styleId="NumberedBullet">
    <w:name w:val="Numbered Bullet"/>
    <w:basedOn w:val="Normal"/>
    <w:link w:val="NumberedBulletChar"/>
    <w:rsid w:val="001324CA"/>
    <w:pPr>
      <w:numPr>
        <w:numId w:val="22"/>
      </w:numPr>
      <w:tabs>
        <w:tab w:val="clear" w:pos="792"/>
        <w:tab w:val="left" w:pos="432"/>
      </w:tabs>
      <w:spacing w:after="120" w:line="240" w:lineRule="auto"/>
      <w:ind w:left="432" w:hanging="432"/>
    </w:pPr>
    <w:rPr>
      <w:rFonts w:eastAsiaTheme="minorEastAsia"/>
    </w:rPr>
  </w:style>
  <w:style w:type="paragraph" w:customStyle="1" w:styleId="Outline">
    <w:name w:val="Outline"/>
    <w:basedOn w:val="Normal"/>
    <w:semiHidden/>
    <w:unhideWhenUsed/>
    <w:rsid w:val="001324CA"/>
    <w:pPr>
      <w:spacing w:after="240" w:line="240" w:lineRule="auto"/>
      <w:ind w:left="720" w:hanging="720"/>
    </w:pPr>
    <w:rPr>
      <w:rFonts w:eastAsiaTheme="minorEastAsia"/>
    </w:rPr>
  </w:style>
  <w:style w:type="character" w:styleId="PageNumber">
    <w:name w:val="page number"/>
    <w:basedOn w:val="DefaultParagraphFont"/>
    <w:uiPriority w:val="99"/>
    <w:semiHidden/>
    <w:rsid w:val="001324CA"/>
    <w:rPr>
      <w:rFonts w:ascii="Arial" w:hAnsi="Arial"/>
      <w:color w:val="auto"/>
      <w:sz w:val="20"/>
      <w:bdr w:val="none" w:sz="0" w:space="0" w:color="auto"/>
    </w:rPr>
  </w:style>
  <w:style w:type="paragraph" w:customStyle="1" w:styleId="References">
    <w:name w:val="References"/>
    <w:basedOn w:val="Normal"/>
    <w:rsid w:val="001324CA"/>
    <w:pPr>
      <w:keepLines/>
      <w:spacing w:after="240" w:line="240" w:lineRule="auto"/>
      <w:ind w:left="432" w:hanging="432"/>
    </w:pPr>
    <w:rPr>
      <w:rFonts w:eastAsiaTheme="minorEastAsia"/>
    </w:rPr>
  </w:style>
  <w:style w:type="paragraph" w:customStyle="1" w:styleId="TableFootnoteCaption">
    <w:name w:val="Table Footnote_Caption"/>
    <w:rsid w:val="001324CA"/>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rsid w:val="001324CA"/>
    <w:pPr>
      <w:spacing w:before="120" w:after="60"/>
    </w:pPr>
    <w:rPr>
      <w:b/>
      <w:color w:val="FFFFFF" w:themeColor="background1"/>
    </w:rPr>
  </w:style>
  <w:style w:type="paragraph" w:customStyle="1" w:styleId="TableHeaderCenter">
    <w:name w:val="Table Header Center"/>
    <w:basedOn w:val="TableHeaderLeft"/>
    <w:rsid w:val="001324CA"/>
    <w:pPr>
      <w:jc w:val="center"/>
    </w:pPr>
  </w:style>
  <w:style w:type="paragraph" w:customStyle="1" w:styleId="TableText">
    <w:name w:val="Table Text"/>
    <w:basedOn w:val="Normal"/>
    <w:rsid w:val="001324CA"/>
    <w:pPr>
      <w:spacing w:line="240" w:lineRule="auto"/>
    </w:pPr>
    <w:rPr>
      <w:rFonts w:ascii="Arial" w:eastAsiaTheme="minorEastAsia" w:hAnsi="Arial"/>
      <w:sz w:val="18"/>
    </w:rPr>
  </w:style>
  <w:style w:type="paragraph" w:customStyle="1" w:styleId="TableSourceCaption">
    <w:name w:val="Table Source_Caption"/>
    <w:rsid w:val="001324CA"/>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rsid w:val="001324CA"/>
  </w:style>
  <w:style w:type="paragraph" w:customStyle="1" w:styleId="Tabletext8">
    <w:name w:val="Table text 8"/>
    <w:basedOn w:val="TableText"/>
    <w:rsid w:val="001324CA"/>
    <w:rPr>
      <w:snapToGrid w:val="0"/>
      <w:sz w:val="16"/>
      <w:szCs w:val="16"/>
    </w:rPr>
  </w:style>
  <w:style w:type="paragraph" w:customStyle="1" w:styleId="TableSpace">
    <w:name w:val="TableSpace"/>
    <w:basedOn w:val="TableSourceCaption"/>
    <w:next w:val="TableFootnoteCaption"/>
    <w:semiHidden/>
    <w:rsid w:val="001324CA"/>
  </w:style>
  <w:style w:type="paragraph" w:styleId="Title">
    <w:name w:val="Title"/>
    <w:basedOn w:val="Normal"/>
    <w:next w:val="Normal"/>
    <w:link w:val="TitleChar"/>
    <w:uiPriority w:val="10"/>
    <w:qFormat/>
    <w:rsid w:val="001324C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324CA"/>
    <w:rPr>
      <w:rFonts w:asciiTheme="majorHAnsi" w:eastAsiaTheme="majorEastAsia" w:hAnsiTheme="majorHAnsi" w:cstheme="majorBidi"/>
      <w:spacing w:val="5"/>
      <w:sz w:val="52"/>
      <w:szCs w:val="52"/>
    </w:rPr>
  </w:style>
  <w:style w:type="paragraph" w:customStyle="1" w:styleId="TitleofDocumentVertical">
    <w:name w:val="Title of Document Vertical"/>
    <w:basedOn w:val="Normal"/>
    <w:semiHidden/>
    <w:rsid w:val="001324CA"/>
    <w:pPr>
      <w:spacing w:before="3120" w:after="240" w:line="360" w:lineRule="exact"/>
    </w:pPr>
    <w:rPr>
      <w:rFonts w:ascii="Arial" w:eastAsiaTheme="minorEastAsia" w:hAnsi="Arial"/>
      <w:b/>
    </w:rPr>
  </w:style>
  <w:style w:type="paragraph" w:customStyle="1" w:styleId="TitleofDocumentHorizontal">
    <w:name w:val="Title of Document Horizontal"/>
    <w:basedOn w:val="TitleofDocumentVertical"/>
    <w:semiHidden/>
    <w:rsid w:val="001324CA"/>
  </w:style>
  <w:style w:type="paragraph" w:customStyle="1" w:styleId="TitleofDocumentNoPhoto">
    <w:name w:val="Title of Document No Photo"/>
    <w:basedOn w:val="TitleofDocumentHorizontal"/>
    <w:semiHidden/>
    <w:rsid w:val="001324CA"/>
    <w:pPr>
      <w:spacing w:before="0" w:after="160"/>
    </w:pPr>
  </w:style>
  <w:style w:type="paragraph" w:styleId="TOC4">
    <w:name w:val="toc 4"/>
    <w:next w:val="Normal"/>
    <w:autoRedefine/>
    <w:uiPriority w:val="39"/>
    <w:rsid w:val="001324CA"/>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rsid w:val="001324CA"/>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rsid w:val="001324CA"/>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1324CA"/>
    <w:rPr>
      <w:rFonts w:eastAsiaTheme="minorEastAsia"/>
    </w:rPr>
  </w:style>
  <w:style w:type="paragraph" w:customStyle="1" w:styleId="NumberedBulletLastDS">
    <w:name w:val="Numbered Bullet (Last DS)"/>
    <w:basedOn w:val="NumberedBullet"/>
    <w:next w:val="Normal"/>
    <w:rsid w:val="001324CA"/>
    <w:pPr>
      <w:spacing w:after="320"/>
    </w:pPr>
  </w:style>
  <w:style w:type="paragraph" w:customStyle="1" w:styleId="NumberedBulletLastSS">
    <w:name w:val="Numbered Bullet (Last SS)"/>
    <w:basedOn w:val="NumberedBulletLastDS"/>
    <w:next w:val="NormalSS"/>
    <w:rsid w:val="001324CA"/>
    <w:pPr>
      <w:spacing w:after="240"/>
    </w:pPr>
  </w:style>
  <w:style w:type="table" w:styleId="LightList">
    <w:name w:val="Light List"/>
    <w:basedOn w:val="TableNormal"/>
    <w:uiPriority w:val="61"/>
    <w:rsid w:val="001324CA"/>
    <w:pPr>
      <w:spacing w:after="0"/>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1324CA"/>
    <w:pPr>
      <w:spacing w:after="0" w:line="360" w:lineRule="auto"/>
      <w:contextualSpacing/>
      <w:textboxTightWrap w:val="allLines"/>
    </w:pPr>
    <w:rPr>
      <w:rFonts w:ascii="Arial" w:eastAsiaTheme="minorEastAsia" w:hAnsi="Arial"/>
      <w:sz w:val="18"/>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outline w:val="0"/>
        <w:shadow w:val="0"/>
        <w:emboss w:val="0"/>
        <w:imprint w:val="0"/>
        <w:vanish w:val="0"/>
        <w:color w:val="FFFFFF" w:themeColor="background1"/>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outline w:val="0"/>
        <w:shadow w:val="0"/>
        <w:emboss w:val="0"/>
        <w:imprint w:val="0"/>
        <w:vanish w:val="0"/>
        <w:color w:val="FFFFFF" w:themeColor="background1"/>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H1Title">
    <w:name w:val="H1_Title"/>
    <w:basedOn w:val="Normal"/>
    <w:next w:val="Normal"/>
    <w:link w:val="H1TitleChar"/>
    <w:rsid w:val="001324CA"/>
    <w:pPr>
      <w:spacing w:after="184" w:line="440" w:lineRule="exact"/>
      <w:outlineLvl w:val="0"/>
    </w:pPr>
    <w:rPr>
      <w:rFonts w:ascii="Arial Black" w:eastAsiaTheme="minorEastAsia" w:hAnsi="Arial Black"/>
      <w:color w:val="E70033"/>
      <w:sz w:val="37"/>
    </w:rPr>
  </w:style>
  <w:style w:type="paragraph" w:customStyle="1" w:styleId="H2Chapter">
    <w:name w:val="H2_Chapter"/>
    <w:basedOn w:val="Heading1"/>
    <w:next w:val="NormalSS"/>
    <w:link w:val="H2ChapterChar"/>
    <w:rsid w:val="001324CA"/>
    <w:pPr>
      <w:keepNext w:val="0"/>
      <w:keepLines w:val="0"/>
      <w:spacing w:before="480" w:after="0" w:line="276" w:lineRule="auto"/>
      <w:ind w:left="432" w:hanging="432"/>
      <w:contextualSpacing/>
      <w:outlineLvl w:val="1"/>
    </w:pPr>
    <w:rPr>
      <w:rFonts w:asciiTheme="majorHAnsi" w:hAnsiTheme="majorHAnsi"/>
      <w:bCs/>
      <w:szCs w:val="28"/>
    </w:rPr>
  </w:style>
  <w:style w:type="character" w:customStyle="1" w:styleId="H1TitleChar">
    <w:name w:val="H1_Title Char"/>
    <w:basedOn w:val="DefaultParagraphFont"/>
    <w:link w:val="H1Title"/>
    <w:rsid w:val="001324CA"/>
    <w:rPr>
      <w:rFonts w:ascii="Arial Black" w:eastAsiaTheme="minorEastAsia" w:hAnsi="Arial Black"/>
      <w:color w:val="E70033"/>
      <w:sz w:val="37"/>
    </w:rPr>
  </w:style>
  <w:style w:type="paragraph" w:customStyle="1" w:styleId="H3Alpha">
    <w:name w:val="H3_Alpha"/>
    <w:basedOn w:val="Heading2"/>
    <w:next w:val="NormalSS"/>
    <w:link w:val="H3AlphaChar"/>
    <w:rsid w:val="001324CA"/>
    <w:pPr>
      <w:widowControl/>
      <w:spacing w:after="120" w:line="276" w:lineRule="auto"/>
      <w:ind w:left="432" w:hanging="432"/>
      <w:outlineLvl w:val="2"/>
    </w:pPr>
    <w:rPr>
      <w:rFonts w:asciiTheme="majorHAnsi" w:hAnsiTheme="majorHAnsi" w:cstheme="majorBidi"/>
      <w:bCs/>
      <w:caps/>
      <w:sz w:val="26"/>
      <w:szCs w:val="26"/>
    </w:rPr>
  </w:style>
  <w:style w:type="character" w:customStyle="1" w:styleId="H2ChapterChar">
    <w:name w:val="H2_Chapter Char"/>
    <w:basedOn w:val="Heading1Char"/>
    <w:link w:val="H2Chapter"/>
    <w:rsid w:val="001324CA"/>
    <w:rPr>
      <w:rFonts w:asciiTheme="majorHAnsi" w:eastAsiaTheme="majorEastAsia" w:hAnsiTheme="majorHAnsi" w:cstheme="majorBidi"/>
      <w:b/>
      <w:bCs/>
      <w:color w:val="1F497D" w:themeColor="text2"/>
      <w:sz w:val="28"/>
      <w:szCs w:val="28"/>
    </w:rPr>
  </w:style>
  <w:style w:type="paragraph" w:customStyle="1" w:styleId="H3AlphaNoTOC">
    <w:name w:val="H3_Alpha_No TOC"/>
    <w:basedOn w:val="H3Alpha"/>
    <w:next w:val="NormalSS"/>
    <w:link w:val="H3AlphaNoTOCChar"/>
    <w:rsid w:val="001324CA"/>
    <w:pPr>
      <w:outlineLvl w:val="9"/>
    </w:pPr>
  </w:style>
  <w:style w:type="character" w:customStyle="1" w:styleId="H3AlphaChar">
    <w:name w:val="H3_Alpha Char"/>
    <w:basedOn w:val="Heading2Char"/>
    <w:link w:val="H3Alpha"/>
    <w:rsid w:val="001324CA"/>
    <w:rPr>
      <w:rFonts w:asciiTheme="majorHAnsi" w:eastAsiaTheme="majorEastAsia" w:hAnsiTheme="majorHAnsi" w:cstheme="majorBidi"/>
      <w:b/>
      <w:bCs/>
      <w:caps/>
      <w:sz w:val="26"/>
      <w:szCs w:val="26"/>
    </w:rPr>
  </w:style>
  <w:style w:type="paragraph" w:customStyle="1" w:styleId="H4Number">
    <w:name w:val="H4_Number"/>
    <w:basedOn w:val="Heading3"/>
    <w:next w:val="NormalSS"/>
    <w:link w:val="H4NumberChar"/>
    <w:rsid w:val="001324CA"/>
    <w:pPr>
      <w:keepNext w:val="0"/>
      <w:keepLines w:val="0"/>
      <w:spacing w:before="200" w:line="271" w:lineRule="auto"/>
      <w:outlineLvl w:val="3"/>
    </w:pPr>
    <w:rPr>
      <w:rFonts w:ascii="Times New Roman" w:hAnsi="Times New Roman" w:cstheme="majorBidi"/>
      <w:b w:val="0"/>
      <w:bCs/>
      <w:i w:val="0"/>
    </w:rPr>
  </w:style>
  <w:style w:type="character" w:customStyle="1" w:styleId="H3AlphaNoTOCChar">
    <w:name w:val="H3_Alpha_No TOC Char"/>
    <w:basedOn w:val="H3AlphaChar"/>
    <w:link w:val="H3AlphaNoTOC"/>
    <w:rsid w:val="001324CA"/>
    <w:rPr>
      <w:rFonts w:asciiTheme="majorHAnsi" w:eastAsiaTheme="majorEastAsia" w:hAnsiTheme="majorHAnsi" w:cstheme="majorBidi"/>
      <w:b/>
      <w:bCs/>
      <w:caps/>
      <w:sz w:val="26"/>
      <w:szCs w:val="26"/>
    </w:rPr>
  </w:style>
  <w:style w:type="paragraph" w:customStyle="1" w:styleId="H4NumberNoTOC">
    <w:name w:val="H4_Number_No TOC"/>
    <w:basedOn w:val="H4Number"/>
    <w:next w:val="NormalSS"/>
    <w:link w:val="H4NumberNoTOCChar"/>
    <w:rsid w:val="001324CA"/>
    <w:pPr>
      <w:outlineLvl w:val="9"/>
    </w:pPr>
  </w:style>
  <w:style w:type="character" w:customStyle="1" w:styleId="H4NumberChar">
    <w:name w:val="H4_Number Char"/>
    <w:basedOn w:val="Heading3Char"/>
    <w:link w:val="H4Number"/>
    <w:rsid w:val="001324CA"/>
    <w:rPr>
      <w:rFonts w:ascii="Times New Roman" w:eastAsiaTheme="majorEastAsia" w:hAnsi="Times New Roman" w:cstheme="majorBidi"/>
      <w:b w:val="0"/>
      <w:bCs/>
      <w:i w:val="0"/>
      <w:sz w:val="24"/>
      <w:szCs w:val="24"/>
    </w:rPr>
  </w:style>
  <w:style w:type="paragraph" w:customStyle="1" w:styleId="H5Lower">
    <w:name w:val="H5_Lower"/>
    <w:basedOn w:val="Heading4"/>
    <w:next w:val="NormalSS"/>
    <w:link w:val="H5LowerChar"/>
    <w:rsid w:val="001324CA"/>
    <w:pPr>
      <w:keepNext w:val="0"/>
      <w:keepLines w:val="0"/>
      <w:outlineLvl w:val="4"/>
    </w:pPr>
  </w:style>
  <w:style w:type="character" w:customStyle="1" w:styleId="H4NumberNoTOCChar">
    <w:name w:val="H4_Number_No TOC Char"/>
    <w:basedOn w:val="H4NumberChar"/>
    <w:link w:val="H4NumberNoTOC"/>
    <w:rsid w:val="001324CA"/>
    <w:rPr>
      <w:rFonts w:ascii="Times New Roman" w:eastAsiaTheme="majorEastAsia" w:hAnsi="Times New Roman" w:cstheme="majorBidi"/>
      <w:b w:val="0"/>
      <w:bCs/>
      <w:i w:val="0"/>
      <w:sz w:val="24"/>
      <w:szCs w:val="24"/>
    </w:rPr>
  </w:style>
  <w:style w:type="character" w:customStyle="1" w:styleId="H5LowerChar">
    <w:name w:val="H5_Lower Char"/>
    <w:basedOn w:val="Heading4Char"/>
    <w:link w:val="H5Lower"/>
    <w:rsid w:val="001324CA"/>
    <w:rPr>
      <w:rFonts w:asciiTheme="majorHAnsi" w:eastAsiaTheme="majorEastAsia" w:hAnsiTheme="majorHAnsi" w:cstheme="majorBidi"/>
      <w:b w:val="0"/>
      <w:bCs/>
      <w:i/>
      <w:iCs/>
      <w:color w:val="4F81BD" w:themeColor="accent1"/>
      <w:sz w:val="24"/>
    </w:rPr>
  </w:style>
  <w:style w:type="character" w:styleId="PlaceholderText">
    <w:name w:val="Placeholder Text"/>
    <w:basedOn w:val="DefaultParagraphFont"/>
    <w:uiPriority w:val="99"/>
    <w:semiHidden/>
    <w:rsid w:val="001324CA"/>
    <w:rPr>
      <w:color w:val="808080"/>
    </w:rPr>
  </w:style>
  <w:style w:type="paragraph" w:styleId="EndnoteText">
    <w:name w:val="endnote text"/>
    <w:basedOn w:val="Normal"/>
    <w:link w:val="EndnoteTextChar"/>
    <w:semiHidden/>
    <w:unhideWhenUsed/>
    <w:rsid w:val="001324CA"/>
    <w:pPr>
      <w:spacing w:line="240" w:lineRule="auto"/>
    </w:pPr>
    <w:rPr>
      <w:rFonts w:eastAsiaTheme="minorEastAsia"/>
      <w:sz w:val="20"/>
    </w:rPr>
  </w:style>
  <w:style w:type="character" w:customStyle="1" w:styleId="EndnoteTextChar">
    <w:name w:val="Endnote Text Char"/>
    <w:basedOn w:val="DefaultParagraphFont"/>
    <w:link w:val="EndnoteText"/>
    <w:semiHidden/>
    <w:rsid w:val="001324CA"/>
    <w:rPr>
      <w:rFonts w:eastAsiaTheme="minorEastAsia"/>
      <w:sz w:val="20"/>
    </w:rPr>
  </w:style>
  <w:style w:type="character" w:styleId="EndnoteReference">
    <w:name w:val="endnote reference"/>
    <w:basedOn w:val="DefaultParagraphFont"/>
    <w:semiHidden/>
    <w:unhideWhenUsed/>
    <w:rsid w:val="001324CA"/>
    <w:rPr>
      <w:vertAlign w:val="superscript"/>
    </w:rPr>
  </w:style>
  <w:style w:type="character" w:customStyle="1" w:styleId="NormalSSChar">
    <w:name w:val="NormalSS Char"/>
    <w:link w:val="NormalSS"/>
    <w:locked/>
    <w:rsid w:val="001324CA"/>
    <w:rPr>
      <w:rFonts w:eastAsiaTheme="minorEastAsia"/>
    </w:rPr>
  </w:style>
  <w:style w:type="character" w:customStyle="1" w:styleId="dfm-title">
    <w:name w:val="dfm-title"/>
    <w:basedOn w:val="DefaultParagraphFont"/>
    <w:rsid w:val="001324CA"/>
  </w:style>
  <w:style w:type="table" w:customStyle="1" w:styleId="LightList1">
    <w:name w:val="Light List1"/>
    <w:basedOn w:val="TableNormal"/>
    <w:next w:val="LightList"/>
    <w:uiPriority w:val="61"/>
    <w:rsid w:val="001324CA"/>
    <w:pPr>
      <w:spacing w:after="0"/>
    </w:pPr>
    <w:rPr>
      <w:rFonts w:ascii="Calibri" w:eastAsiaTheme="minorEastAsia" w:hAnsi="Calibri"/>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isclosure">
    <w:name w:val="disclosure"/>
    <w:basedOn w:val="Footer"/>
    <w:rsid w:val="001324CA"/>
    <w:pPr>
      <w:tabs>
        <w:tab w:val="clear" w:pos="4680"/>
        <w:tab w:val="center" w:pos="4770"/>
      </w:tabs>
      <w:spacing w:before="120" w:after="200"/>
      <w:jc w:val="center"/>
    </w:pPr>
    <w:rPr>
      <w:rFonts w:ascii="Arial" w:eastAsiaTheme="minorEastAsia" w:hAnsi="Arial"/>
      <w:sz w:val="17"/>
    </w:rPr>
  </w:style>
  <w:style w:type="paragraph" w:customStyle="1" w:styleId="backcovercities">
    <w:name w:val="back cover cities"/>
    <w:basedOn w:val="Normal"/>
    <w:rsid w:val="001324CA"/>
    <w:pPr>
      <w:spacing w:line="240" w:lineRule="auto"/>
    </w:pPr>
    <w:rPr>
      <w:rFonts w:ascii="Arial Black" w:eastAsiaTheme="minorEastAsia" w:hAnsi="Arial Black"/>
      <w:caps/>
      <w:noProof/>
      <w:spacing w:val="-3"/>
      <w:sz w:val="14"/>
      <w:szCs w:val="19"/>
    </w:rPr>
  </w:style>
  <w:style w:type="paragraph" w:customStyle="1" w:styleId="backcovertitle">
    <w:name w:val="back cover title"/>
    <w:basedOn w:val="Normal"/>
    <w:rsid w:val="001324CA"/>
    <w:pPr>
      <w:pBdr>
        <w:top w:val="single" w:sz="4" w:space="5" w:color="auto"/>
        <w:bottom w:val="single" w:sz="4" w:space="5" w:color="auto"/>
      </w:pBdr>
      <w:spacing w:after="184" w:line="280" w:lineRule="exact"/>
      <w:outlineLvl w:val="0"/>
    </w:pPr>
    <w:rPr>
      <w:rFonts w:ascii="Arial Black" w:eastAsiaTheme="minorEastAsia" w:hAnsi="Arial Black"/>
      <w:noProof/>
      <w:color w:val="E70033"/>
      <w:szCs w:val="26"/>
    </w:rPr>
  </w:style>
  <w:style w:type="paragraph" w:styleId="Subtitle">
    <w:name w:val="Subtitle"/>
    <w:basedOn w:val="Normal"/>
    <w:next w:val="Normal"/>
    <w:link w:val="SubtitleChar"/>
    <w:uiPriority w:val="11"/>
    <w:qFormat/>
    <w:rsid w:val="001324C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324CA"/>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1324CA"/>
    <w:pPr>
      <w:spacing w:before="200" w:after="0"/>
      <w:ind w:left="360" w:right="360"/>
    </w:pPr>
    <w:rPr>
      <w:rFonts w:eastAsiaTheme="minorEastAsia"/>
      <w:i/>
      <w:iCs/>
    </w:rPr>
  </w:style>
  <w:style w:type="character" w:customStyle="1" w:styleId="QuoteChar">
    <w:name w:val="Quote Char"/>
    <w:basedOn w:val="DefaultParagraphFont"/>
    <w:link w:val="Quote"/>
    <w:uiPriority w:val="29"/>
    <w:rsid w:val="001324CA"/>
    <w:rPr>
      <w:rFonts w:eastAsiaTheme="minorEastAsia"/>
      <w:i/>
      <w:iCs/>
    </w:rPr>
  </w:style>
  <w:style w:type="paragraph" w:styleId="IntenseQuote">
    <w:name w:val="Intense Quote"/>
    <w:basedOn w:val="Normal"/>
    <w:next w:val="Normal"/>
    <w:link w:val="IntenseQuoteChar"/>
    <w:uiPriority w:val="30"/>
    <w:qFormat/>
    <w:rsid w:val="001324CA"/>
    <w:pPr>
      <w:pBdr>
        <w:bottom w:val="single" w:sz="4" w:space="1" w:color="auto"/>
      </w:pBdr>
      <w:spacing w:before="200" w:after="280"/>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1324CA"/>
    <w:rPr>
      <w:rFonts w:eastAsiaTheme="minorEastAsia"/>
      <w:b/>
      <w:bCs/>
      <w:i/>
      <w:iCs/>
    </w:rPr>
  </w:style>
  <w:style w:type="character" w:styleId="SubtleEmphasis">
    <w:name w:val="Subtle Emphasis"/>
    <w:uiPriority w:val="19"/>
    <w:qFormat/>
    <w:rsid w:val="001324CA"/>
    <w:rPr>
      <w:i/>
      <w:iCs/>
    </w:rPr>
  </w:style>
  <w:style w:type="character" w:styleId="IntenseEmphasis">
    <w:name w:val="Intense Emphasis"/>
    <w:uiPriority w:val="21"/>
    <w:qFormat/>
    <w:rsid w:val="001324CA"/>
    <w:rPr>
      <w:b/>
      <w:bCs/>
    </w:rPr>
  </w:style>
  <w:style w:type="character" w:styleId="SubtleReference">
    <w:name w:val="Subtle Reference"/>
    <w:uiPriority w:val="31"/>
    <w:qFormat/>
    <w:rsid w:val="001324CA"/>
    <w:rPr>
      <w:smallCaps/>
    </w:rPr>
  </w:style>
  <w:style w:type="character" w:styleId="IntenseReference">
    <w:name w:val="Intense Reference"/>
    <w:uiPriority w:val="32"/>
    <w:qFormat/>
    <w:rsid w:val="001324CA"/>
    <w:rPr>
      <w:smallCaps/>
      <w:spacing w:val="5"/>
      <w:u w:val="single"/>
    </w:rPr>
  </w:style>
  <w:style w:type="character" w:styleId="BookTitle">
    <w:name w:val="Book Title"/>
    <w:uiPriority w:val="33"/>
    <w:qFormat/>
    <w:rsid w:val="001324CA"/>
    <w:rPr>
      <w:i/>
      <w:iCs/>
      <w:smallCaps/>
      <w:spacing w:val="5"/>
    </w:rPr>
  </w:style>
  <w:style w:type="paragraph" w:styleId="TOC5">
    <w:name w:val="toc 5"/>
    <w:basedOn w:val="Normal"/>
    <w:next w:val="Normal"/>
    <w:autoRedefine/>
    <w:uiPriority w:val="39"/>
    <w:unhideWhenUsed/>
    <w:rsid w:val="000A1B37"/>
    <w:pPr>
      <w:spacing w:after="100"/>
      <w:ind w:left="880"/>
    </w:pPr>
    <w:rPr>
      <w:rFonts w:eastAsiaTheme="minorEastAsia"/>
    </w:rPr>
  </w:style>
  <w:style w:type="paragraph" w:styleId="TOC6">
    <w:name w:val="toc 6"/>
    <w:basedOn w:val="Normal"/>
    <w:next w:val="Normal"/>
    <w:autoRedefine/>
    <w:uiPriority w:val="39"/>
    <w:unhideWhenUsed/>
    <w:rsid w:val="000A1B37"/>
    <w:pPr>
      <w:spacing w:after="100"/>
      <w:ind w:left="1100"/>
    </w:pPr>
    <w:rPr>
      <w:rFonts w:eastAsiaTheme="minorEastAsia"/>
    </w:rPr>
  </w:style>
  <w:style w:type="paragraph" w:styleId="TOC7">
    <w:name w:val="toc 7"/>
    <w:basedOn w:val="Normal"/>
    <w:next w:val="Normal"/>
    <w:autoRedefine/>
    <w:uiPriority w:val="39"/>
    <w:unhideWhenUsed/>
    <w:rsid w:val="000A1B37"/>
    <w:pPr>
      <w:spacing w:after="100"/>
      <w:ind w:left="1320"/>
    </w:pPr>
    <w:rPr>
      <w:rFonts w:eastAsiaTheme="minorEastAsia"/>
    </w:rPr>
  </w:style>
  <w:style w:type="paragraph" w:styleId="TOC9">
    <w:name w:val="toc 9"/>
    <w:basedOn w:val="Normal"/>
    <w:next w:val="Normal"/>
    <w:autoRedefine/>
    <w:uiPriority w:val="39"/>
    <w:unhideWhenUsed/>
    <w:rsid w:val="000A1B37"/>
    <w:pPr>
      <w:spacing w:after="100"/>
      <w:ind w:left="1760"/>
    </w:pPr>
    <w:rPr>
      <w:rFonts w:eastAsiaTheme="minorEastAsia"/>
    </w:rPr>
  </w:style>
  <w:style w:type="numbering" w:customStyle="1" w:styleId="NoList3">
    <w:name w:val="No List3"/>
    <w:next w:val="NoList"/>
    <w:uiPriority w:val="99"/>
    <w:semiHidden/>
    <w:unhideWhenUsed/>
    <w:rsid w:val="00ED7F02"/>
  </w:style>
  <w:style w:type="table" w:customStyle="1" w:styleId="TableGrid2">
    <w:name w:val="Table Grid2"/>
    <w:basedOn w:val="TableNormal"/>
    <w:next w:val="TableGrid"/>
    <w:uiPriority w:val="59"/>
    <w:rsid w:val="00ED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ED7F02"/>
    <w:pPr>
      <w:spacing w:after="120" w:line="240" w:lineRule="auto"/>
      <w:ind w:firstLine="720"/>
      <w:jc w:val="both"/>
    </w:pPr>
    <w:rPr>
      <w:rFonts w:ascii="CG Times (WN)" w:eastAsia="PMingLiU" w:hAnsi="CG Times (WN)" w:cs="Times New Roman"/>
      <w:sz w:val="24"/>
      <w:szCs w:val="20"/>
    </w:rPr>
  </w:style>
  <w:style w:type="paragraph" w:customStyle="1" w:styleId="ListBullet1">
    <w:name w:val="List Bullet1"/>
    <w:basedOn w:val="Normal"/>
    <w:next w:val="ListBullet"/>
    <w:uiPriority w:val="17"/>
    <w:qFormat/>
    <w:rsid w:val="00ED7F02"/>
    <w:pPr>
      <w:numPr>
        <w:numId w:val="30"/>
      </w:numPr>
      <w:tabs>
        <w:tab w:val="clear" w:pos="360"/>
        <w:tab w:val="left" w:pos="288"/>
        <w:tab w:val="num" w:pos="720"/>
      </w:tabs>
      <w:spacing w:after="240" w:line="270" w:lineRule="atLeast"/>
      <w:ind w:left="288" w:hanging="288"/>
    </w:pPr>
  </w:style>
  <w:style w:type="paragraph" w:customStyle="1" w:styleId="Acknowledgments">
    <w:name w:val="Acknowledgments"/>
    <w:basedOn w:val="Normal"/>
    <w:uiPriority w:val="27"/>
    <w:qFormat/>
    <w:rsid w:val="00ED7F02"/>
    <w:pPr>
      <w:spacing w:after="180" w:line="270" w:lineRule="exact"/>
      <w:ind w:left="720" w:right="720"/>
    </w:pPr>
  </w:style>
  <w:style w:type="paragraph" w:customStyle="1" w:styleId="Style">
    <w:name w:val="Style"/>
    <w:rsid w:val="00ED7F02"/>
    <w:pPr>
      <w:widowControl w:val="0"/>
      <w:autoSpaceDE w:val="0"/>
      <w:autoSpaceDN w:val="0"/>
      <w:adjustRightInd w:val="0"/>
      <w:spacing w:after="0" w:line="240" w:lineRule="auto"/>
    </w:pPr>
    <w:rPr>
      <w:rFonts w:ascii="Arial" w:eastAsia="MS Mincho" w:hAnsi="Arial" w:cs="Arial"/>
      <w:sz w:val="24"/>
      <w:szCs w:val="24"/>
    </w:rPr>
  </w:style>
  <w:style w:type="character" w:customStyle="1" w:styleId="apple-converted-space">
    <w:name w:val="apple-converted-space"/>
    <w:basedOn w:val="DefaultParagraphFont"/>
    <w:rsid w:val="00ED7F02"/>
  </w:style>
  <w:style w:type="character" w:customStyle="1" w:styleId="ref-journal">
    <w:name w:val="ref-journal"/>
    <w:basedOn w:val="DefaultParagraphFont"/>
    <w:rsid w:val="00ED7F02"/>
  </w:style>
  <w:style w:type="character" w:customStyle="1" w:styleId="ref-vol">
    <w:name w:val="ref-vol"/>
    <w:basedOn w:val="DefaultParagraphFont"/>
    <w:rsid w:val="00ED7F02"/>
  </w:style>
  <w:style w:type="character" w:customStyle="1" w:styleId="BodyText2Char1">
    <w:name w:val="Body Text 2 Char1"/>
    <w:basedOn w:val="DefaultParagraphFont"/>
    <w:uiPriority w:val="99"/>
    <w:semiHidden/>
    <w:rsid w:val="00ED7F02"/>
  </w:style>
  <w:style w:type="character" w:customStyle="1" w:styleId="BodyText3Char">
    <w:name w:val="Body Text 3 Char"/>
    <w:basedOn w:val="DefaultParagraphFont"/>
    <w:link w:val="BodyText3"/>
    <w:uiPriority w:val="99"/>
    <w:semiHidden/>
    <w:rsid w:val="00ED7F02"/>
    <w:rPr>
      <w:sz w:val="16"/>
      <w:szCs w:val="16"/>
    </w:rPr>
  </w:style>
  <w:style w:type="paragraph" w:customStyle="1" w:styleId="BodyText31">
    <w:name w:val="Body Text 31"/>
    <w:basedOn w:val="Normal"/>
    <w:next w:val="BodyText3"/>
    <w:uiPriority w:val="99"/>
    <w:semiHidden/>
    <w:unhideWhenUsed/>
    <w:rsid w:val="00ED7F02"/>
    <w:pPr>
      <w:spacing w:after="120"/>
    </w:pPr>
    <w:rPr>
      <w:sz w:val="16"/>
      <w:szCs w:val="16"/>
    </w:rPr>
  </w:style>
  <w:style w:type="character" w:customStyle="1" w:styleId="BodyText3Char1">
    <w:name w:val="Body Text 3 Char1"/>
    <w:basedOn w:val="DefaultParagraphFont"/>
    <w:uiPriority w:val="99"/>
    <w:semiHidden/>
    <w:rsid w:val="00ED7F02"/>
    <w:rPr>
      <w:sz w:val="16"/>
      <w:szCs w:val="16"/>
    </w:rPr>
  </w:style>
  <w:style w:type="paragraph" w:customStyle="1" w:styleId="ProtocolText">
    <w:name w:val="ProtocolText"/>
    <w:basedOn w:val="Normal"/>
    <w:qFormat/>
    <w:rsid w:val="00ED7F02"/>
    <w:pPr>
      <w:spacing w:after="0" w:line="300" w:lineRule="auto"/>
    </w:pPr>
    <w:rPr>
      <w:rFonts w:ascii="Arial" w:eastAsia="Times New Roman" w:hAnsi="Arial" w:cs="Arial"/>
    </w:rPr>
  </w:style>
  <w:style w:type="paragraph" w:styleId="ListBullet">
    <w:name w:val="List Bullet"/>
    <w:basedOn w:val="Normal"/>
    <w:uiPriority w:val="99"/>
    <w:semiHidden/>
    <w:unhideWhenUsed/>
    <w:rsid w:val="00ED7F02"/>
    <w:pPr>
      <w:tabs>
        <w:tab w:val="num" w:pos="360"/>
      </w:tabs>
      <w:ind w:left="360" w:hanging="360"/>
      <w:contextualSpacing/>
    </w:pPr>
  </w:style>
  <w:style w:type="paragraph" w:styleId="BodyText3">
    <w:name w:val="Body Text 3"/>
    <w:basedOn w:val="Normal"/>
    <w:link w:val="BodyText3Char"/>
    <w:uiPriority w:val="99"/>
    <w:semiHidden/>
    <w:unhideWhenUsed/>
    <w:rsid w:val="00ED7F02"/>
    <w:pPr>
      <w:spacing w:after="120"/>
    </w:pPr>
    <w:rPr>
      <w:sz w:val="16"/>
      <w:szCs w:val="16"/>
    </w:rPr>
  </w:style>
  <w:style w:type="character" w:customStyle="1" w:styleId="BodyText3Char2">
    <w:name w:val="Body Text 3 Char2"/>
    <w:basedOn w:val="DefaultParagraphFont"/>
    <w:uiPriority w:val="99"/>
    <w:semiHidden/>
    <w:rsid w:val="00ED7F0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038404">
      <w:bodyDiv w:val="1"/>
      <w:marLeft w:val="0"/>
      <w:marRight w:val="0"/>
      <w:marTop w:val="0"/>
      <w:marBottom w:val="0"/>
      <w:divBdr>
        <w:top w:val="none" w:sz="0" w:space="0" w:color="auto"/>
        <w:left w:val="none" w:sz="0" w:space="0" w:color="auto"/>
        <w:bottom w:val="none" w:sz="0" w:space="0" w:color="auto"/>
        <w:right w:val="none" w:sz="0" w:space="0" w:color="auto"/>
      </w:divBdr>
    </w:div>
    <w:div w:id="183456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allup.com" TargetMode="External"/><Relationship Id="rId117" Type="http://schemas.openxmlformats.org/officeDocument/2006/relationships/image" Target="media/image34.png"/><Relationship Id="rId21" Type="http://schemas.openxmlformats.org/officeDocument/2006/relationships/image" Target="media/image7.emf"/><Relationship Id="rId42" Type="http://schemas.openxmlformats.org/officeDocument/2006/relationships/hyperlink" Target="https://www.bast.de/Druid/EN/deliverales-list/downloads/Deliverable_3_2_2.pdf?__blob=publicationFile&amp;v=1" TargetMode="External"/><Relationship Id="rId47" Type="http://schemas.openxmlformats.org/officeDocument/2006/relationships/hyperlink" Target="https://doi.org/10.1016/j.annepidem.2017.05.003" TargetMode="Externa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header" Target="header6.xml"/><Relationship Id="rId89" Type="http://schemas.openxmlformats.org/officeDocument/2006/relationships/image" Target="media/image24.png"/><Relationship Id="rId112" Type="http://schemas.openxmlformats.org/officeDocument/2006/relationships/image" Target="media/image31.png"/><Relationship Id="rId133" Type="http://schemas.openxmlformats.org/officeDocument/2006/relationships/image" Target="media/image36.png"/><Relationship Id="rId16" Type="http://schemas.openxmlformats.org/officeDocument/2006/relationships/footer" Target="footer2.xml"/><Relationship Id="rId107" Type="http://schemas.openxmlformats.org/officeDocument/2006/relationships/hyperlink" Target="http://www.who.int/topics/adolescent_health/en/" TargetMode="External"/><Relationship Id="rId11" Type="http://schemas.openxmlformats.org/officeDocument/2006/relationships/hyperlink" Target="https://www.mass.gov/report/massachusetts-department-of-public-health-marijuana-research" TargetMode="External"/><Relationship Id="rId32" Type="http://schemas.openxmlformats.org/officeDocument/2006/relationships/header" Target="header3.xml"/><Relationship Id="rId37" Type="http://schemas.openxmlformats.org/officeDocument/2006/relationships/hyperlink" Target="http://www.encephalapp.com/" TargetMode="External"/><Relationship Id="rId53" Type="http://schemas.openxmlformats.org/officeDocument/2006/relationships/hyperlink" Target="http://www.who.int/topics/adolescent_health/en/" TargetMode="External"/><Relationship Id="rId58" Type="http://schemas.openxmlformats.org/officeDocument/2006/relationships/image" Target="media/image10.png"/><Relationship Id="rId74" Type="http://schemas.openxmlformats.org/officeDocument/2006/relationships/hyperlink" Target="https://www.draeger.com/Library/Content/drugtest_5000_pi_9041006_en.pdf" TargetMode="External"/><Relationship Id="rId79" Type="http://schemas.openxmlformats.org/officeDocument/2006/relationships/hyperlink" Target="https://www.druidapp.com" TargetMode="External"/><Relationship Id="rId102" Type="http://schemas.openxmlformats.org/officeDocument/2006/relationships/hyperlink" Target="https://www.druidapp.com" TargetMode="External"/><Relationship Id="rId123" Type="http://schemas.openxmlformats.org/officeDocument/2006/relationships/image" Target="https://surveygizmolibrary.s3.amazonaws.com/library/223302/MM_VaporizingConcentrate.png" TargetMode="External"/><Relationship Id="rId128" Type="http://schemas.openxmlformats.org/officeDocument/2006/relationships/image" Target="https://surveygizmolibrary.s3.amazonaws.com/library/223302/MM_Pills.png" TargetMode="External"/><Relationship Id="rId144" Type="http://schemas.openxmlformats.org/officeDocument/2006/relationships/image" Target="media/image38.jpeg"/><Relationship Id="rId149" Type="http://schemas.openxmlformats.org/officeDocument/2006/relationships/fontTable" Target="fontTable.xml"/><Relationship Id="rId5" Type="http://schemas.microsoft.com/office/2007/relationships/stylesWithEffects" Target="stylesWithEffects.xml"/><Relationship Id="rId90" Type="http://schemas.openxmlformats.org/officeDocument/2006/relationships/image" Target="media/image25.png"/><Relationship Id="rId95" Type="http://schemas.openxmlformats.org/officeDocument/2006/relationships/hyperlink" Target="https://www.alere.com/en/home/product-details/dds2-mobile-test-system.html" TargetMode="External"/><Relationship Id="rId22" Type="http://schemas.openxmlformats.org/officeDocument/2006/relationships/hyperlink" Target="https://www.nationalaffairs.com/publications/detail/the-real-dangers-of-marijuana" TargetMode="External"/><Relationship Id="rId27" Type="http://schemas.openxmlformats.org/officeDocument/2006/relationships/hyperlink" Target="https://www.nationalaffairs.com/publications/detail/the-real-dangers-of-marijuana" TargetMode="External"/><Relationship Id="rId43" Type="http://schemas.openxmlformats.org/officeDocument/2006/relationships/hyperlink" Target="https://doi.org/10.1016/j.forsciint.2016.09.007" TargetMode="External"/><Relationship Id="rId48" Type="http://schemas.openxmlformats.org/officeDocument/2006/relationships/hyperlink" Target="https://www.druidapp.com" TargetMode="External"/><Relationship Id="rId64" Type="http://schemas.openxmlformats.org/officeDocument/2006/relationships/image" Target="media/image16.png"/><Relationship Id="rId69" Type="http://schemas.openxmlformats.org/officeDocument/2006/relationships/image" Target="media/image21.png"/><Relationship Id="rId113" Type="http://schemas.openxmlformats.org/officeDocument/2006/relationships/image" Target="media/image31.jpeg"/><Relationship Id="rId118"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hyperlink" Target="https://www.alere.com/en/home/product-details/QuantisalOralFluidCollectionDevice-au.html" TargetMode="External"/><Relationship Id="rId72" Type="http://schemas.openxmlformats.org/officeDocument/2006/relationships/hyperlink" Target="https://www.bast.de/Druid/EN/deliverales-list/downloads/Deliverable_3_2_2.pdf?__blob=publicationFile&amp;v=1" TargetMode="External"/><Relationship Id="rId80" Type="http://schemas.openxmlformats.org/officeDocument/2006/relationships/hyperlink" Target="http://www.nber.org/fars/ftp.nhtsa.dot.gov/fars/FARS-DOC/Analytical%20User%20Guide/USERGUIDE-2015.pdf" TargetMode="External"/><Relationship Id="rId85" Type="http://schemas.openxmlformats.org/officeDocument/2006/relationships/header" Target="header7.xml"/><Relationship Id="rId93" Type="http://schemas.openxmlformats.org/officeDocument/2006/relationships/image" Target="media/image28.png"/><Relationship Id="rId98" Type="http://schemas.openxmlformats.org/officeDocument/2006/relationships/hyperlink" Target="https://www.draeger.com/Library/Content/drugtest_5000_pi_9041006_en.pdf" TargetMode="External"/><Relationship Id="rId121" Type="http://schemas.openxmlformats.org/officeDocument/2006/relationships/image" Target="https://surveygizmolibrary.s3.amazonaws.com/library/223302/MM_Smoking.png" TargetMode="External"/><Relationship Id="rId142" Type="http://schemas.openxmlformats.org/officeDocument/2006/relationships/image" Target="media/image150.png"/><Relationship Id="rId15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mass.gov/report/massachusetts-department-of-public-health-marijuana-research" TargetMode="External"/><Relationship Id="rId17" Type="http://schemas.openxmlformats.org/officeDocument/2006/relationships/image" Target="media/image3.emf"/><Relationship Id="rId25" Type="http://schemas.openxmlformats.org/officeDocument/2006/relationships/hyperlink" Target="https://www.samhsa.gov/data/" TargetMode="External"/><Relationship Id="rId33" Type="http://schemas.openxmlformats.org/officeDocument/2006/relationships/header" Target="header4.xml"/><Relationship Id="rId38" Type="http://schemas.openxmlformats.org/officeDocument/2006/relationships/hyperlink" Target="http://www.cambridgecognition.com/cantab/" TargetMode="External"/><Relationship Id="rId46" Type="http://schemas.openxmlformats.org/officeDocument/2006/relationships/hyperlink" Target="http://www.icadtsinternational.com/files/documents/2013_058.pdf" TargetMode="External"/><Relationship Id="rId59" Type="http://schemas.openxmlformats.org/officeDocument/2006/relationships/image" Target="media/image11.png"/><Relationship Id="rId67" Type="http://schemas.openxmlformats.org/officeDocument/2006/relationships/image" Target="media/image19.png"/><Relationship Id="rId103" Type="http://schemas.openxmlformats.org/officeDocument/2006/relationships/hyperlink" Target="https://crashstats.nhtsa.dot.gov/Api/Public/Publication/812449" TargetMode="External"/><Relationship Id="rId108" Type="http://schemas.openxmlformats.org/officeDocument/2006/relationships/header" Target="header8.xml"/><Relationship Id="rId116" Type="http://schemas.openxmlformats.org/officeDocument/2006/relationships/image" Target="media/image33.png"/><Relationship Id="rId124" Type="http://schemas.openxmlformats.org/officeDocument/2006/relationships/image" Target="https://surveygizmolibrary.s3.amazonaws.com/library/223302/MM_Dabbing.png" TargetMode="External"/><Relationship Id="rId129" Type="http://schemas.openxmlformats.org/officeDocument/2006/relationships/image" Target="https://surveygizmolibrary.s3.amazonaws.com/library/223302/MM_Balm.png" TargetMode="External"/><Relationship Id="rId20" Type="http://schemas.openxmlformats.org/officeDocument/2006/relationships/image" Target="media/image6.emf"/><Relationship Id="rId41" Type="http://schemas.openxmlformats.org/officeDocument/2006/relationships/hyperlink" Target="https://www.alere.com/en/home/product-details/dds2-mobile-test-system.html" TargetMode="External"/><Relationship Id="rId54" Type="http://schemas.openxmlformats.org/officeDocument/2006/relationships/header" Target="header5.xml"/><Relationship Id="rId62" Type="http://schemas.openxmlformats.org/officeDocument/2006/relationships/image" Target="media/image14.png"/><Relationship Id="rId70" Type="http://schemas.openxmlformats.org/officeDocument/2006/relationships/hyperlink" Target="http://learnaboutmarijuanawa.org/factsheets/whatiscannabis.htm" TargetMode="External"/><Relationship Id="rId75" Type="http://schemas.openxmlformats.org/officeDocument/2006/relationships/hyperlink" Target="http://wtsc.wa.gov/wp-content/uploads/dlm_uploads/2018/05/Marijuana-and-Alcohol-Involvement-in-Fatal-Crashes-in-WA_FINAL.pdf" TargetMode="External"/><Relationship Id="rId83" Type="http://schemas.openxmlformats.org/officeDocument/2006/relationships/hyperlink" Target="http://www.who.int/topics/adolescent_health/en/" TargetMode="External"/><Relationship Id="rId88" Type="http://schemas.openxmlformats.org/officeDocument/2006/relationships/image" Target="media/image23.png"/><Relationship Id="rId91" Type="http://schemas.openxmlformats.org/officeDocument/2006/relationships/image" Target="media/image26.png"/><Relationship Id="rId96" Type="http://schemas.openxmlformats.org/officeDocument/2006/relationships/hyperlink" Target="https://www.bast.de/Druid/EN/deliverales-list/downloads/Deliverable_3_2_2.pdf?__blob=publicationFile&amp;v=1" TargetMode="External"/><Relationship Id="rId111" Type="http://schemas.openxmlformats.org/officeDocument/2006/relationships/image" Target="media/image300.png"/><Relationship Id="rId132" Type="http://schemas.openxmlformats.org/officeDocument/2006/relationships/image" Target="https://surveygizmolibrary.s3.amazonaws.com/library/223302/MM_FlowerAmounts.png" TargetMode="External"/><Relationship Id="rId145" Type="http://schemas.openxmlformats.org/officeDocument/2006/relationships/hyperlink" Target="https://www.mass.gov/service-details/medical-use-of-marijuana-program-product-testin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geekdoctor.blogspot.com/2007/11/data-information-knowledge-and-wisdom.html" TargetMode="External"/><Relationship Id="rId28" Type="http://schemas.openxmlformats.org/officeDocument/2006/relationships/hyperlink" Target="http://geekdoctor.blogspot.com/2007/11/data-information-knowledge-and-wisdom.html" TargetMode="External"/><Relationship Id="rId36" Type="http://schemas.openxmlformats.org/officeDocument/2006/relationships/hyperlink" Target="https://www.brainturk.com/games" TargetMode="External"/><Relationship Id="rId49" Type="http://schemas.openxmlformats.org/officeDocument/2006/relationships/hyperlink" Target="https://crashstats.nhtsa.dot.gov/Api/Public/Publication/812449" TargetMode="External"/><Relationship Id="rId57" Type="http://schemas.openxmlformats.org/officeDocument/2006/relationships/image" Target="media/image9.png"/><Relationship Id="rId106" Type="http://schemas.openxmlformats.org/officeDocument/2006/relationships/hyperlink" Target="https://crashstats.nhtsa.dot.gov/Api/Public/ViewPublication/809403" TargetMode="External"/><Relationship Id="rId114" Type="http://schemas.openxmlformats.org/officeDocument/2006/relationships/hyperlink" Target="http://www.wideopeneats.com/much-case-beer-costs-state/" TargetMode="External"/><Relationship Id="rId119" Type="http://schemas.openxmlformats.org/officeDocument/2006/relationships/image" Target="https://surveygizmolibrary.s3.amazonaws.com/library/223302/MES_CHIA_logo.png" TargetMode="External"/><Relationship Id="rId127" Type="http://schemas.openxmlformats.org/officeDocument/2006/relationships/image" Target="https://surveygizmolibrary.s3.amazonaws.com/library/223302/MM_Sublingual.png" TargetMode="External"/><Relationship Id="rId10" Type="http://schemas.openxmlformats.org/officeDocument/2006/relationships/image" Target="media/image1.jpeg"/><Relationship Id="rId31" Type="http://schemas.openxmlformats.org/officeDocument/2006/relationships/header" Target="header2.xml"/><Relationship Id="rId44" Type="http://schemas.openxmlformats.org/officeDocument/2006/relationships/hyperlink" Target="https://www.draeger.com/Library/Content/drugtest_5000_pi_9041006_en.pdf" TargetMode="External"/><Relationship Id="rId52" Type="http://schemas.openxmlformats.org/officeDocument/2006/relationships/hyperlink" Target="https://crashstats.nhtsa.dot.gov/Api/Public/ViewPublication/809403" TargetMode="Externa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hyperlink" Target="https://doi.org/10.1016/j.forsciint.2016.09.007" TargetMode="External"/><Relationship Id="rId78" Type="http://schemas.openxmlformats.org/officeDocument/2006/relationships/hyperlink" Target="https://doi.org/10.1016/j.annepidem.2017.05.003" TargetMode="External"/><Relationship Id="rId81" Type="http://schemas.openxmlformats.org/officeDocument/2006/relationships/hyperlink" Target="https://www.alere.com/en/home/product-details/QuantisalOralFluidCollectionDevice-au.html" TargetMode="External"/><Relationship Id="rId86" Type="http://schemas.openxmlformats.org/officeDocument/2006/relationships/footer" Target="footer5.xml"/><Relationship Id="rId94" Type="http://schemas.openxmlformats.org/officeDocument/2006/relationships/hyperlink" Target="http://learnaboutmarijuanawa.org/factsheets/whatiscannabis.htm" TargetMode="External"/><Relationship Id="rId99" Type="http://schemas.openxmlformats.org/officeDocument/2006/relationships/hyperlink" Target="https://www.nytimes.com/2016/07/26/health/marijuana-edibles-are-getting-into-colorado-childrens-hands-study-says.html" TargetMode="External"/><Relationship Id="rId101" Type="http://schemas.openxmlformats.org/officeDocument/2006/relationships/hyperlink" Target="https://doi.org/10.1016/j.annepidem.2017.05.003" TargetMode="External"/><Relationship Id="rId122" Type="http://schemas.openxmlformats.org/officeDocument/2006/relationships/image" Target="https://surveygizmolibrary.s3.amazonaws.com/library/223302/MM_VaporizingFlower.png" TargetMode="External"/><Relationship Id="rId130" Type="http://schemas.openxmlformats.org/officeDocument/2006/relationships/image" Target="https://surveygizmolibrary.s3.amazonaws.com/library/223302/MM_Suppository.png" TargetMode="External"/><Relationship Id="rId143" Type="http://schemas.openxmlformats.org/officeDocument/2006/relationships/image" Target="media/image37.png"/><Relationship Id="rId148" Type="http://schemas.openxmlformats.org/officeDocument/2006/relationships/image" Target="media/image40.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hyperlink" Target="https://itunes.apple.com/us/app/brainbaseline/id408975136?mt=8" TargetMode="External"/><Relationship Id="rId109" Type="http://schemas.openxmlformats.org/officeDocument/2006/relationships/image" Target="media/image29.png"/><Relationship Id="rId34" Type="http://schemas.openxmlformats.org/officeDocument/2006/relationships/footer" Target="footer3.xml"/><Relationship Id="rId50" Type="http://schemas.openxmlformats.org/officeDocument/2006/relationships/hyperlink" Target="http://www.nber.org/fars/ftp.nhtsa.dot.gov/fars/FARS-DOC/Analytical%20User%20Guide/USERGUIDE-2015.pdf" TargetMode="External"/><Relationship Id="rId55" Type="http://schemas.openxmlformats.org/officeDocument/2006/relationships/footer" Target="footer4.xml"/><Relationship Id="rId76" Type="http://schemas.openxmlformats.org/officeDocument/2006/relationships/hyperlink" Target="https://www.nytimes.com/2016/07/26/health/marijuana-edibles-are-getting-into-colorado-childrens-hands-study-says.html" TargetMode="External"/><Relationship Id="rId97" Type="http://schemas.openxmlformats.org/officeDocument/2006/relationships/hyperlink" Target="https://doi.org/10.1016/j.forsciint.2016.09.007" TargetMode="External"/><Relationship Id="rId104" Type="http://schemas.openxmlformats.org/officeDocument/2006/relationships/hyperlink" Target="http://www.nber.org/fars/ftp.nhtsa.dot.gov/fars/FARS-DOC/Analytical%20User%20Guide/USERGUIDE-2015.pdf" TargetMode="External"/><Relationship Id="rId120" Type="http://schemas.openxmlformats.org/officeDocument/2006/relationships/image" Target="https://surveygizmolibrary.s3.amazonaws.com/library/223302/MADepartmentofPublicHealth2.jpg" TargetMode="External"/><Relationship Id="rId125" Type="http://schemas.openxmlformats.org/officeDocument/2006/relationships/image" Target="https://surveygizmolibrary.s3.amazonaws.com/library/223302/MM_Edible.png" TargetMode="External"/><Relationship Id="rId146" Type="http://schemas.openxmlformats.org/officeDocument/2006/relationships/image" Target="media/image39.emf"/><Relationship Id="rId7" Type="http://schemas.openxmlformats.org/officeDocument/2006/relationships/webSettings" Target="webSettings.xml"/><Relationship Id="rId71" Type="http://schemas.openxmlformats.org/officeDocument/2006/relationships/hyperlink" Target="https://www.alere.com/en/home/product-details/dds2-mobile-test-system.html" TargetMode="External"/><Relationship Id="rId92"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hyperlink" Target="https://doi.org/10.1038/nbt.3121.ChIP-nexus" TargetMode="External"/><Relationship Id="rId24" Type="http://schemas.openxmlformats.org/officeDocument/2006/relationships/hyperlink" Target="https://doi.org/10.1038/nbt.3121.ChIP-nexus" TargetMode="External"/><Relationship Id="rId40" Type="http://schemas.openxmlformats.org/officeDocument/2006/relationships/hyperlink" Target="http://learnaboutmarijuanawa.org/factsheets/whatiscannabis.htm" TargetMode="External"/><Relationship Id="rId45" Type="http://schemas.openxmlformats.org/officeDocument/2006/relationships/hyperlink" Target="https://www.nytimes.com/2016/07/26/health/marijuana-edibles-are-getting-into-colorado-childrens-hands-study-says.html" TargetMode="External"/><Relationship Id="rId66" Type="http://schemas.openxmlformats.org/officeDocument/2006/relationships/image" Target="media/image18.png"/><Relationship Id="rId87" Type="http://schemas.openxmlformats.org/officeDocument/2006/relationships/image" Target="media/image22.png"/><Relationship Id="rId110" Type="http://schemas.openxmlformats.org/officeDocument/2006/relationships/image" Target="media/image30.png"/><Relationship Id="rId115" Type="http://schemas.openxmlformats.org/officeDocument/2006/relationships/image" Target="media/image32.png"/><Relationship Id="rId131" Type="http://schemas.openxmlformats.org/officeDocument/2006/relationships/image" Target="https://surveygizmolibrary.s3.amazonaws.com/library/223302/MM_Other.png" TargetMode="External"/><Relationship Id="rId61" Type="http://schemas.openxmlformats.org/officeDocument/2006/relationships/image" Target="media/image13.png"/><Relationship Id="rId82" Type="http://schemas.openxmlformats.org/officeDocument/2006/relationships/hyperlink" Target="https://crashstats.nhtsa.dot.gov/Api/Public/ViewPublication/809403" TargetMode="External"/><Relationship Id="rId19" Type="http://schemas.openxmlformats.org/officeDocument/2006/relationships/image" Target="media/image5.emf"/><Relationship Id="rId14" Type="http://schemas.openxmlformats.org/officeDocument/2006/relationships/header" Target="header1.xml"/><Relationship Id="rId30" Type="http://schemas.openxmlformats.org/officeDocument/2006/relationships/hyperlink" Target="https://www.samhsa.gov/data/" TargetMode="External"/><Relationship Id="rId35" Type="http://schemas.openxmlformats.org/officeDocument/2006/relationships/hyperlink" Target="https://www.druidapp.com/" TargetMode="External"/><Relationship Id="rId56" Type="http://schemas.openxmlformats.org/officeDocument/2006/relationships/image" Target="media/image8.png"/><Relationship Id="rId77" Type="http://schemas.openxmlformats.org/officeDocument/2006/relationships/hyperlink" Target="http://www.icadtsinternational.com/files/documents/2013_058.pdf" TargetMode="External"/><Relationship Id="rId100" Type="http://schemas.openxmlformats.org/officeDocument/2006/relationships/hyperlink" Target="http://www.icadtsinternational.com/files/documents/2013_058.pdf" TargetMode="External"/><Relationship Id="rId105" Type="http://schemas.openxmlformats.org/officeDocument/2006/relationships/hyperlink" Target="https://www.alere.com/en/home/product-details/QuantisalOralFluidCollectionDevice-au.html" TargetMode="External"/><Relationship Id="rId126" Type="http://schemas.openxmlformats.org/officeDocument/2006/relationships/image" Target="https://surveygizmolibrary.s3.amazonaws.com/library/223302/MM_Drinks.png" TargetMode="External"/><Relationship Id="rId147" Type="http://schemas.openxmlformats.org/officeDocument/2006/relationships/chart" Target="charts/chart1.xml"/></Relationships>
</file>

<file path=word/_rels/footnotes.xml.rels><?xml version="1.0" encoding="UTF-8" standalone="yes"?>
<Relationships xmlns="http://schemas.openxmlformats.org/package/2006/relationships"><Relationship Id="rId8" Type="http://schemas.openxmlformats.org/officeDocument/2006/relationships/hyperlink" Target="https://www.economist.com/news/briefing/21692873-growing-number-countries-are-deciding-ditch-prohibition-what-comes" TargetMode="External"/><Relationship Id="rId13" Type="http://schemas.openxmlformats.org/officeDocument/2006/relationships/hyperlink" Target="https://www.mass.gov/files/documents/2016/09/vp/youth-health-risk-report-2015.pdf" TargetMode="External"/><Relationship Id="rId18" Type="http://schemas.openxmlformats.org/officeDocument/2006/relationships/hyperlink" Target="http://www.vote.wa.gov/guides/2012/I-502-Fiscal-Impact.html" TargetMode="External"/><Relationship Id="rId26" Type="http://schemas.openxmlformats.org/officeDocument/2006/relationships/hyperlink" Target="https://www.colorado.gov/pacific/enforcement/med-licensed-facilities" TargetMode="External"/><Relationship Id="rId3" Type="http://schemas.openxmlformats.org/officeDocument/2006/relationships/hyperlink" Target="https://mass-cannabis-control.com/about-us-2/" TargetMode="External"/><Relationship Id="rId21" Type="http://schemas.openxmlformats.org/officeDocument/2006/relationships/hyperlink" Target="https://www.samhsa.gov/data/sites/default/files/TEDS2011St_Web/TEDS2011St_Web/TEDS2011St_Web.pdf" TargetMode="External"/><Relationship Id="rId7" Type="http://schemas.openxmlformats.org/officeDocument/2006/relationships/hyperlink" Target="http://www.denverpost.com/2016/01/06/washington-state-marijuana-retailers-cope-with-falling-pot-prices/" TargetMode="External"/><Relationship Id="rId12" Type="http://schemas.openxmlformats.org/officeDocument/2006/relationships/hyperlink" Target="https://nccd.cdc.gov/youthonline/App/Results.aspx?LID=MA" TargetMode="External"/><Relationship Id="rId17" Type="http://schemas.openxmlformats.org/officeDocument/2006/relationships/hyperlink" Target="https://www.mass.gov/service-details/massachusetts-medical-use-of-marijuana-program-snapshot" TargetMode="External"/><Relationship Id="rId25" Type="http://schemas.openxmlformats.org/officeDocument/2006/relationships/hyperlink" Target="https://www.marijuanadoctors.com/medical-marijuana-dispensaries/WA" TargetMode="External"/><Relationship Id="rId2" Type="http://schemas.openxmlformats.org/officeDocument/2006/relationships/hyperlink" Target="https://www.mass.gov/medical-use-of-marijuana-program" TargetMode="External"/><Relationship Id="rId16" Type="http://schemas.openxmlformats.org/officeDocument/2006/relationships/hyperlink" Target="https://www.mass.gov/files/documents/2017/03/zs/mmj-annual-trust-fund-report-2017.pdf" TargetMode="External"/><Relationship Id="rId20" Type="http://schemas.openxmlformats.org/officeDocument/2006/relationships/hyperlink" Target="http://apps.leg.wa.gov/wac/default.aspx?cite=314-55-525" TargetMode="External"/><Relationship Id="rId29" Type="http://schemas.openxmlformats.org/officeDocument/2006/relationships/hyperlink" Target="http://www.oregon.gov/DOR/programs/gov-research/Pages/research-marijuana.aspx" TargetMode="External"/><Relationship Id="rId1" Type="http://schemas.openxmlformats.org/officeDocument/2006/relationships/hyperlink" Target="https://www.mass.gov/lists/medical-use-of-marijuana-program-monthly-dashboards" TargetMode="External"/><Relationship Id="rId6" Type="http://schemas.openxmlformats.org/officeDocument/2006/relationships/hyperlink" Target="http://www.drugpolicy.org/legalization-status-report" TargetMode="External"/><Relationship Id="rId11" Type="http://schemas.openxmlformats.org/officeDocument/2006/relationships/hyperlink" Target="https://www.cdc.gov/brfss/annual_data/annual_2015.html" TargetMode="External"/><Relationship Id="rId24" Type="http://schemas.openxmlformats.org/officeDocument/2006/relationships/hyperlink" Target="http://tax.alaska.gov/programs/programs/reports/Annual.aspx?60000&amp;Year=2017" TargetMode="External"/><Relationship Id="rId32" Type="http://schemas.openxmlformats.org/officeDocument/2006/relationships/hyperlink" Target="https://www.mpp.org/issues/medical-marijuana/state-by-state-medical-marijuana-laws/medical-marijuana-patient-numbers/" TargetMode="External"/><Relationship Id="rId5" Type="http://schemas.openxmlformats.org/officeDocument/2006/relationships/hyperlink" Target="https://www.colorado.gov/pacific/revenue/colorado-marijuana-tax-data" TargetMode="External"/><Relationship Id="rId15" Type="http://schemas.openxmlformats.org/officeDocument/2006/relationships/hyperlink" Target="https://www.mass.gov/files/documents/2017/11/08/CNB_Budget_Request_FINAL.pdf" TargetMode="External"/><Relationship Id="rId23" Type="http://schemas.openxmlformats.org/officeDocument/2006/relationships/hyperlink" Target="https://docs.digital.mass.gov/dataset/massgis-data/zip-codes-5-digit-here0navteq-0" TargetMode="External"/><Relationship Id="rId28" Type="http://schemas.openxmlformats.org/officeDocument/2006/relationships/hyperlink" Target="https://malegislature.gov/Laws/GeneralLaws/PartI/TitleXV/Chapter94G/Section14" TargetMode="External"/><Relationship Id="rId10" Type="http://schemas.openxmlformats.org/officeDocument/2006/relationships/hyperlink" Target="https://www.samhsa.gov/samhsa-data-outcomes-quality/major-data-collections/reports-detailed-tables-2015-NSDUH" TargetMode="External"/><Relationship Id="rId19" Type="http://schemas.openxmlformats.org/officeDocument/2006/relationships/hyperlink" Target="https://drive.google.com/file/d/0B0TNL0CtD9wXdjFWWUhIMm5TMjQ/view" TargetMode="External"/><Relationship Id="rId31" Type="http://schemas.openxmlformats.org/officeDocument/2006/relationships/hyperlink" Target="https://www.samhsa.gov/data/sites/default/files/NSDUHsaeSpecificStates2016A/NSDUHsaeSpecificStates2016.htm" TargetMode="External"/><Relationship Id="rId4" Type="http://schemas.openxmlformats.org/officeDocument/2006/relationships/hyperlink" Target="http://tax.alaska.gov/programs/programs/reports/monthly/Marijuana.aspx?ReportDate=8/1/2017" TargetMode="External"/><Relationship Id="rId9" Type="http://schemas.openxmlformats.org/officeDocument/2006/relationships/hyperlink" Target="https://medicalmarijuana.procon.org/view.resource.php?resourceID=005889" TargetMode="External"/><Relationship Id="rId14" Type="http://schemas.openxmlformats.org/officeDocument/2006/relationships/hyperlink" Target="https://www.samhsa.gov/data/sites/default/files/NSDUHsaePercents2016/NSDUHsaePercents2016.pdf" TargetMode="External"/><Relationship Id="rId22" Type="http://schemas.openxmlformats.org/officeDocument/2006/relationships/hyperlink" Target="https://wwwdasis.samhsa.gov/webt/quicklink/MA16.htm" TargetMode="External"/><Relationship Id="rId27" Type="http://schemas.openxmlformats.org/officeDocument/2006/relationships/hyperlink" Target="https://www.doh.wa.gov/YouandYourFamily/Marijuana/MedicalMarijuana/LawsandRules/HistoryinWashington" TargetMode="External"/><Relationship Id="rId30" Type="http://schemas.openxmlformats.org/officeDocument/2006/relationships/hyperlink" Target="https://www.colorado.gov/pacific/revenue/colorado-marijuana-sales-report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ph-nas\DPH3\Center%20for%20Environmental%20Health\Bureau%20for%20Environmental%20Health\Programs\Toxicology\Projects\MMJ\Analyses\Cannabinoid%20Analysis%20by%20Product%20Type%20Tabl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65783583072183"/>
          <c:y val="3.7201981982077643E-2"/>
          <c:w val="0.83645818520176618"/>
          <c:h val="0.80667498774932056"/>
        </c:manualLayout>
      </c:layout>
      <c:barChart>
        <c:barDir val="col"/>
        <c:grouping val="clustered"/>
        <c:varyColors val="0"/>
        <c:ser>
          <c:idx val="0"/>
          <c:order val="0"/>
          <c:tx>
            <c:strRef>
              <c:f>Table6_data!$B$2</c:f>
              <c:strCache>
                <c:ptCount val="1"/>
                <c:pt idx="0">
                  <c:v>Flower</c:v>
                </c:pt>
              </c:strCache>
            </c:strRef>
          </c:tx>
          <c:spPr>
            <a:solidFill>
              <a:schemeClr val="accent6">
                <a:lumMod val="60000"/>
                <a:lumOff val="40000"/>
              </a:schemeClr>
            </a:solidFill>
            <a:ln>
              <a:solidFill>
                <a:schemeClr val="tx1"/>
              </a:solidFill>
            </a:ln>
          </c:spPr>
          <c:invertIfNegative val="0"/>
          <c:cat>
            <c:strRef>
              <c:f>(Table6_data!$A$2,Table6_data!$A$5,Table6_data!$A$8,Table6_data!$A$11)</c:f>
              <c:strCache>
                <c:ptCount val="4"/>
                <c:pt idx="0">
                  <c:v>Δ9-THC</c:v>
                </c:pt>
                <c:pt idx="1">
                  <c:v>THCa</c:v>
                </c:pt>
                <c:pt idx="2">
                  <c:v>CBD</c:v>
                </c:pt>
                <c:pt idx="3">
                  <c:v>CBDa</c:v>
                </c:pt>
              </c:strCache>
            </c:strRef>
          </c:cat>
          <c:val>
            <c:numRef>
              <c:f>(Table6_data!$E$2,Table6_data!$E$5,Table6_data!$E$8,Table6_data!$E$11)</c:f>
              <c:numCache>
                <c:formatCode>0.0%</c:formatCode>
                <c:ptCount val="4"/>
                <c:pt idx="0">
                  <c:v>0.93300000000000005</c:v>
                </c:pt>
                <c:pt idx="1">
                  <c:v>0.996</c:v>
                </c:pt>
                <c:pt idx="2">
                  <c:v>0.27900000000000003</c:v>
                </c:pt>
                <c:pt idx="3">
                  <c:v>0.503</c:v>
                </c:pt>
              </c:numCache>
            </c:numRef>
          </c:val>
        </c:ser>
        <c:ser>
          <c:idx val="1"/>
          <c:order val="1"/>
          <c:tx>
            <c:strRef>
              <c:f>Table6_data!$B$3</c:f>
              <c:strCache>
                <c:ptCount val="1"/>
                <c:pt idx="0">
                  <c:v>Concentrate </c:v>
                </c:pt>
              </c:strCache>
            </c:strRef>
          </c:tx>
          <c:spPr>
            <a:solidFill>
              <a:schemeClr val="accent2">
                <a:lumMod val="60000"/>
                <a:lumOff val="40000"/>
              </a:schemeClr>
            </a:solidFill>
            <a:ln>
              <a:solidFill>
                <a:schemeClr val="tx1"/>
              </a:solidFill>
            </a:ln>
          </c:spPr>
          <c:invertIfNegative val="0"/>
          <c:cat>
            <c:strRef>
              <c:f>(Table6_data!$A$2,Table6_data!$A$5,Table6_data!$A$8,Table6_data!$A$11)</c:f>
              <c:strCache>
                <c:ptCount val="4"/>
                <c:pt idx="0">
                  <c:v>Δ9-THC</c:v>
                </c:pt>
                <c:pt idx="1">
                  <c:v>THCa</c:v>
                </c:pt>
                <c:pt idx="2">
                  <c:v>CBD</c:v>
                </c:pt>
                <c:pt idx="3">
                  <c:v>CBDa</c:v>
                </c:pt>
              </c:strCache>
            </c:strRef>
          </c:cat>
          <c:val>
            <c:numRef>
              <c:f>(Table6_data!$E$3,Table6_data!$E$6,Table6_data!$E$9,Table6_data!$E$12)</c:f>
              <c:numCache>
                <c:formatCode>0.0%</c:formatCode>
                <c:ptCount val="4"/>
                <c:pt idx="0">
                  <c:v>0.98599999999999999</c:v>
                </c:pt>
                <c:pt idx="1">
                  <c:v>0.67200000000000004</c:v>
                </c:pt>
                <c:pt idx="2">
                  <c:v>0.56599999999999995</c:v>
                </c:pt>
                <c:pt idx="3">
                  <c:v>0.53200000000000003</c:v>
                </c:pt>
              </c:numCache>
            </c:numRef>
          </c:val>
        </c:ser>
        <c:ser>
          <c:idx val="2"/>
          <c:order val="2"/>
          <c:tx>
            <c:strRef>
              <c:f>Table6_data!$B$4</c:f>
              <c:strCache>
                <c:ptCount val="1"/>
                <c:pt idx="0">
                  <c:v>MIPs</c:v>
                </c:pt>
              </c:strCache>
            </c:strRef>
          </c:tx>
          <c:spPr>
            <a:solidFill>
              <a:schemeClr val="accent5">
                <a:lumMod val="60000"/>
                <a:lumOff val="40000"/>
              </a:schemeClr>
            </a:solidFill>
            <a:ln>
              <a:solidFill>
                <a:schemeClr val="tx1"/>
              </a:solidFill>
            </a:ln>
          </c:spPr>
          <c:invertIfNegative val="0"/>
          <c:cat>
            <c:strRef>
              <c:f>(Table6_data!$A$2,Table6_data!$A$5,Table6_data!$A$8,Table6_data!$A$11)</c:f>
              <c:strCache>
                <c:ptCount val="4"/>
                <c:pt idx="0">
                  <c:v>Δ9-THC</c:v>
                </c:pt>
                <c:pt idx="1">
                  <c:v>THCa</c:v>
                </c:pt>
                <c:pt idx="2">
                  <c:v>CBD</c:v>
                </c:pt>
                <c:pt idx="3">
                  <c:v>CBDa</c:v>
                </c:pt>
              </c:strCache>
            </c:strRef>
          </c:cat>
          <c:val>
            <c:numRef>
              <c:f>(Table6_data!$E$4,Table6_data!$E$7,Table6_data!$E$10,Table6_data!$E$13)</c:f>
              <c:numCache>
                <c:formatCode>0.0%</c:formatCode>
                <c:ptCount val="4"/>
                <c:pt idx="0">
                  <c:v>0.95199999999999996</c:v>
                </c:pt>
                <c:pt idx="1">
                  <c:v>0.17</c:v>
                </c:pt>
                <c:pt idx="2">
                  <c:v>0.33100000000000002</c:v>
                </c:pt>
                <c:pt idx="3">
                  <c:v>7.0999999999999994E-2</c:v>
                </c:pt>
              </c:numCache>
            </c:numRef>
          </c:val>
        </c:ser>
        <c:dLbls>
          <c:showLegendKey val="0"/>
          <c:showVal val="0"/>
          <c:showCatName val="0"/>
          <c:showSerName val="0"/>
          <c:showPercent val="0"/>
          <c:showBubbleSize val="0"/>
        </c:dLbls>
        <c:gapWidth val="150"/>
        <c:overlap val="-10"/>
        <c:axId val="126039936"/>
        <c:axId val="167324672"/>
      </c:barChart>
      <c:catAx>
        <c:axId val="126039936"/>
        <c:scaling>
          <c:orientation val="minMax"/>
        </c:scaling>
        <c:delete val="0"/>
        <c:axPos val="b"/>
        <c:title>
          <c:tx>
            <c:rich>
              <a:bodyPr/>
              <a:lstStyle/>
              <a:p>
                <a:pPr>
                  <a:defRPr/>
                </a:pPr>
                <a:r>
                  <a:rPr lang="en-US"/>
                  <a:t>Cannabinoid</a:t>
                </a:r>
              </a:p>
            </c:rich>
          </c:tx>
          <c:layout>
            <c:manualLayout>
              <c:xMode val="edge"/>
              <c:yMode val="edge"/>
              <c:x val="0.48010200229987976"/>
              <c:y val="0.92222504192838184"/>
            </c:manualLayout>
          </c:layout>
          <c:overlay val="0"/>
        </c:title>
        <c:majorTickMark val="out"/>
        <c:minorTickMark val="none"/>
        <c:tickLblPos val="nextTo"/>
        <c:crossAx val="167324672"/>
        <c:crosses val="autoZero"/>
        <c:auto val="1"/>
        <c:lblAlgn val="ctr"/>
        <c:lblOffset val="100"/>
        <c:noMultiLvlLbl val="0"/>
      </c:catAx>
      <c:valAx>
        <c:axId val="167324672"/>
        <c:scaling>
          <c:orientation val="minMax"/>
          <c:max val="1"/>
        </c:scaling>
        <c:delete val="0"/>
        <c:axPos val="l"/>
        <c:title>
          <c:tx>
            <c:rich>
              <a:bodyPr rot="-5400000" vert="horz"/>
              <a:lstStyle/>
              <a:p>
                <a:pPr>
                  <a:defRPr b="1"/>
                </a:pPr>
                <a:r>
                  <a:rPr lang="en-US" b="1"/>
                  <a:t>Cannabinoid Detected (% of samples)</a:t>
                </a:r>
              </a:p>
            </c:rich>
          </c:tx>
          <c:overlay val="0"/>
        </c:title>
        <c:numFmt formatCode="0%" sourceLinked="0"/>
        <c:majorTickMark val="out"/>
        <c:minorTickMark val="none"/>
        <c:tickLblPos val="nextTo"/>
        <c:crossAx val="126039936"/>
        <c:crosses val="autoZero"/>
        <c:crossBetween val="between"/>
        <c:majorUnit val="0.2"/>
      </c:valAx>
    </c:plotArea>
    <c:legend>
      <c:legendPos val="r"/>
      <c:layout>
        <c:manualLayout>
          <c:xMode val="edge"/>
          <c:yMode val="edge"/>
          <c:x val="0.78982505113282242"/>
          <c:y val="5.8620894695124E-2"/>
          <c:w val="0.16335220639226117"/>
          <c:h val="0.18153595647411908"/>
        </c:manualLayout>
      </c:layout>
      <c:overlay val="0"/>
      <c:spPr>
        <a:solidFill>
          <a:schemeClr val="bg1">
            <a:lumMod val="95000"/>
          </a:schemeClr>
        </a:solidFill>
        <a:ln>
          <a:solidFill>
            <a:schemeClr val="tx1"/>
          </a:solidFill>
        </a:ln>
      </c:spPr>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324626-2858-4380-BC5C-D272B4BEC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2323</TotalTime>
  <Pages>105</Pages>
  <Words>102168</Words>
  <Characters>582362</Characters>
  <Application>Microsoft Office Word</Application>
  <DocSecurity>0</DocSecurity>
  <Lines>4853</Lines>
  <Paragraphs>1366</Paragraphs>
  <ScaleCrop>false</ScaleCrop>
  <HeadingPairs>
    <vt:vector size="2" baseType="variant">
      <vt:variant>
        <vt:lpstr>Title</vt:lpstr>
      </vt:variant>
      <vt:variant>
        <vt:i4>1</vt:i4>
      </vt:variant>
    </vt:vector>
  </HeadingPairs>
  <TitlesOfParts>
    <vt:vector size="1" baseType="lpstr">
      <vt:lpstr>Marijuana Baseline Health Study</vt:lpstr>
    </vt:vector>
  </TitlesOfParts>
  <Company>EOHHS</Company>
  <LinksUpToDate>false</LinksUpToDate>
  <CharactersWithSpaces>683164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Marijuana Baseline Health Study</dc:title>
  <dc:subject>June 2019</dc:subject>
  <dc:creator>Lfogarty</dc:creator>
  <cp:lastModifiedBy> </cp:lastModifiedBy>
  <cp:revision>80</cp:revision>
  <cp:lastPrinted>2019-07-09T16:41:00Z</cp:lastPrinted>
  <dcterms:created xsi:type="dcterms:W3CDTF">2019-05-21T14:42:00Z</dcterms:created>
  <dcterms:modified xsi:type="dcterms:W3CDTF">2019-07-09T18:23:00Z</dcterms:modified>
</cp:coreProperties>
</file>