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263" w:rsidRDefault="00544D2A" w:rsidP="00986263">
      <w:pPr>
        <w:pStyle w:val="Heading1"/>
      </w:pPr>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w:t>
                            </w:r>
                            <w:bookmarkStart w:id="0" w:name="_GoBack"/>
                            <w:bookmarkEnd w:id="0"/>
                            <w:r>
                              <w:rPr>
                                <w:b/>
                                <w:sz w:val="36"/>
                              </w:rPr>
                              <w:t>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8830CB" w:rsidP="00986263">
                            <w:pPr>
                              <w:jc w:val="center"/>
                              <w:rPr>
                                <w:b/>
                                <w:sz w:val="28"/>
                              </w:rPr>
                            </w:pPr>
                            <w:r>
                              <w:rPr>
                                <w:b/>
                                <w:sz w:val="28"/>
                              </w:rPr>
                              <w:t>Martha’s Vineyard Regional High School</w:t>
                            </w:r>
                          </w:p>
                          <w:p w:rsidR="008830CB" w:rsidRDefault="008830CB" w:rsidP="00986263">
                            <w:pPr>
                              <w:jc w:val="center"/>
                              <w:rPr>
                                <w:b/>
                                <w:sz w:val="28"/>
                              </w:rPr>
                            </w:pPr>
                            <w:r>
                              <w:rPr>
                                <w:b/>
                                <w:sz w:val="28"/>
                              </w:rPr>
                              <w:t>1</w:t>
                            </w:r>
                            <w:r w:rsidRPr="008830CB">
                              <w:rPr>
                                <w:b/>
                                <w:sz w:val="28"/>
                              </w:rPr>
                              <w:t>00 Edgartown Vineyard Haven R</w:t>
                            </w:r>
                            <w:r>
                              <w:rPr>
                                <w:b/>
                                <w:sz w:val="28"/>
                              </w:rPr>
                              <w:t>oa</w:t>
                            </w:r>
                            <w:r w:rsidRPr="008830CB">
                              <w:rPr>
                                <w:b/>
                                <w:sz w:val="28"/>
                              </w:rPr>
                              <w:t>d</w:t>
                            </w:r>
                          </w:p>
                          <w:p w:rsidR="00986263" w:rsidRPr="00986263" w:rsidRDefault="008830CB" w:rsidP="00986263">
                            <w:pPr>
                              <w:jc w:val="center"/>
                              <w:rPr>
                                <w:b/>
                                <w:sz w:val="28"/>
                              </w:rPr>
                            </w:pPr>
                            <w:r w:rsidRPr="008830CB">
                              <w:rPr>
                                <w:b/>
                                <w:sz w:val="28"/>
                              </w:rPr>
                              <w:t xml:space="preserve">Oak Bluffs, </w:t>
                            </w:r>
                            <w:r w:rsidR="00986263" w:rsidRPr="00986263">
                              <w:rPr>
                                <w:b/>
                                <w:sz w:val="28"/>
                              </w:rPr>
                              <w:t>Massachusetts</w:t>
                            </w:r>
                          </w:p>
                          <w:p w:rsidR="00986263" w:rsidRDefault="00986263" w:rsidP="00986263">
                            <w:pPr>
                              <w:jc w:val="center"/>
                              <w:rPr>
                                <w:b/>
                                <w:sz w:val="28"/>
                              </w:rPr>
                            </w:pPr>
                          </w:p>
                          <w:p w:rsidR="00986263" w:rsidRDefault="00986263" w:rsidP="00986263">
                            <w:pPr>
                              <w:jc w:val="center"/>
                              <w:rPr>
                                <w:noProof/>
                              </w:rPr>
                            </w:pPr>
                          </w:p>
                          <w:p w:rsidR="00E7753C" w:rsidRPr="004027AB" w:rsidRDefault="00E7753C" w:rsidP="00986263">
                            <w:pPr>
                              <w:jc w:val="center"/>
                            </w:pPr>
                          </w:p>
                          <w:p w:rsidR="00986263" w:rsidRDefault="00986263" w:rsidP="00986263">
                            <w:pPr>
                              <w:jc w:val="center"/>
                            </w:pPr>
                          </w:p>
                          <w:p w:rsidR="00A040A1" w:rsidRDefault="00A040A1" w:rsidP="00986263">
                            <w:pPr>
                              <w:jc w:val="center"/>
                            </w:pPr>
                          </w:p>
                          <w:p w:rsidR="00986263" w:rsidRDefault="00544D2A" w:rsidP="00986263">
                            <w:pPr>
                              <w:jc w:val="center"/>
                            </w:pPr>
                            <w:r>
                              <w:rPr>
                                <w:noProof/>
                              </w:rPr>
                              <w:drawing>
                                <wp:inline distT="0" distB="0" distL="0" distR="0">
                                  <wp:extent cx="4389120" cy="3291840"/>
                                  <wp:effectExtent l="0" t="0" r="0" b="3810"/>
                                  <wp:docPr id="7" name="Picture 1" descr="Martha’s Vineyard Regional High School, front view&#10;100 Edgartown Vineyard Haven Road&#10;Oak Bluffs, Massachusetts&#10;" title="School building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ha’s Vineyard Regional High School, front view&#10;100 Edgartown Vineyard Haven Road&#10;Oak Bluffs,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80A5D" w:rsidRDefault="00480A5D" w:rsidP="00986263">
                            <w:pPr>
                              <w:jc w:val="center"/>
                            </w:pPr>
                          </w:p>
                          <w:p w:rsidR="0077298E" w:rsidRDefault="0077298E" w:rsidP="00986263">
                            <w:pPr>
                              <w:jc w:val="center"/>
                            </w:pPr>
                          </w:p>
                          <w:p w:rsidR="00274330" w:rsidRDefault="0027433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8830CB" w:rsidP="00986263">
                            <w:pPr>
                              <w:jc w:val="center"/>
                            </w:pPr>
                            <w:r>
                              <w:t>January 2018</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986263" w:rsidRDefault="00986263" w:rsidP="00986263">
                      <w:pPr>
                        <w:jc w:val="center"/>
                        <w:rPr>
                          <w:b/>
                          <w:sz w:val="36"/>
                        </w:rPr>
                      </w:pPr>
                    </w:p>
                    <w:p w:rsidR="00986263" w:rsidRDefault="00986263" w:rsidP="00986263">
                      <w:pPr>
                        <w:jc w:val="center"/>
                        <w:rPr>
                          <w:b/>
                          <w:sz w:val="36"/>
                        </w:rPr>
                      </w:pPr>
                    </w:p>
                    <w:p w:rsidR="00986263" w:rsidRPr="004027AB" w:rsidRDefault="00986263" w:rsidP="00986263">
                      <w:pPr>
                        <w:jc w:val="center"/>
                        <w:rPr>
                          <w:b/>
                          <w:sz w:val="36"/>
                        </w:rPr>
                      </w:pPr>
                      <w:r>
                        <w:rPr>
                          <w:b/>
                          <w:sz w:val="36"/>
                        </w:rPr>
                        <w:t>I</w:t>
                      </w:r>
                      <w:bookmarkStart w:id="1" w:name="_GoBack"/>
                      <w:bookmarkEnd w:id="1"/>
                      <w:r>
                        <w:rPr>
                          <w:b/>
                          <w:sz w:val="36"/>
                        </w:rPr>
                        <w:t>NDOOR AIR QUALITY ASSESSMENT</w:t>
                      </w:r>
                    </w:p>
                    <w:p w:rsidR="00986263" w:rsidRPr="004027AB" w:rsidRDefault="00986263" w:rsidP="00986263">
                      <w:pPr>
                        <w:jc w:val="center"/>
                        <w:rPr>
                          <w:b/>
                          <w:sz w:val="28"/>
                        </w:rPr>
                      </w:pPr>
                    </w:p>
                    <w:p w:rsidR="00986263" w:rsidRDefault="00986263" w:rsidP="00986263">
                      <w:pPr>
                        <w:jc w:val="center"/>
                        <w:rPr>
                          <w:b/>
                          <w:sz w:val="28"/>
                        </w:rPr>
                      </w:pPr>
                    </w:p>
                    <w:p w:rsidR="00986263" w:rsidRDefault="008830CB" w:rsidP="00986263">
                      <w:pPr>
                        <w:jc w:val="center"/>
                        <w:rPr>
                          <w:b/>
                          <w:sz w:val="28"/>
                        </w:rPr>
                      </w:pPr>
                      <w:r>
                        <w:rPr>
                          <w:b/>
                          <w:sz w:val="28"/>
                        </w:rPr>
                        <w:t>Martha’s Vineyard Regional High School</w:t>
                      </w:r>
                    </w:p>
                    <w:p w:rsidR="008830CB" w:rsidRDefault="008830CB" w:rsidP="00986263">
                      <w:pPr>
                        <w:jc w:val="center"/>
                        <w:rPr>
                          <w:b/>
                          <w:sz w:val="28"/>
                        </w:rPr>
                      </w:pPr>
                      <w:r>
                        <w:rPr>
                          <w:b/>
                          <w:sz w:val="28"/>
                        </w:rPr>
                        <w:t>1</w:t>
                      </w:r>
                      <w:r w:rsidRPr="008830CB">
                        <w:rPr>
                          <w:b/>
                          <w:sz w:val="28"/>
                        </w:rPr>
                        <w:t>00 Edgartown Vineyard Haven R</w:t>
                      </w:r>
                      <w:r>
                        <w:rPr>
                          <w:b/>
                          <w:sz w:val="28"/>
                        </w:rPr>
                        <w:t>oa</w:t>
                      </w:r>
                      <w:r w:rsidRPr="008830CB">
                        <w:rPr>
                          <w:b/>
                          <w:sz w:val="28"/>
                        </w:rPr>
                        <w:t>d</w:t>
                      </w:r>
                    </w:p>
                    <w:p w:rsidR="00986263" w:rsidRPr="00986263" w:rsidRDefault="008830CB" w:rsidP="00986263">
                      <w:pPr>
                        <w:jc w:val="center"/>
                        <w:rPr>
                          <w:b/>
                          <w:sz w:val="28"/>
                        </w:rPr>
                      </w:pPr>
                      <w:r w:rsidRPr="008830CB">
                        <w:rPr>
                          <w:b/>
                          <w:sz w:val="28"/>
                        </w:rPr>
                        <w:t xml:space="preserve">Oak Bluffs, </w:t>
                      </w:r>
                      <w:r w:rsidR="00986263" w:rsidRPr="00986263">
                        <w:rPr>
                          <w:b/>
                          <w:sz w:val="28"/>
                        </w:rPr>
                        <w:t>Massachusetts</w:t>
                      </w:r>
                    </w:p>
                    <w:p w:rsidR="00986263" w:rsidRDefault="00986263" w:rsidP="00986263">
                      <w:pPr>
                        <w:jc w:val="center"/>
                        <w:rPr>
                          <w:b/>
                          <w:sz w:val="28"/>
                        </w:rPr>
                      </w:pPr>
                    </w:p>
                    <w:p w:rsidR="00986263" w:rsidRDefault="00986263" w:rsidP="00986263">
                      <w:pPr>
                        <w:jc w:val="center"/>
                        <w:rPr>
                          <w:noProof/>
                        </w:rPr>
                      </w:pPr>
                    </w:p>
                    <w:p w:rsidR="00E7753C" w:rsidRPr="004027AB" w:rsidRDefault="00E7753C" w:rsidP="00986263">
                      <w:pPr>
                        <w:jc w:val="center"/>
                      </w:pPr>
                    </w:p>
                    <w:p w:rsidR="00986263" w:rsidRDefault="00986263" w:rsidP="00986263">
                      <w:pPr>
                        <w:jc w:val="center"/>
                      </w:pPr>
                    </w:p>
                    <w:p w:rsidR="00A040A1" w:rsidRDefault="00A040A1" w:rsidP="00986263">
                      <w:pPr>
                        <w:jc w:val="center"/>
                      </w:pPr>
                    </w:p>
                    <w:p w:rsidR="00986263" w:rsidRDefault="00544D2A" w:rsidP="00986263">
                      <w:pPr>
                        <w:jc w:val="center"/>
                      </w:pPr>
                      <w:r>
                        <w:rPr>
                          <w:noProof/>
                        </w:rPr>
                        <w:drawing>
                          <wp:inline distT="0" distB="0" distL="0" distR="0">
                            <wp:extent cx="4389120" cy="3291840"/>
                            <wp:effectExtent l="0" t="0" r="0" b="3810"/>
                            <wp:docPr id="7" name="Picture 1" descr="Martha’s Vineyard Regional High School, front view&#10;100 Edgartown Vineyard Haven Road&#10;Oak Bluffs, Massachusetts&#10;" title="School building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ha’s Vineyard Regional High School, front view&#10;100 Edgartown Vineyard Haven Road&#10;Oak Bluffs, Massachusetts&#10;"/>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480A5D" w:rsidRDefault="00480A5D" w:rsidP="00986263">
                      <w:pPr>
                        <w:jc w:val="center"/>
                      </w:pPr>
                    </w:p>
                    <w:p w:rsidR="0077298E" w:rsidRDefault="0077298E" w:rsidP="00986263">
                      <w:pPr>
                        <w:jc w:val="center"/>
                      </w:pPr>
                    </w:p>
                    <w:p w:rsidR="00274330" w:rsidRDefault="00274330" w:rsidP="00986263">
                      <w:pPr>
                        <w:jc w:val="center"/>
                      </w:pPr>
                    </w:p>
                    <w:p w:rsidR="00586E50" w:rsidRDefault="00586E50" w:rsidP="00986263">
                      <w:pPr>
                        <w:jc w:val="center"/>
                      </w:pPr>
                    </w:p>
                    <w:p w:rsidR="00786267" w:rsidRDefault="00786267" w:rsidP="00986263">
                      <w:pPr>
                        <w:jc w:val="center"/>
                      </w:pPr>
                    </w:p>
                    <w:p w:rsidR="00986263" w:rsidRDefault="00986263" w:rsidP="00986263">
                      <w:pPr>
                        <w:jc w:val="center"/>
                      </w:pPr>
                    </w:p>
                    <w:p w:rsidR="00986263" w:rsidRPr="004027AB" w:rsidRDefault="00986263" w:rsidP="00986263">
                      <w:pPr>
                        <w:jc w:val="center"/>
                      </w:pPr>
                      <w:r w:rsidRPr="004027AB">
                        <w:t>Prepared by:</w:t>
                      </w:r>
                    </w:p>
                    <w:p w:rsidR="00986263" w:rsidRPr="004027AB" w:rsidRDefault="00986263" w:rsidP="00986263">
                      <w:pPr>
                        <w:jc w:val="center"/>
                      </w:pPr>
                      <w:r w:rsidRPr="004027AB">
                        <w:t>Massachusetts Department of Public Health</w:t>
                      </w:r>
                    </w:p>
                    <w:p w:rsidR="00986263" w:rsidRPr="004027AB" w:rsidRDefault="00986263" w:rsidP="00986263">
                      <w:pPr>
                        <w:jc w:val="center"/>
                      </w:pPr>
                      <w:r w:rsidRPr="004027AB">
                        <w:t>Bureau of Environmental Health</w:t>
                      </w:r>
                    </w:p>
                    <w:p w:rsidR="00986263" w:rsidRPr="004027AB" w:rsidRDefault="00986263" w:rsidP="00986263">
                      <w:pPr>
                        <w:jc w:val="center"/>
                      </w:pPr>
                      <w:r w:rsidRPr="004027AB">
                        <w:t>Indoor Air Quality Program</w:t>
                      </w:r>
                    </w:p>
                    <w:p w:rsidR="00986263" w:rsidRPr="004027AB" w:rsidRDefault="008830CB" w:rsidP="00986263">
                      <w:pPr>
                        <w:jc w:val="center"/>
                      </w:pPr>
                      <w:r>
                        <w:t>January 2018</w:t>
                      </w:r>
                    </w:p>
                  </w:txbxContent>
                </v:textbox>
                <w10:anchorlock/>
              </v:shape>
            </w:pict>
          </mc:Fallback>
        </mc:AlternateContent>
      </w:r>
    </w:p>
    <w:p w:rsidR="008F0C39" w:rsidRPr="005A56FD" w:rsidRDefault="005A56FD" w:rsidP="005A56FD">
      <w:pPr>
        <w:pStyle w:val="Heading1"/>
      </w:pPr>
      <w:r>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4909"/>
        <w:gridCol w:w="4188"/>
      </w:tblGrid>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Building:</w:t>
            </w:r>
          </w:p>
        </w:tc>
        <w:tc>
          <w:tcPr>
            <w:tcW w:w="4188" w:type="dxa"/>
            <w:shd w:val="clear" w:color="auto" w:fill="auto"/>
          </w:tcPr>
          <w:p w:rsidR="008F0C39" w:rsidRPr="008261E3" w:rsidRDefault="008830CB" w:rsidP="008830CB">
            <w:pPr>
              <w:tabs>
                <w:tab w:val="left" w:pos="1485"/>
              </w:tabs>
              <w:rPr>
                <w:bCs/>
              </w:rPr>
            </w:pPr>
            <w:r>
              <w:rPr>
                <w:bCs/>
              </w:rPr>
              <w:t>Martha’s Vineyard Regional High School (MVRHS)</w:t>
            </w:r>
          </w:p>
        </w:tc>
      </w:tr>
      <w:tr w:rsidR="008F0C39" w:rsidRPr="005E458D" w:rsidTr="00586E50">
        <w:trPr>
          <w:jc w:val="center"/>
        </w:trPr>
        <w:tc>
          <w:tcPr>
            <w:tcW w:w="4909" w:type="dxa"/>
            <w:shd w:val="clear" w:color="auto" w:fill="auto"/>
          </w:tcPr>
          <w:p w:rsidR="008F0C39" w:rsidRPr="00986263" w:rsidRDefault="008F0C39" w:rsidP="003B6373">
            <w:pPr>
              <w:tabs>
                <w:tab w:val="left" w:pos="1485"/>
              </w:tabs>
              <w:rPr>
                <w:rStyle w:val="BackgroundBoldedDescriptors"/>
              </w:rPr>
            </w:pPr>
            <w:r w:rsidRPr="00986263">
              <w:rPr>
                <w:rStyle w:val="BackgroundBoldedDescriptors"/>
              </w:rPr>
              <w:t>Address:</w:t>
            </w:r>
          </w:p>
        </w:tc>
        <w:tc>
          <w:tcPr>
            <w:tcW w:w="4188" w:type="dxa"/>
            <w:shd w:val="clear" w:color="auto" w:fill="auto"/>
          </w:tcPr>
          <w:p w:rsidR="008830CB" w:rsidRDefault="008830CB" w:rsidP="008830CB">
            <w:pPr>
              <w:tabs>
                <w:tab w:val="left" w:pos="1485"/>
              </w:tabs>
            </w:pPr>
            <w:r>
              <w:t>100 Edgartown Vineyard Haven Road</w:t>
            </w:r>
          </w:p>
          <w:p w:rsidR="008F0C39" w:rsidRPr="001174D9" w:rsidRDefault="008830CB" w:rsidP="008830CB">
            <w:pPr>
              <w:tabs>
                <w:tab w:val="left" w:pos="1485"/>
              </w:tabs>
              <w:rPr>
                <w:bCs/>
              </w:rPr>
            </w:pPr>
            <w:r>
              <w:t>Oak Bluffs, Massachusetts</w:t>
            </w:r>
          </w:p>
        </w:tc>
      </w:tr>
      <w:tr w:rsidR="008F0C39" w:rsidRPr="005E458D" w:rsidTr="00586E50">
        <w:trPr>
          <w:jc w:val="center"/>
        </w:trPr>
        <w:tc>
          <w:tcPr>
            <w:tcW w:w="4909" w:type="dxa"/>
            <w:shd w:val="clear" w:color="auto" w:fill="auto"/>
          </w:tcPr>
          <w:p w:rsidR="008F0C39" w:rsidRPr="00986263" w:rsidRDefault="008F0C39" w:rsidP="008830CB">
            <w:pPr>
              <w:tabs>
                <w:tab w:val="left" w:pos="1485"/>
              </w:tabs>
              <w:rPr>
                <w:rStyle w:val="BackgroundBoldedDescriptors"/>
              </w:rPr>
            </w:pPr>
            <w:r w:rsidRPr="00986263">
              <w:rPr>
                <w:rStyle w:val="BackgroundBoldedDescriptors"/>
              </w:rPr>
              <w:t xml:space="preserve">Assessment </w:t>
            </w:r>
            <w:r w:rsidR="008830CB">
              <w:rPr>
                <w:rStyle w:val="BackgroundBoldedDescriptors"/>
              </w:rPr>
              <w:t>Coordinated Through</w:t>
            </w:r>
            <w:r w:rsidRPr="00986263">
              <w:rPr>
                <w:rStyle w:val="BackgroundBoldedDescriptors"/>
              </w:rPr>
              <w:t>:</w:t>
            </w:r>
          </w:p>
        </w:tc>
        <w:tc>
          <w:tcPr>
            <w:tcW w:w="4188" w:type="dxa"/>
            <w:shd w:val="clear" w:color="auto" w:fill="auto"/>
          </w:tcPr>
          <w:p w:rsidR="008F0C39" w:rsidRPr="001174D9" w:rsidRDefault="008830CB" w:rsidP="008830CB">
            <w:pPr>
              <w:pStyle w:val="StaffTitleHangingIndent"/>
              <w:rPr>
                <w:bCs/>
              </w:rPr>
            </w:pPr>
            <w:r>
              <w:t xml:space="preserve">Michael Taus, MVRHS Facilities Manager and Meegan Lancaster, Health Agent, Oak Bluffs Board of Health </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Reason for Request:</w:t>
            </w:r>
          </w:p>
        </w:tc>
        <w:tc>
          <w:tcPr>
            <w:tcW w:w="4188" w:type="dxa"/>
            <w:shd w:val="clear" w:color="auto" w:fill="auto"/>
          </w:tcPr>
          <w:p w:rsidR="00FF1019" w:rsidRPr="00EA6102" w:rsidRDefault="00F93B05" w:rsidP="004E629B">
            <w:pPr>
              <w:tabs>
                <w:tab w:val="left" w:pos="1485"/>
              </w:tabs>
              <w:rPr>
                <w:bCs/>
              </w:rPr>
            </w:pPr>
            <w:r>
              <w:t>G</w:t>
            </w:r>
            <w:r w:rsidR="00052F20">
              <w:t>eneral indoor air quality (IAQ)</w:t>
            </w:r>
            <w:r w:rsidR="008830CB">
              <w:t xml:space="preserve"> concerns in room 209</w:t>
            </w:r>
          </w:p>
        </w:tc>
      </w:tr>
      <w:tr w:rsidR="00FF1019" w:rsidRPr="005E458D" w:rsidTr="00586E50">
        <w:trPr>
          <w:jc w:val="center"/>
        </w:trPr>
        <w:tc>
          <w:tcPr>
            <w:tcW w:w="4909" w:type="dxa"/>
            <w:shd w:val="clear" w:color="auto" w:fill="auto"/>
          </w:tcPr>
          <w:p w:rsidR="00FF1019" w:rsidRPr="00986263" w:rsidRDefault="00FF1019" w:rsidP="00C56293">
            <w:pPr>
              <w:tabs>
                <w:tab w:val="left" w:pos="1485"/>
              </w:tabs>
              <w:rPr>
                <w:rStyle w:val="BackgroundBoldedDescriptors"/>
              </w:rPr>
            </w:pPr>
            <w:r w:rsidRPr="00986263">
              <w:rPr>
                <w:rStyle w:val="BackgroundBoldedDescriptors"/>
              </w:rPr>
              <w:t>Date of Assessment:</w:t>
            </w:r>
          </w:p>
        </w:tc>
        <w:tc>
          <w:tcPr>
            <w:tcW w:w="4188" w:type="dxa"/>
            <w:shd w:val="clear" w:color="auto" w:fill="auto"/>
          </w:tcPr>
          <w:p w:rsidR="00FF1019" w:rsidRPr="001174D9" w:rsidRDefault="00426B17" w:rsidP="008830CB">
            <w:pPr>
              <w:tabs>
                <w:tab w:val="left" w:pos="1485"/>
              </w:tabs>
              <w:rPr>
                <w:bCs/>
              </w:rPr>
            </w:pPr>
            <w:r>
              <w:rPr>
                <w:bCs/>
              </w:rPr>
              <w:t xml:space="preserve">December </w:t>
            </w:r>
            <w:r w:rsidR="008830CB">
              <w:rPr>
                <w:bCs/>
              </w:rPr>
              <w:t>18</w:t>
            </w:r>
            <w:r w:rsidR="00052F20">
              <w:rPr>
                <w:bCs/>
              </w:rPr>
              <w:t>, 2017</w:t>
            </w:r>
          </w:p>
        </w:tc>
      </w:tr>
      <w:tr w:rsidR="00FF1019" w:rsidRPr="005E458D" w:rsidTr="00586E50">
        <w:trPr>
          <w:jc w:val="center"/>
        </w:trPr>
        <w:tc>
          <w:tcPr>
            <w:tcW w:w="490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188" w:type="dxa"/>
            <w:shd w:val="clear" w:color="auto" w:fill="auto"/>
          </w:tcPr>
          <w:p w:rsidR="00FF1019" w:rsidRPr="008F0C39" w:rsidRDefault="00F93B05" w:rsidP="00F93B05">
            <w:pPr>
              <w:pStyle w:val="StaffTitleHangingIndent"/>
            </w:pPr>
            <w:r>
              <w:t>Cory Holmes</w:t>
            </w:r>
            <w:r w:rsidR="00FF1019">
              <w:t>,</w:t>
            </w:r>
            <w:r w:rsidR="00173215">
              <w:t xml:space="preserve"> </w:t>
            </w:r>
            <w:r w:rsidR="00FF1019">
              <w:t>Environmental Analyst/Inspector</w:t>
            </w:r>
            <w:r w:rsidR="00710494">
              <w:t>, IAQ Program</w:t>
            </w:r>
          </w:p>
        </w:tc>
      </w:tr>
      <w:tr w:rsidR="00FF1019" w:rsidRPr="00A72414" w:rsidTr="00586E50">
        <w:trPr>
          <w:trHeight w:val="323"/>
          <w:jc w:val="center"/>
        </w:trPr>
        <w:tc>
          <w:tcPr>
            <w:tcW w:w="4909" w:type="dxa"/>
            <w:shd w:val="clear" w:color="auto" w:fill="auto"/>
          </w:tcPr>
          <w:p w:rsidR="00FF1019" w:rsidRPr="00A72414" w:rsidRDefault="00FF1019" w:rsidP="00FF1019">
            <w:pPr>
              <w:tabs>
                <w:tab w:val="left" w:pos="1485"/>
              </w:tabs>
              <w:rPr>
                <w:rStyle w:val="BackgroundBoldedDescriptors"/>
              </w:rPr>
            </w:pPr>
            <w:r w:rsidRPr="00A72414">
              <w:rPr>
                <w:rStyle w:val="BackgroundBoldedDescriptors"/>
              </w:rPr>
              <w:t>Building Description:</w:t>
            </w:r>
          </w:p>
        </w:tc>
        <w:tc>
          <w:tcPr>
            <w:tcW w:w="4188" w:type="dxa"/>
            <w:shd w:val="clear" w:color="auto" w:fill="auto"/>
          </w:tcPr>
          <w:p w:rsidR="00FF1019" w:rsidRPr="00A72414" w:rsidRDefault="008830CB" w:rsidP="00B33892">
            <w:pPr>
              <w:tabs>
                <w:tab w:val="left" w:pos="1485"/>
              </w:tabs>
              <w:rPr>
                <w:bCs/>
              </w:rPr>
            </w:pPr>
            <w:r>
              <w:t xml:space="preserve">Room 209 is a small room located on the ground floor of the MVRHS. The room contains office furniture, tile floor, painted gypsum wallboard walls and suspended ceiling tiles. It shares a common wall with a general classroom and the main hallway. </w:t>
            </w:r>
            <w:r w:rsidR="00B33892">
              <w:t>The Math Office, room 519 was also assessed by request.</w:t>
            </w:r>
          </w:p>
        </w:tc>
      </w:tr>
      <w:tr w:rsidR="00FF1019" w:rsidRPr="005E458D" w:rsidTr="00586E50">
        <w:trPr>
          <w:jc w:val="center"/>
        </w:trPr>
        <w:tc>
          <w:tcPr>
            <w:tcW w:w="4909" w:type="dxa"/>
            <w:shd w:val="clear" w:color="auto" w:fill="auto"/>
          </w:tcPr>
          <w:p w:rsidR="00FF1019" w:rsidRPr="00986263" w:rsidRDefault="00FF1019" w:rsidP="003B6373">
            <w:pPr>
              <w:tabs>
                <w:tab w:val="left" w:pos="1485"/>
              </w:tabs>
              <w:rPr>
                <w:rStyle w:val="BackgroundBoldedDescriptors"/>
              </w:rPr>
            </w:pPr>
            <w:r w:rsidRPr="00986263">
              <w:rPr>
                <w:rStyle w:val="BackgroundBoldedDescriptors"/>
              </w:rPr>
              <w:t>Windows:</w:t>
            </w:r>
          </w:p>
        </w:tc>
        <w:tc>
          <w:tcPr>
            <w:tcW w:w="4188" w:type="dxa"/>
            <w:shd w:val="clear" w:color="auto" w:fill="auto"/>
          </w:tcPr>
          <w:p w:rsidR="00FF1019" w:rsidRPr="003A3B7B" w:rsidRDefault="00F41EC3" w:rsidP="00F41EC3">
            <w:pPr>
              <w:tabs>
                <w:tab w:val="left" w:pos="1485"/>
              </w:tabs>
              <w:rPr>
                <w:bCs/>
              </w:rPr>
            </w:pPr>
            <w:r>
              <w:t>Windows are openable</w:t>
            </w:r>
            <w:r w:rsidR="008933A5">
              <w:t xml:space="preserve"> in the space</w:t>
            </w:r>
            <w:r w:rsidR="00586E50" w:rsidRPr="00586E50">
              <w:t>.</w:t>
            </w:r>
          </w:p>
        </w:tc>
      </w:tr>
    </w:tbl>
    <w:p w:rsidR="00986263" w:rsidRDefault="005A45DD" w:rsidP="00986263">
      <w:pPr>
        <w:pStyle w:val="Heading1"/>
      </w:pPr>
      <w:r>
        <w:t>Methods</w:t>
      </w:r>
    </w:p>
    <w:p w:rsidR="00986263" w:rsidRPr="00986263" w:rsidRDefault="00986263" w:rsidP="00986263">
      <w:pPr>
        <w:pStyle w:val="BodyText"/>
      </w:pPr>
      <w:r w:rsidRPr="008F0C39">
        <w:t>Please refer to the IAQ Manual</w:t>
      </w:r>
      <w:r w:rsidR="00E33BDC">
        <w:t xml:space="preserve"> and appendices</w:t>
      </w:r>
      <w:r w:rsidRPr="008F0C39">
        <w:t xml:space="preserve"> for methods, sampling procedures, and interpretation of results (MDPH, 2015).</w:t>
      </w:r>
    </w:p>
    <w:p w:rsidR="008F0C39" w:rsidRPr="008F0C39" w:rsidRDefault="005A45DD" w:rsidP="00986263">
      <w:pPr>
        <w:pStyle w:val="Heading1"/>
      </w:pPr>
      <w:r w:rsidRPr="006A70D9">
        <w:t>Results and Discussion</w:t>
      </w:r>
    </w:p>
    <w:p w:rsidR="00B63F9B" w:rsidRDefault="008F0C39" w:rsidP="0057647E">
      <w:pPr>
        <w:pStyle w:val="BodyText"/>
      </w:pPr>
      <w:r w:rsidRPr="008F0C39">
        <w:t>The following is a summary of indoor air testing result</w:t>
      </w:r>
      <w:r w:rsidR="003C7393">
        <w:t>s</w:t>
      </w:r>
      <w:r w:rsidRPr="008F0C39">
        <w:t xml:space="preserve"> (Table 1).</w:t>
      </w:r>
    </w:p>
    <w:p w:rsidR="00481D10" w:rsidRDefault="0067562C" w:rsidP="009A73A8">
      <w:pPr>
        <w:pStyle w:val="BodyTextBulleted"/>
      </w:pPr>
      <w:r w:rsidRPr="00481D10">
        <w:rPr>
          <w:b/>
          <w:i/>
        </w:rPr>
        <w:t>Carbon dioxide</w:t>
      </w:r>
      <w:r w:rsidRPr="00986263">
        <w:t xml:space="preserve"> </w:t>
      </w:r>
      <w:r w:rsidR="00947EF8">
        <w:t>measurements</w:t>
      </w:r>
      <w:r w:rsidRPr="00986263">
        <w:t xml:space="preserve"> were </w:t>
      </w:r>
      <w:r w:rsidR="00926CEF">
        <w:t>below</w:t>
      </w:r>
      <w:r w:rsidRPr="0005123A">
        <w:t xml:space="preserve"> the </w:t>
      </w:r>
      <w:r w:rsidR="00986263" w:rsidRPr="0005123A">
        <w:t>MDPH</w:t>
      </w:r>
      <w:r w:rsidRPr="0005123A">
        <w:t xml:space="preserve"> recommended level of 800 parts per million (ppm) in </w:t>
      </w:r>
      <w:r w:rsidR="001107EB" w:rsidRPr="0005123A">
        <w:t>area</w:t>
      </w:r>
      <w:r w:rsidR="00D5520E">
        <w:t>s</w:t>
      </w:r>
      <w:r w:rsidR="001107EB" w:rsidRPr="0005123A">
        <w:t xml:space="preserve"> surveyed</w:t>
      </w:r>
      <w:r w:rsidR="00926CEF">
        <w:t>, indicating</w:t>
      </w:r>
      <w:r w:rsidR="008B0DD7">
        <w:t xml:space="preserve"> adequate exchange</w:t>
      </w:r>
      <w:r w:rsidR="00C1719D">
        <w:t>.</w:t>
      </w:r>
    </w:p>
    <w:p w:rsidR="003F425D" w:rsidRPr="00986263" w:rsidRDefault="0067562C" w:rsidP="009A73A8">
      <w:pPr>
        <w:pStyle w:val="BodyTextBulleted"/>
      </w:pPr>
      <w:r w:rsidRPr="00481D10">
        <w:rPr>
          <w:b/>
          <w:i/>
        </w:rPr>
        <w:t>Temperature</w:t>
      </w:r>
      <w:r w:rsidRPr="00986263">
        <w:t xml:space="preserve"> was </w:t>
      </w:r>
      <w:r w:rsidR="00A70CB1">
        <w:t xml:space="preserve">slightly below </w:t>
      </w:r>
      <w:r w:rsidRPr="00986263">
        <w:t xml:space="preserve">the MDPH recommended range of </w:t>
      </w:r>
      <w:r w:rsidR="0005123A">
        <w:t>70</w:t>
      </w:r>
      <w:r w:rsidRPr="0005123A">
        <w:t>°F to 7</w:t>
      </w:r>
      <w:r w:rsidR="0005123A" w:rsidRPr="0005123A">
        <w:t>8</w:t>
      </w:r>
      <w:r w:rsidRPr="0005123A">
        <w:t>°F</w:t>
      </w:r>
      <w:r w:rsidRPr="00986263">
        <w:t xml:space="preserve"> </w:t>
      </w:r>
      <w:r w:rsidR="00926CEF">
        <w:t xml:space="preserve">in areas tested </w:t>
      </w:r>
      <w:r w:rsidR="0005123A">
        <w:t>at the time of assessment</w:t>
      </w:r>
      <w:r w:rsidR="00421F00" w:rsidRPr="00986263">
        <w:t>.</w:t>
      </w:r>
    </w:p>
    <w:p w:rsidR="00926CEF" w:rsidRDefault="0067562C" w:rsidP="009A73A8">
      <w:pPr>
        <w:pStyle w:val="BodyTextBulleted"/>
      </w:pPr>
      <w:r w:rsidRPr="00926CEF">
        <w:rPr>
          <w:b/>
          <w:i/>
        </w:rPr>
        <w:lastRenderedPageBreak/>
        <w:t>Relative humidity</w:t>
      </w:r>
      <w:r w:rsidRPr="00986263">
        <w:t xml:space="preserve"> was </w:t>
      </w:r>
      <w:r w:rsidR="00481D10">
        <w:t>belo</w:t>
      </w:r>
      <w:r w:rsidR="00B03297">
        <w:t>w</w:t>
      </w:r>
      <w:r w:rsidR="00536C8C">
        <w:t xml:space="preserve"> </w:t>
      </w:r>
      <w:r w:rsidRPr="00986263">
        <w:t>the MDP</w:t>
      </w:r>
      <w:r w:rsidR="00503F0F" w:rsidRPr="00986263">
        <w:t>H recommended range of 40 to 60</w:t>
      </w:r>
      <w:r w:rsidRPr="00986263">
        <w:t xml:space="preserve">% in </w:t>
      </w:r>
      <w:r w:rsidR="006F60E7">
        <w:t>all</w:t>
      </w:r>
      <w:r w:rsidR="00406006">
        <w:t xml:space="preserve"> </w:t>
      </w:r>
      <w:r w:rsidRPr="00986263">
        <w:t>areas tested</w:t>
      </w:r>
      <w:r w:rsidR="00941F0B">
        <w:t>,</w:t>
      </w:r>
      <w:r w:rsidR="00A70CB1">
        <w:t xml:space="preserve"> </w:t>
      </w:r>
      <w:r w:rsidR="00941F0B">
        <w:t>which is typical during the heating season</w:t>
      </w:r>
      <w:r w:rsidR="00926CEF" w:rsidRPr="00926CEF">
        <w:t>.</w:t>
      </w:r>
    </w:p>
    <w:p w:rsidR="0067562C" w:rsidRPr="00986263" w:rsidRDefault="0067562C" w:rsidP="00926CEF">
      <w:pPr>
        <w:pStyle w:val="BodyTextBulleted"/>
      </w:pPr>
      <w:r w:rsidRPr="00926CEF">
        <w:rPr>
          <w:b/>
          <w:i/>
        </w:rPr>
        <w:t>Carbon monoxide</w:t>
      </w:r>
      <w:r w:rsidRPr="00986263">
        <w:t xml:space="preserve"> levels were </w:t>
      </w:r>
      <w:r w:rsidRPr="004E664F">
        <w:t>non-detectable</w:t>
      </w:r>
      <w:r w:rsidRPr="00986263">
        <w:t xml:space="preserve"> </w:t>
      </w:r>
      <w:r w:rsidR="003B00F6">
        <w:t xml:space="preserve">(ND) </w:t>
      </w:r>
      <w:r w:rsidRPr="00986263">
        <w:t>in all areas tested.</w:t>
      </w:r>
    </w:p>
    <w:p w:rsidR="0067562C" w:rsidRDefault="005C2241" w:rsidP="00986263">
      <w:pPr>
        <w:pStyle w:val="BodyTextBulleted"/>
      </w:pPr>
      <w:r w:rsidRPr="009D5BEF">
        <w:rPr>
          <w:b/>
          <w:i/>
        </w:rPr>
        <w:t>Particulate m</w:t>
      </w:r>
      <w:r w:rsidR="005054AA" w:rsidRPr="009D5BEF">
        <w:rPr>
          <w:b/>
          <w:i/>
        </w:rPr>
        <w:t>atter (</w:t>
      </w:r>
      <w:r w:rsidR="0067562C" w:rsidRPr="009D5BEF">
        <w:rPr>
          <w:b/>
          <w:i/>
        </w:rPr>
        <w:t>PM2.5</w:t>
      </w:r>
      <w:r w:rsidR="005054AA" w:rsidRPr="009D5BEF">
        <w:rPr>
          <w:b/>
          <w:i/>
        </w:rPr>
        <w:t>)</w:t>
      </w:r>
      <w:r w:rsidR="005054AA" w:rsidRPr="00986263">
        <w:t xml:space="preserve"> </w:t>
      </w:r>
      <w:r w:rsidR="0067562C" w:rsidRPr="00986263">
        <w:t xml:space="preserve">concentrations measured </w:t>
      </w:r>
      <w:r w:rsidR="0067562C" w:rsidRPr="00406006">
        <w:t xml:space="preserve">were </w:t>
      </w:r>
      <w:r w:rsidR="0067562C" w:rsidRPr="00FF31E1">
        <w:t>below</w:t>
      </w:r>
      <w:r w:rsidR="0067562C" w:rsidRPr="00986263">
        <w:t xml:space="preserve"> the National Ambient Air Quality (NAAQS) l</w:t>
      </w:r>
      <w:r w:rsidR="00B43145">
        <w:t>evel</w:t>
      </w:r>
      <w:r w:rsidR="0067562C" w:rsidRPr="00986263">
        <w:t xml:space="preserve"> </w:t>
      </w:r>
      <w:proofErr w:type="gramStart"/>
      <w:r w:rsidR="0067562C" w:rsidRPr="00986263">
        <w:t>of 35 μg/</w:t>
      </w:r>
      <w:r w:rsidR="00BC6B69" w:rsidRPr="00986263">
        <w:t>m</w:t>
      </w:r>
      <w:r w:rsidR="00BC6B69" w:rsidRPr="009C7489">
        <w:rPr>
          <w:vertAlign w:val="superscript"/>
        </w:rPr>
        <w:t>3</w:t>
      </w:r>
      <w:r w:rsidR="0067562C" w:rsidRPr="00986263">
        <w:t xml:space="preserve"> in all areas</w:t>
      </w:r>
      <w:proofErr w:type="gramEnd"/>
      <w:r w:rsidR="0067562C" w:rsidRPr="00986263">
        <w:t xml:space="preserve"> tested.</w:t>
      </w:r>
    </w:p>
    <w:p w:rsidR="003B00F6" w:rsidRPr="00986263" w:rsidRDefault="003B00F6" w:rsidP="003B00F6">
      <w:pPr>
        <w:pStyle w:val="BodyTextBulleted"/>
      </w:pPr>
      <w:r w:rsidRPr="00926CEF">
        <w:rPr>
          <w:b/>
          <w:i/>
        </w:rPr>
        <w:t>Carbon monoxide</w:t>
      </w:r>
      <w:r w:rsidRPr="00986263">
        <w:t xml:space="preserve"> levels were </w:t>
      </w:r>
      <w:r w:rsidRPr="004E664F">
        <w:t>non-detectable</w:t>
      </w:r>
      <w:r w:rsidRPr="00986263">
        <w:t xml:space="preserve"> in all areas tested.</w:t>
      </w:r>
    </w:p>
    <w:p w:rsidR="003B00F6" w:rsidRDefault="003B00F6" w:rsidP="00986263">
      <w:pPr>
        <w:pStyle w:val="BodyTextBulleted"/>
      </w:pPr>
      <w:r w:rsidRPr="003B00F6">
        <w:rPr>
          <w:b/>
          <w:i/>
        </w:rPr>
        <w:t>Total Volatile Organic Compounds (TVOCs)</w:t>
      </w:r>
      <w:r>
        <w:t xml:space="preserve"> </w:t>
      </w:r>
      <w:r w:rsidRPr="00986263">
        <w:t xml:space="preserve">were </w:t>
      </w:r>
      <w:r>
        <w:t xml:space="preserve">ND </w:t>
      </w:r>
      <w:r w:rsidRPr="00986263">
        <w:t>in all areas tested.</w:t>
      </w:r>
    </w:p>
    <w:p w:rsidR="00D77E51" w:rsidRDefault="00D77E51" w:rsidP="00613713">
      <w:pPr>
        <w:pStyle w:val="Heading2"/>
      </w:pPr>
      <w:r w:rsidRPr="00613713">
        <w:t>Ventilation</w:t>
      </w:r>
    </w:p>
    <w:p w:rsidR="005E69EA" w:rsidRDefault="003A4DB4" w:rsidP="00A94AD5">
      <w:pPr>
        <w:pStyle w:val="BodyText"/>
      </w:pPr>
      <w:r w:rsidRPr="00A22303">
        <w:t>A</w:t>
      </w:r>
      <w:r w:rsidR="00A94AD5" w:rsidRPr="00A22303">
        <w:t xml:space="preserve"> heating</w:t>
      </w:r>
      <w:r w:rsidR="00A94AD5">
        <w:t>, ventilating and air-conditioning (</w:t>
      </w:r>
      <w:r w:rsidRPr="005E2E28">
        <w:t>HVAC</w:t>
      </w:r>
      <w:r w:rsidR="00A94AD5">
        <w:t>)</w:t>
      </w:r>
      <w:r w:rsidRPr="005E2E28">
        <w:t xml:space="preserve"> system has several functions.</w:t>
      </w:r>
      <w:r>
        <w:t xml:space="preserve"> </w:t>
      </w:r>
      <w:r w:rsidRPr="005E2E28">
        <w:t>First it provides heating and, if equipped, cooling.</w:t>
      </w:r>
      <w:r>
        <w:t xml:space="preserve"> </w:t>
      </w:r>
      <w:r w:rsidRPr="005E2E28">
        <w:t>Second, it is a source of fresh air.</w:t>
      </w:r>
      <w:r>
        <w:t xml:space="preserve"> </w:t>
      </w:r>
      <w:r w:rsidRPr="005E2E28">
        <w:t xml:space="preserve">Finally, an HVAC system </w:t>
      </w:r>
      <w:r w:rsidR="00323E07">
        <w:t>will dilute and remove normally-</w:t>
      </w:r>
      <w:r w:rsidRPr="005E2E28">
        <w:t>occurring indoor environmental pollutants by not on</w:t>
      </w:r>
      <w:r w:rsidR="00755B84">
        <w:t>ly introducing fresh air, but also</w:t>
      </w:r>
      <w:r w:rsidRPr="005E2E28">
        <w:t xml:space="preserve"> filtering the airstream and ejecting stale air to the outdoors via exhaust ventilation.</w:t>
      </w:r>
      <w:r w:rsidR="002B4FBE">
        <w:t xml:space="preserve"> T</w:t>
      </w:r>
      <w:r w:rsidR="00C51CB1">
        <w:t xml:space="preserve">he areas </w:t>
      </w:r>
      <w:proofErr w:type="gramStart"/>
      <w:r w:rsidR="00C51CB1">
        <w:t>tested</w:t>
      </w:r>
      <w:r w:rsidR="00793F9A">
        <w:t>,</w:t>
      </w:r>
      <w:proofErr w:type="gramEnd"/>
      <w:r w:rsidR="00C51CB1">
        <w:t xml:space="preserve"> </w:t>
      </w:r>
      <w:r w:rsidR="00824026">
        <w:t>Rooms 209 and 519</w:t>
      </w:r>
      <w:r w:rsidR="00793F9A">
        <w:t>,</w:t>
      </w:r>
      <w:r w:rsidR="00824026">
        <w:t xml:space="preserve"> </w:t>
      </w:r>
      <w:r w:rsidR="00C51CB1">
        <w:t xml:space="preserve">had no means of mechanical </w:t>
      </w:r>
      <w:r w:rsidR="00824026">
        <w:t>supply ventilation but relied on baseboard radiators for heat and openable windows for introduction of outside air. However, they did both contain mechanical exhaust vents (Picture 1). The exhaust vent for room 209 was operating at the time of assessment, the one in 519 was not, which indicate</w:t>
      </w:r>
      <w:r w:rsidR="00793F9A">
        <w:t>s</w:t>
      </w:r>
      <w:r w:rsidR="00824026">
        <w:t xml:space="preserve"> it was deactivated or malfunctioning</w:t>
      </w:r>
      <w:r w:rsidR="00C51CB1">
        <w:t>.</w:t>
      </w:r>
    </w:p>
    <w:p w:rsidR="00FE42B3" w:rsidRPr="004834FB" w:rsidRDefault="00FE42B3" w:rsidP="004834FB">
      <w:pPr>
        <w:pStyle w:val="Heading2"/>
      </w:pPr>
      <w:r w:rsidRPr="004834FB">
        <w:t>Microbial/Moisture Concerns</w:t>
      </w:r>
    </w:p>
    <w:p w:rsidR="004B5EFD" w:rsidRDefault="007D7744" w:rsidP="007D7744">
      <w:pPr>
        <w:pStyle w:val="BodyText"/>
      </w:pPr>
      <w:r w:rsidRPr="009B510D">
        <w:t xml:space="preserve">In order for building materials to support mold growth, a source of water exposure is necessary. </w:t>
      </w:r>
      <w:r w:rsidR="00A544DF">
        <w:t>No current leaks or related water damage were observed</w:t>
      </w:r>
      <w:r w:rsidR="00CA00B8">
        <w:t xml:space="preserve"> during this assessment</w:t>
      </w:r>
      <w:r w:rsidR="00A544DF">
        <w:t>.</w:t>
      </w:r>
    </w:p>
    <w:p w:rsidR="00A544DF" w:rsidRDefault="004B5EFD" w:rsidP="007D7744">
      <w:pPr>
        <w:pStyle w:val="BodyText"/>
      </w:pPr>
      <w:r>
        <w:t>The window in the room had a cloudy/opaque appearance (Picture 2), which is caused by condensation between window panes due to a failed seal. At the time of assessment the window was on a list for replacement.</w:t>
      </w:r>
    </w:p>
    <w:p w:rsidR="00C63C32" w:rsidRPr="004834FB" w:rsidRDefault="00C63C32" w:rsidP="004834FB">
      <w:pPr>
        <w:pStyle w:val="Heading2"/>
      </w:pPr>
      <w:r w:rsidRPr="004834FB">
        <w:t>Other Conditions</w:t>
      </w:r>
    </w:p>
    <w:p w:rsidR="004B5EFD" w:rsidRDefault="006A6CBF" w:rsidP="004C709A">
      <w:pPr>
        <w:pStyle w:val="BodyText"/>
      </w:pPr>
      <w:r w:rsidRPr="00694149">
        <w:t>In a number of areas</w:t>
      </w:r>
      <w:r w:rsidRPr="006A6CBF">
        <w:t xml:space="preserve">, items were observed on the floor, windowsills, tabletops, counters, bookcases and desks. The large number of items stored provides a source for dusts to </w:t>
      </w:r>
      <w:r w:rsidRPr="006A6CBF">
        <w:lastRenderedPageBreak/>
        <w:t xml:space="preserve">accumulate. These items (e.g., papers, folders, boxes) make it difficult for custodial staff to clean. Items should be relocated and/or be cleaned periodically to avoid excessive dust build up. In addition, </w:t>
      </w:r>
      <w:r w:rsidR="004B5EFD">
        <w:t>baseboard radiators were observed with accumulated dust/debris</w:t>
      </w:r>
      <w:r w:rsidR="00531FC3">
        <w:t xml:space="preserve"> (Picture 3)</w:t>
      </w:r>
      <w:r w:rsidR="004B5EFD">
        <w:t xml:space="preserve">, which can give off odors when heated. It was reported that the room was scheduled to be painted </w:t>
      </w:r>
      <w:r w:rsidR="00793F9A">
        <w:t>during</w:t>
      </w:r>
      <w:r w:rsidR="004B5EFD">
        <w:t xml:space="preserve"> the Dec-Jan holiday break, which will provide an opportunity for a thorough cleaning of walls/flat surfaces.</w:t>
      </w:r>
    </w:p>
    <w:p w:rsidR="00B95BD1" w:rsidRPr="007472D9" w:rsidRDefault="00B95BD1" w:rsidP="003C1B98">
      <w:pPr>
        <w:pStyle w:val="BodyText"/>
      </w:pPr>
      <w:r w:rsidRPr="00FC4B38">
        <w:t xml:space="preserve">Several </w:t>
      </w:r>
      <w:r w:rsidR="007F2CA1">
        <w:t>ceiling-mounted vents</w:t>
      </w:r>
      <w:r w:rsidR="00531FC3">
        <w:t>, personal fans</w:t>
      </w:r>
      <w:r w:rsidRPr="007472D9">
        <w:t xml:space="preserve"> </w:t>
      </w:r>
      <w:r w:rsidR="008A6587">
        <w:t xml:space="preserve">and flat surfaces </w:t>
      </w:r>
      <w:r w:rsidRPr="007472D9">
        <w:t xml:space="preserve">were </w:t>
      </w:r>
      <w:r w:rsidR="00793F9A">
        <w:t xml:space="preserve">also </w:t>
      </w:r>
      <w:r w:rsidRPr="007472D9">
        <w:t>observed to have accumulated dust</w:t>
      </w:r>
      <w:r w:rsidRPr="003679FB">
        <w:t>/</w:t>
      </w:r>
      <w:r w:rsidR="00E91F92">
        <w:t>debris</w:t>
      </w:r>
      <w:r w:rsidRPr="007472D9">
        <w:t xml:space="preserve">. </w:t>
      </w:r>
      <w:r>
        <w:t xml:space="preserve">Operation of </w:t>
      </w:r>
      <w:r w:rsidR="00415ED0">
        <w:t xml:space="preserve">fans and </w:t>
      </w:r>
      <w:r w:rsidR="007F2CA1">
        <w:t>HVAC</w:t>
      </w:r>
      <w:r>
        <w:t xml:space="preserve"> equipment </w:t>
      </w:r>
      <w:r w:rsidRPr="007472D9">
        <w:t>can re-aerosolize accumulated dust particles</w:t>
      </w:r>
      <w:r w:rsidR="008A6587">
        <w:t xml:space="preserve"> providing a source of eye and respiratory irritation</w:t>
      </w:r>
      <w:r w:rsidRPr="007472D9">
        <w:t>.</w:t>
      </w:r>
    </w:p>
    <w:p w:rsidR="0082477B" w:rsidRDefault="00764538" w:rsidP="003C1B98">
      <w:pPr>
        <w:pStyle w:val="BodyText"/>
      </w:pPr>
      <w:r>
        <w:t xml:space="preserve">Finally, </w:t>
      </w:r>
      <w:r w:rsidR="00531FC3">
        <w:t>drafts were felt from open utility holes/breaches in walls (Picture</w:t>
      </w:r>
      <w:r w:rsidR="000059A6">
        <w:t>s 4 and 5)</w:t>
      </w:r>
      <w:r w:rsidR="00531FC3">
        <w:t>. These can provide pathways for dust/drafts/odors from wall cavities into occupied areas.</w:t>
      </w:r>
    </w:p>
    <w:p w:rsidR="00D77E51" w:rsidRPr="004834FB" w:rsidRDefault="000A7CF6" w:rsidP="004834FB">
      <w:pPr>
        <w:pStyle w:val="Heading1"/>
      </w:pPr>
      <w:r w:rsidRPr="0058451D">
        <w:t>Conclusions and Recommendations</w:t>
      </w:r>
    </w:p>
    <w:p w:rsidR="002E4F9B" w:rsidRDefault="002E4F9B" w:rsidP="0057647E">
      <w:pPr>
        <w:pStyle w:val="BodyText"/>
      </w:pPr>
      <w:r>
        <w:t>In view of the findings at the</w:t>
      </w:r>
      <w:r w:rsidRPr="004F6CF2">
        <w:t xml:space="preserve"> </w:t>
      </w:r>
      <w:r>
        <w:t>time of the visit, the following recommendations are made:</w:t>
      </w:r>
    </w:p>
    <w:p w:rsidR="00531FC3" w:rsidRDefault="00531FC3" w:rsidP="000059A6">
      <w:pPr>
        <w:pStyle w:val="BodyText"/>
        <w:numPr>
          <w:ilvl w:val="0"/>
          <w:numId w:val="31"/>
        </w:numPr>
      </w:pPr>
      <w:r>
        <w:t>Use openable windows to supplement fresh air during temperate weather. Ensure all windows are tightly closed at the end of the day.</w:t>
      </w:r>
    </w:p>
    <w:p w:rsidR="00531FC3" w:rsidRDefault="00531FC3" w:rsidP="000059A6">
      <w:pPr>
        <w:pStyle w:val="BodyText"/>
        <w:numPr>
          <w:ilvl w:val="0"/>
          <w:numId w:val="31"/>
        </w:numPr>
      </w:pPr>
      <w:r>
        <w:t>Check exhaust vents for draw periodically and repair any non-operating motors/vents.</w:t>
      </w:r>
    </w:p>
    <w:p w:rsidR="00531FC3" w:rsidRDefault="00531FC3" w:rsidP="000059A6">
      <w:pPr>
        <w:pStyle w:val="BodyText"/>
        <w:numPr>
          <w:ilvl w:val="0"/>
          <w:numId w:val="31"/>
        </w:numPr>
      </w:pPr>
      <w:r>
        <w:t xml:space="preserve">To improve </w:t>
      </w:r>
      <w:r w:rsidR="00A71B74">
        <w:t>air circulation, consider under</w:t>
      </w:r>
      <w:r>
        <w:t>cutting doors or installing passive vents in doors.</w:t>
      </w:r>
    </w:p>
    <w:p w:rsidR="00A71B74" w:rsidRDefault="00A71B74" w:rsidP="00A71B74">
      <w:pPr>
        <w:pStyle w:val="TOC6"/>
        <w:numPr>
          <w:ilvl w:val="0"/>
          <w:numId w:val="31"/>
        </w:numPr>
      </w:pPr>
      <w:r>
        <w:t>Seal breaches in walls/around utilities to prevent drafts/dusts/odors from wall cavities into occupied areas.</w:t>
      </w:r>
    </w:p>
    <w:p w:rsidR="0002499A" w:rsidRDefault="00771647" w:rsidP="000059A6">
      <w:pPr>
        <w:pStyle w:val="TOC6"/>
        <w:numPr>
          <w:ilvl w:val="0"/>
          <w:numId w:val="31"/>
        </w:numPr>
      </w:pPr>
      <w:r w:rsidRPr="00C21B97">
        <w:t xml:space="preserve">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w:t>
      </w:r>
      <w:r w:rsidR="00F13393" w:rsidRPr="00C21B97">
        <w:t>(</w:t>
      </w:r>
      <w:r w:rsidRPr="00C21B97">
        <w:t>HEPA</w:t>
      </w:r>
      <w:r w:rsidR="00F13393" w:rsidRPr="00C21B97">
        <w:t>) filter-</w:t>
      </w:r>
      <w:r w:rsidRPr="00C21B97">
        <w:t>equipped vacuum cleaner in conjunction with wet wiping of all surfaces is recommended. Avoid the use of feather dusters. Drinking water during the day can help ease some symptoms associated with a dry environment (throat and sinus irritation).</w:t>
      </w:r>
    </w:p>
    <w:p w:rsidR="00A71B74" w:rsidRDefault="00A71B74" w:rsidP="00A71B74">
      <w:pPr>
        <w:pStyle w:val="TOC6"/>
        <w:numPr>
          <w:ilvl w:val="0"/>
          <w:numId w:val="31"/>
        </w:numPr>
      </w:pPr>
      <w:r>
        <w:t>Clean baseboard radiators/fins periodically.</w:t>
      </w:r>
    </w:p>
    <w:p w:rsidR="0002499A" w:rsidRDefault="00AB6D83" w:rsidP="000059A6">
      <w:pPr>
        <w:pStyle w:val="TOC6"/>
        <w:numPr>
          <w:ilvl w:val="0"/>
          <w:numId w:val="31"/>
        </w:numPr>
      </w:pPr>
      <w:r w:rsidRPr="00C21B97">
        <w:t>Consider reducing the amount of stored materials to allow for more thorough cleaning. Clean items regularly with a wet cloth or sponge to prevent excessive dust build-up.</w:t>
      </w:r>
    </w:p>
    <w:p w:rsidR="0002499A" w:rsidRDefault="00177E4E" w:rsidP="000059A6">
      <w:pPr>
        <w:pStyle w:val="TOC6"/>
        <w:numPr>
          <w:ilvl w:val="0"/>
          <w:numId w:val="31"/>
        </w:numPr>
      </w:pPr>
      <w:r w:rsidRPr="00C21B97">
        <w:lastRenderedPageBreak/>
        <w:t xml:space="preserve">Clean </w:t>
      </w:r>
      <w:r w:rsidR="00905142">
        <w:t>ceiling-mounted vents/grills</w:t>
      </w:r>
      <w:r w:rsidR="00D63A0C">
        <w:t xml:space="preserve"> </w:t>
      </w:r>
      <w:r w:rsidR="000059A6">
        <w:t xml:space="preserve">and personal fans </w:t>
      </w:r>
      <w:r w:rsidRPr="00C21B97">
        <w:t>periodically of accumulated dust.</w:t>
      </w:r>
      <w:r w:rsidR="00905142">
        <w:t xml:space="preserve"> Use a vacuum/brush attachment as necessary.</w:t>
      </w:r>
    </w:p>
    <w:p w:rsidR="001765DE" w:rsidRDefault="00836554" w:rsidP="000059A6">
      <w:pPr>
        <w:pStyle w:val="TOC6"/>
        <w:numPr>
          <w:ilvl w:val="0"/>
          <w:numId w:val="31"/>
        </w:numPr>
      </w:pPr>
      <w:r w:rsidRPr="00C21B97">
        <w:t>Refer</w:t>
      </w:r>
      <w:r>
        <w:t xml:space="preserve"> to resource manual and other related </w:t>
      </w:r>
      <w:r w:rsidR="005652A8">
        <w:t>IAQ</w:t>
      </w:r>
      <w:r>
        <w:t xml:space="preserve"> documents located on the MDPH’s website for further building-wide evaluations and advice on maintaining public buildings. These documents are available at </w:t>
      </w:r>
      <w:hyperlink r:id="rId10" w:history="1">
        <w:r w:rsidRPr="001765DE">
          <w:t>http://mas</w:t>
        </w:r>
        <w:r w:rsidRPr="001765DE">
          <w:t>s</w:t>
        </w:r>
        <w:r w:rsidRPr="001765DE">
          <w:t>.</w:t>
        </w:r>
        <w:r w:rsidRPr="001765DE">
          <w:t>g</w:t>
        </w:r>
        <w:r w:rsidRPr="001765DE">
          <w:t>o</w:t>
        </w:r>
        <w:r w:rsidRPr="001765DE">
          <w:t>v</w:t>
        </w:r>
        <w:r w:rsidRPr="001765DE">
          <w:t>/</w:t>
        </w:r>
        <w:r w:rsidRPr="001765DE">
          <w:t>dp</w:t>
        </w:r>
        <w:r w:rsidRPr="001765DE">
          <w:t>h</w:t>
        </w:r>
        <w:r w:rsidRPr="001765DE">
          <w:t>/iaq</w:t>
        </w:r>
      </w:hyperlink>
      <w:r w:rsidR="00AB6D83">
        <w:t>.</w:t>
      </w:r>
    </w:p>
    <w:p w:rsidR="008423AB" w:rsidRPr="00C21B97" w:rsidRDefault="00C21B97" w:rsidP="003C1B98">
      <w:pPr>
        <w:pStyle w:val="Heading1"/>
      </w:pPr>
      <w:r>
        <w:br w:type="page"/>
      </w:r>
      <w:r w:rsidR="008423AB" w:rsidRPr="00C21B97">
        <w:lastRenderedPageBreak/>
        <w:t>R</w:t>
      </w:r>
      <w:r w:rsidR="003C1B98">
        <w:t>eferences</w:t>
      </w:r>
    </w:p>
    <w:p w:rsidR="004B23B9" w:rsidRDefault="00AB6D83" w:rsidP="00AB6D83">
      <w:pPr>
        <w:pStyle w:val="References"/>
        <w:rPr>
          <w:szCs w:val="24"/>
        </w:rPr>
        <w:sectPr w:rsidR="004B23B9" w:rsidSect="00EB04A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sectPr>
      </w:pPr>
      <w:proofErr w:type="gramStart"/>
      <w:r w:rsidRPr="00156371">
        <w:rPr>
          <w:szCs w:val="24"/>
        </w:rPr>
        <w:t>MDPH.</w:t>
      </w:r>
      <w:proofErr w:type="gramEnd"/>
      <w:r w:rsidRPr="00156371">
        <w:rPr>
          <w:szCs w:val="24"/>
        </w:rPr>
        <w:t xml:space="preserve"> </w:t>
      </w:r>
      <w:proofErr w:type="gramStart"/>
      <w:r w:rsidRPr="00156371">
        <w:rPr>
          <w:szCs w:val="24"/>
        </w:rPr>
        <w:t>2015. Massachusetts Department of Public Health.</w:t>
      </w:r>
      <w:proofErr w:type="gramEnd"/>
      <w:r w:rsidRPr="00156371">
        <w:rPr>
          <w:szCs w:val="24"/>
        </w:rPr>
        <w:t xml:space="preserve"> Massachusetts Department of Public Health Indoor Air Quality Manual: Chapters I-III. Available at: </w:t>
      </w:r>
      <w:hyperlink r:id="rId17" w:history="1">
        <w:r w:rsidR="00C331A5" w:rsidRPr="00156371">
          <w:rPr>
            <w:rStyle w:val="Hyperlink"/>
            <w:szCs w:val="24"/>
          </w:rPr>
          <w:t>http://www.mass.gov/eohhs/gov/d</w:t>
        </w:r>
        <w:r w:rsidR="00C331A5" w:rsidRPr="00156371">
          <w:rPr>
            <w:rStyle w:val="Hyperlink"/>
            <w:szCs w:val="24"/>
          </w:rPr>
          <w:t>e</w:t>
        </w:r>
        <w:r w:rsidR="00C331A5" w:rsidRPr="00156371">
          <w:rPr>
            <w:rStyle w:val="Hyperlink"/>
            <w:szCs w:val="24"/>
          </w:rPr>
          <w:t>partme</w:t>
        </w:r>
        <w:r w:rsidR="00C331A5" w:rsidRPr="00156371">
          <w:rPr>
            <w:rStyle w:val="Hyperlink"/>
            <w:szCs w:val="24"/>
          </w:rPr>
          <w:t>nts/d</w:t>
        </w:r>
        <w:r w:rsidR="00C331A5" w:rsidRPr="00156371">
          <w:rPr>
            <w:rStyle w:val="Hyperlink"/>
            <w:szCs w:val="24"/>
          </w:rPr>
          <w:t>p</w:t>
        </w:r>
        <w:r w:rsidR="00C331A5" w:rsidRPr="00156371">
          <w:rPr>
            <w:rStyle w:val="Hyperlink"/>
            <w:szCs w:val="24"/>
          </w:rPr>
          <w:t>h</w:t>
        </w:r>
        <w:r w:rsidR="00C331A5" w:rsidRPr="00156371">
          <w:rPr>
            <w:rStyle w:val="Hyperlink"/>
            <w:szCs w:val="24"/>
          </w:rPr>
          <w:t>/pro</w:t>
        </w:r>
        <w:r w:rsidR="00C331A5" w:rsidRPr="00156371">
          <w:rPr>
            <w:rStyle w:val="Hyperlink"/>
            <w:szCs w:val="24"/>
          </w:rPr>
          <w:t>g</w:t>
        </w:r>
        <w:r w:rsidR="00C331A5" w:rsidRPr="00156371">
          <w:rPr>
            <w:rStyle w:val="Hyperlink"/>
            <w:szCs w:val="24"/>
          </w:rPr>
          <w:t>rams/environmental-health/exposure-topics/iaq/iaq-m</w:t>
        </w:r>
        <w:r w:rsidR="00C331A5" w:rsidRPr="00156371">
          <w:rPr>
            <w:rStyle w:val="Hyperlink"/>
            <w:szCs w:val="24"/>
          </w:rPr>
          <w:t>a</w:t>
        </w:r>
        <w:r w:rsidR="00C331A5" w:rsidRPr="00156371">
          <w:rPr>
            <w:rStyle w:val="Hyperlink"/>
            <w:szCs w:val="24"/>
          </w:rPr>
          <w:t>nual/</w:t>
        </w:r>
      </w:hyperlink>
      <w:r w:rsidR="00C331A5" w:rsidRPr="00156371">
        <w:rPr>
          <w:szCs w:val="24"/>
        </w:rPr>
        <w:t>.</w:t>
      </w:r>
    </w:p>
    <w:p w:rsidR="004B23B9" w:rsidRPr="004B23B9" w:rsidRDefault="004B23B9" w:rsidP="004B23B9">
      <w:pPr>
        <w:spacing w:after="200" w:line="276" w:lineRule="auto"/>
        <w:rPr>
          <w:rFonts w:eastAsia="Calibri"/>
          <w:b/>
          <w:szCs w:val="24"/>
        </w:rPr>
      </w:pPr>
      <w:r w:rsidRPr="004B23B9">
        <w:rPr>
          <w:rFonts w:eastAsia="Calibri"/>
          <w:b/>
          <w:szCs w:val="24"/>
        </w:rPr>
        <w:lastRenderedPageBreak/>
        <w:t>Picture 1</w:t>
      </w:r>
    </w:p>
    <w:p w:rsidR="004B23B9" w:rsidRPr="004B23B9" w:rsidRDefault="00544D2A" w:rsidP="004B23B9">
      <w:pPr>
        <w:spacing w:after="200" w:line="276" w:lineRule="auto"/>
        <w:jc w:val="center"/>
        <w:rPr>
          <w:rFonts w:eastAsia="Calibri"/>
          <w:b/>
          <w:szCs w:val="24"/>
        </w:rPr>
      </w:pPr>
      <w:r>
        <w:rPr>
          <w:rFonts w:eastAsia="Calibri"/>
          <w:b/>
          <w:noProof/>
          <w:szCs w:val="24"/>
        </w:rPr>
        <w:drawing>
          <wp:inline distT="0" distB="0" distL="0" distR="0">
            <wp:extent cx="4387850" cy="3299460"/>
            <wp:effectExtent l="0" t="0" r="0" b="0"/>
            <wp:docPr id="2" name="Picture 1" descr="Ceiling-mounted exhaust vent in room 209" titl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Ceiling-mounted exhaust vent in room 209" title="Picture 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4387850" cy="3299460"/>
                    </a:xfrm>
                    <a:prstGeom prst="rect">
                      <a:avLst/>
                    </a:prstGeom>
                    <a:noFill/>
                    <a:ln>
                      <a:noFill/>
                    </a:ln>
                  </pic:spPr>
                </pic:pic>
              </a:graphicData>
            </a:graphic>
          </wp:inline>
        </w:drawing>
      </w:r>
    </w:p>
    <w:p w:rsidR="004B23B9" w:rsidRPr="004B23B9" w:rsidRDefault="004B23B9" w:rsidP="004B23B9">
      <w:pPr>
        <w:spacing w:after="200" w:line="276" w:lineRule="auto"/>
        <w:jc w:val="center"/>
        <w:rPr>
          <w:rFonts w:eastAsia="Calibri"/>
          <w:b/>
          <w:szCs w:val="24"/>
        </w:rPr>
      </w:pPr>
      <w:r w:rsidRPr="004B23B9">
        <w:rPr>
          <w:rFonts w:eastAsia="Calibri"/>
          <w:b/>
          <w:szCs w:val="24"/>
        </w:rPr>
        <w:t>Ceiling-mounted exhaust vent in room 209</w:t>
      </w:r>
    </w:p>
    <w:p w:rsidR="004B23B9" w:rsidRPr="004B23B9" w:rsidRDefault="004B23B9" w:rsidP="004B23B9">
      <w:pPr>
        <w:spacing w:after="200" w:line="276" w:lineRule="auto"/>
        <w:rPr>
          <w:rFonts w:eastAsia="Calibri"/>
          <w:b/>
          <w:szCs w:val="24"/>
        </w:rPr>
      </w:pPr>
      <w:r w:rsidRPr="004B23B9">
        <w:rPr>
          <w:rFonts w:eastAsia="Calibri"/>
          <w:b/>
          <w:szCs w:val="24"/>
        </w:rPr>
        <w:t>Picture 2</w:t>
      </w:r>
    </w:p>
    <w:p w:rsidR="004B23B9" w:rsidRPr="004B23B9" w:rsidRDefault="00544D2A" w:rsidP="004B23B9">
      <w:pPr>
        <w:spacing w:after="200" w:line="276" w:lineRule="auto"/>
        <w:jc w:val="center"/>
        <w:rPr>
          <w:rFonts w:eastAsia="Calibri"/>
          <w:b/>
          <w:szCs w:val="24"/>
        </w:rPr>
      </w:pPr>
      <w:r>
        <w:rPr>
          <w:rFonts w:eastAsia="Calibri"/>
          <w:b/>
          <w:noProof/>
          <w:szCs w:val="24"/>
        </w:rPr>
        <w:drawing>
          <wp:inline distT="0" distB="0" distL="0" distR="0">
            <wp:extent cx="4387850" cy="3299460"/>
            <wp:effectExtent l="0" t="0" r="0" b="0"/>
            <wp:docPr id="3" name="Picture 2" descr="Window with failed seal in room 209" titl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Window with failed seal in room 209" title="Picture 2"/>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4387850" cy="3299460"/>
                    </a:xfrm>
                    <a:prstGeom prst="rect">
                      <a:avLst/>
                    </a:prstGeom>
                    <a:noFill/>
                    <a:ln>
                      <a:noFill/>
                    </a:ln>
                  </pic:spPr>
                </pic:pic>
              </a:graphicData>
            </a:graphic>
          </wp:inline>
        </w:drawing>
      </w:r>
    </w:p>
    <w:p w:rsidR="004B23B9" w:rsidRPr="004B23B9" w:rsidRDefault="004B23B9" w:rsidP="004B23B9">
      <w:pPr>
        <w:spacing w:after="200" w:line="276" w:lineRule="auto"/>
        <w:jc w:val="center"/>
        <w:rPr>
          <w:rFonts w:eastAsia="Calibri"/>
          <w:b/>
          <w:szCs w:val="24"/>
        </w:rPr>
      </w:pPr>
      <w:r w:rsidRPr="004B23B9">
        <w:rPr>
          <w:rFonts w:eastAsia="Calibri"/>
          <w:b/>
          <w:szCs w:val="24"/>
        </w:rPr>
        <w:t>Window with failed seal in room 209</w:t>
      </w:r>
    </w:p>
    <w:p w:rsidR="004B23B9" w:rsidRPr="004B23B9" w:rsidRDefault="004B23B9" w:rsidP="004B23B9">
      <w:pPr>
        <w:spacing w:after="200" w:line="276" w:lineRule="auto"/>
        <w:rPr>
          <w:rFonts w:eastAsia="Calibri"/>
          <w:b/>
          <w:szCs w:val="24"/>
        </w:rPr>
      </w:pPr>
      <w:r w:rsidRPr="004B23B9">
        <w:rPr>
          <w:rFonts w:eastAsia="Calibri"/>
          <w:b/>
          <w:szCs w:val="24"/>
        </w:rPr>
        <w:lastRenderedPageBreak/>
        <w:t>Picture 3</w:t>
      </w:r>
    </w:p>
    <w:p w:rsidR="004B23B9" w:rsidRPr="004B23B9" w:rsidRDefault="00544D2A" w:rsidP="004B23B9">
      <w:pPr>
        <w:spacing w:after="200" w:line="276" w:lineRule="auto"/>
        <w:jc w:val="center"/>
        <w:rPr>
          <w:rFonts w:eastAsia="Calibri"/>
          <w:b/>
          <w:szCs w:val="24"/>
        </w:rPr>
      </w:pPr>
      <w:r>
        <w:rPr>
          <w:rFonts w:eastAsia="Calibri"/>
          <w:b/>
          <w:noProof/>
          <w:szCs w:val="24"/>
        </w:rPr>
        <w:drawing>
          <wp:inline distT="0" distB="0" distL="0" distR="0">
            <wp:extent cx="4387850" cy="3299460"/>
            <wp:effectExtent l="0" t="0" r="0" b="0"/>
            <wp:docPr id="4" name="Picture 3" descr="Baseboard radiator unit" titl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descr="Baseboard radiator unit" title="Picture 3"/>
                    <pic:cNvPicPr/>
                  </pic:nvPicPr>
                  <pic:blipFill>
                    <a:blip r:embed="rId20" cstate="email">
                      <a:extLst>
                        <a:ext uri="{28A0092B-C50C-407E-A947-70E740481C1C}">
                          <a14:useLocalDpi xmlns:a14="http://schemas.microsoft.com/office/drawing/2010/main"/>
                        </a:ext>
                      </a:extLst>
                    </a:blip>
                    <a:srcRect/>
                    <a:stretch>
                      <a:fillRect/>
                    </a:stretch>
                  </pic:blipFill>
                  <pic:spPr bwMode="auto">
                    <a:xfrm>
                      <a:off x="0" y="0"/>
                      <a:ext cx="4387850" cy="3299460"/>
                    </a:xfrm>
                    <a:prstGeom prst="rect">
                      <a:avLst/>
                    </a:prstGeom>
                    <a:noFill/>
                    <a:ln>
                      <a:noFill/>
                    </a:ln>
                  </pic:spPr>
                </pic:pic>
              </a:graphicData>
            </a:graphic>
          </wp:inline>
        </w:drawing>
      </w:r>
    </w:p>
    <w:p w:rsidR="004B23B9" w:rsidRPr="004B23B9" w:rsidRDefault="004B23B9" w:rsidP="004B23B9">
      <w:pPr>
        <w:spacing w:after="200" w:line="276" w:lineRule="auto"/>
        <w:jc w:val="center"/>
        <w:rPr>
          <w:rFonts w:eastAsia="Calibri"/>
          <w:b/>
          <w:szCs w:val="24"/>
        </w:rPr>
      </w:pPr>
      <w:r w:rsidRPr="004B23B9">
        <w:rPr>
          <w:rFonts w:eastAsia="Calibri"/>
          <w:b/>
          <w:szCs w:val="24"/>
        </w:rPr>
        <w:t>Baseboard radiator unit</w:t>
      </w:r>
    </w:p>
    <w:p w:rsidR="004B23B9" w:rsidRPr="004B23B9" w:rsidRDefault="004B23B9" w:rsidP="004B23B9">
      <w:pPr>
        <w:spacing w:after="200" w:line="276" w:lineRule="auto"/>
        <w:rPr>
          <w:rFonts w:eastAsia="Calibri"/>
          <w:b/>
          <w:szCs w:val="24"/>
        </w:rPr>
      </w:pPr>
      <w:r w:rsidRPr="004B23B9">
        <w:rPr>
          <w:rFonts w:eastAsia="Calibri"/>
          <w:b/>
          <w:szCs w:val="24"/>
        </w:rPr>
        <w:t>Picture 4</w:t>
      </w:r>
    </w:p>
    <w:p w:rsidR="004B23B9" w:rsidRPr="004B23B9" w:rsidRDefault="00544D2A" w:rsidP="004B23B9">
      <w:pPr>
        <w:spacing w:after="200" w:line="276" w:lineRule="auto"/>
        <w:jc w:val="center"/>
        <w:rPr>
          <w:rFonts w:eastAsia="Calibri"/>
          <w:b/>
          <w:szCs w:val="24"/>
        </w:rPr>
      </w:pPr>
      <w:r>
        <w:rPr>
          <w:rFonts w:eastAsia="Calibri"/>
          <w:b/>
          <w:noProof/>
          <w:szCs w:val="24"/>
        </w:rPr>
        <w:drawing>
          <wp:inline distT="0" distB="0" distL="0" distR="0">
            <wp:extent cx="4387850" cy="3299460"/>
            <wp:effectExtent l="0" t="0" r="0" b="0"/>
            <wp:docPr id="5" name="Picture 4" descr="Open utility hole/electrical box" titl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Open utility hole/electrical box" title="Picture 4"/>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4387850" cy="3299460"/>
                    </a:xfrm>
                    <a:prstGeom prst="rect">
                      <a:avLst/>
                    </a:prstGeom>
                    <a:noFill/>
                    <a:ln>
                      <a:noFill/>
                    </a:ln>
                  </pic:spPr>
                </pic:pic>
              </a:graphicData>
            </a:graphic>
          </wp:inline>
        </w:drawing>
      </w:r>
    </w:p>
    <w:p w:rsidR="004B23B9" w:rsidRPr="004B23B9" w:rsidRDefault="004B23B9" w:rsidP="004B23B9">
      <w:pPr>
        <w:spacing w:after="200" w:line="276" w:lineRule="auto"/>
        <w:jc w:val="center"/>
        <w:rPr>
          <w:rFonts w:eastAsia="Calibri"/>
          <w:b/>
          <w:szCs w:val="24"/>
        </w:rPr>
      </w:pPr>
      <w:r w:rsidRPr="004B23B9">
        <w:rPr>
          <w:rFonts w:eastAsia="Calibri"/>
          <w:b/>
          <w:szCs w:val="24"/>
        </w:rPr>
        <w:t xml:space="preserve">Open utility </w:t>
      </w:r>
      <w:proofErr w:type="gramStart"/>
      <w:r w:rsidRPr="004B23B9">
        <w:rPr>
          <w:rFonts w:eastAsia="Calibri"/>
          <w:b/>
          <w:szCs w:val="24"/>
        </w:rPr>
        <w:t>hole</w:t>
      </w:r>
      <w:proofErr w:type="gramEnd"/>
      <w:r w:rsidRPr="004B23B9">
        <w:rPr>
          <w:rFonts w:eastAsia="Calibri"/>
          <w:b/>
          <w:szCs w:val="24"/>
        </w:rPr>
        <w:t>/electrical box</w:t>
      </w:r>
    </w:p>
    <w:p w:rsidR="004B23B9" w:rsidRPr="004B23B9" w:rsidRDefault="004B23B9" w:rsidP="004B23B9">
      <w:pPr>
        <w:spacing w:after="200" w:line="276" w:lineRule="auto"/>
        <w:rPr>
          <w:rFonts w:eastAsia="Calibri"/>
          <w:b/>
          <w:szCs w:val="24"/>
        </w:rPr>
      </w:pPr>
      <w:r w:rsidRPr="004B23B9">
        <w:rPr>
          <w:rFonts w:eastAsia="Calibri"/>
          <w:b/>
          <w:szCs w:val="24"/>
        </w:rPr>
        <w:lastRenderedPageBreak/>
        <w:t>Picture 5</w:t>
      </w:r>
    </w:p>
    <w:p w:rsidR="004B23B9" w:rsidRPr="004B23B9" w:rsidRDefault="00544D2A" w:rsidP="004B23B9">
      <w:pPr>
        <w:spacing w:after="200" w:line="276" w:lineRule="auto"/>
        <w:jc w:val="center"/>
        <w:rPr>
          <w:rFonts w:eastAsia="Calibri"/>
          <w:b/>
          <w:szCs w:val="24"/>
        </w:rPr>
      </w:pPr>
      <w:r>
        <w:rPr>
          <w:rFonts w:eastAsia="Calibri"/>
          <w:b/>
          <w:noProof/>
          <w:szCs w:val="24"/>
        </w:rPr>
        <w:drawing>
          <wp:inline distT="0" distB="0" distL="0" distR="0">
            <wp:extent cx="4387850" cy="3299460"/>
            <wp:effectExtent l="0" t="0" r="0" b="0"/>
            <wp:docPr id="6" name="Picture 5" descr="Hole in wall" titl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5" descr="Hole in wall" title="Picture 5"/>
                    <pic:cNvPicPr/>
                  </pic:nvPicPr>
                  <pic:blipFill>
                    <a:blip r:embed="rId22" cstate="email">
                      <a:extLst>
                        <a:ext uri="{28A0092B-C50C-407E-A947-70E740481C1C}">
                          <a14:useLocalDpi xmlns:a14="http://schemas.microsoft.com/office/drawing/2010/main"/>
                        </a:ext>
                      </a:extLst>
                    </a:blip>
                    <a:srcRect/>
                    <a:stretch>
                      <a:fillRect/>
                    </a:stretch>
                  </pic:blipFill>
                  <pic:spPr bwMode="auto">
                    <a:xfrm>
                      <a:off x="0" y="0"/>
                      <a:ext cx="4387850" cy="3299460"/>
                    </a:xfrm>
                    <a:prstGeom prst="rect">
                      <a:avLst/>
                    </a:prstGeom>
                    <a:noFill/>
                    <a:ln>
                      <a:noFill/>
                    </a:ln>
                  </pic:spPr>
                </pic:pic>
              </a:graphicData>
            </a:graphic>
          </wp:inline>
        </w:drawing>
      </w:r>
    </w:p>
    <w:p w:rsidR="004B23B9" w:rsidRPr="004B23B9" w:rsidRDefault="004B23B9" w:rsidP="004B23B9">
      <w:pPr>
        <w:spacing w:after="200" w:line="276" w:lineRule="auto"/>
        <w:jc w:val="center"/>
        <w:rPr>
          <w:rFonts w:ascii="Calibri" w:eastAsia="Calibri" w:hAnsi="Calibri"/>
          <w:sz w:val="22"/>
          <w:szCs w:val="22"/>
        </w:rPr>
      </w:pPr>
      <w:r w:rsidRPr="004B23B9">
        <w:rPr>
          <w:rFonts w:eastAsia="Calibri"/>
          <w:b/>
          <w:szCs w:val="24"/>
        </w:rPr>
        <w:t>Hole in wall</w:t>
      </w:r>
    </w:p>
    <w:p w:rsidR="004B23B9" w:rsidRDefault="004B23B9" w:rsidP="00AB6D83">
      <w:pPr>
        <w:pStyle w:val="References"/>
        <w:rPr>
          <w:szCs w:val="24"/>
        </w:rPr>
        <w:sectPr w:rsidR="004B23B9" w:rsidSect="00EB04AC">
          <w:footerReference w:type="default" r:id="rId23"/>
          <w:pgSz w:w="12240" w:h="15840"/>
          <w:pgMar w:top="1440" w:right="1440" w:bottom="1440" w:left="1440" w:header="720" w:footer="720" w:gutter="0"/>
          <w:cols w:space="720"/>
          <w:titlePg/>
        </w:sectPr>
      </w:pPr>
    </w:p>
    <w:tbl>
      <w:tblPr>
        <w:tblW w:w="15042" w:type="dxa"/>
        <w:jc w:val="center"/>
        <w:tblInd w:w="11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11"/>
        <w:gridCol w:w="891"/>
        <w:gridCol w:w="995"/>
        <w:gridCol w:w="994"/>
        <w:gridCol w:w="1152"/>
        <w:gridCol w:w="1037"/>
        <w:gridCol w:w="1080"/>
        <w:gridCol w:w="1080"/>
        <w:gridCol w:w="1170"/>
        <w:gridCol w:w="810"/>
        <w:gridCol w:w="900"/>
        <w:gridCol w:w="3522"/>
      </w:tblGrid>
      <w:tr w:rsidR="004B23B9" w:rsidRPr="004B23B9" w:rsidTr="00430137">
        <w:trPr>
          <w:cantSplit/>
          <w:trHeight w:val="240"/>
          <w:tblHeader/>
          <w:jc w:val="center"/>
        </w:trPr>
        <w:tc>
          <w:tcPr>
            <w:tcW w:w="1411" w:type="dxa"/>
            <w:vMerge w:val="restart"/>
            <w:vAlign w:val="bottom"/>
          </w:tcPr>
          <w:p w:rsidR="004B23B9" w:rsidRPr="004B23B9" w:rsidRDefault="004B23B9" w:rsidP="004B23B9">
            <w:pPr>
              <w:keepNext/>
              <w:jc w:val="center"/>
              <w:outlineLvl w:val="0"/>
              <w:rPr>
                <w:b/>
                <w:sz w:val="18"/>
              </w:rPr>
            </w:pPr>
            <w:r w:rsidRPr="004B23B9">
              <w:rPr>
                <w:b/>
                <w:sz w:val="18"/>
              </w:rPr>
              <w:lastRenderedPageBreak/>
              <w:t>Location</w:t>
            </w:r>
          </w:p>
        </w:tc>
        <w:tc>
          <w:tcPr>
            <w:tcW w:w="891" w:type="dxa"/>
            <w:vMerge w:val="restart"/>
            <w:vAlign w:val="bottom"/>
          </w:tcPr>
          <w:p w:rsidR="004B23B9" w:rsidRPr="004B23B9" w:rsidRDefault="004B23B9" w:rsidP="004B23B9">
            <w:pPr>
              <w:jc w:val="center"/>
              <w:rPr>
                <w:b/>
                <w:sz w:val="18"/>
              </w:rPr>
            </w:pPr>
            <w:r w:rsidRPr="004B23B9">
              <w:rPr>
                <w:b/>
                <w:sz w:val="18"/>
              </w:rPr>
              <w:t>Carbon</w:t>
            </w:r>
          </w:p>
          <w:p w:rsidR="004B23B9" w:rsidRPr="004B23B9" w:rsidRDefault="004B23B9" w:rsidP="004B23B9">
            <w:pPr>
              <w:jc w:val="center"/>
              <w:rPr>
                <w:b/>
                <w:sz w:val="18"/>
              </w:rPr>
            </w:pPr>
            <w:r w:rsidRPr="004B23B9">
              <w:rPr>
                <w:b/>
                <w:sz w:val="18"/>
              </w:rPr>
              <w:t>Dioxide</w:t>
            </w:r>
          </w:p>
          <w:p w:rsidR="004B23B9" w:rsidRPr="004B23B9" w:rsidRDefault="004B23B9" w:rsidP="004B23B9">
            <w:pPr>
              <w:jc w:val="center"/>
              <w:rPr>
                <w:b/>
                <w:sz w:val="18"/>
              </w:rPr>
            </w:pPr>
            <w:r w:rsidRPr="004B23B9">
              <w:rPr>
                <w:b/>
                <w:sz w:val="18"/>
              </w:rPr>
              <w:t>(ppm)</w:t>
            </w:r>
          </w:p>
        </w:tc>
        <w:tc>
          <w:tcPr>
            <w:tcW w:w="995" w:type="dxa"/>
            <w:vMerge w:val="restart"/>
            <w:vAlign w:val="bottom"/>
          </w:tcPr>
          <w:p w:rsidR="004B23B9" w:rsidRPr="004B23B9" w:rsidRDefault="004B23B9" w:rsidP="004B23B9">
            <w:pPr>
              <w:jc w:val="center"/>
              <w:rPr>
                <w:b/>
                <w:sz w:val="18"/>
              </w:rPr>
            </w:pPr>
            <w:r w:rsidRPr="004B23B9">
              <w:rPr>
                <w:b/>
                <w:sz w:val="18"/>
              </w:rPr>
              <w:t>Carbon Monoxide</w:t>
            </w:r>
          </w:p>
          <w:p w:rsidR="004B23B9" w:rsidRPr="004B23B9" w:rsidRDefault="004B23B9" w:rsidP="004B23B9">
            <w:pPr>
              <w:jc w:val="center"/>
              <w:rPr>
                <w:b/>
                <w:sz w:val="18"/>
              </w:rPr>
            </w:pPr>
            <w:r w:rsidRPr="004B23B9">
              <w:rPr>
                <w:b/>
                <w:sz w:val="18"/>
              </w:rPr>
              <w:t>(ppm)</w:t>
            </w:r>
          </w:p>
        </w:tc>
        <w:tc>
          <w:tcPr>
            <w:tcW w:w="994" w:type="dxa"/>
            <w:vMerge w:val="restart"/>
            <w:vAlign w:val="bottom"/>
          </w:tcPr>
          <w:p w:rsidR="004B23B9" w:rsidRPr="004B23B9" w:rsidRDefault="004B23B9" w:rsidP="004B23B9">
            <w:pPr>
              <w:jc w:val="center"/>
              <w:rPr>
                <w:b/>
                <w:sz w:val="18"/>
              </w:rPr>
            </w:pPr>
            <w:r w:rsidRPr="004B23B9">
              <w:rPr>
                <w:b/>
                <w:sz w:val="18"/>
              </w:rPr>
              <w:t>Temp</w:t>
            </w:r>
          </w:p>
          <w:p w:rsidR="004B23B9" w:rsidRPr="004B23B9" w:rsidRDefault="004B23B9" w:rsidP="004B23B9">
            <w:pPr>
              <w:jc w:val="center"/>
              <w:rPr>
                <w:b/>
                <w:sz w:val="18"/>
              </w:rPr>
            </w:pPr>
            <w:r w:rsidRPr="004B23B9">
              <w:rPr>
                <w:b/>
                <w:sz w:val="18"/>
              </w:rPr>
              <w:t>(°F)</w:t>
            </w:r>
          </w:p>
        </w:tc>
        <w:tc>
          <w:tcPr>
            <w:tcW w:w="1152" w:type="dxa"/>
            <w:vMerge w:val="restart"/>
            <w:vAlign w:val="bottom"/>
          </w:tcPr>
          <w:p w:rsidR="004B23B9" w:rsidRPr="004B23B9" w:rsidRDefault="004B23B9" w:rsidP="004B23B9">
            <w:pPr>
              <w:jc w:val="center"/>
              <w:rPr>
                <w:b/>
                <w:sz w:val="18"/>
              </w:rPr>
            </w:pPr>
            <w:r w:rsidRPr="004B23B9">
              <w:rPr>
                <w:b/>
                <w:sz w:val="18"/>
              </w:rPr>
              <w:t>Relative</w:t>
            </w:r>
          </w:p>
          <w:p w:rsidR="004B23B9" w:rsidRPr="004B23B9" w:rsidRDefault="004B23B9" w:rsidP="004B23B9">
            <w:pPr>
              <w:jc w:val="center"/>
              <w:rPr>
                <w:b/>
                <w:sz w:val="18"/>
              </w:rPr>
            </w:pPr>
            <w:r w:rsidRPr="004B23B9">
              <w:rPr>
                <w:b/>
                <w:sz w:val="18"/>
              </w:rPr>
              <w:t>Humidity</w:t>
            </w:r>
          </w:p>
          <w:p w:rsidR="004B23B9" w:rsidRPr="004B23B9" w:rsidRDefault="004B23B9" w:rsidP="004B23B9">
            <w:pPr>
              <w:jc w:val="center"/>
              <w:rPr>
                <w:b/>
                <w:sz w:val="18"/>
              </w:rPr>
            </w:pPr>
            <w:r w:rsidRPr="004B23B9">
              <w:rPr>
                <w:b/>
                <w:sz w:val="18"/>
              </w:rPr>
              <w:t>(%)</w:t>
            </w:r>
          </w:p>
        </w:tc>
        <w:tc>
          <w:tcPr>
            <w:tcW w:w="1037" w:type="dxa"/>
            <w:vMerge w:val="restart"/>
            <w:vAlign w:val="bottom"/>
          </w:tcPr>
          <w:p w:rsidR="004B23B9" w:rsidRPr="004B23B9" w:rsidRDefault="004B23B9" w:rsidP="004B23B9">
            <w:pPr>
              <w:jc w:val="center"/>
              <w:rPr>
                <w:b/>
                <w:sz w:val="18"/>
              </w:rPr>
            </w:pPr>
            <w:r w:rsidRPr="004B23B9">
              <w:rPr>
                <w:b/>
                <w:sz w:val="18"/>
              </w:rPr>
              <w:t>PM2.5</w:t>
            </w:r>
          </w:p>
          <w:p w:rsidR="004B23B9" w:rsidRPr="004B23B9" w:rsidRDefault="004B23B9" w:rsidP="004B23B9">
            <w:pPr>
              <w:jc w:val="center"/>
              <w:rPr>
                <w:b/>
                <w:sz w:val="18"/>
              </w:rPr>
            </w:pPr>
            <w:r w:rsidRPr="004B23B9">
              <w:rPr>
                <w:b/>
                <w:sz w:val="18"/>
              </w:rPr>
              <w:t>(µg/</w:t>
            </w:r>
            <w:r w:rsidRPr="004B23B9">
              <w:rPr>
                <w:rFonts w:ascii="Times" w:hAnsi="Times" w:cs="Times"/>
                <w:b/>
                <w:sz w:val="20"/>
              </w:rPr>
              <w:t>m</w:t>
            </w:r>
            <w:r w:rsidRPr="004B23B9">
              <w:rPr>
                <w:rFonts w:ascii="Times" w:hAnsi="Times" w:cs="Times"/>
                <w:b/>
                <w:sz w:val="20"/>
                <w:vertAlign w:val="superscript"/>
              </w:rPr>
              <w:t>3</w:t>
            </w:r>
            <w:r w:rsidRPr="004B23B9">
              <w:rPr>
                <w:b/>
                <w:sz w:val="18"/>
              </w:rPr>
              <w:t>)</w:t>
            </w:r>
          </w:p>
        </w:tc>
        <w:tc>
          <w:tcPr>
            <w:tcW w:w="1080" w:type="dxa"/>
            <w:vMerge w:val="restart"/>
            <w:vAlign w:val="bottom"/>
          </w:tcPr>
          <w:p w:rsidR="004B23B9" w:rsidRPr="004B23B9" w:rsidRDefault="004B23B9" w:rsidP="004B23B9">
            <w:pPr>
              <w:jc w:val="center"/>
              <w:rPr>
                <w:b/>
                <w:sz w:val="18"/>
                <w:szCs w:val="18"/>
              </w:rPr>
            </w:pPr>
            <w:r w:rsidRPr="004B23B9">
              <w:rPr>
                <w:b/>
                <w:sz w:val="18"/>
                <w:szCs w:val="18"/>
              </w:rPr>
              <w:t>TVOCs</w:t>
            </w:r>
          </w:p>
          <w:p w:rsidR="004B23B9" w:rsidRPr="004B23B9" w:rsidRDefault="004B23B9" w:rsidP="004B23B9">
            <w:pPr>
              <w:jc w:val="center"/>
              <w:rPr>
                <w:b/>
                <w:sz w:val="18"/>
                <w:szCs w:val="18"/>
              </w:rPr>
            </w:pPr>
            <w:r w:rsidRPr="004B23B9">
              <w:rPr>
                <w:b/>
                <w:sz w:val="18"/>
              </w:rPr>
              <w:t>(ppm)</w:t>
            </w:r>
          </w:p>
        </w:tc>
        <w:tc>
          <w:tcPr>
            <w:tcW w:w="1080" w:type="dxa"/>
            <w:vMerge w:val="restart"/>
            <w:vAlign w:val="bottom"/>
          </w:tcPr>
          <w:p w:rsidR="004B23B9" w:rsidRPr="004B23B9" w:rsidRDefault="004B23B9" w:rsidP="004B23B9">
            <w:pPr>
              <w:jc w:val="center"/>
              <w:rPr>
                <w:b/>
                <w:sz w:val="18"/>
                <w:szCs w:val="18"/>
              </w:rPr>
            </w:pPr>
            <w:r w:rsidRPr="004B23B9">
              <w:rPr>
                <w:b/>
                <w:sz w:val="18"/>
                <w:szCs w:val="18"/>
              </w:rPr>
              <w:t>Occupants</w:t>
            </w:r>
          </w:p>
          <w:p w:rsidR="004B23B9" w:rsidRPr="004B23B9" w:rsidRDefault="004B23B9" w:rsidP="004B23B9">
            <w:pPr>
              <w:jc w:val="center"/>
              <w:rPr>
                <w:b/>
                <w:sz w:val="21"/>
                <w:szCs w:val="21"/>
              </w:rPr>
            </w:pPr>
            <w:r w:rsidRPr="004B23B9">
              <w:rPr>
                <w:b/>
                <w:sz w:val="18"/>
                <w:szCs w:val="18"/>
              </w:rPr>
              <w:t>in Room</w:t>
            </w:r>
          </w:p>
        </w:tc>
        <w:tc>
          <w:tcPr>
            <w:tcW w:w="1170" w:type="dxa"/>
            <w:vMerge w:val="restart"/>
            <w:vAlign w:val="bottom"/>
          </w:tcPr>
          <w:p w:rsidR="004B23B9" w:rsidRPr="004B23B9" w:rsidRDefault="004B23B9" w:rsidP="004B23B9">
            <w:pPr>
              <w:jc w:val="center"/>
              <w:rPr>
                <w:b/>
                <w:sz w:val="18"/>
              </w:rPr>
            </w:pPr>
            <w:r w:rsidRPr="004B23B9">
              <w:rPr>
                <w:b/>
                <w:sz w:val="18"/>
              </w:rPr>
              <w:t>Windows</w:t>
            </w:r>
          </w:p>
          <w:p w:rsidR="004B23B9" w:rsidRPr="004B23B9" w:rsidRDefault="004B23B9" w:rsidP="004B23B9">
            <w:pPr>
              <w:jc w:val="center"/>
              <w:rPr>
                <w:b/>
                <w:sz w:val="18"/>
              </w:rPr>
            </w:pPr>
            <w:r w:rsidRPr="004B23B9">
              <w:rPr>
                <w:b/>
                <w:sz w:val="18"/>
              </w:rPr>
              <w:t>Openable</w:t>
            </w:r>
          </w:p>
        </w:tc>
        <w:tc>
          <w:tcPr>
            <w:tcW w:w="1710" w:type="dxa"/>
            <w:gridSpan w:val="2"/>
            <w:tcBorders>
              <w:left w:val="nil"/>
              <w:bottom w:val="nil"/>
            </w:tcBorders>
            <w:vAlign w:val="bottom"/>
          </w:tcPr>
          <w:p w:rsidR="004B23B9" w:rsidRPr="004B23B9" w:rsidRDefault="004B23B9" w:rsidP="004B23B9">
            <w:pPr>
              <w:ind w:left="-105"/>
              <w:jc w:val="center"/>
              <w:rPr>
                <w:b/>
                <w:sz w:val="18"/>
              </w:rPr>
            </w:pPr>
            <w:r w:rsidRPr="004B23B9">
              <w:rPr>
                <w:b/>
                <w:sz w:val="18"/>
              </w:rPr>
              <w:t>Ventilation</w:t>
            </w:r>
          </w:p>
        </w:tc>
        <w:tc>
          <w:tcPr>
            <w:tcW w:w="3522" w:type="dxa"/>
            <w:vMerge w:val="restart"/>
            <w:vAlign w:val="bottom"/>
          </w:tcPr>
          <w:p w:rsidR="004B23B9" w:rsidRPr="004B23B9" w:rsidRDefault="004B23B9" w:rsidP="004B23B9">
            <w:pPr>
              <w:jc w:val="center"/>
              <w:rPr>
                <w:b/>
                <w:sz w:val="18"/>
              </w:rPr>
            </w:pPr>
            <w:r w:rsidRPr="004B23B9">
              <w:rPr>
                <w:b/>
                <w:sz w:val="18"/>
              </w:rPr>
              <w:t>Remarks</w:t>
            </w:r>
          </w:p>
        </w:tc>
      </w:tr>
      <w:tr w:rsidR="004B23B9" w:rsidRPr="004B23B9" w:rsidTr="00430137">
        <w:trPr>
          <w:cantSplit/>
          <w:trHeight w:val="240"/>
          <w:tblHeader/>
          <w:jc w:val="center"/>
        </w:trPr>
        <w:tc>
          <w:tcPr>
            <w:tcW w:w="1411" w:type="dxa"/>
            <w:vMerge/>
          </w:tcPr>
          <w:p w:rsidR="004B23B9" w:rsidRPr="004B23B9" w:rsidRDefault="004B23B9" w:rsidP="004B23B9">
            <w:pPr>
              <w:rPr>
                <w:sz w:val="18"/>
              </w:rPr>
            </w:pPr>
          </w:p>
        </w:tc>
        <w:tc>
          <w:tcPr>
            <w:tcW w:w="891" w:type="dxa"/>
            <w:vMerge/>
          </w:tcPr>
          <w:p w:rsidR="004B23B9" w:rsidRPr="004B23B9" w:rsidRDefault="004B23B9" w:rsidP="004B23B9">
            <w:pPr>
              <w:jc w:val="center"/>
              <w:rPr>
                <w:sz w:val="18"/>
              </w:rPr>
            </w:pPr>
          </w:p>
        </w:tc>
        <w:tc>
          <w:tcPr>
            <w:tcW w:w="995" w:type="dxa"/>
            <w:vMerge/>
          </w:tcPr>
          <w:p w:rsidR="004B23B9" w:rsidRPr="004B23B9" w:rsidRDefault="004B23B9" w:rsidP="004B23B9">
            <w:pPr>
              <w:jc w:val="center"/>
              <w:rPr>
                <w:b/>
                <w:sz w:val="18"/>
              </w:rPr>
            </w:pPr>
          </w:p>
        </w:tc>
        <w:tc>
          <w:tcPr>
            <w:tcW w:w="994" w:type="dxa"/>
            <w:vMerge/>
          </w:tcPr>
          <w:p w:rsidR="004B23B9" w:rsidRPr="004B23B9" w:rsidRDefault="004B23B9" w:rsidP="004B23B9">
            <w:pPr>
              <w:jc w:val="center"/>
              <w:rPr>
                <w:b/>
                <w:sz w:val="18"/>
              </w:rPr>
            </w:pPr>
          </w:p>
        </w:tc>
        <w:tc>
          <w:tcPr>
            <w:tcW w:w="1152" w:type="dxa"/>
            <w:vMerge/>
          </w:tcPr>
          <w:p w:rsidR="004B23B9" w:rsidRPr="004B23B9" w:rsidRDefault="004B23B9" w:rsidP="004B23B9">
            <w:pPr>
              <w:jc w:val="center"/>
              <w:rPr>
                <w:b/>
                <w:sz w:val="18"/>
              </w:rPr>
            </w:pPr>
          </w:p>
        </w:tc>
        <w:tc>
          <w:tcPr>
            <w:tcW w:w="1037" w:type="dxa"/>
            <w:vMerge/>
          </w:tcPr>
          <w:p w:rsidR="004B23B9" w:rsidRPr="004B23B9" w:rsidRDefault="004B23B9" w:rsidP="004B23B9">
            <w:pPr>
              <w:jc w:val="center"/>
              <w:rPr>
                <w:b/>
                <w:sz w:val="18"/>
              </w:rPr>
            </w:pPr>
          </w:p>
        </w:tc>
        <w:tc>
          <w:tcPr>
            <w:tcW w:w="1080" w:type="dxa"/>
            <w:vMerge/>
            <w:vAlign w:val="center"/>
          </w:tcPr>
          <w:p w:rsidR="004B23B9" w:rsidRPr="004B23B9" w:rsidRDefault="004B23B9" w:rsidP="004B23B9">
            <w:pPr>
              <w:jc w:val="center"/>
              <w:rPr>
                <w:b/>
                <w:sz w:val="21"/>
                <w:szCs w:val="21"/>
              </w:rPr>
            </w:pPr>
          </w:p>
        </w:tc>
        <w:tc>
          <w:tcPr>
            <w:tcW w:w="1080" w:type="dxa"/>
            <w:vMerge/>
            <w:vAlign w:val="center"/>
          </w:tcPr>
          <w:p w:rsidR="004B23B9" w:rsidRPr="004B23B9" w:rsidRDefault="004B23B9" w:rsidP="004B23B9">
            <w:pPr>
              <w:rPr>
                <w:b/>
                <w:sz w:val="21"/>
                <w:szCs w:val="21"/>
              </w:rPr>
            </w:pPr>
          </w:p>
        </w:tc>
        <w:tc>
          <w:tcPr>
            <w:tcW w:w="1170" w:type="dxa"/>
            <w:vMerge/>
          </w:tcPr>
          <w:p w:rsidR="004B23B9" w:rsidRPr="004B23B9" w:rsidRDefault="004B23B9" w:rsidP="004B23B9">
            <w:pPr>
              <w:jc w:val="center"/>
              <w:rPr>
                <w:b/>
                <w:sz w:val="18"/>
              </w:rPr>
            </w:pPr>
          </w:p>
        </w:tc>
        <w:tc>
          <w:tcPr>
            <w:tcW w:w="810" w:type="dxa"/>
            <w:tcBorders>
              <w:bottom w:val="nil"/>
            </w:tcBorders>
            <w:vAlign w:val="bottom"/>
          </w:tcPr>
          <w:p w:rsidR="004B23B9" w:rsidRPr="004B23B9" w:rsidRDefault="004B23B9" w:rsidP="004B23B9">
            <w:pPr>
              <w:jc w:val="center"/>
              <w:rPr>
                <w:sz w:val="16"/>
              </w:rPr>
            </w:pPr>
            <w:r w:rsidRPr="004B23B9">
              <w:rPr>
                <w:b/>
                <w:sz w:val="16"/>
              </w:rPr>
              <w:t>Supply</w:t>
            </w:r>
          </w:p>
        </w:tc>
        <w:tc>
          <w:tcPr>
            <w:tcW w:w="900" w:type="dxa"/>
            <w:tcBorders>
              <w:bottom w:val="nil"/>
            </w:tcBorders>
            <w:vAlign w:val="bottom"/>
          </w:tcPr>
          <w:p w:rsidR="004B23B9" w:rsidRPr="004B23B9" w:rsidRDefault="004B23B9" w:rsidP="004B23B9">
            <w:pPr>
              <w:jc w:val="center"/>
              <w:rPr>
                <w:sz w:val="16"/>
              </w:rPr>
            </w:pPr>
            <w:r w:rsidRPr="004B23B9">
              <w:rPr>
                <w:b/>
                <w:sz w:val="16"/>
              </w:rPr>
              <w:t>Exhaust</w:t>
            </w:r>
          </w:p>
        </w:tc>
        <w:tc>
          <w:tcPr>
            <w:tcW w:w="3522" w:type="dxa"/>
            <w:vMerge/>
          </w:tcPr>
          <w:p w:rsidR="004B23B9" w:rsidRPr="004B23B9" w:rsidRDefault="004B23B9" w:rsidP="004B23B9">
            <w:pPr>
              <w:rPr>
                <w:sz w:val="18"/>
              </w:rPr>
            </w:pPr>
          </w:p>
        </w:tc>
      </w:tr>
      <w:tr w:rsidR="004B23B9" w:rsidRPr="004B23B9" w:rsidTr="00430137">
        <w:trPr>
          <w:trHeight w:val="560"/>
          <w:jc w:val="center"/>
        </w:trPr>
        <w:tc>
          <w:tcPr>
            <w:tcW w:w="1411" w:type="dxa"/>
            <w:vAlign w:val="center"/>
          </w:tcPr>
          <w:p w:rsidR="004B23B9" w:rsidRPr="004B23B9" w:rsidRDefault="004B23B9" w:rsidP="004B23B9">
            <w:pPr>
              <w:spacing w:before="60" w:after="60"/>
              <w:rPr>
                <w:sz w:val="22"/>
                <w:szCs w:val="22"/>
              </w:rPr>
            </w:pPr>
            <w:r w:rsidRPr="004B23B9">
              <w:rPr>
                <w:sz w:val="22"/>
                <w:szCs w:val="22"/>
              </w:rPr>
              <w:t>Background (outdoors)</w:t>
            </w:r>
          </w:p>
        </w:tc>
        <w:tc>
          <w:tcPr>
            <w:tcW w:w="891" w:type="dxa"/>
            <w:vAlign w:val="center"/>
          </w:tcPr>
          <w:p w:rsidR="004B23B9" w:rsidRPr="004B23B9" w:rsidRDefault="004B23B9" w:rsidP="004B23B9">
            <w:pPr>
              <w:spacing w:before="60" w:after="60"/>
              <w:jc w:val="center"/>
              <w:rPr>
                <w:sz w:val="22"/>
                <w:szCs w:val="22"/>
              </w:rPr>
            </w:pPr>
            <w:r w:rsidRPr="004B23B9">
              <w:rPr>
                <w:sz w:val="22"/>
                <w:szCs w:val="22"/>
              </w:rPr>
              <w:t>405</w:t>
            </w:r>
          </w:p>
        </w:tc>
        <w:tc>
          <w:tcPr>
            <w:tcW w:w="995" w:type="dxa"/>
            <w:vAlign w:val="center"/>
          </w:tcPr>
          <w:p w:rsidR="004B23B9" w:rsidRPr="004B23B9" w:rsidRDefault="004B23B9" w:rsidP="004B23B9">
            <w:pPr>
              <w:spacing w:before="60" w:after="60"/>
              <w:jc w:val="center"/>
              <w:rPr>
                <w:sz w:val="22"/>
                <w:szCs w:val="22"/>
              </w:rPr>
            </w:pPr>
            <w:r w:rsidRPr="004B23B9">
              <w:rPr>
                <w:sz w:val="22"/>
                <w:szCs w:val="22"/>
              </w:rPr>
              <w:t>ND</w:t>
            </w:r>
          </w:p>
        </w:tc>
        <w:tc>
          <w:tcPr>
            <w:tcW w:w="994" w:type="dxa"/>
            <w:vAlign w:val="center"/>
          </w:tcPr>
          <w:p w:rsidR="004B23B9" w:rsidRPr="004B23B9" w:rsidRDefault="004B23B9" w:rsidP="004B23B9">
            <w:pPr>
              <w:spacing w:before="60" w:after="60"/>
              <w:jc w:val="center"/>
              <w:rPr>
                <w:sz w:val="22"/>
                <w:szCs w:val="22"/>
              </w:rPr>
            </w:pPr>
            <w:r w:rsidRPr="004B23B9">
              <w:rPr>
                <w:sz w:val="22"/>
                <w:szCs w:val="22"/>
              </w:rPr>
              <w:t>38</w:t>
            </w:r>
          </w:p>
        </w:tc>
        <w:tc>
          <w:tcPr>
            <w:tcW w:w="1152" w:type="dxa"/>
            <w:vAlign w:val="center"/>
          </w:tcPr>
          <w:p w:rsidR="004B23B9" w:rsidRPr="004B23B9" w:rsidRDefault="004B23B9" w:rsidP="004B23B9">
            <w:pPr>
              <w:spacing w:before="60" w:after="60"/>
              <w:jc w:val="center"/>
              <w:rPr>
                <w:sz w:val="22"/>
                <w:szCs w:val="22"/>
              </w:rPr>
            </w:pPr>
            <w:r w:rsidRPr="004B23B9">
              <w:rPr>
                <w:sz w:val="22"/>
                <w:szCs w:val="22"/>
              </w:rPr>
              <w:t>58</w:t>
            </w:r>
          </w:p>
        </w:tc>
        <w:tc>
          <w:tcPr>
            <w:tcW w:w="1037" w:type="dxa"/>
            <w:vAlign w:val="center"/>
          </w:tcPr>
          <w:p w:rsidR="004B23B9" w:rsidRPr="004B23B9" w:rsidRDefault="004B23B9" w:rsidP="004B23B9">
            <w:pPr>
              <w:spacing w:before="60" w:after="60"/>
              <w:jc w:val="center"/>
              <w:rPr>
                <w:sz w:val="22"/>
                <w:szCs w:val="22"/>
              </w:rPr>
            </w:pPr>
            <w:r w:rsidRPr="004B23B9">
              <w:rPr>
                <w:sz w:val="22"/>
                <w:szCs w:val="22"/>
              </w:rPr>
              <w:t>4</w:t>
            </w:r>
          </w:p>
        </w:tc>
        <w:tc>
          <w:tcPr>
            <w:tcW w:w="1080" w:type="dxa"/>
            <w:vAlign w:val="center"/>
          </w:tcPr>
          <w:p w:rsidR="004B23B9" w:rsidRPr="004B23B9" w:rsidRDefault="004B23B9" w:rsidP="004B23B9">
            <w:pPr>
              <w:jc w:val="center"/>
              <w:rPr>
                <w:sz w:val="22"/>
                <w:szCs w:val="22"/>
              </w:rPr>
            </w:pPr>
            <w:r w:rsidRPr="004B23B9">
              <w:rPr>
                <w:sz w:val="22"/>
                <w:szCs w:val="22"/>
              </w:rPr>
              <w:t>ND</w:t>
            </w:r>
          </w:p>
        </w:tc>
        <w:tc>
          <w:tcPr>
            <w:tcW w:w="1080" w:type="dxa"/>
            <w:vAlign w:val="center"/>
          </w:tcPr>
          <w:p w:rsidR="004B23B9" w:rsidRPr="004B23B9" w:rsidRDefault="004B23B9" w:rsidP="004B23B9">
            <w:pPr>
              <w:jc w:val="center"/>
              <w:rPr>
                <w:sz w:val="22"/>
                <w:szCs w:val="22"/>
              </w:rPr>
            </w:pPr>
          </w:p>
        </w:tc>
        <w:tc>
          <w:tcPr>
            <w:tcW w:w="1170" w:type="dxa"/>
            <w:vAlign w:val="center"/>
          </w:tcPr>
          <w:p w:rsidR="004B23B9" w:rsidRPr="004B23B9" w:rsidRDefault="004B23B9" w:rsidP="004B23B9">
            <w:pPr>
              <w:spacing w:before="60" w:after="60"/>
              <w:jc w:val="center"/>
              <w:rPr>
                <w:sz w:val="22"/>
                <w:szCs w:val="22"/>
              </w:rPr>
            </w:pPr>
          </w:p>
        </w:tc>
        <w:tc>
          <w:tcPr>
            <w:tcW w:w="810" w:type="dxa"/>
            <w:vAlign w:val="center"/>
          </w:tcPr>
          <w:p w:rsidR="004B23B9" w:rsidRPr="004B23B9" w:rsidRDefault="004B23B9" w:rsidP="004B23B9">
            <w:pPr>
              <w:spacing w:before="60" w:after="60"/>
              <w:jc w:val="center"/>
              <w:rPr>
                <w:sz w:val="22"/>
                <w:szCs w:val="22"/>
              </w:rPr>
            </w:pPr>
          </w:p>
        </w:tc>
        <w:tc>
          <w:tcPr>
            <w:tcW w:w="900" w:type="dxa"/>
            <w:vAlign w:val="center"/>
          </w:tcPr>
          <w:p w:rsidR="004B23B9" w:rsidRPr="004B23B9" w:rsidRDefault="004B23B9" w:rsidP="004B23B9">
            <w:pPr>
              <w:spacing w:before="60" w:after="60"/>
              <w:jc w:val="center"/>
              <w:rPr>
                <w:sz w:val="22"/>
                <w:szCs w:val="22"/>
              </w:rPr>
            </w:pPr>
          </w:p>
        </w:tc>
        <w:tc>
          <w:tcPr>
            <w:tcW w:w="3522" w:type="dxa"/>
            <w:tcBorders>
              <w:left w:val="nil"/>
            </w:tcBorders>
            <w:vAlign w:val="center"/>
          </w:tcPr>
          <w:p w:rsidR="004B23B9" w:rsidRPr="004B23B9" w:rsidRDefault="004B23B9" w:rsidP="004B23B9">
            <w:pPr>
              <w:spacing w:before="60" w:after="60"/>
              <w:rPr>
                <w:sz w:val="22"/>
                <w:szCs w:val="22"/>
              </w:rPr>
            </w:pPr>
          </w:p>
        </w:tc>
      </w:tr>
      <w:tr w:rsidR="004B23B9" w:rsidRPr="004B23B9" w:rsidTr="00430137">
        <w:trPr>
          <w:trHeight w:val="560"/>
          <w:jc w:val="center"/>
        </w:trPr>
        <w:tc>
          <w:tcPr>
            <w:tcW w:w="1411" w:type="dxa"/>
            <w:vAlign w:val="center"/>
          </w:tcPr>
          <w:p w:rsidR="004B23B9" w:rsidRPr="004B23B9" w:rsidRDefault="004B23B9" w:rsidP="004B23B9">
            <w:pPr>
              <w:spacing w:before="60" w:after="60"/>
              <w:rPr>
                <w:sz w:val="22"/>
                <w:szCs w:val="22"/>
              </w:rPr>
            </w:pPr>
            <w:r w:rsidRPr="004B23B9">
              <w:rPr>
                <w:sz w:val="22"/>
                <w:szCs w:val="22"/>
              </w:rPr>
              <w:t>209</w:t>
            </w:r>
          </w:p>
        </w:tc>
        <w:tc>
          <w:tcPr>
            <w:tcW w:w="891" w:type="dxa"/>
            <w:vAlign w:val="center"/>
          </w:tcPr>
          <w:p w:rsidR="004B23B9" w:rsidRPr="004B23B9" w:rsidRDefault="004B23B9" w:rsidP="004B23B9">
            <w:pPr>
              <w:spacing w:before="60" w:after="60"/>
              <w:jc w:val="center"/>
              <w:rPr>
                <w:sz w:val="22"/>
                <w:szCs w:val="22"/>
              </w:rPr>
            </w:pPr>
            <w:r w:rsidRPr="004B23B9">
              <w:rPr>
                <w:sz w:val="22"/>
                <w:szCs w:val="22"/>
              </w:rPr>
              <w:t>611</w:t>
            </w:r>
          </w:p>
        </w:tc>
        <w:tc>
          <w:tcPr>
            <w:tcW w:w="995" w:type="dxa"/>
            <w:vAlign w:val="center"/>
          </w:tcPr>
          <w:p w:rsidR="004B23B9" w:rsidRPr="004B23B9" w:rsidRDefault="004B23B9" w:rsidP="004B23B9">
            <w:pPr>
              <w:spacing w:before="60" w:after="60"/>
              <w:jc w:val="center"/>
              <w:rPr>
                <w:sz w:val="22"/>
                <w:szCs w:val="22"/>
              </w:rPr>
            </w:pPr>
            <w:r w:rsidRPr="004B23B9">
              <w:rPr>
                <w:sz w:val="22"/>
                <w:szCs w:val="22"/>
              </w:rPr>
              <w:t>ND</w:t>
            </w:r>
          </w:p>
        </w:tc>
        <w:tc>
          <w:tcPr>
            <w:tcW w:w="994" w:type="dxa"/>
            <w:vAlign w:val="center"/>
          </w:tcPr>
          <w:p w:rsidR="004B23B9" w:rsidRPr="004B23B9" w:rsidRDefault="004B23B9" w:rsidP="004B23B9">
            <w:pPr>
              <w:spacing w:before="60" w:after="60"/>
              <w:jc w:val="center"/>
              <w:rPr>
                <w:sz w:val="22"/>
                <w:szCs w:val="22"/>
              </w:rPr>
            </w:pPr>
            <w:r w:rsidRPr="004B23B9">
              <w:rPr>
                <w:sz w:val="22"/>
                <w:szCs w:val="22"/>
              </w:rPr>
              <w:t>68</w:t>
            </w:r>
          </w:p>
        </w:tc>
        <w:tc>
          <w:tcPr>
            <w:tcW w:w="1152" w:type="dxa"/>
            <w:vAlign w:val="center"/>
          </w:tcPr>
          <w:p w:rsidR="004B23B9" w:rsidRPr="004B23B9" w:rsidRDefault="004B23B9" w:rsidP="004B23B9">
            <w:pPr>
              <w:spacing w:before="60" w:after="60"/>
              <w:jc w:val="center"/>
              <w:rPr>
                <w:sz w:val="22"/>
                <w:szCs w:val="22"/>
              </w:rPr>
            </w:pPr>
            <w:r w:rsidRPr="004B23B9">
              <w:rPr>
                <w:sz w:val="22"/>
                <w:szCs w:val="22"/>
              </w:rPr>
              <w:t>24</w:t>
            </w:r>
          </w:p>
        </w:tc>
        <w:tc>
          <w:tcPr>
            <w:tcW w:w="1037" w:type="dxa"/>
            <w:vAlign w:val="center"/>
          </w:tcPr>
          <w:p w:rsidR="004B23B9" w:rsidRPr="004B23B9" w:rsidRDefault="004B23B9" w:rsidP="004B23B9">
            <w:pPr>
              <w:spacing w:before="60" w:after="60"/>
              <w:jc w:val="center"/>
              <w:rPr>
                <w:sz w:val="22"/>
                <w:szCs w:val="22"/>
              </w:rPr>
            </w:pPr>
            <w:r w:rsidRPr="004B23B9">
              <w:rPr>
                <w:sz w:val="22"/>
                <w:szCs w:val="22"/>
              </w:rPr>
              <w:t>3</w:t>
            </w:r>
          </w:p>
        </w:tc>
        <w:tc>
          <w:tcPr>
            <w:tcW w:w="1080" w:type="dxa"/>
            <w:vAlign w:val="center"/>
          </w:tcPr>
          <w:p w:rsidR="004B23B9" w:rsidRPr="004B23B9" w:rsidRDefault="004B23B9" w:rsidP="004B23B9">
            <w:pPr>
              <w:jc w:val="center"/>
              <w:rPr>
                <w:sz w:val="22"/>
                <w:szCs w:val="22"/>
              </w:rPr>
            </w:pPr>
            <w:r w:rsidRPr="004B23B9">
              <w:rPr>
                <w:sz w:val="22"/>
                <w:szCs w:val="22"/>
              </w:rPr>
              <w:t>ND</w:t>
            </w:r>
          </w:p>
        </w:tc>
        <w:tc>
          <w:tcPr>
            <w:tcW w:w="1080" w:type="dxa"/>
            <w:vAlign w:val="center"/>
          </w:tcPr>
          <w:p w:rsidR="004B23B9" w:rsidRPr="004B23B9" w:rsidRDefault="004B23B9" w:rsidP="004B23B9">
            <w:pPr>
              <w:jc w:val="center"/>
              <w:rPr>
                <w:sz w:val="22"/>
                <w:szCs w:val="22"/>
              </w:rPr>
            </w:pPr>
            <w:r w:rsidRPr="004B23B9">
              <w:rPr>
                <w:sz w:val="22"/>
                <w:szCs w:val="22"/>
              </w:rPr>
              <w:t>0</w:t>
            </w:r>
          </w:p>
        </w:tc>
        <w:tc>
          <w:tcPr>
            <w:tcW w:w="1170" w:type="dxa"/>
            <w:vAlign w:val="center"/>
          </w:tcPr>
          <w:p w:rsidR="004B23B9" w:rsidRPr="004B23B9" w:rsidRDefault="004B23B9" w:rsidP="004B23B9">
            <w:pPr>
              <w:spacing w:before="60" w:after="60"/>
              <w:jc w:val="center"/>
              <w:rPr>
                <w:sz w:val="22"/>
                <w:szCs w:val="22"/>
              </w:rPr>
            </w:pPr>
            <w:r w:rsidRPr="004B23B9">
              <w:rPr>
                <w:sz w:val="22"/>
                <w:szCs w:val="22"/>
              </w:rPr>
              <w:t>Y</w:t>
            </w:r>
          </w:p>
        </w:tc>
        <w:tc>
          <w:tcPr>
            <w:tcW w:w="810" w:type="dxa"/>
            <w:vAlign w:val="center"/>
          </w:tcPr>
          <w:p w:rsidR="004B23B9" w:rsidRPr="004B23B9" w:rsidRDefault="004B23B9" w:rsidP="004B23B9">
            <w:pPr>
              <w:spacing w:before="60" w:after="60"/>
              <w:jc w:val="center"/>
              <w:rPr>
                <w:sz w:val="22"/>
                <w:szCs w:val="22"/>
              </w:rPr>
            </w:pPr>
            <w:r w:rsidRPr="004B23B9">
              <w:rPr>
                <w:sz w:val="22"/>
                <w:szCs w:val="22"/>
              </w:rPr>
              <w:t>N</w:t>
            </w:r>
          </w:p>
        </w:tc>
        <w:tc>
          <w:tcPr>
            <w:tcW w:w="900" w:type="dxa"/>
            <w:vAlign w:val="center"/>
          </w:tcPr>
          <w:p w:rsidR="004B23B9" w:rsidRPr="004B23B9" w:rsidRDefault="004B23B9" w:rsidP="004B23B9">
            <w:pPr>
              <w:spacing w:before="60" w:after="60"/>
              <w:jc w:val="center"/>
              <w:rPr>
                <w:sz w:val="22"/>
                <w:szCs w:val="22"/>
              </w:rPr>
            </w:pPr>
            <w:r w:rsidRPr="004B23B9">
              <w:rPr>
                <w:sz w:val="22"/>
                <w:szCs w:val="22"/>
              </w:rPr>
              <w:t>Y</w:t>
            </w:r>
          </w:p>
        </w:tc>
        <w:tc>
          <w:tcPr>
            <w:tcW w:w="3522" w:type="dxa"/>
            <w:tcBorders>
              <w:left w:val="nil"/>
            </w:tcBorders>
            <w:vAlign w:val="center"/>
          </w:tcPr>
          <w:p w:rsidR="004B23B9" w:rsidRPr="004B23B9" w:rsidRDefault="004B23B9" w:rsidP="004B23B9">
            <w:pPr>
              <w:spacing w:before="60" w:after="60"/>
              <w:rPr>
                <w:sz w:val="22"/>
                <w:szCs w:val="22"/>
              </w:rPr>
            </w:pPr>
            <w:r w:rsidRPr="004B23B9">
              <w:rPr>
                <w:sz w:val="22"/>
                <w:szCs w:val="22"/>
              </w:rPr>
              <w:t>Dusty radiator fins, dusty exhaust vent, utility holes/drafts</w:t>
            </w:r>
          </w:p>
        </w:tc>
      </w:tr>
      <w:tr w:rsidR="004B23B9" w:rsidRPr="004B23B9" w:rsidTr="00430137">
        <w:trPr>
          <w:trHeight w:val="560"/>
          <w:jc w:val="center"/>
        </w:trPr>
        <w:tc>
          <w:tcPr>
            <w:tcW w:w="1411" w:type="dxa"/>
            <w:vAlign w:val="center"/>
          </w:tcPr>
          <w:p w:rsidR="004B23B9" w:rsidRPr="004B23B9" w:rsidRDefault="004B23B9" w:rsidP="004B23B9">
            <w:pPr>
              <w:spacing w:before="60" w:after="60"/>
              <w:rPr>
                <w:sz w:val="22"/>
                <w:szCs w:val="22"/>
              </w:rPr>
            </w:pPr>
            <w:r w:rsidRPr="004B23B9">
              <w:rPr>
                <w:sz w:val="22"/>
                <w:szCs w:val="22"/>
              </w:rPr>
              <w:t>519</w:t>
            </w:r>
          </w:p>
        </w:tc>
        <w:tc>
          <w:tcPr>
            <w:tcW w:w="891" w:type="dxa"/>
            <w:vAlign w:val="center"/>
          </w:tcPr>
          <w:p w:rsidR="004B23B9" w:rsidRPr="004B23B9" w:rsidRDefault="004B23B9" w:rsidP="004B23B9">
            <w:pPr>
              <w:spacing w:before="60" w:after="60"/>
              <w:jc w:val="center"/>
              <w:rPr>
                <w:sz w:val="22"/>
                <w:szCs w:val="22"/>
              </w:rPr>
            </w:pPr>
            <w:r w:rsidRPr="004B23B9">
              <w:rPr>
                <w:sz w:val="22"/>
                <w:szCs w:val="22"/>
              </w:rPr>
              <w:t>694</w:t>
            </w:r>
          </w:p>
        </w:tc>
        <w:tc>
          <w:tcPr>
            <w:tcW w:w="995" w:type="dxa"/>
            <w:vAlign w:val="center"/>
          </w:tcPr>
          <w:p w:rsidR="004B23B9" w:rsidRPr="004B23B9" w:rsidRDefault="004B23B9" w:rsidP="004B23B9">
            <w:pPr>
              <w:spacing w:before="60" w:after="60"/>
              <w:jc w:val="center"/>
              <w:rPr>
                <w:sz w:val="22"/>
                <w:szCs w:val="22"/>
              </w:rPr>
            </w:pPr>
            <w:r w:rsidRPr="004B23B9">
              <w:rPr>
                <w:sz w:val="22"/>
                <w:szCs w:val="22"/>
              </w:rPr>
              <w:t>ND</w:t>
            </w:r>
          </w:p>
        </w:tc>
        <w:tc>
          <w:tcPr>
            <w:tcW w:w="994" w:type="dxa"/>
            <w:vAlign w:val="center"/>
          </w:tcPr>
          <w:p w:rsidR="004B23B9" w:rsidRPr="004B23B9" w:rsidRDefault="004B23B9" w:rsidP="004B23B9">
            <w:pPr>
              <w:spacing w:before="60" w:after="60"/>
              <w:jc w:val="center"/>
              <w:rPr>
                <w:sz w:val="22"/>
                <w:szCs w:val="22"/>
              </w:rPr>
            </w:pPr>
            <w:r w:rsidRPr="004B23B9">
              <w:rPr>
                <w:sz w:val="22"/>
                <w:szCs w:val="22"/>
              </w:rPr>
              <w:t>68</w:t>
            </w:r>
          </w:p>
        </w:tc>
        <w:tc>
          <w:tcPr>
            <w:tcW w:w="1152" w:type="dxa"/>
            <w:vAlign w:val="center"/>
          </w:tcPr>
          <w:p w:rsidR="004B23B9" w:rsidRPr="004B23B9" w:rsidRDefault="004B23B9" w:rsidP="004B23B9">
            <w:pPr>
              <w:spacing w:before="60" w:after="60"/>
              <w:jc w:val="center"/>
              <w:rPr>
                <w:sz w:val="22"/>
                <w:szCs w:val="22"/>
              </w:rPr>
            </w:pPr>
            <w:r w:rsidRPr="004B23B9">
              <w:rPr>
                <w:sz w:val="22"/>
                <w:szCs w:val="22"/>
              </w:rPr>
              <w:t>26</w:t>
            </w:r>
          </w:p>
        </w:tc>
        <w:tc>
          <w:tcPr>
            <w:tcW w:w="1037" w:type="dxa"/>
            <w:vAlign w:val="center"/>
          </w:tcPr>
          <w:p w:rsidR="004B23B9" w:rsidRPr="004B23B9" w:rsidRDefault="004B23B9" w:rsidP="004B23B9">
            <w:pPr>
              <w:spacing w:before="60" w:after="60"/>
              <w:jc w:val="center"/>
              <w:rPr>
                <w:sz w:val="22"/>
                <w:szCs w:val="22"/>
              </w:rPr>
            </w:pPr>
            <w:r w:rsidRPr="004B23B9">
              <w:rPr>
                <w:sz w:val="22"/>
                <w:szCs w:val="22"/>
              </w:rPr>
              <w:t>3</w:t>
            </w:r>
          </w:p>
        </w:tc>
        <w:tc>
          <w:tcPr>
            <w:tcW w:w="1080" w:type="dxa"/>
            <w:vAlign w:val="center"/>
          </w:tcPr>
          <w:p w:rsidR="004B23B9" w:rsidRPr="004B23B9" w:rsidRDefault="004B23B9" w:rsidP="004B23B9">
            <w:pPr>
              <w:jc w:val="center"/>
              <w:rPr>
                <w:sz w:val="22"/>
                <w:szCs w:val="22"/>
              </w:rPr>
            </w:pPr>
            <w:r w:rsidRPr="004B23B9">
              <w:rPr>
                <w:sz w:val="22"/>
                <w:szCs w:val="22"/>
              </w:rPr>
              <w:t>ND</w:t>
            </w:r>
          </w:p>
        </w:tc>
        <w:tc>
          <w:tcPr>
            <w:tcW w:w="1080" w:type="dxa"/>
            <w:vAlign w:val="center"/>
          </w:tcPr>
          <w:p w:rsidR="004B23B9" w:rsidRPr="004B23B9" w:rsidRDefault="004B23B9" w:rsidP="004B23B9">
            <w:pPr>
              <w:jc w:val="center"/>
              <w:rPr>
                <w:sz w:val="22"/>
                <w:szCs w:val="22"/>
              </w:rPr>
            </w:pPr>
            <w:r w:rsidRPr="004B23B9">
              <w:rPr>
                <w:sz w:val="22"/>
                <w:szCs w:val="22"/>
              </w:rPr>
              <w:t>1</w:t>
            </w:r>
          </w:p>
        </w:tc>
        <w:tc>
          <w:tcPr>
            <w:tcW w:w="1170" w:type="dxa"/>
            <w:vAlign w:val="center"/>
          </w:tcPr>
          <w:p w:rsidR="004B23B9" w:rsidRPr="004B23B9" w:rsidRDefault="004B23B9" w:rsidP="004B23B9">
            <w:pPr>
              <w:spacing w:before="60" w:after="60"/>
              <w:jc w:val="center"/>
              <w:rPr>
                <w:sz w:val="22"/>
                <w:szCs w:val="22"/>
              </w:rPr>
            </w:pPr>
            <w:r w:rsidRPr="004B23B9">
              <w:rPr>
                <w:sz w:val="22"/>
                <w:szCs w:val="22"/>
              </w:rPr>
              <w:t>Y</w:t>
            </w:r>
          </w:p>
        </w:tc>
        <w:tc>
          <w:tcPr>
            <w:tcW w:w="810" w:type="dxa"/>
            <w:vAlign w:val="center"/>
          </w:tcPr>
          <w:p w:rsidR="004B23B9" w:rsidRPr="004B23B9" w:rsidRDefault="004B23B9" w:rsidP="004B23B9">
            <w:pPr>
              <w:spacing w:before="60" w:after="60"/>
              <w:jc w:val="center"/>
              <w:rPr>
                <w:sz w:val="22"/>
                <w:szCs w:val="22"/>
              </w:rPr>
            </w:pPr>
            <w:r w:rsidRPr="004B23B9">
              <w:rPr>
                <w:sz w:val="22"/>
                <w:szCs w:val="22"/>
              </w:rPr>
              <w:t>N</w:t>
            </w:r>
          </w:p>
        </w:tc>
        <w:tc>
          <w:tcPr>
            <w:tcW w:w="900" w:type="dxa"/>
            <w:vAlign w:val="center"/>
          </w:tcPr>
          <w:p w:rsidR="004B23B9" w:rsidRPr="004B23B9" w:rsidRDefault="004B23B9" w:rsidP="004B23B9">
            <w:pPr>
              <w:spacing w:before="60" w:after="60"/>
              <w:jc w:val="center"/>
              <w:rPr>
                <w:sz w:val="22"/>
                <w:szCs w:val="22"/>
              </w:rPr>
            </w:pPr>
            <w:r w:rsidRPr="004B23B9">
              <w:rPr>
                <w:sz w:val="22"/>
                <w:szCs w:val="22"/>
              </w:rPr>
              <w:t>Y</w:t>
            </w:r>
          </w:p>
        </w:tc>
        <w:tc>
          <w:tcPr>
            <w:tcW w:w="3522" w:type="dxa"/>
            <w:tcBorders>
              <w:left w:val="nil"/>
            </w:tcBorders>
            <w:vAlign w:val="center"/>
          </w:tcPr>
          <w:p w:rsidR="004B23B9" w:rsidRPr="004B23B9" w:rsidRDefault="004B23B9" w:rsidP="004B23B9">
            <w:pPr>
              <w:spacing w:before="60" w:after="60"/>
              <w:rPr>
                <w:sz w:val="22"/>
                <w:szCs w:val="22"/>
              </w:rPr>
            </w:pPr>
            <w:r w:rsidRPr="004B23B9">
              <w:rPr>
                <w:sz w:val="22"/>
                <w:szCs w:val="22"/>
              </w:rPr>
              <w:t>Exhaust not operating, odors reported when heat operating</w:t>
            </w:r>
          </w:p>
        </w:tc>
      </w:tr>
    </w:tbl>
    <w:p w:rsidR="004B23B9" w:rsidRPr="004B23B9" w:rsidRDefault="004B23B9" w:rsidP="004B23B9">
      <w:r w:rsidRPr="004B23B9">
        <w:tab/>
      </w:r>
      <w:r w:rsidRPr="004B23B9">
        <w:tab/>
      </w:r>
      <w:r w:rsidRPr="004B23B9">
        <w:tab/>
      </w:r>
      <w:r w:rsidRPr="004B23B9">
        <w:tab/>
      </w:r>
      <w:r w:rsidRPr="004B23B9">
        <w:tab/>
      </w:r>
      <w:r w:rsidRPr="004B23B9">
        <w:tab/>
      </w:r>
      <w:r w:rsidRPr="004B23B9">
        <w:tab/>
      </w:r>
      <w:r w:rsidRPr="004B23B9">
        <w:tab/>
      </w:r>
      <w:r w:rsidRPr="004B23B9">
        <w:tab/>
      </w:r>
      <w:r w:rsidRPr="004B23B9">
        <w:tab/>
      </w:r>
      <w:r w:rsidRPr="004B23B9">
        <w:tab/>
      </w:r>
      <w:r w:rsidRPr="004B23B9">
        <w:tab/>
      </w:r>
      <w:r w:rsidRPr="004B23B9">
        <w:tab/>
      </w:r>
      <w:r w:rsidRPr="004B23B9">
        <w:tab/>
      </w:r>
      <w:r w:rsidRPr="004B23B9">
        <w:tab/>
        <w:t>-</w:t>
      </w:r>
      <w:r w:rsidRPr="004B23B9">
        <w:tab/>
      </w:r>
      <w:r w:rsidRPr="004B23B9">
        <w:tab/>
      </w:r>
      <w:r w:rsidRPr="004B23B9">
        <w:tab/>
      </w:r>
    </w:p>
    <w:p w:rsidR="00AB6D83" w:rsidRPr="00156371" w:rsidRDefault="00AB6D83" w:rsidP="00AB6D83">
      <w:pPr>
        <w:pStyle w:val="References"/>
        <w:rPr>
          <w:szCs w:val="24"/>
        </w:rPr>
      </w:pPr>
    </w:p>
    <w:sectPr w:rsidR="00AB6D83" w:rsidRPr="00156371" w:rsidSect="004B23B9">
      <w:headerReference w:type="even" r:id="rId24"/>
      <w:headerReference w:type="default"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33C" w:rsidRDefault="0063033C">
      <w:r>
        <w:separator/>
      </w:r>
    </w:p>
  </w:endnote>
  <w:endnote w:type="continuationSeparator" w:id="0">
    <w:p w:rsidR="0063033C" w:rsidRDefault="0063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D1F" w:rsidRDefault="00611D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D1F" w:rsidRDefault="00611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529E">
      <w:rPr>
        <w:rStyle w:val="PageNumber"/>
        <w:noProof/>
      </w:rPr>
      <w:t>2</w:t>
    </w:r>
    <w:r>
      <w:rPr>
        <w:rStyle w:val="PageNumber"/>
      </w:rPr>
      <w:fldChar w:fldCharType="end"/>
    </w:r>
  </w:p>
  <w:p w:rsidR="00611D1F" w:rsidRDefault="00611D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B9" w:rsidRDefault="004B23B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B9" w:rsidRDefault="004B23B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00" w:type="dxa"/>
      <w:jc w:val="center"/>
      <w:tblLayout w:type="fixed"/>
      <w:tblLook w:val="0000" w:firstRow="0" w:lastRow="0" w:firstColumn="0" w:lastColumn="0" w:noHBand="0" w:noVBand="0"/>
    </w:tblPr>
    <w:tblGrid>
      <w:gridCol w:w="3600"/>
      <w:gridCol w:w="3600"/>
      <w:gridCol w:w="3600"/>
      <w:gridCol w:w="3600"/>
    </w:tblGrid>
    <w:tr w:rsidR="00430137" w:rsidRPr="00F374D5" w:rsidTr="00430137">
      <w:trPr>
        <w:trHeight w:val="300"/>
        <w:jc w:val="center"/>
      </w:trPr>
      <w:tc>
        <w:tcPr>
          <w:tcW w:w="3600" w:type="dxa"/>
          <w:tcBorders>
            <w:top w:val="nil"/>
            <w:left w:val="nil"/>
            <w:bottom w:val="nil"/>
            <w:right w:val="nil"/>
          </w:tcBorders>
          <w:shd w:val="clear" w:color="auto" w:fill="auto"/>
          <w:noWrap/>
          <w:vAlign w:val="center"/>
        </w:tcPr>
        <w:p w:rsidR="00430137" w:rsidRPr="00F374D5" w:rsidRDefault="00430137" w:rsidP="00430137">
          <w:pPr>
            <w:rPr>
              <w:rFonts w:ascii="Times" w:hAnsi="Times" w:cs="Times"/>
              <w:sz w:val="20"/>
            </w:rPr>
          </w:pPr>
          <w:r w:rsidRPr="00F374D5">
            <w:rPr>
              <w:rFonts w:ascii="Times" w:hAnsi="Times" w:cs="Times"/>
              <w:sz w:val="20"/>
            </w:rPr>
            <w:t>ppm = parts per million</w:t>
          </w:r>
        </w:p>
      </w:tc>
      <w:tc>
        <w:tcPr>
          <w:tcW w:w="3600" w:type="dxa"/>
          <w:tcBorders>
            <w:top w:val="nil"/>
            <w:left w:val="nil"/>
            <w:bottom w:val="nil"/>
            <w:right w:val="nil"/>
          </w:tcBorders>
          <w:shd w:val="clear" w:color="auto" w:fill="auto"/>
          <w:noWrap/>
          <w:vAlign w:val="center"/>
        </w:tcPr>
        <w:p w:rsidR="00430137" w:rsidRPr="00F374D5" w:rsidRDefault="00430137" w:rsidP="00430137">
          <w:pPr>
            <w:rPr>
              <w:rFonts w:ascii="Times" w:hAnsi="Times" w:cs="Times"/>
              <w:sz w:val="20"/>
            </w:rPr>
          </w:pPr>
          <w:r>
            <w:rPr>
              <w:rFonts w:ascii="Times" w:hAnsi="Times" w:cs="Times"/>
              <w:sz w:val="20"/>
            </w:rPr>
            <w:t>AD = air deodorizer</w:t>
          </w:r>
        </w:p>
      </w:tc>
      <w:tc>
        <w:tcPr>
          <w:tcW w:w="3600" w:type="dxa"/>
          <w:tcBorders>
            <w:top w:val="nil"/>
            <w:left w:val="nil"/>
            <w:bottom w:val="nil"/>
            <w:right w:val="nil"/>
          </w:tcBorders>
          <w:shd w:val="clear" w:color="auto" w:fill="auto"/>
          <w:noWrap/>
          <w:vAlign w:val="center"/>
        </w:tcPr>
        <w:p w:rsidR="00430137" w:rsidRPr="00F374D5" w:rsidRDefault="00430137" w:rsidP="00430137">
          <w:pPr>
            <w:rPr>
              <w:rFonts w:ascii="Times" w:hAnsi="Times" w:cs="Times"/>
              <w:sz w:val="20"/>
            </w:rPr>
          </w:pPr>
          <w:r>
            <w:rPr>
              <w:rFonts w:ascii="Times" w:hAnsi="Times" w:cs="Times"/>
              <w:sz w:val="20"/>
            </w:rPr>
            <w:t>CPs = cleaning products</w:t>
          </w:r>
        </w:p>
      </w:tc>
      <w:tc>
        <w:tcPr>
          <w:tcW w:w="3600" w:type="dxa"/>
          <w:tcBorders>
            <w:top w:val="nil"/>
            <w:left w:val="nil"/>
            <w:bottom w:val="nil"/>
            <w:right w:val="nil"/>
          </w:tcBorders>
          <w:vAlign w:val="center"/>
        </w:tcPr>
        <w:p w:rsidR="00430137" w:rsidRDefault="00430137" w:rsidP="00430137">
          <w:pPr>
            <w:rPr>
              <w:rFonts w:ascii="Times" w:hAnsi="Times" w:cs="Times"/>
              <w:sz w:val="20"/>
            </w:rPr>
          </w:pPr>
          <w:r>
            <w:rPr>
              <w:rFonts w:ascii="Times" w:hAnsi="Times" w:cs="Times"/>
              <w:sz w:val="20"/>
            </w:rPr>
            <w:t>DO = door open</w:t>
          </w:r>
        </w:p>
      </w:tc>
    </w:tr>
    <w:tr w:rsidR="00430137" w:rsidRPr="00F374D5" w:rsidTr="00430137">
      <w:trPr>
        <w:trHeight w:val="300"/>
        <w:jc w:val="center"/>
      </w:trPr>
      <w:tc>
        <w:tcPr>
          <w:tcW w:w="3600" w:type="dxa"/>
          <w:tcBorders>
            <w:top w:val="nil"/>
            <w:left w:val="nil"/>
            <w:bottom w:val="nil"/>
            <w:right w:val="nil"/>
          </w:tcBorders>
          <w:shd w:val="clear" w:color="auto" w:fill="auto"/>
          <w:noWrap/>
          <w:vAlign w:val="center"/>
        </w:tcPr>
        <w:p w:rsidR="00430137" w:rsidRPr="00F374D5" w:rsidRDefault="00430137" w:rsidP="00430137">
          <w:pPr>
            <w:rPr>
              <w:rFonts w:ascii="Times" w:hAnsi="Times" w:cs="Times"/>
              <w:sz w:val="20"/>
            </w:rPr>
          </w:pPr>
          <w:r w:rsidRPr="00F374D5">
            <w:rPr>
              <w:rFonts w:ascii="Times" w:hAnsi="Times" w:cs="Times"/>
              <w:sz w:val="20"/>
            </w:rPr>
            <w:t>µg/m</w:t>
          </w:r>
          <w:r w:rsidRPr="00B9176E">
            <w:rPr>
              <w:rFonts w:ascii="Times" w:hAnsi="Times" w:cs="Times"/>
              <w:sz w:val="20"/>
              <w:vertAlign w:val="superscript"/>
            </w:rPr>
            <w:t>3</w:t>
          </w:r>
          <w:r w:rsidRPr="00F374D5">
            <w:rPr>
              <w:rFonts w:ascii="Times" w:hAnsi="Times" w:cs="Times"/>
              <w:sz w:val="20"/>
            </w:rPr>
            <w:t xml:space="preserve"> = micrograms per cubic meter</w:t>
          </w:r>
        </w:p>
      </w:tc>
      <w:tc>
        <w:tcPr>
          <w:tcW w:w="3600" w:type="dxa"/>
          <w:tcBorders>
            <w:top w:val="nil"/>
            <w:left w:val="nil"/>
            <w:bottom w:val="nil"/>
            <w:right w:val="nil"/>
          </w:tcBorders>
          <w:shd w:val="clear" w:color="auto" w:fill="auto"/>
          <w:noWrap/>
          <w:vAlign w:val="center"/>
        </w:tcPr>
        <w:p w:rsidR="00430137" w:rsidRPr="00F374D5" w:rsidRDefault="00430137" w:rsidP="00430137">
          <w:pPr>
            <w:rPr>
              <w:rFonts w:ascii="Times" w:hAnsi="Times" w:cs="Times"/>
              <w:sz w:val="20"/>
            </w:rPr>
          </w:pPr>
          <w:r>
            <w:rPr>
              <w:rFonts w:ascii="Times" w:hAnsi="Times" w:cs="Times"/>
              <w:sz w:val="20"/>
            </w:rPr>
            <w:t>ND = non detect</w:t>
          </w:r>
        </w:p>
      </w:tc>
      <w:tc>
        <w:tcPr>
          <w:tcW w:w="3600" w:type="dxa"/>
          <w:tcBorders>
            <w:top w:val="nil"/>
            <w:left w:val="nil"/>
            <w:bottom w:val="nil"/>
            <w:right w:val="nil"/>
          </w:tcBorders>
          <w:shd w:val="clear" w:color="auto" w:fill="auto"/>
          <w:noWrap/>
          <w:vAlign w:val="center"/>
        </w:tcPr>
        <w:p w:rsidR="00430137" w:rsidRPr="00F374D5" w:rsidRDefault="00430137" w:rsidP="00430137">
          <w:pPr>
            <w:rPr>
              <w:rFonts w:ascii="Times" w:hAnsi="Times" w:cs="Times"/>
              <w:sz w:val="20"/>
            </w:rPr>
          </w:pPr>
          <w:r>
            <w:rPr>
              <w:rFonts w:ascii="Times" w:hAnsi="Times" w:cs="Times"/>
              <w:sz w:val="20"/>
            </w:rPr>
            <w:t>DEM = dry erase materials</w:t>
          </w:r>
        </w:p>
      </w:tc>
      <w:tc>
        <w:tcPr>
          <w:tcW w:w="3600" w:type="dxa"/>
          <w:tcBorders>
            <w:top w:val="nil"/>
            <w:left w:val="nil"/>
            <w:bottom w:val="nil"/>
            <w:right w:val="nil"/>
          </w:tcBorders>
          <w:vAlign w:val="center"/>
        </w:tcPr>
        <w:p w:rsidR="00430137" w:rsidRDefault="00430137" w:rsidP="00430137">
          <w:pPr>
            <w:rPr>
              <w:rFonts w:ascii="Times" w:hAnsi="Times" w:cs="Times"/>
              <w:sz w:val="20"/>
            </w:rPr>
          </w:pPr>
          <w:r>
            <w:rPr>
              <w:rFonts w:ascii="Times" w:hAnsi="Times" w:cs="Times"/>
              <w:sz w:val="20"/>
            </w:rPr>
            <w:t>PF = personal fan</w:t>
          </w:r>
        </w:p>
      </w:tc>
    </w:tr>
  </w:tbl>
  <w:p w:rsidR="00430137" w:rsidRDefault="00430137" w:rsidP="00430137">
    <w:pPr>
      <w:tabs>
        <w:tab w:val="left" w:pos="9180"/>
      </w:tabs>
      <w:rPr>
        <w:b/>
        <w:sz w:val="20"/>
      </w:rPr>
    </w:pPr>
  </w:p>
  <w:p w:rsidR="00430137" w:rsidRDefault="00430137" w:rsidP="00430137">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30137" w:rsidTr="00430137">
      <w:tc>
        <w:tcPr>
          <w:tcW w:w="2718" w:type="dxa"/>
        </w:tcPr>
        <w:p w:rsidR="00430137" w:rsidRDefault="00430137" w:rsidP="00430137">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430137" w:rsidRDefault="00430137" w:rsidP="00430137">
          <w:pPr>
            <w:rPr>
              <w:sz w:val="20"/>
            </w:rPr>
          </w:pPr>
          <w:r>
            <w:rPr>
              <w:sz w:val="20"/>
            </w:rPr>
            <w:t>&lt; 800 = preferable</w:t>
          </w:r>
        </w:p>
      </w:tc>
      <w:tc>
        <w:tcPr>
          <w:tcW w:w="3600" w:type="dxa"/>
        </w:tcPr>
        <w:p w:rsidR="00430137" w:rsidRDefault="00430137" w:rsidP="00430137">
          <w:pPr>
            <w:jc w:val="right"/>
            <w:rPr>
              <w:sz w:val="20"/>
            </w:rPr>
          </w:pPr>
          <w:r>
            <w:rPr>
              <w:sz w:val="20"/>
            </w:rPr>
            <w:t>Temperature:</w:t>
          </w:r>
        </w:p>
      </w:tc>
      <w:tc>
        <w:tcPr>
          <w:tcW w:w="3420" w:type="dxa"/>
        </w:tcPr>
        <w:p w:rsidR="00430137" w:rsidRDefault="00430137" w:rsidP="00430137">
          <w:pPr>
            <w:rPr>
              <w:sz w:val="20"/>
            </w:rPr>
          </w:pPr>
          <w:r>
            <w:rPr>
              <w:sz w:val="20"/>
            </w:rPr>
            <w:t>70 - 78 °F</w:t>
          </w:r>
        </w:p>
      </w:tc>
    </w:tr>
    <w:tr w:rsidR="00430137" w:rsidTr="00430137">
      <w:tc>
        <w:tcPr>
          <w:tcW w:w="2718" w:type="dxa"/>
        </w:tcPr>
        <w:p w:rsidR="00430137" w:rsidRDefault="00430137" w:rsidP="00430137">
          <w:pPr>
            <w:jc w:val="right"/>
            <w:rPr>
              <w:sz w:val="20"/>
            </w:rPr>
          </w:pPr>
        </w:p>
      </w:tc>
      <w:tc>
        <w:tcPr>
          <w:tcW w:w="4860" w:type="dxa"/>
        </w:tcPr>
        <w:p w:rsidR="00430137" w:rsidRDefault="00430137" w:rsidP="00430137">
          <w:pPr>
            <w:rPr>
              <w:sz w:val="20"/>
            </w:rPr>
          </w:pPr>
          <w:r>
            <w:rPr>
              <w:sz w:val="20"/>
            </w:rPr>
            <w:t>&gt; 800 ppm = indicative of ventilation problems</w:t>
          </w:r>
        </w:p>
      </w:tc>
      <w:tc>
        <w:tcPr>
          <w:tcW w:w="3600" w:type="dxa"/>
        </w:tcPr>
        <w:p w:rsidR="00430137" w:rsidRDefault="00430137" w:rsidP="00430137">
          <w:pPr>
            <w:jc w:val="right"/>
            <w:rPr>
              <w:sz w:val="20"/>
            </w:rPr>
          </w:pPr>
          <w:r>
            <w:rPr>
              <w:sz w:val="20"/>
            </w:rPr>
            <w:t>Relative Humidity:</w:t>
          </w:r>
        </w:p>
      </w:tc>
      <w:tc>
        <w:tcPr>
          <w:tcW w:w="3420" w:type="dxa"/>
        </w:tcPr>
        <w:p w:rsidR="00430137" w:rsidRDefault="00430137" w:rsidP="00430137">
          <w:pPr>
            <w:rPr>
              <w:sz w:val="20"/>
            </w:rPr>
          </w:pPr>
          <w:r>
            <w:rPr>
              <w:sz w:val="20"/>
            </w:rPr>
            <w:t>40 - 60%</w:t>
          </w:r>
        </w:p>
      </w:tc>
    </w:tr>
  </w:tbl>
  <w:p w:rsidR="00430137" w:rsidRDefault="00430137" w:rsidP="00430137">
    <w:pPr>
      <w:pStyle w:val="Footer"/>
      <w:jc w:val="center"/>
    </w:pPr>
  </w:p>
  <w:p w:rsidR="00430137" w:rsidRPr="00A7353A" w:rsidRDefault="00430137" w:rsidP="00430137">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Pr>
        <w:rStyle w:val="PageNumber"/>
        <w:noProof/>
        <w:sz w:val="22"/>
        <w:szCs w:val="22"/>
      </w:rPr>
      <w:t>2</w:t>
    </w:r>
    <w:r w:rsidRPr="00A7353A">
      <w:rPr>
        <w:rStyle w:val="PageNumber"/>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jc w:val="center"/>
      <w:tblLayout w:type="fixed"/>
      <w:tblLook w:val="0000" w:firstRow="0" w:lastRow="0" w:firstColumn="0" w:lastColumn="0" w:noHBand="0" w:noVBand="0"/>
    </w:tblPr>
    <w:tblGrid>
      <w:gridCol w:w="3600"/>
      <w:gridCol w:w="4500"/>
      <w:gridCol w:w="2700"/>
    </w:tblGrid>
    <w:tr w:rsidR="00430137" w:rsidRPr="00F374D5" w:rsidTr="00430137">
      <w:trPr>
        <w:trHeight w:val="300"/>
        <w:jc w:val="center"/>
      </w:trPr>
      <w:tc>
        <w:tcPr>
          <w:tcW w:w="3600" w:type="dxa"/>
          <w:tcBorders>
            <w:top w:val="nil"/>
            <w:left w:val="nil"/>
            <w:bottom w:val="nil"/>
            <w:right w:val="nil"/>
          </w:tcBorders>
          <w:shd w:val="clear" w:color="auto" w:fill="auto"/>
          <w:noWrap/>
          <w:vAlign w:val="center"/>
        </w:tcPr>
        <w:p w:rsidR="00430137" w:rsidRPr="00F374D5" w:rsidRDefault="00430137" w:rsidP="00430137">
          <w:pPr>
            <w:rPr>
              <w:rFonts w:ascii="Times" w:hAnsi="Times" w:cs="Times"/>
              <w:sz w:val="20"/>
            </w:rPr>
          </w:pPr>
          <w:r w:rsidRPr="00F374D5">
            <w:rPr>
              <w:rFonts w:ascii="Times" w:hAnsi="Times" w:cs="Times"/>
              <w:sz w:val="20"/>
            </w:rPr>
            <w:t>ppm = parts per million</w:t>
          </w:r>
        </w:p>
      </w:tc>
      <w:tc>
        <w:tcPr>
          <w:tcW w:w="4500" w:type="dxa"/>
          <w:tcBorders>
            <w:top w:val="nil"/>
            <w:left w:val="nil"/>
            <w:bottom w:val="nil"/>
            <w:right w:val="nil"/>
          </w:tcBorders>
          <w:shd w:val="clear" w:color="auto" w:fill="auto"/>
          <w:noWrap/>
          <w:vAlign w:val="center"/>
        </w:tcPr>
        <w:p w:rsidR="00430137" w:rsidRPr="00F374D5" w:rsidRDefault="00430137" w:rsidP="00430137">
          <w:pPr>
            <w:rPr>
              <w:rFonts w:ascii="Times" w:hAnsi="Times" w:cs="Times"/>
              <w:sz w:val="20"/>
            </w:rPr>
          </w:pPr>
          <w:r w:rsidRPr="00305964">
            <w:rPr>
              <w:rFonts w:ascii="Times" w:hAnsi="Times" w:cs="Times"/>
              <w:sz w:val="20"/>
            </w:rPr>
            <w:t>µg/</w:t>
          </w:r>
          <w:r w:rsidRPr="001325F5">
            <w:rPr>
              <w:rFonts w:ascii="Times" w:hAnsi="Times" w:cs="Times"/>
              <w:sz w:val="20"/>
            </w:rPr>
            <w:t>m</w:t>
          </w:r>
          <w:r w:rsidRPr="001325F5">
            <w:rPr>
              <w:rFonts w:ascii="Times" w:hAnsi="Times" w:cs="Times"/>
              <w:sz w:val="20"/>
              <w:vertAlign w:val="superscript"/>
            </w:rPr>
            <w:t>3</w:t>
          </w:r>
          <w:r w:rsidRPr="00305964">
            <w:rPr>
              <w:rFonts w:ascii="Times" w:hAnsi="Times" w:cs="Times"/>
              <w:sz w:val="20"/>
            </w:rPr>
            <w:t xml:space="preserve"> = micrograms per cubic meter</w:t>
          </w:r>
        </w:p>
      </w:tc>
      <w:tc>
        <w:tcPr>
          <w:tcW w:w="2700" w:type="dxa"/>
          <w:tcBorders>
            <w:top w:val="nil"/>
            <w:left w:val="nil"/>
            <w:bottom w:val="nil"/>
            <w:right w:val="nil"/>
          </w:tcBorders>
          <w:shd w:val="clear" w:color="auto" w:fill="auto"/>
          <w:noWrap/>
          <w:vAlign w:val="center"/>
        </w:tcPr>
        <w:p w:rsidR="00430137" w:rsidRDefault="00430137" w:rsidP="00430137">
          <w:pPr>
            <w:rPr>
              <w:rFonts w:ascii="Times" w:hAnsi="Times" w:cs="Times"/>
              <w:sz w:val="20"/>
            </w:rPr>
          </w:pPr>
          <w:r>
            <w:rPr>
              <w:rFonts w:ascii="Times" w:hAnsi="Times" w:cs="Times"/>
              <w:sz w:val="20"/>
            </w:rPr>
            <w:t>ND = non detect</w:t>
          </w:r>
        </w:p>
      </w:tc>
    </w:tr>
  </w:tbl>
  <w:p w:rsidR="00430137" w:rsidRDefault="00430137" w:rsidP="00430137">
    <w:pPr>
      <w:tabs>
        <w:tab w:val="left" w:pos="9180"/>
      </w:tabs>
      <w:rPr>
        <w:b/>
        <w:sz w:val="20"/>
      </w:rPr>
    </w:pPr>
  </w:p>
  <w:p w:rsidR="00430137" w:rsidRDefault="00430137" w:rsidP="00430137">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430137" w:rsidTr="00430137">
      <w:tc>
        <w:tcPr>
          <w:tcW w:w="2718" w:type="dxa"/>
        </w:tcPr>
        <w:p w:rsidR="00430137" w:rsidRDefault="00430137" w:rsidP="00430137">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rsidR="00430137" w:rsidRDefault="00430137" w:rsidP="00430137">
          <w:pPr>
            <w:rPr>
              <w:sz w:val="20"/>
            </w:rPr>
          </w:pPr>
          <w:r>
            <w:rPr>
              <w:sz w:val="20"/>
            </w:rPr>
            <w:t>&lt; 800 ppm = preferable</w:t>
          </w:r>
        </w:p>
      </w:tc>
      <w:tc>
        <w:tcPr>
          <w:tcW w:w="3600" w:type="dxa"/>
        </w:tcPr>
        <w:p w:rsidR="00430137" w:rsidRDefault="00430137" w:rsidP="00430137">
          <w:pPr>
            <w:jc w:val="right"/>
            <w:rPr>
              <w:sz w:val="20"/>
            </w:rPr>
          </w:pPr>
          <w:r>
            <w:rPr>
              <w:sz w:val="20"/>
            </w:rPr>
            <w:t>Temperature:</w:t>
          </w:r>
        </w:p>
      </w:tc>
      <w:tc>
        <w:tcPr>
          <w:tcW w:w="3420" w:type="dxa"/>
        </w:tcPr>
        <w:p w:rsidR="00430137" w:rsidRDefault="00430137" w:rsidP="00430137">
          <w:pPr>
            <w:rPr>
              <w:sz w:val="20"/>
            </w:rPr>
          </w:pPr>
          <w:r>
            <w:rPr>
              <w:sz w:val="20"/>
            </w:rPr>
            <w:t>70 - 78 °F</w:t>
          </w:r>
        </w:p>
      </w:tc>
    </w:tr>
    <w:tr w:rsidR="00430137" w:rsidTr="00430137">
      <w:tc>
        <w:tcPr>
          <w:tcW w:w="2718" w:type="dxa"/>
        </w:tcPr>
        <w:p w:rsidR="00430137" w:rsidRDefault="00430137" w:rsidP="00430137">
          <w:pPr>
            <w:jc w:val="right"/>
            <w:rPr>
              <w:sz w:val="20"/>
            </w:rPr>
          </w:pPr>
        </w:p>
      </w:tc>
      <w:tc>
        <w:tcPr>
          <w:tcW w:w="4860" w:type="dxa"/>
        </w:tcPr>
        <w:p w:rsidR="00430137" w:rsidRDefault="00430137" w:rsidP="00430137">
          <w:pPr>
            <w:rPr>
              <w:sz w:val="20"/>
            </w:rPr>
          </w:pPr>
          <w:r>
            <w:rPr>
              <w:sz w:val="20"/>
            </w:rPr>
            <w:t>&gt; 800 ppm = indicative of ventilation problems</w:t>
          </w:r>
        </w:p>
      </w:tc>
      <w:tc>
        <w:tcPr>
          <w:tcW w:w="3600" w:type="dxa"/>
        </w:tcPr>
        <w:p w:rsidR="00430137" w:rsidRDefault="00430137" w:rsidP="00430137">
          <w:pPr>
            <w:jc w:val="right"/>
            <w:rPr>
              <w:sz w:val="20"/>
            </w:rPr>
          </w:pPr>
          <w:r>
            <w:rPr>
              <w:sz w:val="20"/>
            </w:rPr>
            <w:t>Relative Humidity:</w:t>
          </w:r>
        </w:p>
      </w:tc>
      <w:tc>
        <w:tcPr>
          <w:tcW w:w="3420" w:type="dxa"/>
        </w:tcPr>
        <w:p w:rsidR="00430137" w:rsidRDefault="00430137" w:rsidP="00430137">
          <w:pPr>
            <w:rPr>
              <w:sz w:val="20"/>
            </w:rPr>
          </w:pPr>
          <w:r>
            <w:rPr>
              <w:sz w:val="20"/>
            </w:rPr>
            <w:t>40 - 60%</w:t>
          </w:r>
        </w:p>
      </w:tc>
    </w:tr>
  </w:tbl>
  <w:p w:rsidR="00430137" w:rsidRDefault="00430137" w:rsidP="00430137">
    <w:pPr>
      <w:pStyle w:val="Footer"/>
      <w:jc w:val="center"/>
    </w:pPr>
  </w:p>
  <w:p w:rsidR="00430137" w:rsidRPr="00A7353A" w:rsidRDefault="00430137" w:rsidP="00430137">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1E529E">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33C" w:rsidRDefault="0063033C">
      <w:r>
        <w:separator/>
      </w:r>
    </w:p>
  </w:footnote>
  <w:footnote w:type="continuationSeparator" w:id="0">
    <w:p w:rsidR="0063033C" w:rsidRDefault="006303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B9" w:rsidRDefault="004B23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B9" w:rsidRDefault="004B23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3B9" w:rsidRDefault="004B23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137" w:rsidRDefault="0043013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0137" w:rsidRDefault="004301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430137" w:rsidTr="00430137">
      <w:trPr>
        <w:cantSplit/>
      </w:trPr>
      <w:tc>
        <w:tcPr>
          <w:tcW w:w="12258" w:type="dxa"/>
          <w:gridSpan w:val="3"/>
        </w:tcPr>
        <w:p w:rsidR="00430137" w:rsidRPr="00AA0C96" w:rsidRDefault="00430137" w:rsidP="00430137">
          <w:pPr>
            <w:pStyle w:val="Header"/>
            <w:spacing w:before="60" w:after="60"/>
            <w:rPr>
              <w:b/>
              <w:sz w:val="22"/>
            </w:rPr>
          </w:pPr>
          <w:r>
            <w:rPr>
              <w:b/>
              <w:sz w:val="22"/>
            </w:rPr>
            <w:t>Location: Massachusetts Rehabilitation Commission</w:t>
          </w:r>
        </w:p>
      </w:tc>
      <w:tc>
        <w:tcPr>
          <w:tcW w:w="2358" w:type="dxa"/>
        </w:tcPr>
        <w:p w:rsidR="00430137" w:rsidRPr="00AA0C96" w:rsidRDefault="00430137" w:rsidP="00430137">
          <w:pPr>
            <w:pStyle w:val="Header"/>
            <w:tabs>
              <w:tab w:val="clear" w:pos="4320"/>
              <w:tab w:val="clear" w:pos="8640"/>
            </w:tabs>
            <w:spacing w:before="60" w:after="60"/>
            <w:rPr>
              <w:b/>
              <w:sz w:val="22"/>
            </w:rPr>
          </w:pPr>
          <w:r w:rsidRPr="00AA0C96">
            <w:rPr>
              <w:b/>
              <w:sz w:val="22"/>
            </w:rPr>
            <w:t>Indoor Air Results</w:t>
          </w:r>
        </w:p>
      </w:tc>
    </w:tr>
    <w:tr w:rsidR="00430137" w:rsidTr="00430137">
      <w:trPr>
        <w:cantSplit/>
      </w:trPr>
      <w:tc>
        <w:tcPr>
          <w:tcW w:w="4872" w:type="dxa"/>
        </w:tcPr>
        <w:p w:rsidR="00430137" w:rsidRPr="00AA0C96" w:rsidRDefault="00430137" w:rsidP="00430137">
          <w:pPr>
            <w:pStyle w:val="Header"/>
            <w:tabs>
              <w:tab w:val="clear" w:pos="4320"/>
              <w:tab w:val="clear" w:pos="8640"/>
            </w:tabs>
            <w:spacing w:before="60" w:after="60"/>
            <w:rPr>
              <w:b/>
              <w:sz w:val="22"/>
            </w:rPr>
          </w:pPr>
          <w:r w:rsidRPr="00AA0C96">
            <w:rPr>
              <w:b/>
              <w:sz w:val="22"/>
            </w:rPr>
            <w:t xml:space="preserve">Address: </w:t>
          </w:r>
          <w:r>
            <w:rPr>
              <w:b/>
              <w:sz w:val="22"/>
            </w:rPr>
            <w:t>40</w:t>
          </w:r>
          <w:r w:rsidRPr="00DF007E">
            <w:rPr>
              <w:b/>
              <w:sz w:val="22"/>
            </w:rPr>
            <w:t xml:space="preserve"> Dimock St, Roxbury, MA 02119</w:t>
          </w:r>
        </w:p>
      </w:tc>
      <w:tc>
        <w:tcPr>
          <w:tcW w:w="4872" w:type="dxa"/>
        </w:tcPr>
        <w:p w:rsidR="00430137" w:rsidRPr="00AA0C96" w:rsidRDefault="00430137" w:rsidP="00430137">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r>
            <w:rPr>
              <w:b/>
              <w:sz w:val="22"/>
            </w:rPr>
            <w:t xml:space="preserve"> (continued)</w:t>
          </w:r>
        </w:p>
      </w:tc>
      <w:tc>
        <w:tcPr>
          <w:tcW w:w="2514" w:type="dxa"/>
        </w:tcPr>
        <w:p w:rsidR="00430137" w:rsidRPr="00AA0C96" w:rsidRDefault="00430137" w:rsidP="00430137">
          <w:pPr>
            <w:pStyle w:val="Header"/>
            <w:tabs>
              <w:tab w:val="clear" w:pos="4320"/>
              <w:tab w:val="clear" w:pos="8640"/>
            </w:tabs>
            <w:spacing w:before="60" w:after="60"/>
            <w:rPr>
              <w:b/>
              <w:sz w:val="22"/>
            </w:rPr>
          </w:pPr>
        </w:p>
      </w:tc>
      <w:tc>
        <w:tcPr>
          <w:tcW w:w="2358" w:type="dxa"/>
        </w:tcPr>
        <w:p w:rsidR="00430137" w:rsidRPr="00AA0C96" w:rsidRDefault="00430137" w:rsidP="00430137">
          <w:pPr>
            <w:pStyle w:val="Header"/>
            <w:tabs>
              <w:tab w:val="clear" w:pos="4320"/>
              <w:tab w:val="clear" w:pos="8640"/>
            </w:tabs>
            <w:spacing w:before="60" w:after="60"/>
            <w:rPr>
              <w:b/>
              <w:sz w:val="22"/>
            </w:rPr>
          </w:pPr>
          <w:r w:rsidRPr="00AA0C96">
            <w:rPr>
              <w:b/>
              <w:sz w:val="22"/>
            </w:rPr>
            <w:t>Date</w:t>
          </w:r>
          <w:r>
            <w:rPr>
              <w:b/>
              <w:sz w:val="22"/>
            </w:rPr>
            <w:t>:11/3/2016</w:t>
          </w:r>
        </w:p>
      </w:tc>
    </w:tr>
  </w:tbl>
  <w:p w:rsidR="00430137" w:rsidRPr="00EC38EA" w:rsidRDefault="00430137" w:rsidP="0043013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4872"/>
      <w:gridCol w:w="4872"/>
      <w:gridCol w:w="2514"/>
      <w:gridCol w:w="2358"/>
    </w:tblGrid>
    <w:tr w:rsidR="00430137" w:rsidTr="00430137">
      <w:trPr>
        <w:cantSplit/>
      </w:trPr>
      <w:tc>
        <w:tcPr>
          <w:tcW w:w="12258" w:type="dxa"/>
          <w:gridSpan w:val="3"/>
        </w:tcPr>
        <w:p w:rsidR="00430137" w:rsidRPr="00AA0C96" w:rsidRDefault="00430137" w:rsidP="00430137">
          <w:pPr>
            <w:pStyle w:val="Header"/>
            <w:spacing w:before="60" w:after="60"/>
            <w:rPr>
              <w:b/>
              <w:sz w:val="22"/>
            </w:rPr>
          </w:pPr>
          <w:r>
            <w:rPr>
              <w:b/>
              <w:sz w:val="22"/>
            </w:rPr>
            <w:t>Location: Martha’s Vineyard Regional High School</w:t>
          </w:r>
        </w:p>
      </w:tc>
      <w:tc>
        <w:tcPr>
          <w:tcW w:w="2358" w:type="dxa"/>
        </w:tcPr>
        <w:p w:rsidR="00430137" w:rsidRPr="00AA0C96" w:rsidRDefault="00430137" w:rsidP="00430137">
          <w:pPr>
            <w:pStyle w:val="Header"/>
            <w:tabs>
              <w:tab w:val="clear" w:pos="4320"/>
              <w:tab w:val="clear" w:pos="8640"/>
            </w:tabs>
            <w:spacing w:before="60" w:after="60"/>
            <w:rPr>
              <w:b/>
              <w:sz w:val="22"/>
            </w:rPr>
          </w:pPr>
          <w:r w:rsidRPr="00AA0C96">
            <w:rPr>
              <w:b/>
              <w:sz w:val="22"/>
            </w:rPr>
            <w:t>Indoor Air Results</w:t>
          </w:r>
        </w:p>
      </w:tc>
    </w:tr>
    <w:tr w:rsidR="00430137" w:rsidTr="00430137">
      <w:trPr>
        <w:cantSplit/>
      </w:trPr>
      <w:tc>
        <w:tcPr>
          <w:tcW w:w="4872" w:type="dxa"/>
        </w:tcPr>
        <w:p w:rsidR="00430137" w:rsidRPr="007E7E63" w:rsidRDefault="00430137" w:rsidP="00430137">
          <w:pPr>
            <w:pStyle w:val="Header"/>
            <w:spacing w:before="60" w:after="60"/>
            <w:rPr>
              <w:b/>
              <w:sz w:val="22"/>
            </w:rPr>
          </w:pPr>
          <w:r w:rsidRPr="00AA0C96">
            <w:rPr>
              <w:b/>
              <w:sz w:val="22"/>
            </w:rPr>
            <w:t xml:space="preserve">Address: </w:t>
          </w:r>
          <w:r w:rsidRPr="007E7E63">
            <w:rPr>
              <w:b/>
              <w:sz w:val="22"/>
            </w:rPr>
            <w:t>100 Edgartown Vineyard Haven Road</w:t>
          </w:r>
        </w:p>
        <w:p w:rsidR="00430137" w:rsidRPr="00AA0C96" w:rsidRDefault="00430137" w:rsidP="00430137">
          <w:pPr>
            <w:pStyle w:val="Header"/>
            <w:tabs>
              <w:tab w:val="clear" w:pos="4320"/>
              <w:tab w:val="clear" w:pos="8640"/>
            </w:tabs>
            <w:spacing w:before="60" w:after="60"/>
            <w:rPr>
              <w:b/>
              <w:sz w:val="22"/>
            </w:rPr>
          </w:pPr>
          <w:r w:rsidRPr="007E7E63">
            <w:rPr>
              <w:b/>
              <w:sz w:val="22"/>
            </w:rPr>
            <w:t>Oak Bluffs, Massachusetts</w:t>
          </w:r>
        </w:p>
      </w:tc>
      <w:tc>
        <w:tcPr>
          <w:tcW w:w="4872" w:type="dxa"/>
        </w:tcPr>
        <w:p w:rsidR="00430137" w:rsidRPr="00AA0C96" w:rsidRDefault="00430137" w:rsidP="00430137">
          <w:pPr>
            <w:pStyle w:val="Header"/>
            <w:tabs>
              <w:tab w:val="clear" w:pos="4320"/>
              <w:tab w:val="clear" w:pos="8640"/>
              <w:tab w:val="left" w:pos="1560"/>
              <w:tab w:val="center" w:pos="2328"/>
            </w:tabs>
            <w:spacing w:before="60" w:after="60"/>
            <w:rPr>
              <w:b/>
              <w:sz w:val="22"/>
            </w:rPr>
          </w:pPr>
          <w:r>
            <w:rPr>
              <w:b/>
              <w:sz w:val="22"/>
            </w:rPr>
            <w:tab/>
          </w:r>
          <w:r>
            <w:rPr>
              <w:b/>
              <w:sz w:val="22"/>
            </w:rPr>
            <w:tab/>
          </w:r>
          <w:r w:rsidRPr="00AA0C96">
            <w:rPr>
              <w:b/>
              <w:sz w:val="22"/>
            </w:rPr>
            <w:t>Table 1</w:t>
          </w:r>
        </w:p>
      </w:tc>
      <w:tc>
        <w:tcPr>
          <w:tcW w:w="2514" w:type="dxa"/>
        </w:tcPr>
        <w:p w:rsidR="00430137" w:rsidRPr="00AA0C96" w:rsidRDefault="00430137" w:rsidP="00430137">
          <w:pPr>
            <w:pStyle w:val="Header"/>
            <w:tabs>
              <w:tab w:val="clear" w:pos="4320"/>
              <w:tab w:val="clear" w:pos="8640"/>
            </w:tabs>
            <w:spacing w:before="60" w:after="60"/>
            <w:rPr>
              <w:b/>
              <w:sz w:val="22"/>
            </w:rPr>
          </w:pPr>
        </w:p>
      </w:tc>
      <w:tc>
        <w:tcPr>
          <w:tcW w:w="2358" w:type="dxa"/>
        </w:tcPr>
        <w:p w:rsidR="00430137" w:rsidRPr="00AA0C96" w:rsidRDefault="00430137" w:rsidP="00430137">
          <w:pPr>
            <w:pStyle w:val="Header"/>
            <w:tabs>
              <w:tab w:val="clear" w:pos="4320"/>
              <w:tab w:val="clear" w:pos="8640"/>
            </w:tabs>
            <w:spacing w:before="60" w:after="60"/>
            <w:rPr>
              <w:b/>
              <w:sz w:val="22"/>
            </w:rPr>
          </w:pPr>
          <w:r w:rsidRPr="00AA0C96">
            <w:rPr>
              <w:b/>
              <w:sz w:val="22"/>
            </w:rPr>
            <w:t>Date</w:t>
          </w:r>
          <w:r>
            <w:rPr>
              <w:b/>
              <w:sz w:val="22"/>
            </w:rPr>
            <w:t>:12/18/2017</w:t>
          </w:r>
        </w:p>
      </w:tc>
    </w:tr>
  </w:tbl>
  <w:p w:rsidR="00430137" w:rsidRDefault="00430137" w:rsidP="00430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hint="default"/>
        <w:sz w:val="24"/>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nsid w:val="13926CFD"/>
    <w:multiLevelType w:val="hybridMultilevel"/>
    <w:tmpl w:val="C1126B9A"/>
    <w:lvl w:ilvl="0" w:tplc="53FE98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AC67B8"/>
    <w:multiLevelType w:val="hybridMultilevel"/>
    <w:tmpl w:val="F74EF076"/>
    <w:lvl w:ilvl="0" w:tplc="832A43CE">
      <w:start w:val="1"/>
      <w:numFmt w:val="decimal"/>
      <w:lvlText w:val="%1."/>
      <w:lvlJc w:val="right"/>
      <w:pPr>
        <w:ind w:left="72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4A107CD"/>
    <w:multiLevelType w:val="hybridMultilevel"/>
    <w:tmpl w:val="CD5CE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EB1D1D"/>
    <w:multiLevelType w:val="hybridMultilevel"/>
    <w:tmpl w:val="2E606E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060C72"/>
    <w:multiLevelType w:val="hybridMultilevel"/>
    <w:tmpl w:val="6A8E5D3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6C87ADF"/>
    <w:multiLevelType w:val="multilevel"/>
    <w:tmpl w:val="6B343F38"/>
    <w:styleLink w:val="StyleNumbered1"/>
    <w:lvl w:ilvl="0">
      <w:start w:val="1"/>
      <w:numFmt w:val="decimal"/>
      <w:lvlText w:val="%1."/>
      <w:lvlJc w:val="right"/>
      <w:pPr>
        <w:tabs>
          <w:tab w:val="num" w:pos="720"/>
        </w:tabs>
        <w:ind w:left="720" w:hanging="360"/>
      </w:pPr>
      <w:rPr>
        <w:rFonts w:hint="default"/>
        <w:spacing w:val="-3"/>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9E32C55"/>
    <w:multiLevelType w:val="hybridMultilevel"/>
    <w:tmpl w:val="F30CC942"/>
    <w:lvl w:ilvl="0" w:tplc="89B801A4">
      <w:start w:val="1"/>
      <w:numFmt w:val="decimal"/>
      <w:pStyle w:val="TOC6"/>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2D99063A"/>
    <w:multiLevelType w:val="multilevel"/>
    <w:tmpl w:val="3AA88FB8"/>
    <w:styleLink w:val="StyleNumberedLeft055Hanging025"/>
    <w:lvl w:ilvl="0">
      <w:start w:val="1"/>
      <w:numFmt w:val="decimal"/>
      <w:lvlText w:val="%1."/>
      <w:lvlJc w:val="left"/>
      <w:pPr>
        <w:ind w:left="720" w:hanging="576"/>
      </w:pPr>
      <w:rPr>
        <w:rFonts w:hint="default"/>
        <w:sz w:val="24"/>
      </w:rPr>
    </w:lvl>
    <w:lvl w:ilvl="1">
      <w:start w:val="1"/>
      <w:numFmt w:val="lowerLetter"/>
      <w:lvlText w:val="%2."/>
      <w:lvlJc w:val="left"/>
      <w:pPr>
        <w:ind w:left="1872" w:hanging="360"/>
      </w:pPr>
      <w:rPr>
        <w:rFonts w:hint="default"/>
      </w:rPr>
    </w:lvl>
    <w:lvl w:ilvl="2">
      <w:start w:val="1"/>
      <w:numFmt w:val="lowerRoman"/>
      <w:lvlText w:val="%3."/>
      <w:lvlJc w:val="right"/>
      <w:pPr>
        <w:ind w:left="2592" w:hanging="180"/>
      </w:pPr>
      <w:rPr>
        <w:rFonts w:hint="default"/>
      </w:rPr>
    </w:lvl>
    <w:lvl w:ilvl="3">
      <w:start w:val="1"/>
      <w:numFmt w:val="decimal"/>
      <w:lvlText w:val="%4."/>
      <w:lvlJc w:val="left"/>
      <w:pPr>
        <w:ind w:left="3312" w:hanging="360"/>
      </w:pPr>
      <w:rPr>
        <w:rFonts w:hint="default"/>
      </w:rPr>
    </w:lvl>
    <w:lvl w:ilvl="4">
      <w:start w:val="1"/>
      <w:numFmt w:val="lowerLetter"/>
      <w:lvlText w:val="%5."/>
      <w:lvlJc w:val="left"/>
      <w:pPr>
        <w:ind w:left="4032" w:hanging="360"/>
      </w:pPr>
      <w:rPr>
        <w:rFonts w:hint="default"/>
      </w:rPr>
    </w:lvl>
    <w:lvl w:ilvl="5">
      <w:start w:val="1"/>
      <w:numFmt w:val="lowerRoman"/>
      <w:lvlText w:val="%6."/>
      <w:lvlJc w:val="right"/>
      <w:pPr>
        <w:ind w:left="4752" w:hanging="180"/>
      </w:pPr>
      <w:rPr>
        <w:rFonts w:hint="default"/>
      </w:rPr>
    </w:lvl>
    <w:lvl w:ilvl="6">
      <w:start w:val="1"/>
      <w:numFmt w:val="decimal"/>
      <w:lvlText w:val="%7."/>
      <w:lvlJc w:val="left"/>
      <w:pPr>
        <w:ind w:left="5472" w:hanging="360"/>
      </w:pPr>
      <w:rPr>
        <w:rFonts w:hint="default"/>
      </w:rPr>
    </w:lvl>
    <w:lvl w:ilvl="7">
      <w:start w:val="1"/>
      <w:numFmt w:val="lowerLetter"/>
      <w:lvlText w:val="%8."/>
      <w:lvlJc w:val="left"/>
      <w:pPr>
        <w:ind w:left="6192" w:hanging="360"/>
      </w:pPr>
      <w:rPr>
        <w:rFonts w:hint="default"/>
      </w:rPr>
    </w:lvl>
    <w:lvl w:ilvl="8">
      <w:start w:val="1"/>
      <w:numFmt w:val="lowerRoman"/>
      <w:lvlText w:val="%9."/>
      <w:lvlJc w:val="right"/>
      <w:pPr>
        <w:ind w:left="6912" w:hanging="180"/>
      </w:pPr>
      <w:rPr>
        <w:rFonts w:hint="default"/>
      </w:rPr>
    </w:lvl>
  </w:abstractNum>
  <w:abstractNum w:abstractNumId="14">
    <w:nsid w:val="2EE960FF"/>
    <w:multiLevelType w:val="hybridMultilevel"/>
    <w:tmpl w:val="CB8442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B24EFB"/>
    <w:multiLevelType w:val="multilevel"/>
    <w:tmpl w:val="28FCADD2"/>
    <w:numStyleLink w:val="StyleBulletedSymbolsymbolLeft025Hanging025"/>
  </w:abstractNum>
  <w:abstractNum w:abstractNumId="16">
    <w:nsid w:val="310306A6"/>
    <w:multiLevelType w:val="singleLevel"/>
    <w:tmpl w:val="4E4E6E9C"/>
    <w:lvl w:ilvl="0">
      <w:start w:val="1"/>
      <w:numFmt w:val="decimal"/>
      <w:lvlText w:val="%1."/>
      <w:lvlJc w:val="right"/>
      <w:pPr>
        <w:tabs>
          <w:tab w:val="num" w:pos="360"/>
        </w:tabs>
        <w:ind w:left="360" w:hanging="360"/>
      </w:pPr>
      <w:rPr>
        <w:rFonts w:ascii="Times New Roman" w:hAnsi="Times New Roman" w:hint="default"/>
        <w:b w:val="0"/>
        <w:i w:val="0"/>
        <w:sz w:val="24"/>
      </w:rPr>
    </w:lvl>
  </w:abstractNum>
  <w:abstractNum w:abstractNumId="17">
    <w:nsid w:val="35A00032"/>
    <w:multiLevelType w:val="hybridMultilevel"/>
    <w:tmpl w:val="35BE2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A82116"/>
    <w:multiLevelType w:val="hybridMultilevel"/>
    <w:tmpl w:val="B9186538"/>
    <w:lvl w:ilvl="0" w:tplc="9BA2280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FB1B22"/>
    <w:multiLevelType w:val="hybridMultilevel"/>
    <w:tmpl w:val="5460464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C74C09"/>
    <w:multiLevelType w:val="hybridMultilevel"/>
    <w:tmpl w:val="6F1E34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1561CE3"/>
    <w:multiLevelType w:val="hybridMultilevel"/>
    <w:tmpl w:val="A3127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8D368FA"/>
    <w:multiLevelType w:val="hybridMultilevel"/>
    <w:tmpl w:val="116A5C6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9653710"/>
    <w:multiLevelType w:val="hybridMultilevel"/>
    <w:tmpl w:val="5EA8AABE"/>
    <w:lvl w:ilvl="0" w:tplc="42FC4A04">
      <w:start w:val="1"/>
      <w:numFmt w:val="decimal"/>
      <w:lvlText w:val="%1."/>
      <w:lvlJc w:val="righ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BD42695"/>
    <w:multiLevelType w:val="hybridMultilevel"/>
    <w:tmpl w:val="CD3ACBD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66551ACD"/>
    <w:multiLevelType w:val="hybridMultilevel"/>
    <w:tmpl w:val="FB8E05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B0B65CE"/>
    <w:multiLevelType w:val="hybridMultilevel"/>
    <w:tmpl w:val="9646A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9">
    <w:nsid w:val="71F63C6E"/>
    <w:multiLevelType w:val="hybridMultilevel"/>
    <w:tmpl w:val="2024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3"/>
  </w:num>
  <w:num w:numId="4">
    <w:abstractNumId w:val="9"/>
  </w:num>
  <w:num w:numId="5">
    <w:abstractNumId w:val="21"/>
  </w:num>
  <w:num w:numId="6">
    <w:abstractNumId w:val="15"/>
  </w:num>
  <w:num w:numId="7">
    <w:abstractNumId w:val="5"/>
  </w:num>
  <w:num w:numId="8">
    <w:abstractNumId w:val="13"/>
  </w:num>
  <w:num w:numId="9">
    <w:abstractNumId w:val="12"/>
  </w:num>
  <w:num w:numId="10">
    <w:abstractNumId w:val="24"/>
  </w:num>
  <w:num w:numId="11">
    <w:abstractNumId w:val="5"/>
    <w:lvlOverride w:ilvl="0">
      <w:startOverride w:val="1"/>
    </w:lvlOverride>
  </w:num>
  <w:num w:numId="12">
    <w:abstractNumId w:val="28"/>
  </w:num>
  <w:num w:numId="13">
    <w:abstractNumId w:val="17"/>
  </w:num>
  <w:num w:numId="14">
    <w:abstractNumId w:val="4"/>
  </w:num>
  <w:num w:numId="15">
    <w:abstractNumId w:val="11"/>
  </w:num>
  <w:num w:numId="16">
    <w:abstractNumId w:val="26"/>
  </w:num>
  <w:num w:numId="17">
    <w:abstractNumId w:val="7"/>
  </w:num>
  <w:num w:numId="18">
    <w:abstractNumId w:val="10"/>
  </w:num>
  <w:num w:numId="19">
    <w:abstractNumId w:val="2"/>
  </w:num>
  <w:num w:numId="20">
    <w:abstractNumId w:val="1"/>
  </w:num>
  <w:num w:numId="21">
    <w:abstractNumId w:val="23"/>
  </w:num>
  <w:num w:numId="22">
    <w:abstractNumId w:val="29"/>
  </w:num>
  <w:num w:numId="23">
    <w:abstractNumId w:val="19"/>
  </w:num>
  <w:num w:numId="24">
    <w:abstractNumId w:val="8"/>
  </w:num>
  <w:num w:numId="25">
    <w:abstractNumId w:val="6"/>
  </w:num>
  <w:num w:numId="26">
    <w:abstractNumId w:val="20"/>
  </w:num>
  <w:num w:numId="27">
    <w:abstractNumId w:val="18"/>
  </w:num>
  <w:num w:numId="28">
    <w:abstractNumId w:val="27"/>
  </w:num>
  <w:num w:numId="29">
    <w:abstractNumId w:val="22"/>
  </w:num>
  <w:num w:numId="30">
    <w:abstractNumId w:val="25"/>
  </w:num>
  <w:num w:numId="31">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A0MrQ0NDI2NbcwMDdS0lEKTi0uzszPAykwrAUAcv0kFSwAAAA="/>
    <w:docVar w:name="dgnword-docGUID" w:val="{BBD475AB-8EFA-4414-9CB2-22A98A4FDA57}"/>
    <w:docVar w:name="dgnword-eventsink" w:val="42411088"/>
  </w:docVars>
  <w:rsids>
    <w:rsidRoot w:val="007C4A18"/>
    <w:rsid w:val="00003C00"/>
    <w:rsid w:val="00005337"/>
    <w:rsid w:val="000059A6"/>
    <w:rsid w:val="0000734F"/>
    <w:rsid w:val="000075C0"/>
    <w:rsid w:val="00010455"/>
    <w:rsid w:val="00010DCC"/>
    <w:rsid w:val="0001365E"/>
    <w:rsid w:val="000144B1"/>
    <w:rsid w:val="000150C0"/>
    <w:rsid w:val="00016BF0"/>
    <w:rsid w:val="0002128B"/>
    <w:rsid w:val="00023576"/>
    <w:rsid w:val="0002373A"/>
    <w:rsid w:val="00023900"/>
    <w:rsid w:val="0002415F"/>
    <w:rsid w:val="000242DD"/>
    <w:rsid w:val="0002499A"/>
    <w:rsid w:val="00024B75"/>
    <w:rsid w:val="00025A79"/>
    <w:rsid w:val="00030E16"/>
    <w:rsid w:val="00032F04"/>
    <w:rsid w:val="000354FC"/>
    <w:rsid w:val="00035523"/>
    <w:rsid w:val="00035787"/>
    <w:rsid w:val="00037BD4"/>
    <w:rsid w:val="000403EA"/>
    <w:rsid w:val="000405A6"/>
    <w:rsid w:val="000405BD"/>
    <w:rsid w:val="000405E4"/>
    <w:rsid w:val="0004287B"/>
    <w:rsid w:val="00042C13"/>
    <w:rsid w:val="000435DF"/>
    <w:rsid w:val="00043F41"/>
    <w:rsid w:val="000445B9"/>
    <w:rsid w:val="00046C24"/>
    <w:rsid w:val="0005123A"/>
    <w:rsid w:val="00051744"/>
    <w:rsid w:val="00051D0C"/>
    <w:rsid w:val="00051E3A"/>
    <w:rsid w:val="00052401"/>
    <w:rsid w:val="00052ECB"/>
    <w:rsid w:val="00052EE1"/>
    <w:rsid w:val="00052F20"/>
    <w:rsid w:val="00053856"/>
    <w:rsid w:val="00053C23"/>
    <w:rsid w:val="0005472F"/>
    <w:rsid w:val="000547B6"/>
    <w:rsid w:val="00056442"/>
    <w:rsid w:val="00056C07"/>
    <w:rsid w:val="00062766"/>
    <w:rsid w:val="0006325F"/>
    <w:rsid w:val="00063E8C"/>
    <w:rsid w:val="00064569"/>
    <w:rsid w:val="0006535D"/>
    <w:rsid w:val="0007042A"/>
    <w:rsid w:val="000709B0"/>
    <w:rsid w:val="0007424D"/>
    <w:rsid w:val="00074E89"/>
    <w:rsid w:val="00076423"/>
    <w:rsid w:val="00077895"/>
    <w:rsid w:val="00083740"/>
    <w:rsid w:val="0008406E"/>
    <w:rsid w:val="000844A0"/>
    <w:rsid w:val="00084E04"/>
    <w:rsid w:val="000856D0"/>
    <w:rsid w:val="000864B5"/>
    <w:rsid w:val="0009089B"/>
    <w:rsid w:val="00090E91"/>
    <w:rsid w:val="00091572"/>
    <w:rsid w:val="00092FF9"/>
    <w:rsid w:val="0009646E"/>
    <w:rsid w:val="000A2E16"/>
    <w:rsid w:val="000A321D"/>
    <w:rsid w:val="000A36E2"/>
    <w:rsid w:val="000A7CF6"/>
    <w:rsid w:val="000B1F2C"/>
    <w:rsid w:val="000B1F52"/>
    <w:rsid w:val="000B3211"/>
    <w:rsid w:val="000B34F7"/>
    <w:rsid w:val="000B3761"/>
    <w:rsid w:val="000B6CF5"/>
    <w:rsid w:val="000B7600"/>
    <w:rsid w:val="000B771A"/>
    <w:rsid w:val="000C04E9"/>
    <w:rsid w:val="000C09CF"/>
    <w:rsid w:val="000C5567"/>
    <w:rsid w:val="000C6745"/>
    <w:rsid w:val="000C6C7E"/>
    <w:rsid w:val="000C7FDD"/>
    <w:rsid w:val="000D0C39"/>
    <w:rsid w:val="000D0E8E"/>
    <w:rsid w:val="000D1125"/>
    <w:rsid w:val="000D3183"/>
    <w:rsid w:val="000D334D"/>
    <w:rsid w:val="000D6BE5"/>
    <w:rsid w:val="000D72D9"/>
    <w:rsid w:val="000E085D"/>
    <w:rsid w:val="000E1359"/>
    <w:rsid w:val="000E1B2C"/>
    <w:rsid w:val="000E3087"/>
    <w:rsid w:val="000E3506"/>
    <w:rsid w:val="000E4F07"/>
    <w:rsid w:val="000E5F7A"/>
    <w:rsid w:val="000F0731"/>
    <w:rsid w:val="000F1119"/>
    <w:rsid w:val="000F176E"/>
    <w:rsid w:val="000F1DF7"/>
    <w:rsid w:val="000F2B18"/>
    <w:rsid w:val="000F3010"/>
    <w:rsid w:val="000F329A"/>
    <w:rsid w:val="000F5EE5"/>
    <w:rsid w:val="000F729C"/>
    <w:rsid w:val="000F7459"/>
    <w:rsid w:val="000F758F"/>
    <w:rsid w:val="0010401C"/>
    <w:rsid w:val="00105AB5"/>
    <w:rsid w:val="001060C3"/>
    <w:rsid w:val="001071C8"/>
    <w:rsid w:val="001076B7"/>
    <w:rsid w:val="001107EB"/>
    <w:rsid w:val="001129C4"/>
    <w:rsid w:val="0011710B"/>
    <w:rsid w:val="001171F3"/>
    <w:rsid w:val="00120993"/>
    <w:rsid w:val="00123760"/>
    <w:rsid w:val="00124C2C"/>
    <w:rsid w:val="0012500A"/>
    <w:rsid w:val="001265B5"/>
    <w:rsid w:val="00127778"/>
    <w:rsid w:val="00133709"/>
    <w:rsid w:val="001348DA"/>
    <w:rsid w:val="00135446"/>
    <w:rsid w:val="001356AF"/>
    <w:rsid w:val="001371F0"/>
    <w:rsid w:val="0013759A"/>
    <w:rsid w:val="00137B1C"/>
    <w:rsid w:val="00140548"/>
    <w:rsid w:val="001432B8"/>
    <w:rsid w:val="0014723D"/>
    <w:rsid w:val="001472BB"/>
    <w:rsid w:val="00147E1F"/>
    <w:rsid w:val="00150E37"/>
    <w:rsid w:val="001521C9"/>
    <w:rsid w:val="001528B2"/>
    <w:rsid w:val="00152C96"/>
    <w:rsid w:val="00156371"/>
    <w:rsid w:val="001570F7"/>
    <w:rsid w:val="001622DD"/>
    <w:rsid w:val="00162CB3"/>
    <w:rsid w:val="0016312E"/>
    <w:rsid w:val="001637AD"/>
    <w:rsid w:val="0016428F"/>
    <w:rsid w:val="00164B16"/>
    <w:rsid w:val="00164BDA"/>
    <w:rsid w:val="00164C73"/>
    <w:rsid w:val="00167118"/>
    <w:rsid w:val="0016728E"/>
    <w:rsid w:val="0016782B"/>
    <w:rsid w:val="00173215"/>
    <w:rsid w:val="0017365D"/>
    <w:rsid w:val="00174240"/>
    <w:rsid w:val="00174D39"/>
    <w:rsid w:val="001765DE"/>
    <w:rsid w:val="00176C1C"/>
    <w:rsid w:val="00177886"/>
    <w:rsid w:val="00177B12"/>
    <w:rsid w:val="00177D9C"/>
    <w:rsid w:val="00177E4E"/>
    <w:rsid w:val="0018111C"/>
    <w:rsid w:val="00181D38"/>
    <w:rsid w:val="00181DF6"/>
    <w:rsid w:val="0018543F"/>
    <w:rsid w:val="0018703F"/>
    <w:rsid w:val="001872FA"/>
    <w:rsid w:val="001907CF"/>
    <w:rsid w:val="00192CE6"/>
    <w:rsid w:val="00193A41"/>
    <w:rsid w:val="001945E0"/>
    <w:rsid w:val="00194BA2"/>
    <w:rsid w:val="00194E3F"/>
    <w:rsid w:val="00195C45"/>
    <w:rsid w:val="00195E43"/>
    <w:rsid w:val="00196075"/>
    <w:rsid w:val="001A0CBA"/>
    <w:rsid w:val="001A1FF2"/>
    <w:rsid w:val="001A2472"/>
    <w:rsid w:val="001A273B"/>
    <w:rsid w:val="001A3254"/>
    <w:rsid w:val="001A3DF9"/>
    <w:rsid w:val="001A51F7"/>
    <w:rsid w:val="001A56B7"/>
    <w:rsid w:val="001A571C"/>
    <w:rsid w:val="001A604F"/>
    <w:rsid w:val="001B02A4"/>
    <w:rsid w:val="001B136C"/>
    <w:rsid w:val="001B1CF7"/>
    <w:rsid w:val="001B313D"/>
    <w:rsid w:val="001B3E82"/>
    <w:rsid w:val="001B5248"/>
    <w:rsid w:val="001B6516"/>
    <w:rsid w:val="001C13AC"/>
    <w:rsid w:val="001C6237"/>
    <w:rsid w:val="001C71A7"/>
    <w:rsid w:val="001D0228"/>
    <w:rsid w:val="001D29AC"/>
    <w:rsid w:val="001D44B2"/>
    <w:rsid w:val="001D4B00"/>
    <w:rsid w:val="001D4EEE"/>
    <w:rsid w:val="001D6CAA"/>
    <w:rsid w:val="001E0ABF"/>
    <w:rsid w:val="001E178F"/>
    <w:rsid w:val="001E310F"/>
    <w:rsid w:val="001E4E6D"/>
    <w:rsid w:val="001E509E"/>
    <w:rsid w:val="001E529E"/>
    <w:rsid w:val="001E60BF"/>
    <w:rsid w:val="001E68B0"/>
    <w:rsid w:val="001E771C"/>
    <w:rsid w:val="001F3D81"/>
    <w:rsid w:val="001F4798"/>
    <w:rsid w:val="001F5CED"/>
    <w:rsid w:val="001F65C7"/>
    <w:rsid w:val="001F7516"/>
    <w:rsid w:val="002010EE"/>
    <w:rsid w:val="00202766"/>
    <w:rsid w:val="00203FAE"/>
    <w:rsid w:val="00204D76"/>
    <w:rsid w:val="00205DA2"/>
    <w:rsid w:val="002063D6"/>
    <w:rsid w:val="00207358"/>
    <w:rsid w:val="00207376"/>
    <w:rsid w:val="00207CEB"/>
    <w:rsid w:val="002115C8"/>
    <w:rsid w:val="00212A1E"/>
    <w:rsid w:val="00212AAE"/>
    <w:rsid w:val="00212F6A"/>
    <w:rsid w:val="00213500"/>
    <w:rsid w:val="00214C89"/>
    <w:rsid w:val="00215063"/>
    <w:rsid w:val="00215947"/>
    <w:rsid w:val="00215AE7"/>
    <w:rsid w:val="002178CC"/>
    <w:rsid w:val="00220324"/>
    <w:rsid w:val="00221368"/>
    <w:rsid w:val="0022493D"/>
    <w:rsid w:val="0022723C"/>
    <w:rsid w:val="002272B3"/>
    <w:rsid w:val="002276F1"/>
    <w:rsid w:val="00227E29"/>
    <w:rsid w:val="002319F9"/>
    <w:rsid w:val="00232629"/>
    <w:rsid w:val="0023384C"/>
    <w:rsid w:val="0023419C"/>
    <w:rsid w:val="00240DC2"/>
    <w:rsid w:val="002423E6"/>
    <w:rsid w:val="00242B04"/>
    <w:rsid w:val="002471BE"/>
    <w:rsid w:val="002475C2"/>
    <w:rsid w:val="00247A05"/>
    <w:rsid w:val="00250913"/>
    <w:rsid w:val="00250BEB"/>
    <w:rsid w:val="00251D65"/>
    <w:rsid w:val="0025241C"/>
    <w:rsid w:val="002539AF"/>
    <w:rsid w:val="00254561"/>
    <w:rsid w:val="00254A32"/>
    <w:rsid w:val="00255752"/>
    <w:rsid w:val="00255F41"/>
    <w:rsid w:val="00256008"/>
    <w:rsid w:val="002579A6"/>
    <w:rsid w:val="00261918"/>
    <w:rsid w:val="00263055"/>
    <w:rsid w:val="002642B9"/>
    <w:rsid w:val="002650D5"/>
    <w:rsid w:val="00265AEE"/>
    <w:rsid w:val="00266F67"/>
    <w:rsid w:val="00273E22"/>
    <w:rsid w:val="00274330"/>
    <w:rsid w:val="00275987"/>
    <w:rsid w:val="0027633B"/>
    <w:rsid w:val="002766B4"/>
    <w:rsid w:val="002811B7"/>
    <w:rsid w:val="00283B09"/>
    <w:rsid w:val="00283B4F"/>
    <w:rsid w:val="00283F58"/>
    <w:rsid w:val="002850AA"/>
    <w:rsid w:val="00291371"/>
    <w:rsid w:val="00292CEA"/>
    <w:rsid w:val="00293A6F"/>
    <w:rsid w:val="00295164"/>
    <w:rsid w:val="00295293"/>
    <w:rsid w:val="002952F0"/>
    <w:rsid w:val="002971FC"/>
    <w:rsid w:val="00297B7B"/>
    <w:rsid w:val="00297FD2"/>
    <w:rsid w:val="002A02EB"/>
    <w:rsid w:val="002A03AD"/>
    <w:rsid w:val="002A1611"/>
    <w:rsid w:val="002A27C6"/>
    <w:rsid w:val="002A3278"/>
    <w:rsid w:val="002A3633"/>
    <w:rsid w:val="002A540E"/>
    <w:rsid w:val="002B2ACA"/>
    <w:rsid w:val="002B45FC"/>
    <w:rsid w:val="002B4A40"/>
    <w:rsid w:val="002B4A84"/>
    <w:rsid w:val="002B4FBE"/>
    <w:rsid w:val="002B69C8"/>
    <w:rsid w:val="002C670D"/>
    <w:rsid w:val="002C6792"/>
    <w:rsid w:val="002C6C21"/>
    <w:rsid w:val="002D03C1"/>
    <w:rsid w:val="002D054F"/>
    <w:rsid w:val="002D57EB"/>
    <w:rsid w:val="002D5DA0"/>
    <w:rsid w:val="002D7367"/>
    <w:rsid w:val="002E1456"/>
    <w:rsid w:val="002E24D8"/>
    <w:rsid w:val="002E3AC2"/>
    <w:rsid w:val="002E3B20"/>
    <w:rsid w:val="002E4F9B"/>
    <w:rsid w:val="002E5E4C"/>
    <w:rsid w:val="002E6C8C"/>
    <w:rsid w:val="002E7BB6"/>
    <w:rsid w:val="002F1142"/>
    <w:rsid w:val="002F2E55"/>
    <w:rsid w:val="002F4607"/>
    <w:rsid w:val="002F46E2"/>
    <w:rsid w:val="002F537F"/>
    <w:rsid w:val="003007C3"/>
    <w:rsid w:val="00300A22"/>
    <w:rsid w:val="003013A1"/>
    <w:rsid w:val="003032C2"/>
    <w:rsid w:val="0030532A"/>
    <w:rsid w:val="003057DA"/>
    <w:rsid w:val="00306101"/>
    <w:rsid w:val="00306E16"/>
    <w:rsid w:val="00307BFE"/>
    <w:rsid w:val="00311A23"/>
    <w:rsid w:val="00312771"/>
    <w:rsid w:val="00313FFB"/>
    <w:rsid w:val="0031572A"/>
    <w:rsid w:val="0031707F"/>
    <w:rsid w:val="003209DA"/>
    <w:rsid w:val="00320D9C"/>
    <w:rsid w:val="003223DA"/>
    <w:rsid w:val="00322E24"/>
    <w:rsid w:val="00323E07"/>
    <w:rsid w:val="00324AB5"/>
    <w:rsid w:val="003266A6"/>
    <w:rsid w:val="00327013"/>
    <w:rsid w:val="00334C1B"/>
    <w:rsid w:val="00335550"/>
    <w:rsid w:val="00336A4F"/>
    <w:rsid w:val="003425EF"/>
    <w:rsid w:val="003455FE"/>
    <w:rsid w:val="00346B22"/>
    <w:rsid w:val="003502EB"/>
    <w:rsid w:val="00352B39"/>
    <w:rsid w:val="0035424E"/>
    <w:rsid w:val="003545D5"/>
    <w:rsid w:val="00357888"/>
    <w:rsid w:val="0036046C"/>
    <w:rsid w:val="00361783"/>
    <w:rsid w:val="003617F8"/>
    <w:rsid w:val="00361D0A"/>
    <w:rsid w:val="00362843"/>
    <w:rsid w:val="00363F43"/>
    <w:rsid w:val="0036421A"/>
    <w:rsid w:val="0036445C"/>
    <w:rsid w:val="00364D2E"/>
    <w:rsid w:val="00366847"/>
    <w:rsid w:val="003679FB"/>
    <w:rsid w:val="003703E6"/>
    <w:rsid w:val="00371C91"/>
    <w:rsid w:val="003726F5"/>
    <w:rsid w:val="00372A31"/>
    <w:rsid w:val="00372FAD"/>
    <w:rsid w:val="00375603"/>
    <w:rsid w:val="00376BD8"/>
    <w:rsid w:val="00386EDB"/>
    <w:rsid w:val="00387A4A"/>
    <w:rsid w:val="00391158"/>
    <w:rsid w:val="00391501"/>
    <w:rsid w:val="00391DE9"/>
    <w:rsid w:val="00392614"/>
    <w:rsid w:val="00393194"/>
    <w:rsid w:val="00394A4F"/>
    <w:rsid w:val="003963F8"/>
    <w:rsid w:val="00396AC0"/>
    <w:rsid w:val="003A3995"/>
    <w:rsid w:val="003A426C"/>
    <w:rsid w:val="003A4DB4"/>
    <w:rsid w:val="003A52E0"/>
    <w:rsid w:val="003A5D67"/>
    <w:rsid w:val="003B00F6"/>
    <w:rsid w:val="003B2312"/>
    <w:rsid w:val="003B23A6"/>
    <w:rsid w:val="003B2D2C"/>
    <w:rsid w:val="003B34FA"/>
    <w:rsid w:val="003B42D7"/>
    <w:rsid w:val="003B50DC"/>
    <w:rsid w:val="003B5F6F"/>
    <w:rsid w:val="003B6373"/>
    <w:rsid w:val="003B652D"/>
    <w:rsid w:val="003B78BB"/>
    <w:rsid w:val="003C0877"/>
    <w:rsid w:val="003C1B98"/>
    <w:rsid w:val="003C3911"/>
    <w:rsid w:val="003C4677"/>
    <w:rsid w:val="003C4E7C"/>
    <w:rsid w:val="003C5A1F"/>
    <w:rsid w:val="003C61C4"/>
    <w:rsid w:val="003C6DD8"/>
    <w:rsid w:val="003C7393"/>
    <w:rsid w:val="003D458D"/>
    <w:rsid w:val="003D54B4"/>
    <w:rsid w:val="003D70AC"/>
    <w:rsid w:val="003D72F0"/>
    <w:rsid w:val="003E18C8"/>
    <w:rsid w:val="003E1B1B"/>
    <w:rsid w:val="003E6478"/>
    <w:rsid w:val="003E67AA"/>
    <w:rsid w:val="003E7A81"/>
    <w:rsid w:val="003E7B4B"/>
    <w:rsid w:val="003F02DF"/>
    <w:rsid w:val="003F0D3C"/>
    <w:rsid w:val="003F1FD1"/>
    <w:rsid w:val="003F3495"/>
    <w:rsid w:val="003F397B"/>
    <w:rsid w:val="003F425D"/>
    <w:rsid w:val="003F5643"/>
    <w:rsid w:val="003F706A"/>
    <w:rsid w:val="003F7C96"/>
    <w:rsid w:val="00400531"/>
    <w:rsid w:val="0040073D"/>
    <w:rsid w:val="00400893"/>
    <w:rsid w:val="00401E3A"/>
    <w:rsid w:val="00401EFF"/>
    <w:rsid w:val="00406006"/>
    <w:rsid w:val="004062BA"/>
    <w:rsid w:val="00410CDC"/>
    <w:rsid w:val="00411B8E"/>
    <w:rsid w:val="00411FE7"/>
    <w:rsid w:val="00413A2D"/>
    <w:rsid w:val="0041591F"/>
    <w:rsid w:val="00415ED0"/>
    <w:rsid w:val="004162A2"/>
    <w:rsid w:val="00416A5D"/>
    <w:rsid w:val="00416DD6"/>
    <w:rsid w:val="00420D5E"/>
    <w:rsid w:val="004216BD"/>
    <w:rsid w:val="00421F00"/>
    <w:rsid w:val="004237CB"/>
    <w:rsid w:val="00423E34"/>
    <w:rsid w:val="00424F2F"/>
    <w:rsid w:val="00426B17"/>
    <w:rsid w:val="004276C3"/>
    <w:rsid w:val="00427937"/>
    <w:rsid w:val="00430137"/>
    <w:rsid w:val="00430212"/>
    <w:rsid w:val="004309EA"/>
    <w:rsid w:val="00430AEC"/>
    <w:rsid w:val="004317C7"/>
    <w:rsid w:val="004325BE"/>
    <w:rsid w:val="00432615"/>
    <w:rsid w:val="0043399C"/>
    <w:rsid w:val="00434727"/>
    <w:rsid w:val="0043519E"/>
    <w:rsid w:val="00437B1C"/>
    <w:rsid w:val="00440823"/>
    <w:rsid w:val="00441D82"/>
    <w:rsid w:val="00443D7D"/>
    <w:rsid w:val="0044495D"/>
    <w:rsid w:val="00445291"/>
    <w:rsid w:val="0044577F"/>
    <w:rsid w:val="00445E28"/>
    <w:rsid w:val="0044671B"/>
    <w:rsid w:val="00446C84"/>
    <w:rsid w:val="00450157"/>
    <w:rsid w:val="0045054F"/>
    <w:rsid w:val="00451025"/>
    <w:rsid w:val="0045129A"/>
    <w:rsid w:val="00453ABB"/>
    <w:rsid w:val="00454D0B"/>
    <w:rsid w:val="00460D79"/>
    <w:rsid w:val="00462837"/>
    <w:rsid w:val="0046365B"/>
    <w:rsid w:val="00465777"/>
    <w:rsid w:val="00466293"/>
    <w:rsid w:val="00467204"/>
    <w:rsid w:val="004701D8"/>
    <w:rsid w:val="00470826"/>
    <w:rsid w:val="00470895"/>
    <w:rsid w:val="004726D8"/>
    <w:rsid w:val="004735CF"/>
    <w:rsid w:val="00474094"/>
    <w:rsid w:val="00476155"/>
    <w:rsid w:val="00477385"/>
    <w:rsid w:val="004805C2"/>
    <w:rsid w:val="00480A5D"/>
    <w:rsid w:val="00480D4F"/>
    <w:rsid w:val="00481D10"/>
    <w:rsid w:val="00482646"/>
    <w:rsid w:val="0048285D"/>
    <w:rsid w:val="00483095"/>
    <w:rsid w:val="004832ED"/>
    <w:rsid w:val="004834FB"/>
    <w:rsid w:val="0048365C"/>
    <w:rsid w:val="004859E9"/>
    <w:rsid w:val="004868BE"/>
    <w:rsid w:val="00486E62"/>
    <w:rsid w:val="00490697"/>
    <w:rsid w:val="0049216E"/>
    <w:rsid w:val="004926C6"/>
    <w:rsid w:val="00493D80"/>
    <w:rsid w:val="0049402D"/>
    <w:rsid w:val="0049530D"/>
    <w:rsid w:val="004A6A5C"/>
    <w:rsid w:val="004A764A"/>
    <w:rsid w:val="004A7A36"/>
    <w:rsid w:val="004A7A80"/>
    <w:rsid w:val="004B23B9"/>
    <w:rsid w:val="004B2FB7"/>
    <w:rsid w:val="004B3051"/>
    <w:rsid w:val="004B3F41"/>
    <w:rsid w:val="004B5EFD"/>
    <w:rsid w:val="004C0B74"/>
    <w:rsid w:val="004C5C81"/>
    <w:rsid w:val="004C709A"/>
    <w:rsid w:val="004D528F"/>
    <w:rsid w:val="004D6CCA"/>
    <w:rsid w:val="004D7E25"/>
    <w:rsid w:val="004D7F6C"/>
    <w:rsid w:val="004E11AB"/>
    <w:rsid w:val="004E1BA1"/>
    <w:rsid w:val="004E2F22"/>
    <w:rsid w:val="004E5880"/>
    <w:rsid w:val="004E629B"/>
    <w:rsid w:val="004E664F"/>
    <w:rsid w:val="004E73D6"/>
    <w:rsid w:val="004F2108"/>
    <w:rsid w:val="004F265E"/>
    <w:rsid w:val="004F4BC1"/>
    <w:rsid w:val="004F4CE8"/>
    <w:rsid w:val="004F6CF2"/>
    <w:rsid w:val="004F70F6"/>
    <w:rsid w:val="00503C45"/>
    <w:rsid w:val="00503F0F"/>
    <w:rsid w:val="005054AA"/>
    <w:rsid w:val="005069DF"/>
    <w:rsid w:val="005104A6"/>
    <w:rsid w:val="00512492"/>
    <w:rsid w:val="0051410F"/>
    <w:rsid w:val="00514986"/>
    <w:rsid w:val="005151C0"/>
    <w:rsid w:val="0051576A"/>
    <w:rsid w:val="00515C8A"/>
    <w:rsid w:val="00516B13"/>
    <w:rsid w:val="005179E2"/>
    <w:rsid w:val="00520881"/>
    <w:rsid w:val="00521397"/>
    <w:rsid w:val="00523649"/>
    <w:rsid w:val="00524009"/>
    <w:rsid w:val="00524869"/>
    <w:rsid w:val="00524BCD"/>
    <w:rsid w:val="00526F0C"/>
    <w:rsid w:val="00527551"/>
    <w:rsid w:val="00530219"/>
    <w:rsid w:val="00531457"/>
    <w:rsid w:val="00531FC3"/>
    <w:rsid w:val="00533659"/>
    <w:rsid w:val="00533F01"/>
    <w:rsid w:val="00534F1B"/>
    <w:rsid w:val="005350D1"/>
    <w:rsid w:val="00536C8C"/>
    <w:rsid w:val="005375CA"/>
    <w:rsid w:val="0054276A"/>
    <w:rsid w:val="00544132"/>
    <w:rsid w:val="0054494D"/>
    <w:rsid w:val="00544D2A"/>
    <w:rsid w:val="00546C65"/>
    <w:rsid w:val="00547A29"/>
    <w:rsid w:val="00551179"/>
    <w:rsid w:val="005516C2"/>
    <w:rsid w:val="00553DC6"/>
    <w:rsid w:val="00554E62"/>
    <w:rsid w:val="00557060"/>
    <w:rsid w:val="00557F93"/>
    <w:rsid w:val="00561032"/>
    <w:rsid w:val="005639FD"/>
    <w:rsid w:val="005647E1"/>
    <w:rsid w:val="0056509A"/>
    <w:rsid w:val="005652A8"/>
    <w:rsid w:val="00571BB4"/>
    <w:rsid w:val="00571D2D"/>
    <w:rsid w:val="00573B99"/>
    <w:rsid w:val="00575934"/>
    <w:rsid w:val="00575D38"/>
    <w:rsid w:val="00576005"/>
    <w:rsid w:val="0057647E"/>
    <w:rsid w:val="00576CED"/>
    <w:rsid w:val="00576F10"/>
    <w:rsid w:val="00577792"/>
    <w:rsid w:val="0058059E"/>
    <w:rsid w:val="00582D5D"/>
    <w:rsid w:val="00583C64"/>
    <w:rsid w:val="0058451D"/>
    <w:rsid w:val="00584965"/>
    <w:rsid w:val="005869A2"/>
    <w:rsid w:val="00586D80"/>
    <w:rsid w:val="00586E50"/>
    <w:rsid w:val="00591826"/>
    <w:rsid w:val="00592A63"/>
    <w:rsid w:val="005946A2"/>
    <w:rsid w:val="00594E25"/>
    <w:rsid w:val="00596645"/>
    <w:rsid w:val="00597D3E"/>
    <w:rsid w:val="005A16A2"/>
    <w:rsid w:val="005A17B0"/>
    <w:rsid w:val="005A1AB4"/>
    <w:rsid w:val="005A2836"/>
    <w:rsid w:val="005A2E76"/>
    <w:rsid w:val="005A45DD"/>
    <w:rsid w:val="005A4CB5"/>
    <w:rsid w:val="005A56FD"/>
    <w:rsid w:val="005A71BE"/>
    <w:rsid w:val="005B103B"/>
    <w:rsid w:val="005B14BA"/>
    <w:rsid w:val="005B1CBC"/>
    <w:rsid w:val="005B23D8"/>
    <w:rsid w:val="005B24AA"/>
    <w:rsid w:val="005B2F0D"/>
    <w:rsid w:val="005B3BDB"/>
    <w:rsid w:val="005B4065"/>
    <w:rsid w:val="005B42C3"/>
    <w:rsid w:val="005B4330"/>
    <w:rsid w:val="005B48E0"/>
    <w:rsid w:val="005C0987"/>
    <w:rsid w:val="005C2241"/>
    <w:rsid w:val="005C4A6E"/>
    <w:rsid w:val="005D0364"/>
    <w:rsid w:val="005D0939"/>
    <w:rsid w:val="005D21CE"/>
    <w:rsid w:val="005D401F"/>
    <w:rsid w:val="005D61E2"/>
    <w:rsid w:val="005D7377"/>
    <w:rsid w:val="005D7C76"/>
    <w:rsid w:val="005E184E"/>
    <w:rsid w:val="005E194E"/>
    <w:rsid w:val="005E2906"/>
    <w:rsid w:val="005E5E52"/>
    <w:rsid w:val="005E69EA"/>
    <w:rsid w:val="005F135A"/>
    <w:rsid w:val="005F28D9"/>
    <w:rsid w:val="005F3BB8"/>
    <w:rsid w:val="005F46BB"/>
    <w:rsid w:val="005F56E4"/>
    <w:rsid w:val="005F5726"/>
    <w:rsid w:val="005F6B30"/>
    <w:rsid w:val="005F7021"/>
    <w:rsid w:val="005F70F2"/>
    <w:rsid w:val="005F763F"/>
    <w:rsid w:val="005F783E"/>
    <w:rsid w:val="005F7C43"/>
    <w:rsid w:val="00601A5B"/>
    <w:rsid w:val="00606617"/>
    <w:rsid w:val="00606D69"/>
    <w:rsid w:val="00606E9D"/>
    <w:rsid w:val="006077B1"/>
    <w:rsid w:val="00610F14"/>
    <w:rsid w:val="006112EB"/>
    <w:rsid w:val="00611D1F"/>
    <w:rsid w:val="00611FB5"/>
    <w:rsid w:val="0061257E"/>
    <w:rsid w:val="00612898"/>
    <w:rsid w:val="00612A37"/>
    <w:rsid w:val="00613014"/>
    <w:rsid w:val="00613713"/>
    <w:rsid w:val="006179C3"/>
    <w:rsid w:val="0062262F"/>
    <w:rsid w:val="00624FF4"/>
    <w:rsid w:val="00626BEE"/>
    <w:rsid w:val="006302EA"/>
    <w:rsid w:val="0063033C"/>
    <w:rsid w:val="006319DF"/>
    <w:rsid w:val="0063526C"/>
    <w:rsid w:val="006404DE"/>
    <w:rsid w:val="00640505"/>
    <w:rsid w:val="00642274"/>
    <w:rsid w:val="00643166"/>
    <w:rsid w:val="006435E3"/>
    <w:rsid w:val="006453C6"/>
    <w:rsid w:val="00646928"/>
    <w:rsid w:val="006501A6"/>
    <w:rsid w:val="006550A5"/>
    <w:rsid w:val="00655DAD"/>
    <w:rsid w:val="00656DA6"/>
    <w:rsid w:val="006570C8"/>
    <w:rsid w:val="00657CBE"/>
    <w:rsid w:val="00661333"/>
    <w:rsid w:val="00662176"/>
    <w:rsid w:val="006652E8"/>
    <w:rsid w:val="00665423"/>
    <w:rsid w:val="0067067B"/>
    <w:rsid w:val="006733EA"/>
    <w:rsid w:val="00673419"/>
    <w:rsid w:val="0067562C"/>
    <w:rsid w:val="00676F3D"/>
    <w:rsid w:val="00677A33"/>
    <w:rsid w:val="0068094D"/>
    <w:rsid w:val="0068132D"/>
    <w:rsid w:val="006845B4"/>
    <w:rsid w:val="0068489A"/>
    <w:rsid w:val="0068499E"/>
    <w:rsid w:val="00684ED1"/>
    <w:rsid w:val="0069201C"/>
    <w:rsid w:val="00694149"/>
    <w:rsid w:val="00694B99"/>
    <w:rsid w:val="006969F0"/>
    <w:rsid w:val="00697C92"/>
    <w:rsid w:val="006A0211"/>
    <w:rsid w:val="006A1549"/>
    <w:rsid w:val="006A1927"/>
    <w:rsid w:val="006A1AA4"/>
    <w:rsid w:val="006A4267"/>
    <w:rsid w:val="006A474E"/>
    <w:rsid w:val="006A4A99"/>
    <w:rsid w:val="006A6CBF"/>
    <w:rsid w:val="006A70D9"/>
    <w:rsid w:val="006A74BF"/>
    <w:rsid w:val="006B4190"/>
    <w:rsid w:val="006B455F"/>
    <w:rsid w:val="006C3609"/>
    <w:rsid w:val="006C6289"/>
    <w:rsid w:val="006C71E8"/>
    <w:rsid w:val="006C7326"/>
    <w:rsid w:val="006C75C7"/>
    <w:rsid w:val="006D0F26"/>
    <w:rsid w:val="006D1D68"/>
    <w:rsid w:val="006D4AA2"/>
    <w:rsid w:val="006D77B8"/>
    <w:rsid w:val="006E31E7"/>
    <w:rsid w:val="006E339F"/>
    <w:rsid w:val="006E3423"/>
    <w:rsid w:val="006E4B37"/>
    <w:rsid w:val="006E53A4"/>
    <w:rsid w:val="006E7E65"/>
    <w:rsid w:val="006F3279"/>
    <w:rsid w:val="006F5808"/>
    <w:rsid w:val="006F60E7"/>
    <w:rsid w:val="007010B3"/>
    <w:rsid w:val="00701F71"/>
    <w:rsid w:val="007044A3"/>
    <w:rsid w:val="00704FA5"/>
    <w:rsid w:val="00705DDB"/>
    <w:rsid w:val="00706ACF"/>
    <w:rsid w:val="00707702"/>
    <w:rsid w:val="00707E8F"/>
    <w:rsid w:val="00710343"/>
    <w:rsid w:val="00710494"/>
    <w:rsid w:val="007104A9"/>
    <w:rsid w:val="007110EB"/>
    <w:rsid w:val="0071374A"/>
    <w:rsid w:val="007172DC"/>
    <w:rsid w:val="00721418"/>
    <w:rsid w:val="00721479"/>
    <w:rsid w:val="00721AB3"/>
    <w:rsid w:val="00722191"/>
    <w:rsid w:val="00722DF6"/>
    <w:rsid w:val="00735AB3"/>
    <w:rsid w:val="007416E5"/>
    <w:rsid w:val="007417B4"/>
    <w:rsid w:val="00743EB2"/>
    <w:rsid w:val="007442B7"/>
    <w:rsid w:val="00745AA8"/>
    <w:rsid w:val="00746CA3"/>
    <w:rsid w:val="007470EE"/>
    <w:rsid w:val="00747132"/>
    <w:rsid w:val="007471FA"/>
    <w:rsid w:val="007542B6"/>
    <w:rsid w:val="00754608"/>
    <w:rsid w:val="00754B1C"/>
    <w:rsid w:val="00755B84"/>
    <w:rsid w:val="007561C9"/>
    <w:rsid w:val="00756365"/>
    <w:rsid w:val="007565CD"/>
    <w:rsid w:val="007567B0"/>
    <w:rsid w:val="00756973"/>
    <w:rsid w:val="00756E8A"/>
    <w:rsid w:val="007612B2"/>
    <w:rsid w:val="00764538"/>
    <w:rsid w:val="007648FE"/>
    <w:rsid w:val="00770CB5"/>
    <w:rsid w:val="00771647"/>
    <w:rsid w:val="0077298E"/>
    <w:rsid w:val="00772A8F"/>
    <w:rsid w:val="00774710"/>
    <w:rsid w:val="00775C1E"/>
    <w:rsid w:val="00776ABF"/>
    <w:rsid w:val="00776D38"/>
    <w:rsid w:val="00777C44"/>
    <w:rsid w:val="007808FD"/>
    <w:rsid w:val="007815A6"/>
    <w:rsid w:val="007820E8"/>
    <w:rsid w:val="0078314D"/>
    <w:rsid w:val="0078325C"/>
    <w:rsid w:val="00783660"/>
    <w:rsid w:val="00784806"/>
    <w:rsid w:val="00784F24"/>
    <w:rsid w:val="007859D7"/>
    <w:rsid w:val="00786267"/>
    <w:rsid w:val="00786B34"/>
    <w:rsid w:val="00787628"/>
    <w:rsid w:val="00790796"/>
    <w:rsid w:val="0079100D"/>
    <w:rsid w:val="007912B3"/>
    <w:rsid w:val="00791336"/>
    <w:rsid w:val="00791797"/>
    <w:rsid w:val="00791B5A"/>
    <w:rsid w:val="00792FD4"/>
    <w:rsid w:val="007933C4"/>
    <w:rsid w:val="00793456"/>
    <w:rsid w:val="00793F9A"/>
    <w:rsid w:val="007941B2"/>
    <w:rsid w:val="00794818"/>
    <w:rsid w:val="0079561C"/>
    <w:rsid w:val="00796448"/>
    <w:rsid w:val="007969FB"/>
    <w:rsid w:val="007A066C"/>
    <w:rsid w:val="007A10B9"/>
    <w:rsid w:val="007A34A7"/>
    <w:rsid w:val="007A4834"/>
    <w:rsid w:val="007A561C"/>
    <w:rsid w:val="007B2A63"/>
    <w:rsid w:val="007B703B"/>
    <w:rsid w:val="007B7868"/>
    <w:rsid w:val="007C1A62"/>
    <w:rsid w:val="007C31A4"/>
    <w:rsid w:val="007C393B"/>
    <w:rsid w:val="007C49BA"/>
    <w:rsid w:val="007C4A18"/>
    <w:rsid w:val="007C55CB"/>
    <w:rsid w:val="007C5E18"/>
    <w:rsid w:val="007C6406"/>
    <w:rsid w:val="007D03AC"/>
    <w:rsid w:val="007D0977"/>
    <w:rsid w:val="007D167E"/>
    <w:rsid w:val="007D4875"/>
    <w:rsid w:val="007D7744"/>
    <w:rsid w:val="007D7971"/>
    <w:rsid w:val="007E026F"/>
    <w:rsid w:val="007E090F"/>
    <w:rsid w:val="007E2686"/>
    <w:rsid w:val="007E4F7F"/>
    <w:rsid w:val="007E52EC"/>
    <w:rsid w:val="007E5E23"/>
    <w:rsid w:val="007F006A"/>
    <w:rsid w:val="007F0488"/>
    <w:rsid w:val="007F17FF"/>
    <w:rsid w:val="007F25A6"/>
    <w:rsid w:val="007F2CA1"/>
    <w:rsid w:val="007F394A"/>
    <w:rsid w:val="007F4519"/>
    <w:rsid w:val="00800FE9"/>
    <w:rsid w:val="008021ED"/>
    <w:rsid w:val="00803323"/>
    <w:rsid w:val="008033D7"/>
    <w:rsid w:val="00804AD4"/>
    <w:rsid w:val="00804AE4"/>
    <w:rsid w:val="00804BAE"/>
    <w:rsid w:val="0080590E"/>
    <w:rsid w:val="00810203"/>
    <w:rsid w:val="008113DF"/>
    <w:rsid w:val="0081437E"/>
    <w:rsid w:val="0081443E"/>
    <w:rsid w:val="008154DB"/>
    <w:rsid w:val="0081627C"/>
    <w:rsid w:val="00816B32"/>
    <w:rsid w:val="00817909"/>
    <w:rsid w:val="00820146"/>
    <w:rsid w:val="00821692"/>
    <w:rsid w:val="008226D3"/>
    <w:rsid w:val="00822823"/>
    <w:rsid w:val="00822DA0"/>
    <w:rsid w:val="0082347F"/>
    <w:rsid w:val="00823584"/>
    <w:rsid w:val="008236D7"/>
    <w:rsid w:val="00823A38"/>
    <w:rsid w:val="00823B7A"/>
    <w:rsid w:val="00824026"/>
    <w:rsid w:val="0082477B"/>
    <w:rsid w:val="008259FE"/>
    <w:rsid w:val="00825CD1"/>
    <w:rsid w:val="008301AA"/>
    <w:rsid w:val="00830375"/>
    <w:rsid w:val="00830930"/>
    <w:rsid w:val="00830FFF"/>
    <w:rsid w:val="00831F35"/>
    <w:rsid w:val="00835885"/>
    <w:rsid w:val="00836554"/>
    <w:rsid w:val="00837D7C"/>
    <w:rsid w:val="008423AB"/>
    <w:rsid w:val="008426D7"/>
    <w:rsid w:val="0084294D"/>
    <w:rsid w:val="0084327F"/>
    <w:rsid w:val="00843A7F"/>
    <w:rsid w:val="00843AE7"/>
    <w:rsid w:val="00843CF6"/>
    <w:rsid w:val="00844AF3"/>
    <w:rsid w:val="00845B74"/>
    <w:rsid w:val="00846024"/>
    <w:rsid w:val="008509CD"/>
    <w:rsid w:val="008514E4"/>
    <w:rsid w:val="00852065"/>
    <w:rsid w:val="0085292A"/>
    <w:rsid w:val="00853B08"/>
    <w:rsid w:val="00853CEB"/>
    <w:rsid w:val="0085577F"/>
    <w:rsid w:val="00857435"/>
    <w:rsid w:val="00857F59"/>
    <w:rsid w:val="00860D5C"/>
    <w:rsid w:val="00861A5C"/>
    <w:rsid w:val="00862417"/>
    <w:rsid w:val="008636C2"/>
    <w:rsid w:val="00866CC8"/>
    <w:rsid w:val="0086743E"/>
    <w:rsid w:val="00867F7B"/>
    <w:rsid w:val="008712C0"/>
    <w:rsid w:val="008720F9"/>
    <w:rsid w:val="00876275"/>
    <w:rsid w:val="0087760E"/>
    <w:rsid w:val="0087780A"/>
    <w:rsid w:val="008830CB"/>
    <w:rsid w:val="0088342A"/>
    <w:rsid w:val="00883D01"/>
    <w:rsid w:val="0088411C"/>
    <w:rsid w:val="00884DDF"/>
    <w:rsid w:val="00886675"/>
    <w:rsid w:val="008870D0"/>
    <w:rsid w:val="00890B64"/>
    <w:rsid w:val="00890D2F"/>
    <w:rsid w:val="00891528"/>
    <w:rsid w:val="008916CF"/>
    <w:rsid w:val="0089292F"/>
    <w:rsid w:val="008933A5"/>
    <w:rsid w:val="00893E48"/>
    <w:rsid w:val="00895BCD"/>
    <w:rsid w:val="00896454"/>
    <w:rsid w:val="00896779"/>
    <w:rsid w:val="008A074F"/>
    <w:rsid w:val="008A07BE"/>
    <w:rsid w:val="008A1297"/>
    <w:rsid w:val="008A1E22"/>
    <w:rsid w:val="008A2103"/>
    <w:rsid w:val="008A2DC6"/>
    <w:rsid w:val="008A2EF6"/>
    <w:rsid w:val="008A48EC"/>
    <w:rsid w:val="008A5641"/>
    <w:rsid w:val="008A6587"/>
    <w:rsid w:val="008A7247"/>
    <w:rsid w:val="008B0119"/>
    <w:rsid w:val="008B05EB"/>
    <w:rsid w:val="008B0DD7"/>
    <w:rsid w:val="008B1407"/>
    <w:rsid w:val="008B1963"/>
    <w:rsid w:val="008B1D4D"/>
    <w:rsid w:val="008B2311"/>
    <w:rsid w:val="008B3100"/>
    <w:rsid w:val="008B6C01"/>
    <w:rsid w:val="008B77B2"/>
    <w:rsid w:val="008C07B5"/>
    <w:rsid w:val="008C0C38"/>
    <w:rsid w:val="008C0EA3"/>
    <w:rsid w:val="008C0F09"/>
    <w:rsid w:val="008C1972"/>
    <w:rsid w:val="008C2DAB"/>
    <w:rsid w:val="008C32D3"/>
    <w:rsid w:val="008C3F52"/>
    <w:rsid w:val="008C4FBE"/>
    <w:rsid w:val="008C6E7D"/>
    <w:rsid w:val="008D0C93"/>
    <w:rsid w:val="008D37F1"/>
    <w:rsid w:val="008D3EB4"/>
    <w:rsid w:val="008D3FF1"/>
    <w:rsid w:val="008D4B6A"/>
    <w:rsid w:val="008D505E"/>
    <w:rsid w:val="008D5D70"/>
    <w:rsid w:val="008D5FBE"/>
    <w:rsid w:val="008D79DC"/>
    <w:rsid w:val="008E0D1B"/>
    <w:rsid w:val="008E3D17"/>
    <w:rsid w:val="008E4939"/>
    <w:rsid w:val="008E6733"/>
    <w:rsid w:val="008F0606"/>
    <w:rsid w:val="008F0635"/>
    <w:rsid w:val="008F0A5E"/>
    <w:rsid w:val="008F0C39"/>
    <w:rsid w:val="008F521F"/>
    <w:rsid w:val="008F5913"/>
    <w:rsid w:val="008F60F4"/>
    <w:rsid w:val="008F6AFB"/>
    <w:rsid w:val="008F6C06"/>
    <w:rsid w:val="008F79BC"/>
    <w:rsid w:val="009002AC"/>
    <w:rsid w:val="009008FD"/>
    <w:rsid w:val="00901397"/>
    <w:rsid w:val="00901846"/>
    <w:rsid w:val="00901C3A"/>
    <w:rsid w:val="00902ACF"/>
    <w:rsid w:val="009035E5"/>
    <w:rsid w:val="00904B1C"/>
    <w:rsid w:val="00904BE2"/>
    <w:rsid w:val="00905142"/>
    <w:rsid w:val="00905C4C"/>
    <w:rsid w:val="00910CA2"/>
    <w:rsid w:val="009112B5"/>
    <w:rsid w:val="0091136E"/>
    <w:rsid w:val="00911C8B"/>
    <w:rsid w:val="00912326"/>
    <w:rsid w:val="00912A4F"/>
    <w:rsid w:val="00912ED8"/>
    <w:rsid w:val="00914FFB"/>
    <w:rsid w:val="00916430"/>
    <w:rsid w:val="00916D97"/>
    <w:rsid w:val="009172FE"/>
    <w:rsid w:val="0091786F"/>
    <w:rsid w:val="00920B3C"/>
    <w:rsid w:val="009219E4"/>
    <w:rsid w:val="00921C96"/>
    <w:rsid w:val="0092378C"/>
    <w:rsid w:val="00924072"/>
    <w:rsid w:val="00924875"/>
    <w:rsid w:val="0092517A"/>
    <w:rsid w:val="00925263"/>
    <w:rsid w:val="00926CEF"/>
    <w:rsid w:val="00930CE6"/>
    <w:rsid w:val="00931B87"/>
    <w:rsid w:val="00932276"/>
    <w:rsid w:val="00934204"/>
    <w:rsid w:val="009369BD"/>
    <w:rsid w:val="0093760A"/>
    <w:rsid w:val="0094182E"/>
    <w:rsid w:val="00941F0B"/>
    <w:rsid w:val="00942ECC"/>
    <w:rsid w:val="00944F63"/>
    <w:rsid w:val="00945854"/>
    <w:rsid w:val="00946FC9"/>
    <w:rsid w:val="0094780E"/>
    <w:rsid w:val="00947EF8"/>
    <w:rsid w:val="009505EE"/>
    <w:rsid w:val="009520AC"/>
    <w:rsid w:val="00952D38"/>
    <w:rsid w:val="009561CD"/>
    <w:rsid w:val="00962CCB"/>
    <w:rsid w:val="00962F39"/>
    <w:rsid w:val="009633DD"/>
    <w:rsid w:val="00963D49"/>
    <w:rsid w:val="00964E66"/>
    <w:rsid w:val="00965178"/>
    <w:rsid w:val="009658E3"/>
    <w:rsid w:val="00970B7E"/>
    <w:rsid w:val="00971167"/>
    <w:rsid w:val="0097281E"/>
    <w:rsid w:val="009736E2"/>
    <w:rsid w:val="00973D29"/>
    <w:rsid w:val="00977647"/>
    <w:rsid w:val="009777B3"/>
    <w:rsid w:val="00977A1A"/>
    <w:rsid w:val="00982D40"/>
    <w:rsid w:val="0098463C"/>
    <w:rsid w:val="00984AD8"/>
    <w:rsid w:val="00985ABC"/>
    <w:rsid w:val="00986263"/>
    <w:rsid w:val="00987151"/>
    <w:rsid w:val="00987924"/>
    <w:rsid w:val="009905A8"/>
    <w:rsid w:val="00990786"/>
    <w:rsid w:val="00990E61"/>
    <w:rsid w:val="00991281"/>
    <w:rsid w:val="009962D0"/>
    <w:rsid w:val="00996B18"/>
    <w:rsid w:val="009A05C5"/>
    <w:rsid w:val="009A06D9"/>
    <w:rsid w:val="009A165A"/>
    <w:rsid w:val="009A302E"/>
    <w:rsid w:val="009A514E"/>
    <w:rsid w:val="009A68D3"/>
    <w:rsid w:val="009A73A8"/>
    <w:rsid w:val="009B15BB"/>
    <w:rsid w:val="009B2A42"/>
    <w:rsid w:val="009B2EC8"/>
    <w:rsid w:val="009B3348"/>
    <w:rsid w:val="009B44F6"/>
    <w:rsid w:val="009B4B78"/>
    <w:rsid w:val="009B510D"/>
    <w:rsid w:val="009B53BE"/>
    <w:rsid w:val="009B5729"/>
    <w:rsid w:val="009B6EE1"/>
    <w:rsid w:val="009B6FFE"/>
    <w:rsid w:val="009C0882"/>
    <w:rsid w:val="009C1522"/>
    <w:rsid w:val="009C38A0"/>
    <w:rsid w:val="009C5751"/>
    <w:rsid w:val="009C5ECC"/>
    <w:rsid w:val="009C7041"/>
    <w:rsid w:val="009C729D"/>
    <w:rsid w:val="009C7489"/>
    <w:rsid w:val="009C7A31"/>
    <w:rsid w:val="009D064D"/>
    <w:rsid w:val="009D0D47"/>
    <w:rsid w:val="009D44D1"/>
    <w:rsid w:val="009D4684"/>
    <w:rsid w:val="009D5125"/>
    <w:rsid w:val="009D5BEF"/>
    <w:rsid w:val="009E0771"/>
    <w:rsid w:val="009E0AF6"/>
    <w:rsid w:val="009E1ECD"/>
    <w:rsid w:val="009E225B"/>
    <w:rsid w:val="009E6FA4"/>
    <w:rsid w:val="009E7743"/>
    <w:rsid w:val="009F0F9C"/>
    <w:rsid w:val="009F11A8"/>
    <w:rsid w:val="009F46B7"/>
    <w:rsid w:val="009F6590"/>
    <w:rsid w:val="009F68C5"/>
    <w:rsid w:val="009F6A7A"/>
    <w:rsid w:val="00A000D9"/>
    <w:rsid w:val="00A0092C"/>
    <w:rsid w:val="00A018F8"/>
    <w:rsid w:val="00A0261A"/>
    <w:rsid w:val="00A03770"/>
    <w:rsid w:val="00A040A1"/>
    <w:rsid w:val="00A0442B"/>
    <w:rsid w:val="00A04BAF"/>
    <w:rsid w:val="00A05867"/>
    <w:rsid w:val="00A05C81"/>
    <w:rsid w:val="00A074C3"/>
    <w:rsid w:val="00A07910"/>
    <w:rsid w:val="00A134FB"/>
    <w:rsid w:val="00A13781"/>
    <w:rsid w:val="00A13BA0"/>
    <w:rsid w:val="00A21C42"/>
    <w:rsid w:val="00A22303"/>
    <w:rsid w:val="00A2265C"/>
    <w:rsid w:val="00A24B71"/>
    <w:rsid w:val="00A25501"/>
    <w:rsid w:val="00A2591D"/>
    <w:rsid w:val="00A26210"/>
    <w:rsid w:val="00A26F86"/>
    <w:rsid w:val="00A27970"/>
    <w:rsid w:val="00A31A5C"/>
    <w:rsid w:val="00A3233C"/>
    <w:rsid w:val="00A32D23"/>
    <w:rsid w:val="00A33B11"/>
    <w:rsid w:val="00A37B30"/>
    <w:rsid w:val="00A37ECB"/>
    <w:rsid w:val="00A435BC"/>
    <w:rsid w:val="00A43B7D"/>
    <w:rsid w:val="00A44A38"/>
    <w:rsid w:val="00A456C2"/>
    <w:rsid w:val="00A50003"/>
    <w:rsid w:val="00A52C16"/>
    <w:rsid w:val="00A532C6"/>
    <w:rsid w:val="00A533A7"/>
    <w:rsid w:val="00A53733"/>
    <w:rsid w:val="00A53B3D"/>
    <w:rsid w:val="00A544DF"/>
    <w:rsid w:val="00A54DB1"/>
    <w:rsid w:val="00A55808"/>
    <w:rsid w:val="00A5712B"/>
    <w:rsid w:val="00A600D6"/>
    <w:rsid w:val="00A60322"/>
    <w:rsid w:val="00A6138C"/>
    <w:rsid w:val="00A619ED"/>
    <w:rsid w:val="00A61DC9"/>
    <w:rsid w:val="00A62208"/>
    <w:rsid w:val="00A6280F"/>
    <w:rsid w:val="00A62969"/>
    <w:rsid w:val="00A651A3"/>
    <w:rsid w:val="00A66D78"/>
    <w:rsid w:val="00A70CB1"/>
    <w:rsid w:val="00A71B74"/>
    <w:rsid w:val="00A72414"/>
    <w:rsid w:val="00A7308B"/>
    <w:rsid w:val="00A73A05"/>
    <w:rsid w:val="00A73D13"/>
    <w:rsid w:val="00A8014D"/>
    <w:rsid w:val="00A829BE"/>
    <w:rsid w:val="00A83A38"/>
    <w:rsid w:val="00A849A4"/>
    <w:rsid w:val="00A861E5"/>
    <w:rsid w:val="00A909CA"/>
    <w:rsid w:val="00A91284"/>
    <w:rsid w:val="00A93FD3"/>
    <w:rsid w:val="00A94AD5"/>
    <w:rsid w:val="00A95189"/>
    <w:rsid w:val="00A967FB"/>
    <w:rsid w:val="00A9754F"/>
    <w:rsid w:val="00AA09D8"/>
    <w:rsid w:val="00AA4A56"/>
    <w:rsid w:val="00AA5833"/>
    <w:rsid w:val="00AA5954"/>
    <w:rsid w:val="00AA6CC0"/>
    <w:rsid w:val="00AA6DB0"/>
    <w:rsid w:val="00AB0BAA"/>
    <w:rsid w:val="00AB1A30"/>
    <w:rsid w:val="00AB2D7B"/>
    <w:rsid w:val="00AB52CC"/>
    <w:rsid w:val="00AB59D2"/>
    <w:rsid w:val="00AB6D83"/>
    <w:rsid w:val="00AC23F7"/>
    <w:rsid w:val="00AC2D83"/>
    <w:rsid w:val="00AC31C5"/>
    <w:rsid w:val="00AC368F"/>
    <w:rsid w:val="00AC4217"/>
    <w:rsid w:val="00AC453F"/>
    <w:rsid w:val="00AC45E8"/>
    <w:rsid w:val="00AD0584"/>
    <w:rsid w:val="00AD0C7A"/>
    <w:rsid w:val="00AD4A40"/>
    <w:rsid w:val="00AD50C7"/>
    <w:rsid w:val="00AD6151"/>
    <w:rsid w:val="00AD64F1"/>
    <w:rsid w:val="00AE1E8D"/>
    <w:rsid w:val="00AE465B"/>
    <w:rsid w:val="00AE62A8"/>
    <w:rsid w:val="00AE7E46"/>
    <w:rsid w:val="00AF095C"/>
    <w:rsid w:val="00AF1F6C"/>
    <w:rsid w:val="00AF22CC"/>
    <w:rsid w:val="00AF4353"/>
    <w:rsid w:val="00AF4D92"/>
    <w:rsid w:val="00AF6C38"/>
    <w:rsid w:val="00B00003"/>
    <w:rsid w:val="00B01520"/>
    <w:rsid w:val="00B01716"/>
    <w:rsid w:val="00B01EAE"/>
    <w:rsid w:val="00B03297"/>
    <w:rsid w:val="00B03A65"/>
    <w:rsid w:val="00B05DA7"/>
    <w:rsid w:val="00B11E4C"/>
    <w:rsid w:val="00B12F4C"/>
    <w:rsid w:val="00B14854"/>
    <w:rsid w:val="00B16A46"/>
    <w:rsid w:val="00B20823"/>
    <w:rsid w:val="00B214F4"/>
    <w:rsid w:val="00B22BFD"/>
    <w:rsid w:val="00B2308F"/>
    <w:rsid w:val="00B23E18"/>
    <w:rsid w:val="00B2575C"/>
    <w:rsid w:val="00B32DF0"/>
    <w:rsid w:val="00B33892"/>
    <w:rsid w:val="00B35F57"/>
    <w:rsid w:val="00B365DE"/>
    <w:rsid w:val="00B36641"/>
    <w:rsid w:val="00B36CB4"/>
    <w:rsid w:val="00B36D15"/>
    <w:rsid w:val="00B3751C"/>
    <w:rsid w:val="00B37D63"/>
    <w:rsid w:val="00B43145"/>
    <w:rsid w:val="00B43160"/>
    <w:rsid w:val="00B44492"/>
    <w:rsid w:val="00B453F1"/>
    <w:rsid w:val="00B456BF"/>
    <w:rsid w:val="00B472FB"/>
    <w:rsid w:val="00B50E8C"/>
    <w:rsid w:val="00B513DB"/>
    <w:rsid w:val="00B524FD"/>
    <w:rsid w:val="00B53329"/>
    <w:rsid w:val="00B539C3"/>
    <w:rsid w:val="00B54B68"/>
    <w:rsid w:val="00B55280"/>
    <w:rsid w:val="00B5587D"/>
    <w:rsid w:val="00B57436"/>
    <w:rsid w:val="00B63F9B"/>
    <w:rsid w:val="00B676B5"/>
    <w:rsid w:val="00B70D9A"/>
    <w:rsid w:val="00B70FC9"/>
    <w:rsid w:val="00B738E0"/>
    <w:rsid w:val="00B762E4"/>
    <w:rsid w:val="00B77291"/>
    <w:rsid w:val="00B80AB5"/>
    <w:rsid w:val="00B83245"/>
    <w:rsid w:val="00B84020"/>
    <w:rsid w:val="00B849DE"/>
    <w:rsid w:val="00B86E27"/>
    <w:rsid w:val="00B908AE"/>
    <w:rsid w:val="00B94D8D"/>
    <w:rsid w:val="00B94EBC"/>
    <w:rsid w:val="00B95384"/>
    <w:rsid w:val="00B95BD1"/>
    <w:rsid w:val="00B96927"/>
    <w:rsid w:val="00B97498"/>
    <w:rsid w:val="00B975AD"/>
    <w:rsid w:val="00BA0BA6"/>
    <w:rsid w:val="00BA20AB"/>
    <w:rsid w:val="00BA299D"/>
    <w:rsid w:val="00BA3506"/>
    <w:rsid w:val="00BA40AB"/>
    <w:rsid w:val="00BA48EC"/>
    <w:rsid w:val="00BA55D8"/>
    <w:rsid w:val="00BA5C28"/>
    <w:rsid w:val="00BA642E"/>
    <w:rsid w:val="00BB19F3"/>
    <w:rsid w:val="00BB2910"/>
    <w:rsid w:val="00BB407E"/>
    <w:rsid w:val="00BB46FD"/>
    <w:rsid w:val="00BB53C6"/>
    <w:rsid w:val="00BB5EA6"/>
    <w:rsid w:val="00BB5FA2"/>
    <w:rsid w:val="00BB6096"/>
    <w:rsid w:val="00BB7133"/>
    <w:rsid w:val="00BB7445"/>
    <w:rsid w:val="00BC0975"/>
    <w:rsid w:val="00BC0DCA"/>
    <w:rsid w:val="00BC2161"/>
    <w:rsid w:val="00BC50A6"/>
    <w:rsid w:val="00BC5307"/>
    <w:rsid w:val="00BC6B69"/>
    <w:rsid w:val="00BC76F5"/>
    <w:rsid w:val="00BD1D8B"/>
    <w:rsid w:val="00BD396B"/>
    <w:rsid w:val="00BD3C43"/>
    <w:rsid w:val="00BD4505"/>
    <w:rsid w:val="00BD55CC"/>
    <w:rsid w:val="00BD5855"/>
    <w:rsid w:val="00BD7FBD"/>
    <w:rsid w:val="00BE074D"/>
    <w:rsid w:val="00BE224D"/>
    <w:rsid w:val="00BE24F4"/>
    <w:rsid w:val="00BE2761"/>
    <w:rsid w:val="00BE68A8"/>
    <w:rsid w:val="00BE7170"/>
    <w:rsid w:val="00BF06FD"/>
    <w:rsid w:val="00BF2A49"/>
    <w:rsid w:val="00BF3245"/>
    <w:rsid w:val="00BF4935"/>
    <w:rsid w:val="00C00492"/>
    <w:rsid w:val="00C00534"/>
    <w:rsid w:val="00C01B29"/>
    <w:rsid w:val="00C0254F"/>
    <w:rsid w:val="00C0275A"/>
    <w:rsid w:val="00C03210"/>
    <w:rsid w:val="00C06EB3"/>
    <w:rsid w:val="00C0706E"/>
    <w:rsid w:val="00C079B8"/>
    <w:rsid w:val="00C10E10"/>
    <w:rsid w:val="00C11ABE"/>
    <w:rsid w:val="00C12A97"/>
    <w:rsid w:val="00C14F2B"/>
    <w:rsid w:val="00C15A67"/>
    <w:rsid w:val="00C16A8F"/>
    <w:rsid w:val="00C1719D"/>
    <w:rsid w:val="00C21348"/>
    <w:rsid w:val="00C21454"/>
    <w:rsid w:val="00C217C2"/>
    <w:rsid w:val="00C21B97"/>
    <w:rsid w:val="00C2609B"/>
    <w:rsid w:val="00C2631F"/>
    <w:rsid w:val="00C2685B"/>
    <w:rsid w:val="00C27717"/>
    <w:rsid w:val="00C3000D"/>
    <w:rsid w:val="00C30BDC"/>
    <w:rsid w:val="00C30E50"/>
    <w:rsid w:val="00C30E78"/>
    <w:rsid w:val="00C3137F"/>
    <w:rsid w:val="00C31DEC"/>
    <w:rsid w:val="00C331A5"/>
    <w:rsid w:val="00C333BE"/>
    <w:rsid w:val="00C352D0"/>
    <w:rsid w:val="00C37EF2"/>
    <w:rsid w:val="00C40CFF"/>
    <w:rsid w:val="00C41213"/>
    <w:rsid w:val="00C415AC"/>
    <w:rsid w:val="00C42106"/>
    <w:rsid w:val="00C425FB"/>
    <w:rsid w:val="00C42BB7"/>
    <w:rsid w:val="00C46FD6"/>
    <w:rsid w:val="00C47DF1"/>
    <w:rsid w:val="00C50CD7"/>
    <w:rsid w:val="00C50DD2"/>
    <w:rsid w:val="00C51A68"/>
    <w:rsid w:val="00C51CB1"/>
    <w:rsid w:val="00C51FD8"/>
    <w:rsid w:val="00C52935"/>
    <w:rsid w:val="00C5459B"/>
    <w:rsid w:val="00C545C7"/>
    <w:rsid w:val="00C54E0E"/>
    <w:rsid w:val="00C56293"/>
    <w:rsid w:val="00C57440"/>
    <w:rsid w:val="00C57F10"/>
    <w:rsid w:val="00C63C32"/>
    <w:rsid w:val="00C653D5"/>
    <w:rsid w:val="00C658EA"/>
    <w:rsid w:val="00C662F9"/>
    <w:rsid w:val="00C7042B"/>
    <w:rsid w:val="00C70D79"/>
    <w:rsid w:val="00C742B8"/>
    <w:rsid w:val="00C75A32"/>
    <w:rsid w:val="00C75DF6"/>
    <w:rsid w:val="00C75EE8"/>
    <w:rsid w:val="00C760F7"/>
    <w:rsid w:val="00C822C7"/>
    <w:rsid w:val="00C8335E"/>
    <w:rsid w:val="00C86ACE"/>
    <w:rsid w:val="00C876D7"/>
    <w:rsid w:val="00C90705"/>
    <w:rsid w:val="00C90E07"/>
    <w:rsid w:val="00C9152F"/>
    <w:rsid w:val="00C91F8C"/>
    <w:rsid w:val="00C925E1"/>
    <w:rsid w:val="00C92D8A"/>
    <w:rsid w:val="00C94344"/>
    <w:rsid w:val="00C96293"/>
    <w:rsid w:val="00C97462"/>
    <w:rsid w:val="00CA00B8"/>
    <w:rsid w:val="00CA0CD4"/>
    <w:rsid w:val="00CA15F9"/>
    <w:rsid w:val="00CA1ED0"/>
    <w:rsid w:val="00CA2BEB"/>
    <w:rsid w:val="00CA3EBB"/>
    <w:rsid w:val="00CA4CC8"/>
    <w:rsid w:val="00CB15D8"/>
    <w:rsid w:val="00CB35FD"/>
    <w:rsid w:val="00CB4377"/>
    <w:rsid w:val="00CB7176"/>
    <w:rsid w:val="00CC08EC"/>
    <w:rsid w:val="00CC1303"/>
    <w:rsid w:val="00CC4463"/>
    <w:rsid w:val="00CC4515"/>
    <w:rsid w:val="00CC5061"/>
    <w:rsid w:val="00CD0533"/>
    <w:rsid w:val="00CD056B"/>
    <w:rsid w:val="00CD1863"/>
    <w:rsid w:val="00CD46C5"/>
    <w:rsid w:val="00CD4A0E"/>
    <w:rsid w:val="00CE2182"/>
    <w:rsid w:val="00CE6B86"/>
    <w:rsid w:val="00CE7DC9"/>
    <w:rsid w:val="00CF0714"/>
    <w:rsid w:val="00CF3A54"/>
    <w:rsid w:val="00CF41F1"/>
    <w:rsid w:val="00CF6707"/>
    <w:rsid w:val="00D00E5F"/>
    <w:rsid w:val="00D024A5"/>
    <w:rsid w:val="00D033B9"/>
    <w:rsid w:val="00D035A7"/>
    <w:rsid w:val="00D03F11"/>
    <w:rsid w:val="00D055AE"/>
    <w:rsid w:val="00D05F93"/>
    <w:rsid w:val="00D108F8"/>
    <w:rsid w:val="00D1221E"/>
    <w:rsid w:val="00D12756"/>
    <w:rsid w:val="00D14222"/>
    <w:rsid w:val="00D14907"/>
    <w:rsid w:val="00D14E25"/>
    <w:rsid w:val="00D165AA"/>
    <w:rsid w:val="00D16838"/>
    <w:rsid w:val="00D170FF"/>
    <w:rsid w:val="00D206EB"/>
    <w:rsid w:val="00D215D8"/>
    <w:rsid w:val="00D22DEF"/>
    <w:rsid w:val="00D255B0"/>
    <w:rsid w:val="00D256BE"/>
    <w:rsid w:val="00D25E6E"/>
    <w:rsid w:val="00D26325"/>
    <w:rsid w:val="00D27466"/>
    <w:rsid w:val="00D2789F"/>
    <w:rsid w:val="00D3056D"/>
    <w:rsid w:val="00D355FD"/>
    <w:rsid w:val="00D368F0"/>
    <w:rsid w:val="00D4023B"/>
    <w:rsid w:val="00D404DF"/>
    <w:rsid w:val="00D42CFE"/>
    <w:rsid w:val="00D42E1F"/>
    <w:rsid w:val="00D431EA"/>
    <w:rsid w:val="00D4342D"/>
    <w:rsid w:val="00D4364F"/>
    <w:rsid w:val="00D4400A"/>
    <w:rsid w:val="00D460D3"/>
    <w:rsid w:val="00D5056B"/>
    <w:rsid w:val="00D50911"/>
    <w:rsid w:val="00D52547"/>
    <w:rsid w:val="00D53A14"/>
    <w:rsid w:val="00D5401B"/>
    <w:rsid w:val="00D5462E"/>
    <w:rsid w:val="00D54EE5"/>
    <w:rsid w:val="00D5520E"/>
    <w:rsid w:val="00D564AA"/>
    <w:rsid w:val="00D63341"/>
    <w:rsid w:val="00D63A0C"/>
    <w:rsid w:val="00D6756D"/>
    <w:rsid w:val="00D67E1D"/>
    <w:rsid w:val="00D72293"/>
    <w:rsid w:val="00D749B3"/>
    <w:rsid w:val="00D751BF"/>
    <w:rsid w:val="00D77E51"/>
    <w:rsid w:val="00D818C3"/>
    <w:rsid w:val="00D83F06"/>
    <w:rsid w:val="00D84996"/>
    <w:rsid w:val="00D85418"/>
    <w:rsid w:val="00D8604B"/>
    <w:rsid w:val="00D87B2D"/>
    <w:rsid w:val="00D90B58"/>
    <w:rsid w:val="00D91811"/>
    <w:rsid w:val="00D93528"/>
    <w:rsid w:val="00D9368F"/>
    <w:rsid w:val="00D96686"/>
    <w:rsid w:val="00D96D5D"/>
    <w:rsid w:val="00D974B4"/>
    <w:rsid w:val="00D976F6"/>
    <w:rsid w:val="00DA17E5"/>
    <w:rsid w:val="00DA2EC6"/>
    <w:rsid w:val="00DA2ED6"/>
    <w:rsid w:val="00DA41EF"/>
    <w:rsid w:val="00DA4E1A"/>
    <w:rsid w:val="00DA582D"/>
    <w:rsid w:val="00DA5E0A"/>
    <w:rsid w:val="00DB2136"/>
    <w:rsid w:val="00DB30A1"/>
    <w:rsid w:val="00DB3871"/>
    <w:rsid w:val="00DB46BE"/>
    <w:rsid w:val="00DB6AA0"/>
    <w:rsid w:val="00DB7E43"/>
    <w:rsid w:val="00DC0ED3"/>
    <w:rsid w:val="00DC1A05"/>
    <w:rsid w:val="00DC2B70"/>
    <w:rsid w:val="00DC3569"/>
    <w:rsid w:val="00DC3660"/>
    <w:rsid w:val="00DC3F49"/>
    <w:rsid w:val="00DC431A"/>
    <w:rsid w:val="00DC4FCE"/>
    <w:rsid w:val="00DC5130"/>
    <w:rsid w:val="00DC5267"/>
    <w:rsid w:val="00DD286A"/>
    <w:rsid w:val="00DD30A4"/>
    <w:rsid w:val="00DD5EF1"/>
    <w:rsid w:val="00DD5FB0"/>
    <w:rsid w:val="00DD67B3"/>
    <w:rsid w:val="00DD7618"/>
    <w:rsid w:val="00DD7978"/>
    <w:rsid w:val="00DE19FF"/>
    <w:rsid w:val="00DE28FA"/>
    <w:rsid w:val="00DE3A85"/>
    <w:rsid w:val="00DE5A0F"/>
    <w:rsid w:val="00DE658C"/>
    <w:rsid w:val="00DE6CA2"/>
    <w:rsid w:val="00DF1388"/>
    <w:rsid w:val="00DF2249"/>
    <w:rsid w:val="00DF2AF8"/>
    <w:rsid w:val="00E0059E"/>
    <w:rsid w:val="00E0129C"/>
    <w:rsid w:val="00E01752"/>
    <w:rsid w:val="00E03A16"/>
    <w:rsid w:val="00E04DEA"/>
    <w:rsid w:val="00E11548"/>
    <w:rsid w:val="00E153CF"/>
    <w:rsid w:val="00E1735F"/>
    <w:rsid w:val="00E17BA3"/>
    <w:rsid w:val="00E17F80"/>
    <w:rsid w:val="00E202A9"/>
    <w:rsid w:val="00E21332"/>
    <w:rsid w:val="00E2263B"/>
    <w:rsid w:val="00E23E90"/>
    <w:rsid w:val="00E2577B"/>
    <w:rsid w:val="00E268B6"/>
    <w:rsid w:val="00E26C1E"/>
    <w:rsid w:val="00E2724C"/>
    <w:rsid w:val="00E2761B"/>
    <w:rsid w:val="00E27C91"/>
    <w:rsid w:val="00E3321D"/>
    <w:rsid w:val="00E33A0F"/>
    <w:rsid w:val="00E33BDC"/>
    <w:rsid w:val="00E35FED"/>
    <w:rsid w:val="00E362BA"/>
    <w:rsid w:val="00E40E64"/>
    <w:rsid w:val="00E42EF1"/>
    <w:rsid w:val="00E44399"/>
    <w:rsid w:val="00E44EB9"/>
    <w:rsid w:val="00E45293"/>
    <w:rsid w:val="00E56D1A"/>
    <w:rsid w:val="00E56EA5"/>
    <w:rsid w:val="00E57C77"/>
    <w:rsid w:val="00E60EB9"/>
    <w:rsid w:val="00E615E1"/>
    <w:rsid w:val="00E618BD"/>
    <w:rsid w:val="00E62A86"/>
    <w:rsid w:val="00E633E9"/>
    <w:rsid w:val="00E63B1F"/>
    <w:rsid w:val="00E63DB1"/>
    <w:rsid w:val="00E64586"/>
    <w:rsid w:val="00E649E1"/>
    <w:rsid w:val="00E65242"/>
    <w:rsid w:val="00E65DDB"/>
    <w:rsid w:val="00E65E3B"/>
    <w:rsid w:val="00E6716A"/>
    <w:rsid w:val="00E70084"/>
    <w:rsid w:val="00E7338B"/>
    <w:rsid w:val="00E7564C"/>
    <w:rsid w:val="00E7607E"/>
    <w:rsid w:val="00E762E0"/>
    <w:rsid w:val="00E76777"/>
    <w:rsid w:val="00E7753C"/>
    <w:rsid w:val="00E778F7"/>
    <w:rsid w:val="00E814F7"/>
    <w:rsid w:val="00E81541"/>
    <w:rsid w:val="00E81B50"/>
    <w:rsid w:val="00E82C64"/>
    <w:rsid w:val="00E8330C"/>
    <w:rsid w:val="00E8366D"/>
    <w:rsid w:val="00E836A0"/>
    <w:rsid w:val="00E836CF"/>
    <w:rsid w:val="00E8600B"/>
    <w:rsid w:val="00E87974"/>
    <w:rsid w:val="00E913E3"/>
    <w:rsid w:val="00E91F92"/>
    <w:rsid w:val="00E92BAD"/>
    <w:rsid w:val="00E939C6"/>
    <w:rsid w:val="00E96CFA"/>
    <w:rsid w:val="00E973CD"/>
    <w:rsid w:val="00EA1564"/>
    <w:rsid w:val="00EA26AB"/>
    <w:rsid w:val="00EA305B"/>
    <w:rsid w:val="00EA467D"/>
    <w:rsid w:val="00EA48C9"/>
    <w:rsid w:val="00EA6447"/>
    <w:rsid w:val="00EA7F54"/>
    <w:rsid w:val="00EB0474"/>
    <w:rsid w:val="00EB04AC"/>
    <w:rsid w:val="00EB0619"/>
    <w:rsid w:val="00EB0F69"/>
    <w:rsid w:val="00EB242A"/>
    <w:rsid w:val="00EB2709"/>
    <w:rsid w:val="00EB32F4"/>
    <w:rsid w:val="00EB42E3"/>
    <w:rsid w:val="00EB6472"/>
    <w:rsid w:val="00EB664A"/>
    <w:rsid w:val="00EB6844"/>
    <w:rsid w:val="00EB74DF"/>
    <w:rsid w:val="00EC0411"/>
    <w:rsid w:val="00EC0BBB"/>
    <w:rsid w:val="00EC152D"/>
    <w:rsid w:val="00EC250B"/>
    <w:rsid w:val="00EC2E26"/>
    <w:rsid w:val="00EC2FD3"/>
    <w:rsid w:val="00EC327B"/>
    <w:rsid w:val="00EC3628"/>
    <w:rsid w:val="00EC455C"/>
    <w:rsid w:val="00EC4E90"/>
    <w:rsid w:val="00EC5EB5"/>
    <w:rsid w:val="00EC70AC"/>
    <w:rsid w:val="00ED04CB"/>
    <w:rsid w:val="00ED167E"/>
    <w:rsid w:val="00ED1AAE"/>
    <w:rsid w:val="00ED2BFD"/>
    <w:rsid w:val="00ED5109"/>
    <w:rsid w:val="00ED63CA"/>
    <w:rsid w:val="00EE002A"/>
    <w:rsid w:val="00EE0C3B"/>
    <w:rsid w:val="00EE31A4"/>
    <w:rsid w:val="00EE4059"/>
    <w:rsid w:val="00EE4171"/>
    <w:rsid w:val="00EE470C"/>
    <w:rsid w:val="00EE6C21"/>
    <w:rsid w:val="00EE6EFB"/>
    <w:rsid w:val="00EF033E"/>
    <w:rsid w:val="00EF2489"/>
    <w:rsid w:val="00EF2680"/>
    <w:rsid w:val="00EF2FA4"/>
    <w:rsid w:val="00EF395E"/>
    <w:rsid w:val="00EF7533"/>
    <w:rsid w:val="00F004FA"/>
    <w:rsid w:val="00F01B1F"/>
    <w:rsid w:val="00F0234D"/>
    <w:rsid w:val="00F0261E"/>
    <w:rsid w:val="00F028BB"/>
    <w:rsid w:val="00F03044"/>
    <w:rsid w:val="00F046AB"/>
    <w:rsid w:val="00F056C1"/>
    <w:rsid w:val="00F06566"/>
    <w:rsid w:val="00F07DF4"/>
    <w:rsid w:val="00F1013D"/>
    <w:rsid w:val="00F12CA0"/>
    <w:rsid w:val="00F13393"/>
    <w:rsid w:val="00F1357E"/>
    <w:rsid w:val="00F15467"/>
    <w:rsid w:val="00F154D3"/>
    <w:rsid w:val="00F1567D"/>
    <w:rsid w:val="00F16250"/>
    <w:rsid w:val="00F2117B"/>
    <w:rsid w:val="00F22ABC"/>
    <w:rsid w:val="00F23E66"/>
    <w:rsid w:val="00F23F23"/>
    <w:rsid w:val="00F24D6C"/>
    <w:rsid w:val="00F3003F"/>
    <w:rsid w:val="00F3022C"/>
    <w:rsid w:val="00F307C1"/>
    <w:rsid w:val="00F31FEA"/>
    <w:rsid w:val="00F32245"/>
    <w:rsid w:val="00F364AD"/>
    <w:rsid w:val="00F36828"/>
    <w:rsid w:val="00F36B0F"/>
    <w:rsid w:val="00F37998"/>
    <w:rsid w:val="00F40AF5"/>
    <w:rsid w:val="00F40BB7"/>
    <w:rsid w:val="00F40DEE"/>
    <w:rsid w:val="00F41EC3"/>
    <w:rsid w:val="00F44DC2"/>
    <w:rsid w:val="00F4531E"/>
    <w:rsid w:val="00F4531F"/>
    <w:rsid w:val="00F455E6"/>
    <w:rsid w:val="00F4648D"/>
    <w:rsid w:val="00F46A2F"/>
    <w:rsid w:val="00F47017"/>
    <w:rsid w:val="00F50247"/>
    <w:rsid w:val="00F519F1"/>
    <w:rsid w:val="00F5550D"/>
    <w:rsid w:val="00F57257"/>
    <w:rsid w:val="00F573A2"/>
    <w:rsid w:val="00F61EE0"/>
    <w:rsid w:val="00F64339"/>
    <w:rsid w:val="00F643B0"/>
    <w:rsid w:val="00F64A60"/>
    <w:rsid w:val="00F64FAE"/>
    <w:rsid w:val="00F659D2"/>
    <w:rsid w:val="00F6744C"/>
    <w:rsid w:val="00F71BBC"/>
    <w:rsid w:val="00F7251F"/>
    <w:rsid w:val="00F734C4"/>
    <w:rsid w:val="00F739C0"/>
    <w:rsid w:val="00F74787"/>
    <w:rsid w:val="00F74A54"/>
    <w:rsid w:val="00F74FE3"/>
    <w:rsid w:val="00F76B7F"/>
    <w:rsid w:val="00F81ACE"/>
    <w:rsid w:val="00F81CA7"/>
    <w:rsid w:val="00F82DC3"/>
    <w:rsid w:val="00F85477"/>
    <w:rsid w:val="00F87018"/>
    <w:rsid w:val="00F90BBD"/>
    <w:rsid w:val="00F90CC3"/>
    <w:rsid w:val="00F93B05"/>
    <w:rsid w:val="00F93CB6"/>
    <w:rsid w:val="00F94ACF"/>
    <w:rsid w:val="00F979ED"/>
    <w:rsid w:val="00FA06F4"/>
    <w:rsid w:val="00FA2213"/>
    <w:rsid w:val="00FA458E"/>
    <w:rsid w:val="00FA4E71"/>
    <w:rsid w:val="00FA5C03"/>
    <w:rsid w:val="00FA777D"/>
    <w:rsid w:val="00FA7B2F"/>
    <w:rsid w:val="00FB0F9F"/>
    <w:rsid w:val="00FB1097"/>
    <w:rsid w:val="00FB10F9"/>
    <w:rsid w:val="00FB1955"/>
    <w:rsid w:val="00FB295A"/>
    <w:rsid w:val="00FB3165"/>
    <w:rsid w:val="00FB3782"/>
    <w:rsid w:val="00FB4A73"/>
    <w:rsid w:val="00FB54D8"/>
    <w:rsid w:val="00FB56F6"/>
    <w:rsid w:val="00FB5FE1"/>
    <w:rsid w:val="00FB7724"/>
    <w:rsid w:val="00FC05CE"/>
    <w:rsid w:val="00FC27C5"/>
    <w:rsid w:val="00FC3D0B"/>
    <w:rsid w:val="00FC4B38"/>
    <w:rsid w:val="00FC5561"/>
    <w:rsid w:val="00FC63CE"/>
    <w:rsid w:val="00FD264C"/>
    <w:rsid w:val="00FD31C5"/>
    <w:rsid w:val="00FD4110"/>
    <w:rsid w:val="00FD73A5"/>
    <w:rsid w:val="00FE12A5"/>
    <w:rsid w:val="00FE2160"/>
    <w:rsid w:val="00FE32D1"/>
    <w:rsid w:val="00FE3D52"/>
    <w:rsid w:val="00FE42B3"/>
    <w:rsid w:val="00FE693C"/>
    <w:rsid w:val="00FE6D44"/>
    <w:rsid w:val="00FE6F19"/>
    <w:rsid w:val="00FF081E"/>
    <w:rsid w:val="00FF0AAB"/>
    <w:rsid w:val="00FF0E3E"/>
    <w:rsid w:val="00FF1019"/>
    <w:rsid w:val="00FF1020"/>
    <w:rsid w:val="00FF2FCF"/>
    <w:rsid w:val="00FF31E1"/>
    <w:rsid w:val="00FF5E1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iscardImageEditingDat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D63A0C"/>
    <w:pPr>
      <w:numPr>
        <w:numId w:val="15"/>
      </w:numPr>
      <w:spacing w:line="360" w:lineRule="auto"/>
      <w:ind w:left="576" w:hanging="576"/>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 w:type="character" w:customStyle="1" w:styleId="HeaderChar">
    <w:name w:val="Header Char"/>
    <w:link w:val="Header"/>
    <w:rsid w:val="004B23B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5EF1"/>
    <w:rPr>
      <w:sz w:val="24"/>
    </w:rPr>
  </w:style>
  <w:style w:type="paragraph" w:styleId="Heading1">
    <w:name w:val="heading 1"/>
    <w:basedOn w:val="Normal"/>
    <w:next w:val="Normal"/>
    <w:link w:val="Heading1Char"/>
    <w:qFormat/>
    <w:rsid w:val="000A321D"/>
    <w:pPr>
      <w:keepNext/>
      <w:spacing w:before="360" w:line="360" w:lineRule="auto"/>
      <w:outlineLvl w:val="0"/>
    </w:pPr>
    <w:rPr>
      <w:b/>
      <w:sz w:val="28"/>
    </w:rPr>
  </w:style>
  <w:style w:type="paragraph" w:styleId="Heading2">
    <w:name w:val="heading 2"/>
    <w:basedOn w:val="Normal"/>
    <w:next w:val="Normal"/>
    <w:link w:val="Heading2Char"/>
    <w:qFormat/>
    <w:rsid w:val="007F17FF"/>
    <w:pPr>
      <w:keepNext/>
      <w:spacing w:before="480" w:line="480" w:lineRule="auto"/>
      <w:ind w:firstLine="720"/>
      <w:outlineLvl w:val="1"/>
    </w:pPr>
    <w:rPr>
      <w:b/>
    </w:rPr>
  </w:style>
  <w:style w:type="paragraph" w:styleId="Heading3">
    <w:name w:val="heading 3"/>
    <w:basedOn w:val="Normal"/>
    <w:next w:val="Normal"/>
    <w:qFormat/>
    <w:rsid w:val="001A571C"/>
    <w:pPr>
      <w:keepNext/>
      <w:spacing w:before="600" w:after="60" w:line="480" w:lineRule="auto"/>
      <w:ind w:firstLine="720"/>
      <w:outlineLvl w:val="2"/>
    </w:pPr>
    <w:rPr>
      <w:i/>
    </w:rPr>
  </w:style>
  <w:style w:type="paragraph" w:styleId="Heading4">
    <w:name w:val="heading 4"/>
    <w:basedOn w:val="Normal"/>
    <w:next w:val="Normal"/>
    <w:qFormat/>
    <w:pPr>
      <w:keepNext/>
      <w:numPr>
        <w:ilvl w:val="3"/>
        <w:numId w:val="1"/>
      </w:numPr>
      <w:spacing w:before="240" w:after="60"/>
      <w:outlineLvl w:val="3"/>
    </w:pPr>
    <w:rPr>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rsid w:val="00DF2AF8"/>
    <w:pPr>
      <w:spacing w:line="360" w:lineRule="auto"/>
      <w:ind w:firstLine="720"/>
    </w:pPr>
  </w:style>
  <w:style w:type="paragraph" w:styleId="BodyTextIndent">
    <w:name w:val="Body Text Indent"/>
    <w:basedOn w:val="Normal"/>
    <w:pPr>
      <w:spacing w:line="480" w:lineRule="auto"/>
      <w:ind w:firstLine="720"/>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sid w:val="001A571C"/>
    <w:pPr>
      <w:suppressAutoHyphens/>
      <w:spacing w:after="240"/>
      <w:ind w:left="720" w:right="720"/>
    </w:pPr>
  </w:style>
  <w:style w:type="paragraph" w:styleId="BodyText2">
    <w:name w:val="Body Text 2"/>
    <w:basedOn w:val="Normal"/>
    <w:link w:val="BodyText2Char"/>
    <w:rsid w:val="004F6CF2"/>
    <w:pPr>
      <w:spacing w:after="240"/>
    </w:pPr>
  </w:style>
  <w:style w:type="paragraph" w:styleId="BodyTextIndent3">
    <w:name w:val="Body Text Indent 3"/>
    <w:basedOn w:val="Normal"/>
    <w:pPr>
      <w:spacing w:line="480" w:lineRule="auto"/>
      <w:ind w:firstLine="720"/>
    </w:pPr>
  </w:style>
  <w:style w:type="paragraph" w:styleId="TOC6">
    <w:name w:val="toc 6"/>
    <w:basedOn w:val="Normal"/>
    <w:next w:val="Normal"/>
    <w:autoRedefine/>
    <w:semiHidden/>
    <w:rsid w:val="00D63A0C"/>
    <w:pPr>
      <w:numPr>
        <w:numId w:val="15"/>
      </w:numPr>
      <w:spacing w:line="360" w:lineRule="auto"/>
      <w:ind w:left="576" w:hanging="576"/>
    </w:pPr>
  </w:style>
  <w:style w:type="character" w:styleId="Hyperlink">
    <w:name w:val="Hyperlink"/>
    <w:rPr>
      <w:color w:val="0000FF"/>
      <w:u w:val="single"/>
    </w:rPr>
  </w:style>
  <w:style w:type="character" w:customStyle="1" w:styleId="tiny1">
    <w:name w:val="tiny1"/>
    <w:rPr>
      <w:rFonts w:ascii="Verdana" w:hAnsi="Verdana" w:hint="default"/>
      <w:sz w:val="15"/>
      <w:szCs w:val="15"/>
    </w:rPr>
  </w:style>
  <w:style w:type="paragraph" w:styleId="BodyTextIndent2">
    <w:name w:val="Body Text Indent 2"/>
    <w:basedOn w:val="Normal"/>
    <w:pPr>
      <w:spacing w:line="480" w:lineRule="auto"/>
      <w:ind w:firstLine="720"/>
    </w:pPr>
  </w:style>
  <w:style w:type="paragraph" w:styleId="PlainText">
    <w:name w:val="Plain Text"/>
    <w:basedOn w:val="Normal"/>
    <w:rPr>
      <w:rFonts w:ascii="Courier New" w:hAnsi="Courier New"/>
      <w:sz w:val="20"/>
    </w:rPr>
  </w:style>
  <w:style w:type="paragraph" w:styleId="BalloonText">
    <w:name w:val="Balloon Text"/>
    <w:basedOn w:val="Normal"/>
    <w:semiHidden/>
    <w:rPr>
      <w:rFonts w:ascii="Tahoma" w:hAnsi="Tahoma" w:cs="Tahoma"/>
      <w:sz w:val="16"/>
      <w:szCs w:val="16"/>
    </w:rPr>
  </w:style>
  <w:style w:type="paragraph" w:styleId="TOC2">
    <w:name w:val="toc 2"/>
    <w:basedOn w:val="Normal"/>
    <w:next w:val="Normal"/>
    <w:autoRedefine/>
    <w:semiHidden/>
    <w:rsid w:val="00E56EA5"/>
    <w:pPr>
      <w:ind w:left="240"/>
    </w:pPr>
  </w:style>
  <w:style w:type="paragraph" w:styleId="Header">
    <w:name w:val="header"/>
    <w:basedOn w:val="Normal"/>
    <w:link w:val="HeaderChar"/>
    <w:rsid w:val="00770CB5"/>
    <w:pPr>
      <w:tabs>
        <w:tab w:val="center" w:pos="4320"/>
        <w:tab w:val="right" w:pos="8640"/>
      </w:tabs>
    </w:pPr>
  </w:style>
  <w:style w:type="paragraph" w:customStyle="1" w:styleId="NormalFirstline05">
    <w:name w:val="Normal + First line:  0.5&quot;"/>
    <w:aliases w:val="Line spacing:  Double"/>
    <w:basedOn w:val="BodyTextIndent2"/>
    <w:rsid w:val="00051744"/>
    <w:pPr>
      <w:ind w:firstLine="0"/>
    </w:pPr>
  </w:style>
  <w:style w:type="numbering" w:customStyle="1" w:styleId="StyleNumbered">
    <w:name w:val="Style Numbered"/>
    <w:basedOn w:val="NoList"/>
    <w:rsid w:val="00051744"/>
    <w:pPr>
      <w:numPr>
        <w:numId w:val="3"/>
      </w:numPr>
    </w:pPr>
  </w:style>
  <w:style w:type="character" w:customStyle="1" w:styleId="BodyTextChar">
    <w:name w:val="Body Text Char"/>
    <w:link w:val="BodyText"/>
    <w:rsid w:val="00DF2AF8"/>
    <w:rPr>
      <w:sz w:val="24"/>
    </w:rPr>
  </w:style>
  <w:style w:type="paragraph" w:styleId="FootnoteText">
    <w:name w:val="footnote text"/>
    <w:basedOn w:val="Normal"/>
    <w:link w:val="FootnoteTextChar"/>
    <w:semiHidden/>
    <w:rsid w:val="00721479"/>
    <w:rPr>
      <w:sz w:val="20"/>
    </w:rPr>
  </w:style>
  <w:style w:type="character" w:styleId="FootnoteReference">
    <w:name w:val="footnote reference"/>
    <w:semiHidden/>
    <w:rsid w:val="00721479"/>
    <w:rPr>
      <w:vertAlign w:val="superscript"/>
    </w:rPr>
  </w:style>
  <w:style w:type="numbering" w:customStyle="1" w:styleId="StyleNumbered1">
    <w:name w:val="Style Numbered1"/>
    <w:basedOn w:val="NoList"/>
    <w:rsid w:val="00CA3EBB"/>
    <w:pPr>
      <w:numPr>
        <w:numId w:val="4"/>
      </w:numPr>
    </w:pPr>
  </w:style>
  <w:style w:type="character" w:customStyle="1" w:styleId="BodyTextChar1">
    <w:name w:val="Body Text Char1"/>
    <w:rsid w:val="0016428F"/>
    <w:rPr>
      <w:sz w:val="24"/>
      <w:lang w:val="en-US" w:eastAsia="en-US" w:bidi="ar-SA"/>
    </w:rPr>
  </w:style>
  <w:style w:type="character" w:styleId="FollowedHyperlink">
    <w:name w:val="FollowedHyperlink"/>
    <w:rsid w:val="00704FA5"/>
    <w:rPr>
      <w:color w:val="800080"/>
      <w:u w:val="single"/>
    </w:rPr>
  </w:style>
  <w:style w:type="character" w:styleId="Emphasis">
    <w:name w:val="Emphasis"/>
    <w:qFormat/>
    <w:rsid w:val="00EB6472"/>
    <w:rPr>
      <w:i/>
      <w:iCs/>
    </w:rPr>
  </w:style>
  <w:style w:type="character" w:customStyle="1" w:styleId="CharChar8">
    <w:name w:val=" Char Char8"/>
    <w:locked/>
    <w:rsid w:val="00C925E1"/>
    <w:rPr>
      <w:rFonts w:cs="Times New Roman"/>
      <w:sz w:val="24"/>
      <w:lang w:val="en-US" w:eastAsia="en-US" w:bidi="ar-SA"/>
    </w:rPr>
  </w:style>
  <w:style w:type="character" w:customStyle="1" w:styleId="CharChar2">
    <w:name w:val=" Char Char2"/>
    <w:rsid w:val="009F6A7A"/>
    <w:rPr>
      <w:sz w:val="24"/>
      <w:lang w:val="en-US" w:eastAsia="en-US" w:bidi="ar-SA"/>
    </w:rPr>
  </w:style>
  <w:style w:type="character" w:customStyle="1" w:styleId="BodyTextChar2">
    <w:name w:val="Body Text Char2"/>
    <w:uiPriority w:val="99"/>
    <w:rsid w:val="00CC4463"/>
    <w:rPr>
      <w:sz w:val="24"/>
    </w:rPr>
  </w:style>
  <w:style w:type="character" w:customStyle="1" w:styleId="BodyText2Char">
    <w:name w:val="Body Text 2 Char"/>
    <w:link w:val="BodyText2"/>
    <w:locked/>
    <w:rsid w:val="001076B7"/>
    <w:rPr>
      <w:sz w:val="24"/>
    </w:rPr>
  </w:style>
  <w:style w:type="paragraph" w:customStyle="1" w:styleId="BodyTextNumberedConclusion">
    <w:name w:val="Body Text Numbered Conclusion"/>
    <w:basedOn w:val="BodyTextIndent2"/>
    <w:link w:val="BodyTextNumberedConclusionChar"/>
    <w:autoRedefine/>
    <w:rsid w:val="00C21B97"/>
    <w:pPr>
      <w:spacing w:line="360" w:lineRule="auto"/>
      <w:ind w:firstLine="0"/>
    </w:pPr>
    <w:rPr>
      <w:b/>
    </w:rPr>
  </w:style>
  <w:style w:type="character" w:customStyle="1" w:styleId="BodyTextNumberedConclusionChar">
    <w:name w:val="Body Text Numbered Conclusion Char"/>
    <w:link w:val="BodyTextNumberedConclusion"/>
    <w:rsid w:val="00C21B97"/>
    <w:rPr>
      <w:b/>
      <w:sz w:val="24"/>
    </w:rPr>
  </w:style>
  <w:style w:type="numbering" w:customStyle="1" w:styleId="StyleBulletedSymbolsymbolLeft025Hanging025">
    <w:name w:val="Style Bulleted Symbol (symbol) Left:  0.25&quot; Hanging:  0.25&quot;"/>
    <w:basedOn w:val="NoList"/>
    <w:rsid w:val="00986263"/>
    <w:pPr>
      <w:numPr>
        <w:numId w:val="5"/>
      </w:numPr>
    </w:pPr>
  </w:style>
  <w:style w:type="paragraph" w:customStyle="1" w:styleId="BodyTextBulleted">
    <w:name w:val="Body Text: Bulleted"/>
    <w:basedOn w:val="Normal"/>
    <w:qFormat/>
    <w:rsid w:val="004C709A"/>
    <w:pPr>
      <w:numPr>
        <w:numId w:val="6"/>
      </w:numPr>
      <w:spacing w:line="360" w:lineRule="auto"/>
      <w:ind w:hanging="720"/>
    </w:pPr>
  </w:style>
  <w:style w:type="paragraph" w:customStyle="1" w:styleId="BodyTextlinebeforebulletedtextonly">
    <w:name w:val="Body Text: line before bulleted text only"/>
    <w:basedOn w:val="BodyText"/>
    <w:rsid w:val="00986263"/>
  </w:style>
  <w:style w:type="character" w:customStyle="1" w:styleId="BackgroundBoldedDescriptors">
    <w:name w:val="Background Bolded Descriptors"/>
    <w:rsid w:val="00986263"/>
    <w:rPr>
      <w:b/>
      <w:bCs/>
    </w:rPr>
  </w:style>
  <w:style w:type="paragraph" w:customStyle="1" w:styleId="StaffTitleHangingIndent">
    <w:name w:val="Staff Title Hanging Indent"/>
    <w:basedOn w:val="Normal"/>
    <w:rsid w:val="00986263"/>
    <w:pPr>
      <w:ind w:left="252" w:hanging="252"/>
    </w:pPr>
  </w:style>
  <w:style w:type="paragraph" w:customStyle="1" w:styleId="References">
    <w:name w:val="References"/>
    <w:basedOn w:val="Normal"/>
    <w:qFormat/>
    <w:rsid w:val="00986263"/>
    <w:pPr>
      <w:spacing w:after="240"/>
    </w:pPr>
  </w:style>
  <w:style w:type="character" w:customStyle="1" w:styleId="Heading2Char">
    <w:name w:val="Heading 2 Char"/>
    <w:link w:val="Heading2"/>
    <w:rsid w:val="0051576A"/>
    <w:rPr>
      <w:b/>
      <w:sz w:val="24"/>
    </w:rPr>
  </w:style>
  <w:style w:type="character" w:customStyle="1" w:styleId="FootnoteTextChar">
    <w:name w:val="Footnote Text Char"/>
    <w:link w:val="FootnoteText"/>
    <w:semiHidden/>
    <w:locked/>
    <w:rsid w:val="000A36E2"/>
  </w:style>
  <w:style w:type="paragraph" w:customStyle="1" w:styleId="BodyText1">
    <w:name w:val="Body Text1"/>
    <w:basedOn w:val="BodyText"/>
    <w:link w:val="bodytextChar0"/>
    <w:qFormat/>
    <w:rsid w:val="00D90B58"/>
  </w:style>
  <w:style w:type="character" w:customStyle="1" w:styleId="bodytextChar0">
    <w:name w:val="body text Char"/>
    <w:link w:val="BodyText1"/>
    <w:rsid w:val="00D90B58"/>
    <w:rPr>
      <w:sz w:val="24"/>
    </w:rPr>
  </w:style>
  <w:style w:type="numbering" w:customStyle="1" w:styleId="StyleNumberedLeft055Hanging025">
    <w:name w:val="Style Numbered Left:  0.55&quot; Hanging:  0.25&quot;"/>
    <w:basedOn w:val="NoList"/>
    <w:rsid w:val="00C3137F"/>
    <w:pPr>
      <w:numPr>
        <w:numId w:val="8"/>
      </w:numPr>
    </w:pPr>
  </w:style>
  <w:style w:type="paragraph" w:styleId="ListParagraph">
    <w:name w:val="List Paragraph"/>
    <w:basedOn w:val="Normal"/>
    <w:uiPriority w:val="34"/>
    <w:qFormat/>
    <w:rsid w:val="007D7744"/>
    <w:pPr>
      <w:ind w:left="720"/>
      <w:contextualSpacing/>
    </w:pPr>
    <w:rPr>
      <w:szCs w:val="24"/>
    </w:rPr>
  </w:style>
  <w:style w:type="character" w:customStyle="1" w:styleId="Heading1Char">
    <w:name w:val="Heading 1 Char"/>
    <w:link w:val="Heading1"/>
    <w:rsid w:val="008423AB"/>
    <w:rPr>
      <w:b/>
      <w:sz w:val="28"/>
    </w:rPr>
  </w:style>
  <w:style w:type="paragraph" w:customStyle="1" w:styleId="StyleFirstline05Linespacing15lines">
    <w:name w:val="Style First line:  0.5&quot; Line spacing:  1.5 lines"/>
    <w:basedOn w:val="Normal"/>
    <w:rsid w:val="004C709A"/>
    <w:pPr>
      <w:spacing w:line="360" w:lineRule="auto"/>
      <w:ind w:firstLine="720"/>
    </w:pPr>
  </w:style>
  <w:style w:type="character" w:customStyle="1" w:styleId="HeaderChar">
    <w:name w:val="Header Char"/>
    <w:link w:val="Header"/>
    <w:rsid w:val="004B23B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3269">
      <w:bodyDiv w:val="1"/>
      <w:marLeft w:val="0"/>
      <w:marRight w:val="0"/>
      <w:marTop w:val="0"/>
      <w:marBottom w:val="0"/>
      <w:divBdr>
        <w:top w:val="none" w:sz="0" w:space="0" w:color="auto"/>
        <w:left w:val="none" w:sz="0" w:space="0" w:color="auto"/>
        <w:bottom w:val="none" w:sz="0" w:space="0" w:color="auto"/>
        <w:right w:val="none" w:sz="0" w:space="0" w:color="auto"/>
      </w:divBdr>
    </w:div>
    <w:div w:id="498035766">
      <w:bodyDiv w:val="1"/>
      <w:marLeft w:val="0"/>
      <w:marRight w:val="0"/>
      <w:marTop w:val="0"/>
      <w:marBottom w:val="0"/>
      <w:divBdr>
        <w:top w:val="none" w:sz="0" w:space="0" w:color="auto"/>
        <w:left w:val="none" w:sz="0" w:space="0" w:color="auto"/>
        <w:bottom w:val="none" w:sz="0" w:space="0" w:color="auto"/>
        <w:right w:val="none" w:sz="0" w:space="0" w:color="auto"/>
      </w:divBdr>
      <w:divsChild>
        <w:div w:id="120618398">
          <w:marLeft w:val="547"/>
          <w:marRight w:val="0"/>
          <w:marTop w:val="154"/>
          <w:marBottom w:val="0"/>
          <w:divBdr>
            <w:top w:val="none" w:sz="0" w:space="0" w:color="auto"/>
            <w:left w:val="none" w:sz="0" w:space="0" w:color="auto"/>
            <w:bottom w:val="none" w:sz="0" w:space="0" w:color="auto"/>
            <w:right w:val="none" w:sz="0" w:space="0" w:color="auto"/>
          </w:divBdr>
        </w:div>
        <w:div w:id="281351401">
          <w:marLeft w:val="547"/>
          <w:marRight w:val="0"/>
          <w:marTop w:val="154"/>
          <w:marBottom w:val="0"/>
          <w:divBdr>
            <w:top w:val="none" w:sz="0" w:space="0" w:color="auto"/>
            <w:left w:val="none" w:sz="0" w:space="0" w:color="auto"/>
            <w:bottom w:val="none" w:sz="0" w:space="0" w:color="auto"/>
            <w:right w:val="none" w:sz="0" w:space="0" w:color="auto"/>
          </w:divBdr>
        </w:div>
        <w:div w:id="840124943">
          <w:marLeft w:val="547"/>
          <w:marRight w:val="0"/>
          <w:marTop w:val="154"/>
          <w:marBottom w:val="0"/>
          <w:divBdr>
            <w:top w:val="none" w:sz="0" w:space="0" w:color="auto"/>
            <w:left w:val="none" w:sz="0" w:space="0" w:color="auto"/>
            <w:bottom w:val="none" w:sz="0" w:space="0" w:color="auto"/>
            <w:right w:val="none" w:sz="0" w:space="0" w:color="auto"/>
          </w:divBdr>
        </w:div>
        <w:div w:id="1140346510">
          <w:marLeft w:val="547"/>
          <w:marRight w:val="0"/>
          <w:marTop w:val="154"/>
          <w:marBottom w:val="0"/>
          <w:divBdr>
            <w:top w:val="none" w:sz="0" w:space="0" w:color="auto"/>
            <w:left w:val="none" w:sz="0" w:space="0" w:color="auto"/>
            <w:bottom w:val="none" w:sz="0" w:space="0" w:color="auto"/>
            <w:right w:val="none" w:sz="0" w:space="0" w:color="auto"/>
          </w:divBdr>
        </w:div>
        <w:div w:id="2075618402">
          <w:marLeft w:val="547"/>
          <w:marRight w:val="0"/>
          <w:marTop w:val="154"/>
          <w:marBottom w:val="0"/>
          <w:divBdr>
            <w:top w:val="none" w:sz="0" w:space="0" w:color="auto"/>
            <w:left w:val="none" w:sz="0" w:space="0" w:color="auto"/>
            <w:bottom w:val="none" w:sz="0" w:space="0" w:color="auto"/>
            <w:right w:val="none" w:sz="0" w:space="0" w:color="auto"/>
          </w:divBdr>
        </w:div>
      </w:divsChild>
    </w:div>
    <w:div w:id="578832762">
      <w:bodyDiv w:val="1"/>
      <w:marLeft w:val="0"/>
      <w:marRight w:val="0"/>
      <w:marTop w:val="0"/>
      <w:marBottom w:val="0"/>
      <w:divBdr>
        <w:top w:val="none" w:sz="0" w:space="0" w:color="auto"/>
        <w:left w:val="none" w:sz="0" w:space="0" w:color="auto"/>
        <w:bottom w:val="none" w:sz="0" w:space="0" w:color="auto"/>
        <w:right w:val="none" w:sz="0" w:space="0" w:color="auto"/>
      </w:divBdr>
    </w:div>
    <w:div w:id="748112351">
      <w:bodyDiv w:val="1"/>
      <w:marLeft w:val="0"/>
      <w:marRight w:val="0"/>
      <w:marTop w:val="0"/>
      <w:marBottom w:val="0"/>
      <w:divBdr>
        <w:top w:val="none" w:sz="0" w:space="0" w:color="auto"/>
        <w:left w:val="none" w:sz="0" w:space="0" w:color="auto"/>
        <w:bottom w:val="none" w:sz="0" w:space="0" w:color="auto"/>
        <w:right w:val="none" w:sz="0" w:space="0" w:color="auto"/>
      </w:divBdr>
    </w:div>
    <w:div w:id="967395997">
      <w:bodyDiv w:val="1"/>
      <w:marLeft w:val="0"/>
      <w:marRight w:val="0"/>
      <w:marTop w:val="0"/>
      <w:marBottom w:val="0"/>
      <w:divBdr>
        <w:top w:val="none" w:sz="0" w:space="0" w:color="auto"/>
        <w:left w:val="none" w:sz="0" w:space="0" w:color="auto"/>
        <w:bottom w:val="none" w:sz="0" w:space="0" w:color="auto"/>
        <w:right w:val="none" w:sz="0" w:space="0" w:color="auto"/>
      </w:divBdr>
    </w:div>
    <w:div w:id="1231968223">
      <w:bodyDiv w:val="1"/>
      <w:marLeft w:val="0"/>
      <w:marRight w:val="0"/>
      <w:marTop w:val="0"/>
      <w:marBottom w:val="0"/>
      <w:divBdr>
        <w:top w:val="none" w:sz="0" w:space="0" w:color="auto"/>
        <w:left w:val="none" w:sz="0" w:space="0" w:color="auto"/>
        <w:bottom w:val="none" w:sz="0" w:space="0" w:color="auto"/>
        <w:right w:val="none" w:sz="0" w:space="0" w:color="auto"/>
      </w:divBdr>
    </w:div>
    <w:div w:id="1240019984">
      <w:bodyDiv w:val="1"/>
      <w:marLeft w:val="0"/>
      <w:marRight w:val="0"/>
      <w:marTop w:val="0"/>
      <w:marBottom w:val="0"/>
      <w:divBdr>
        <w:top w:val="none" w:sz="0" w:space="0" w:color="auto"/>
        <w:left w:val="none" w:sz="0" w:space="0" w:color="auto"/>
        <w:bottom w:val="none" w:sz="0" w:space="0" w:color="auto"/>
        <w:right w:val="none" w:sz="0" w:space="0" w:color="auto"/>
      </w:divBdr>
      <w:divsChild>
        <w:div w:id="165563372">
          <w:marLeft w:val="0"/>
          <w:marRight w:val="0"/>
          <w:marTop w:val="0"/>
          <w:marBottom w:val="0"/>
          <w:divBdr>
            <w:top w:val="none" w:sz="0" w:space="0" w:color="auto"/>
            <w:left w:val="none" w:sz="0" w:space="0" w:color="auto"/>
            <w:bottom w:val="none" w:sz="0" w:space="0" w:color="auto"/>
            <w:right w:val="none" w:sz="0" w:space="0" w:color="auto"/>
          </w:divBdr>
          <w:divsChild>
            <w:div w:id="385187082">
              <w:marLeft w:val="0"/>
              <w:marRight w:val="0"/>
              <w:marTop w:val="0"/>
              <w:marBottom w:val="0"/>
              <w:divBdr>
                <w:top w:val="none" w:sz="0" w:space="0" w:color="auto"/>
                <w:left w:val="none" w:sz="0" w:space="0" w:color="auto"/>
                <w:bottom w:val="none" w:sz="0" w:space="0" w:color="auto"/>
                <w:right w:val="none" w:sz="0" w:space="0" w:color="auto"/>
              </w:divBdr>
              <w:divsChild>
                <w:div w:id="716509913">
                  <w:marLeft w:val="0"/>
                  <w:marRight w:val="0"/>
                  <w:marTop w:val="0"/>
                  <w:marBottom w:val="0"/>
                  <w:divBdr>
                    <w:top w:val="none" w:sz="0" w:space="0" w:color="auto"/>
                    <w:left w:val="none" w:sz="0" w:space="0" w:color="auto"/>
                    <w:bottom w:val="none" w:sz="0" w:space="0" w:color="auto"/>
                    <w:right w:val="none" w:sz="0" w:space="0" w:color="auto"/>
                  </w:divBdr>
                  <w:divsChild>
                    <w:div w:id="144762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09851">
      <w:bodyDiv w:val="1"/>
      <w:marLeft w:val="0"/>
      <w:marRight w:val="0"/>
      <w:marTop w:val="0"/>
      <w:marBottom w:val="0"/>
      <w:divBdr>
        <w:top w:val="none" w:sz="0" w:space="0" w:color="auto"/>
        <w:left w:val="none" w:sz="0" w:space="0" w:color="auto"/>
        <w:bottom w:val="none" w:sz="0" w:space="0" w:color="auto"/>
        <w:right w:val="none" w:sz="0" w:space="0" w:color="auto"/>
      </w:divBdr>
    </w:div>
    <w:div w:id="201610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mass.gov/eohhs/gov/departments/dph/programs/environmental-health/exposure-topics/iaq/iaq-manual/"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6.xml"/><Relationship Id="rId10" Type="http://schemas.openxmlformats.org/officeDocument/2006/relationships/hyperlink" Target="http://mass.gov/dph/iaq" TargetMode="External"/><Relationship Id="rId19"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header" Target="head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BF501-0430-4433-AB9A-B6E89C466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Indoor air quality assessment - Martha’s Vineyard Regional High School (January 2018)</vt:lpstr>
    </vt:vector>
  </TitlesOfParts>
  <Company>MDPH</Company>
  <LinksUpToDate>false</LinksUpToDate>
  <CharactersWithSpaces>7029</CharactersWithSpaces>
  <SharedDoc>false</SharedDoc>
  <HLinks>
    <vt:vector size="12" baseType="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Martha’s Vineyard Regional High School (January 2018)</dc:title>
  <dc:subject>Oak Bluffs Martha's Vinyard Regional High School</dc:subject>
  <dc:creator>Indoor Air Quality Program</dc:creator>
  <cp:keywords/>
  <cp:lastModifiedBy>AutoBVT</cp:lastModifiedBy>
  <cp:revision>3</cp:revision>
  <cp:lastPrinted>2018-01-02T19:12:00Z</cp:lastPrinted>
  <dcterms:created xsi:type="dcterms:W3CDTF">2018-09-07T18:49:00Z</dcterms:created>
  <dcterms:modified xsi:type="dcterms:W3CDTF">2018-09-07T18:50:00Z</dcterms:modified>
  <cp:category>High School, Martha's Vinyard</cp:category>
</cp:coreProperties>
</file>