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7CF6" w:rsidRPr="00181887" w:rsidRDefault="00000000">
      <w:pPr>
        <w:widowControl w:val="0"/>
        <w:spacing w:line="324" w:lineRule="auto"/>
        <w:ind w:left="6840"/>
        <w:rPr>
          <w:rFonts w:eastAsia="Inter"/>
          <w:color w:val="00A668"/>
          <w:sz w:val="18"/>
          <w:szCs w:val="18"/>
        </w:rPr>
      </w:pPr>
      <w:r w:rsidRPr="00181887">
        <w:rPr>
          <w:rFonts w:eastAsia="Inter SemiBold"/>
          <w:color w:val="00A668"/>
          <w:sz w:val="18"/>
          <w:szCs w:val="18"/>
        </w:rPr>
        <w:t>MASS Design Group</w:t>
      </w:r>
    </w:p>
    <w:p w14:paraId="00000002" w14:textId="77777777" w:rsidR="009B7CF6" w:rsidRPr="00181887" w:rsidRDefault="00000000">
      <w:pPr>
        <w:widowControl w:val="0"/>
        <w:spacing w:line="324" w:lineRule="auto"/>
        <w:ind w:left="6840"/>
        <w:rPr>
          <w:rFonts w:eastAsia="Inter"/>
          <w:color w:val="00A668"/>
          <w:sz w:val="18"/>
          <w:szCs w:val="18"/>
        </w:rPr>
      </w:pPr>
      <w:r w:rsidRPr="00181887">
        <w:rPr>
          <w:rFonts w:eastAsia="Inter"/>
          <w:color w:val="00A668"/>
          <w:sz w:val="18"/>
          <w:szCs w:val="18"/>
        </w:rPr>
        <w:t>1 Chandler Street</w:t>
      </w:r>
    </w:p>
    <w:p w14:paraId="00000003" w14:textId="77777777" w:rsidR="009B7CF6" w:rsidRPr="00181887" w:rsidRDefault="00000000">
      <w:pPr>
        <w:widowControl w:val="0"/>
        <w:spacing w:line="324" w:lineRule="auto"/>
        <w:ind w:left="6840"/>
        <w:rPr>
          <w:rFonts w:eastAsia="Inter"/>
          <w:color w:val="00A668"/>
          <w:sz w:val="18"/>
          <w:szCs w:val="18"/>
        </w:rPr>
      </w:pPr>
      <w:r w:rsidRPr="00181887">
        <w:rPr>
          <w:rFonts w:eastAsia="Inter"/>
          <w:color w:val="00A668"/>
          <w:sz w:val="18"/>
          <w:szCs w:val="18"/>
        </w:rPr>
        <w:t>Boston, MA 02116</w:t>
      </w:r>
    </w:p>
    <w:p w14:paraId="00000004" w14:textId="77777777" w:rsidR="009B7CF6" w:rsidRPr="00181887" w:rsidRDefault="00000000">
      <w:pPr>
        <w:widowControl w:val="0"/>
        <w:spacing w:line="324" w:lineRule="auto"/>
        <w:ind w:left="6840"/>
        <w:rPr>
          <w:rFonts w:eastAsia="Inter"/>
          <w:color w:val="00A668"/>
          <w:sz w:val="18"/>
          <w:szCs w:val="18"/>
        </w:rPr>
      </w:pPr>
      <w:r w:rsidRPr="00181887">
        <w:rPr>
          <w:rFonts w:eastAsia="Inter"/>
          <w:color w:val="00A668"/>
          <w:sz w:val="18"/>
          <w:szCs w:val="18"/>
        </w:rPr>
        <w:t>hello@massdesigngroup.org</w:t>
      </w:r>
    </w:p>
    <w:p w14:paraId="00000005" w14:textId="77777777" w:rsidR="009B7CF6" w:rsidRPr="00181887" w:rsidRDefault="00000000">
      <w:pPr>
        <w:widowControl w:val="0"/>
        <w:spacing w:line="324" w:lineRule="auto"/>
        <w:ind w:left="6840"/>
        <w:rPr>
          <w:rFonts w:eastAsia="Inter"/>
          <w:color w:val="00A668"/>
          <w:sz w:val="18"/>
          <w:szCs w:val="18"/>
        </w:rPr>
      </w:pPr>
      <w:r w:rsidRPr="00181887">
        <w:rPr>
          <w:rFonts w:eastAsia="Inter"/>
          <w:color w:val="00A668"/>
          <w:sz w:val="18"/>
          <w:szCs w:val="18"/>
        </w:rPr>
        <w:t>+1 857 233 5788</w:t>
      </w:r>
    </w:p>
    <w:p w14:paraId="00000006" w14:textId="77777777" w:rsidR="009B7CF6" w:rsidRPr="00181887" w:rsidRDefault="00000000">
      <w:pPr>
        <w:widowControl w:val="0"/>
        <w:spacing w:line="324" w:lineRule="auto"/>
        <w:ind w:left="6840"/>
        <w:rPr>
          <w:rFonts w:eastAsia="Inter"/>
          <w:color w:val="00A668"/>
          <w:sz w:val="18"/>
          <w:szCs w:val="18"/>
        </w:rPr>
      </w:pPr>
      <w:r w:rsidRPr="00181887">
        <w:rPr>
          <w:rFonts w:eastAsia="Inter"/>
          <w:color w:val="00A668"/>
          <w:sz w:val="18"/>
          <w:szCs w:val="18"/>
        </w:rPr>
        <w:t>massdesigngroup.org</w:t>
      </w:r>
    </w:p>
    <w:p w14:paraId="00000007" w14:textId="77777777" w:rsidR="009B7CF6" w:rsidRPr="00181887" w:rsidRDefault="009B7CF6">
      <w:pPr>
        <w:widowControl w:val="0"/>
        <w:spacing w:line="324" w:lineRule="auto"/>
        <w:rPr>
          <w:rFonts w:eastAsia="Inter"/>
          <w:color w:val="00A668"/>
          <w:sz w:val="18"/>
          <w:szCs w:val="18"/>
        </w:rPr>
      </w:pPr>
    </w:p>
    <w:p w14:paraId="00000008" w14:textId="77777777" w:rsidR="009B7CF6" w:rsidRPr="00181887" w:rsidRDefault="00000000">
      <w:pPr>
        <w:widowControl w:val="0"/>
        <w:spacing w:before="120" w:line="273" w:lineRule="auto"/>
        <w:ind w:left="46" w:right="120" w:firstLine="1"/>
        <w:rPr>
          <w:rFonts w:eastAsia="Inter"/>
          <w:sz w:val="20"/>
          <w:szCs w:val="20"/>
        </w:rPr>
      </w:pPr>
      <w:r w:rsidRPr="00181887">
        <w:rPr>
          <w:rFonts w:eastAsia="Inter"/>
          <w:sz w:val="20"/>
          <w:szCs w:val="20"/>
        </w:rPr>
        <w:t xml:space="preserve">October 28, 2024 </w:t>
      </w:r>
    </w:p>
    <w:p w14:paraId="00000009" w14:textId="77777777" w:rsidR="009B7CF6" w:rsidRPr="00181887" w:rsidRDefault="00000000">
      <w:pPr>
        <w:widowControl w:val="0"/>
        <w:spacing w:before="120" w:line="273" w:lineRule="auto"/>
        <w:ind w:left="46" w:right="120" w:firstLine="1"/>
        <w:rPr>
          <w:rFonts w:eastAsia="Inter"/>
          <w:sz w:val="20"/>
          <w:szCs w:val="20"/>
        </w:rPr>
        <w:sectPr w:rsidR="009B7CF6" w:rsidRPr="00181887">
          <w:pgSz w:w="12240" w:h="15840"/>
          <w:pgMar w:top="990" w:right="1440" w:bottom="1440" w:left="1440" w:header="720" w:footer="720" w:gutter="0"/>
          <w:pgNumType w:start="1"/>
          <w:cols w:space="720"/>
        </w:sectPr>
      </w:pPr>
      <w:r w:rsidRPr="00181887">
        <w:rPr>
          <w:rFonts w:eastAsia="Inter"/>
          <w:sz w:val="20"/>
          <w:szCs w:val="20"/>
        </w:rPr>
        <w:t>Commissioner Robbie Goldstein</w:t>
      </w:r>
      <w:r w:rsidRPr="00181887">
        <w:rPr>
          <w:rFonts w:eastAsia="Inter"/>
          <w:sz w:val="20"/>
          <w:szCs w:val="20"/>
        </w:rPr>
        <w:br/>
        <w:t>Department of Public Health</w:t>
      </w:r>
      <w:r w:rsidRPr="00181887">
        <w:rPr>
          <w:rFonts w:eastAsia="Inter"/>
          <w:sz w:val="20"/>
          <w:szCs w:val="20"/>
        </w:rPr>
        <w:br/>
        <w:t>250 Washington Street</w:t>
      </w:r>
      <w:r w:rsidRPr="00181887">
        <w:rPr>
          <w:rFonts w:eastAsia="Inter"/>
          <w:sz w:val="20"/>
          <w:szCs w:val="20"/>
        </w:rPr>
        <w:br/>
        <w:t>Boston, MA 02108</w:t>
      </w:r>
    </w:p>
    <w:p w14:paraId="0000000A" w14:textId="77777777" w:rsidR="009B7CF6" w:rsidRPr="00181887" w:rsidRDefault="00000000">
      <w:pPr>
        <w:widowControl w:val="0"/>
        <w:spacing w:before="120" w:line="273" w:lineRule="auto"/>
        <w:ind w:left="52" w:right="403" w:hanging="3"/>
        <w:rPr>
          <w:rFonts w:eastAsia="Inter"/>
          <w:b/>
          <w:sz w:val="20"/>
          <w:szCs w:val="20"/>
        </w:rPr>
      </w:pPr>
      <w:r w:rsidRPr="00181887">
        <w:rPr>
          <w:rFonts w:eastAsia="Inter"/>
          <w:b/>
          <w:sz w:val="20"/>
          <w:szCs w:val="20"/>
        </w:rPr>
        <w:t>RE: Birth Center Regulations 105 CMR 140.000</w:t>
      </w:r>
    </w:p>
    <w:p w14:paraId="0000000B" w14:textId="77777777" w:rsidR="009B7CF6" w:rsidRPr="00181887" w:rsidRDefault="009B7CF6">
      <w:pPr>
        <w:widowControl w:val="0"/>
        <w:spacing w:before="120" w:line="273" w:lineRule="auto"/>
        <w:ind w:left="48"/>
        <w:rPr>
          <w:rFonts w:eastAsia="Inter"/>
          <w:sz w:val="20"/>
          <w:szCs w:val="20"/>
        </w:rPr>
      </w:pPr>
    </w:p>
    <w:p w14:paraId="0000000C" w14:textId="77777777" w:rsidR="009B7CF6" w:rsidRPr="00181887" w:rsidRDefault="00000000">
      <w:pPr>
        <w:widowControl w:val="0"/>
        <w:spacing w:before="120" w:line="273" w:lineRule="auto"/>
        <w:ind w:left="48"/>
        <w:rPr>
          <w:rFonts w:eastAsia="Inter"/>
          <w:sz w:val="20"/>
          <w:szCs w:val="20"/>
        </w:rPr>
      </w:pPr>
      <w:r w:rsidRPr="00181887">
        <w:rPr>
          <w:rFonts w:eastAsia="Inter"/>
          <w:sz w:val="20"/>
          <w:szCs w:val="20"/>
        </w:rPr>
        <w:t xml:space="preserve">Dear Commissioner Goldstein, </w:t>
      </w:r>
    </w:p>
    <w:p w14:paraId="0000000D" w14:textId="77777777" w:rsidR="009B7CF6" w:rsidRPr="00181887" w:rsidRDefault="009B7CF6">
      <w:pPr>
        <w:rPr>
          <w:rFonts w:eastAsia="Inter"/>
          <w:sz w:val="20"/>
          <w:szCs w:val="20"/>
        </w:rPr>
      </w:pPr>
    </w:p>
    <w:p w14:paraId="0000000E" w14:textId="77777777" w:rsidR="009B7CF6" w:rsidRPr="00181887" w:rsidRDefault="00000000">
      <w:pPr>
        <w:rPr>
          <w:rFonts w:eastAsia="Inter"/>
          <w:sz w:val="20"/>
          <w:szCs w:val="20"/>
        </w:rPr>
      </w:pPr>
      <w:r w:rsidRPr="00181887">
        <w:rPr>
          <w:rFonts w:eastAsia="Inter"/>
          <w:sz w:val="20"/>
          <w:szCs w:val="20"/>
        </w:rPr>
        <w:t xml:space="preserve">We are submitting this testimony on behalf of MASS Design Group, the architecture firm currently working with Neighborhood Birth Center on Boston’s first freestanding birth center. Additionally, we have deep experience in healthcare designing hospital and clinical space nationally and internationally.  </w:t>
      </w:r>
    </w:p>
    <w:p w14:paraId="0000000F" w14:textId="77777777" w:rsidR="009B7CF6" w:rsidRPr="00181887" w:rsidRDefault="009B7CF6">
      <w:pPr>
        <w:rPr>
          <w:rFonts w:eastAsia="Inter"/>
          <w:sz w:val="20"/>
          <w:szCs w:val="20"/>
        </w:rPr>
      </w:pPr>
    </w:p>
    <w:p w14:paraId="00000010" w14:textId="77777777" w:rsidR="009B7CF6" w:rsidRPr="00181887" w:rsidRDefault="00000000">
      <w:pPr>
        <w:rPr>
          <w:rFonts w:eastAsia="Inter"/>
          <w:b/>
          <w:sz w:val="20"/>
          <w:szCs w:val="20"/>
        </w:rPr>
      </w:pPr>
      <w:r w:rsidRPr="00181887">
        <w:rPr>
          <w:rFonts w:eastAsia="Inter"/>
          <w:sz w:val="20"/>
          <w:szCs w:val="20"/>
        </w:rPr>
        <w:t xml:space="preserve">We know firsthand the design and budget challenges of the current birth center and facilities regulations. We have visited Seven Sisters Midwifery &amp; Birth Center several times in addition to poring over Birth Center Regulations 105 CMR 140.000 and FGI regulations. And it is clear that there are facility requirements that are not necessary or suitable for a health setting designed for </w:t>
      </w:r>
      <w:proofErr w:type="gramStart"/>
      <w:r w:rsidRPr="00181887">
        <w:rPr>
          <w:rFonts w:eastAsia="Inter"/>
          <w:sz w:val="20"/>
          <w:szCs w:val="20"/>
        </w:rPr>
        <w:t>low risk</w:t>
      </w:r>
      <w:proofErr w:type="gramEnd"/>
      <w:r w:rsidRPr="00181887">
        <w:rPr>
          <w:rFonts w:eastAsia="Inter"/>
          <w:sz w:val="20"/>
          <w:szCs w:val="20"/>
        </w:rPr>
        <w:t xml:space="preserve"> pregnancy and physiological birth.  We make the below recommendations:</w:t>
      </w:r>
    </w:p>
    <w:p w14:paraId="00000011" w14:textId="77777777" w:rsidR="009B7CF6" w:rsidRPr="00181887" w:rsidRDefault="009B7CF6">
      <w:pPr>
        <w:rPr>
          <w:rFonts w:eastAsia="Inter"/>
          <w:sz w:val="20"/>
          <w:szCs w:val="20"/>
        </w:rPr>
      </w:pPr>
    </w:p>
    <w:p w14:paraId="00000012" w14:textId="77777777" w:rsidR="009B7CF6" w:rsidRPr="00181887" w:rsidRDefault="00000000">
      <w:pPr>
        <w:numPr>
          <w:ilvl w:val="0"/>
          <w:numId w:val="3"/>
        </w:numPr>
        <w:spacing w:line="259" w:lineRule="auto"/>
        <w:rPr>
          <w:rFonts w:eastAsia="Inter"/>
          <w:b/>
          <w:sz w:val="20"/>
          <w:szCs w:val="20"/>
        </w:rPr>
      </w:pPr>
      <w:r w:rsidRPr="00181887">
        <w:rPr>
          <w:rFonts w:eastAsia="Inter"/>
          <w:b/>
          <w:sz w:val="20"/>
          <w:szCs w:val="20"/>
        </w:rPr>
        <w:t xml:space="preserve">DPH Outpatient Checklists </w:t>
      </w:r>
    </w:p>
    <w:p w14:paraId="00000013" w14:textId="77777777" w:rsidR="009B7CF6" w:rsidRPr="00181887" w:rsidRDefault="00000000">
      <w:pPr>
        <w:numPr>
          <w:ilvl w:val="0"/>
          <w:numId w:val="4"/>
        </w:numPr>
        <w:spacing w:line="259" w:lineRule="auto"/>
        <w:rPr>
          <w:rFonts w:eastAsia="Inter"/>
          <w:sz w:val="20"/>
          <w:szCs w:val="20"/>
        </w:rPr>
      </w:pPr>
      <w:r w:rsidRPr="00181887">
        <w:rPr>
          <w:rFonts w:eastAsia="Inter"/>
          <w:sz w:val="20"/>
          <w:szCs w:val="20"/>
        </w:rPr>
        <w:t xml:space="preserve">It would be helpful to have an </w:t>
      </w:r>
      <w:hyperlink r:id="rId5">
        <w:r w:rsidRPr="00181887">
          <w:rPr>
            <w:rFonts w:eastAsia="Inter"/>
            <w:color w:val="1155CC"/>
            <w:sz w:val="20"/>
            <w:szCs w:val="20"/>
            <w:u w:val="single"/>
          </w:rPr>
          <w:t>OP checklist</w:t>
        </w:r>
      </w:hyperlink>
      <w:r w:rsidRPr="00181887">
        <w:rPr>
          <w:rFonts w:eastAsia="Inter"/>
          <w:sz w:val="20"/>
          <w:szCs w:val="20"/>
        </w:rPr>
        <w:t xml:space="preserve"> dedicated specifically to birth centers for Massachusetts (similar to New York State) as referencing OP1 does not quite match up with the needs specific to birth centers. </w:t>
      </w:r>
    </w:p>
    <w:p w14:paraId="00000014" w14:textId="7ABB07E2" w:rsidR="009B7CF6" w:rsidRPr="00181887" w:rsidRDefault="00000000">
      <w:pPr>
        <w:numPr>
          <w:ilvl w:val="1"/>
          <w:numId w:val="4"/>
        </w:numPr>
        <w:spacing w:line="259" w:lineRule="auto"/>
        <w:rPr>
          <w:rFonts w:eastAsia="Inter"/>
          <w:sz w:val="20"/>
          <w:szCs w:val="20"/>
        </w:rPr>
      </w:pPr>
      <w:r w:rsidRPr="00181887">
        <w:rPr>
          <w:rFonts w:eastAsia="Inter"/>
          <w:sz w:val="20"/>
          <w:szCs w:val="20"/>
        </w:rPr>
        <w:t xml:space="preserve">For example, general outpatient facilities must adhere to the patient of size requirement and provide larger bathrooms that accommodate patients of size. However, because birth centers serve low risk patients, they should not have to meet the patient of size requirements.  </w:t>
      </w:r>
    </w:p>
    <w:p w14:paraId="00000015" w14:textId="7664EEAA" w:rsidR="009B7CF6" w:rsidRPr="00181887" w:rsidRDefault="00000000">
      <w:pPr>
        <w:numPr>
          <w:ilvl w:val="0"/>
          <w:numId w:val="4"/>
        </w:numPr>
        <w:spacing w:after="160" w:line="259" w:lineRule="auto"/>
        <w:rPr>
          <w:rFonts w:eastAsia="Inter"/>
          <w:sz w:val="20"/>
          <w:szCs w:val="20"/>
        </w:rPr>
      </w:pPr>
      <w:r w:rsidRPr="00181887">
        <w:rPr>
          <w:rFonts w:eastAsia="Inter"/>
          <w:sz w:val="20"/>
          <w:szCs w:val="20"/>
        </w:rPr>
        <w:t xml:space="preserve">We recommend having a checklist that is specific to birth centers. This would reduce a lot of the confusion of having to reference and interpret how the general OP1 checklist should apply to this unique type of facility. </w:t>
      </w:r>
    </w:p>
    <w:p w14:paraId="00000016" w14:textId="77777777" w:rsidR="009B7CF6" w:rsidRPr="00181887" w:rsidRDefault="009B7CF6">
      <w:pPr>
        <w:rPr>
          <w:rFonts w:eastAsia="Inter"/>
          <w:b/>
          <w:sz w:val="20"/>
          <w:szCs w:val="20"/>
          <w:u w:val="single"/>
        </w:rPr>
      </w:pPr>
    </w:p>
    <w:p w14:paraId="00000017" w14:textId="77777777" w:rsidR="009B7CF6" w:rsidRPr="00181887" w:rsidRDefault="00000000">
      <w:pPr>
        <w:numPr>
          <w:ilvl w:val="0"/>
          <w:numId w:val="3"/>
        </w:numPr>
        <w:spacing w:line="279" w:lineRule="auto"/>
        <w:jc w:val="both"/>
        <w:rPr>
          <w:rFonts w:eastAsia="Inter"/>
          <w:b/>
          <w:sz w:val="20"/>
          <w:szCs w:val="20"/>
        </w:rPr>
      </w:pPr>
      <w:r w:rsidRPr="00181887">
        <w:rPr>
          <w:rFonts w:eastAsia="Inter"/>
          <w:b/>
          <w:sz w:val="20"/>
          <w:szCs w:val="20"/>
        </w:rPr>
        <w:t>Handwashing and Toilet Facilities</w:t>
      </w:r>
    </w:p>
    <w:p w14:paraId="00000018" w14:textId="51EA8F99" w:rsidR="009B7CF6" w:rsidRPr="00181887" w:rsidRDefault="00000000">
      <w:pPr>
        <w:numPr>
          <w:ilvl w:val="0"/>
          <w:numId w:val="4"/>
        </w:numPr>
        <w:pBdr>
          <w:top w:val="nil"/>
          <w:left w:val="nil"/>
          <w:bottom w:val="nil"/>
          <w:right w:val="nil"/>
          <w:between w:val="nil"/>
        </w:pBdr>
        <w:rPr>
          <w:rFonts w:eastAsia="Inter"/>
          <w:i/>
          <w:sz w:val="20"/>
          <w:szCs w:val="20"/>
        </w:rPr>
      </w:pPr>
      <w:r w:rsidRPr="00181887">
        <w:rPr>
          <w:rFonts w:eastAsia="Inter"/>
          <w:i/>
          <w:sz w:val="20"/>
          <w:szCs w:val="20"/>
        </w:rPr>
        <w:t>From 105 CMR 140.205: “Surgical scrub sink faucets shall be provided with blade type operating handles, knee or foot controls.”</w:t>
      </w:r>
    </w:p>
    <w:p w14:paraId="00000019" w14:textId="77777777" w:rsidR="009B7CF6" w:rsidRDefault="00000000">
      <w:pPr>
        <w:numPr>
          <w:ilvl w:val="0"/>
          <w:numId w:val="2"/>
        </w:numPr>
        <w:spacing w:line="279" w:lineRule="auto"/>
        <w:jc w:val="both"/>
        <w:rPr>
          <w:rFonts w:eastAsia="Inter"/>
          <w:sz w:val="20"/>
          <w:szCs w:val="20"/>
        </w:rPr>
      </w:pPr>
      <w:r w:rsidRPr="00181887">
        <w:rPr>
          <w:rFonts w:eastAsia="Inter"/>
          <w:sz w:val="20"/>
          <w:szCs w:val="20"/>
        </w:rPr>
        <w:t>This is unnecessary per the Commission for Accreditation of Birth Centers and adds unnecessary cost. It should be removed as a requirement for freestanding birth centers.</w:t>
      </w:r>
    </w:p>
    <w:p w14:paraId="52393412" w14:textId="77777777" w:rsidR="00181887" w:rsidRPr="00181887" w:rsidRDefault="00181887" w:rsidP="00181887">
      <w:pPr>
        <w:spacing w:line="279" w:lineRule="auto"/>
        <w:ind w:left="1440"/>
        <w:jc w:val="both"/>
        <w:rPr>
          <w:rFonts w:eastAsia="Inter"/>
          <w:sz w:val="20"/>
          <w:szCs w:val="20"/>
        </w:rPr>
      </w:pPr>
    </w:p>
    <w:p w14:paraId="0000001A" w14:textId="77777777" w:rsidR="009B7CF6" w:rsidRPr="00181887" w:rsidRDefault="00000000">
      <w:pPr>
        <w:numPr>
          <w:ilvl w:val="0"/>
          <w:numId w:val="3"/>
        </w:numPr>
        <w:rPr>
          <w:rFonts w:eastAsia="Inter"/>
          <w:b/>
          <w:sz w:val="20"/>
          <w:szCs w:val="20"/>
        </w:rPr>
      </w:pPr>
      <w:r w:rsidRPr="00181887">
        <w:rPr>
          <w:rFonts w:eastAsia="Inter"/>
          <w:b/>
          <w:sz w:val="20"/>
          <w:szCs w:val="20"/>
        </w:rPr>
        <w:t>Lighting</w:t>
      </w:r>
    </w:p>
    <w:p w14:paraId="0000001B" w14:textId="77777777" w:rsidR="009B7CF6" w:rsidRPr="00181887" w:rsidRDefault="00000000">
      <w:pPr>
        <w:numPr>
          <w:ilvl w:val="0"/>
          <w:numId w:val="4"/>
        </w:numPr>
        <w:rPr>
          <w:rFonts w:eastAsia="Inter"/>
          <w:i/>
          <w:sz w:val="20"/>
          <w:szCs w:val="20"/>
        </w:rPr>
      </w:pPr>
      <w:r w:rsidRPr="00181887">
        <w:rPr>
          <w:rFonts w:eastAsia="Inter"/>
          <w:i/>
          <w:sz w:val="20"/>
          <w:szCs w:val="20"/>
        </w:rPr>
        <w:t xml:space="preserve">FGI 2.4-8.3 Electrical Systems: “Birthing rooms to have a minimum lighting capacity of </w:t>
      </w:r>
      <w:proofErr w:type="gramStart"/>
      <w:r w:rsidRPr="00181887">
        <w:rPr>
          <w:rFonts w:eastAsia="Inter"/>
          <w:i/>
          <w:sz w:val="20"/>
          <w:szCs w:val="20"/>
        </w:rPr>
        <w:t>70 foot</w:t>
      </w:r>
      <w:proofErr w:type="gramEnd"/>
      <w:r w:rsidRPr="00181887">
        <w:rPr>
          <w:rFonts w:eastAsia="Inter"/>
          <w:i/>
          <w:sz w:val="20"/>
          <w:szCs w:val="20"/>
        </w:rPr>
        <w:t xml:space="preserve"> candles in the delivery and newborn care area”</w:t>
      </w:r>
    </w:p>
    <w:p w14:paraId="0000001C" w14:textId="742A5E5D" w:rsidR="009B7CF6" w:rsidRPr="00181887" w:rsidRDefault="00000000">
      <w:pPr>
        <w:numPr>
          <w:ilvl w:val="0"/>
          <w:numId w:val="4"/>
        </w:numPr>
        <w:rPr>
          <w:rFonts w:eastAsia="Inter"/>
          <w:i/>
          <w:sz w:val="20"/>
          <w:szCs w:val="20"/>
        </w:rPr>
      </w:pPr>
      <w:r w:rsidRPr="00181887">
        <w:rPr>
          <w:rFonts w:eastAsia="Inter"/>
          <w:sz w:val="20"/>
          <w:szCs w:val="20"/>
        </w:rPr>
        <w:lastRenderedPageBreak/>
        <w:t>The intensive level of lighting required for birth centers in the FGI guidelines is not aligned with need or use. The guidelines stipulate bright overhead ceiling lights.</w:t>
      </w:r>
    </w:p>
    <w:p w14:paraId="0000001D" w14:textId="77777777" w:rsidR="009B7CF6" w:rsidRPr="00181887" w:rsidRDefault="00000000">
      <w:pPr>
        <w:numPr>
          <w:ilvl w:val="0"/>
          <w:numId w:val="4"/>
        </w:numPr>
        <w:rPr>
          <w:rFonts w:eastAsia="Inter"/>
          <w:sz w:val="20"/>
          <w:szCs w:val="20"/>
        </w:rPr>
      </w:pPr>
      <w:r w:rsidRPr="00181887">
        <w:rPr>
          <w:rFonts w:eastAsia="Inter"/>
          <w:sz w:val="20"/>
          <w:szCs w:val="20"/>
        </w:rPr>
        <w:t xml:space="preserve">However birthing people want the ability to control lighting in their room, and often prefer dimmer, more intimate environments. </w:t>
      </w:r>
    </w:p>
    <w:p w14:paraId="0000001E" w14:textId="77777777" w:rsidR="009B7CF6" w:rsidRPr="00181887" w:rsidRDefault="00000000">
      <w:pPr>
        <w:numPr>
          <w:ilvl w:val="0"/>
          <w:numId w:val="4"/>
        </w:numPr>
        <w:rPr>
          <w:rFonts w:eastAsia="Inter"/>
          <w:sz w:val="20"/>
          <w:szCs w:val="20"/>
        </w:rPr>
      </w:pPr>
      <w:r w:rsidRPr="00181887">
        <w:rPr>
          <w:rFonts w:eastAsia="Inter"/>
          <w:sz w:val="20"/>
          <w:szCs w:val="20"/>
        </w:rPr>
        <w:t xml:space="preserve">The current lighting requirements are extremely costly for birth centers to have to build in to meet code requirements, but these lights are seldom used. </w:t>
      </w:r>
    </w:p>
    <w:p w14:paraId="0000001F" w14:textId="77777777" w:rsidR="009B7CF6" w:rsidRPr="00181887" w:rsidRDefault="00000000">
      <w:pPr>
        <w:numPr>
          <w:ilvl w:val="1"/>
          <w:numId w:val="4"/>
        </w:numPr>
        <w:rPr>
          <w:rFonts w:eastAsia="Inter"/>
          <w:sz w:val="20"/>
          <w:szCs w:val="20"/>
        </w:rPr>
      </w:pPr>
      <w:r w:rsidRPr="00181887">
        <w:rPr>
          <w:rFonts w:eastAsia="Inter"/>
          <w:sz w:val="20"/>
          <w:szCs w:val="20"/>
        </w:rPr>
        <w:t xml:space="preserve">One MA birth center stated that across the span of a year, they only turned the birth room ceiling lights on one time, during an inspection. But for patient care and everyday use, other </w:t>
      </w:r>
      <w:proofErr w:type="gramStart"/>
      <w:r w:rsidRPr="00181887">
        <w:rPr>
          <w:rFonts w:eastAsia="Inter"/>
          <w:sz w:val="20"/>
          <w:szCs w:val="20"/>
        </w:rPr>
        <w:t>lower level</w:t>
      </w:r>
      <w:proofErr w:type="gramEnd"/>
      <w:r w:rsidRPr="00181887">
        <w:rPr>
          <w:rFonts w:eastAsia="Inter"/>
          <w:sz w:val="20"/>
          <w:szCs w:val="20"/>
        </w:rPr>
        <w:t xml:space="preserve"> lights are preferred and more appropriate (other ceiling lights, as well as floor and table lamps).</w:t>
      </w:r>
    </w:p>
    <w:p w14:paraId="00000020" w14:textId="77777777" w:rsidR="009B7CF6" w:rsidRPr="00181887" w:rsidRDefault="00000000">
      <w:pPr>
        <w:numPr>
          <w:ilvl w:val="0"/>
          <w:numId w:val="4"/>
        </w:numPr>
        <w:rPr>
          <w:rFonts w:eastAsia="Inter"/>
          <w:sz w:val="20"/>
          <w:szCs w:val="20"/>
        </w:rPr>
      </w:pPr>
      <w:r w:rsidRPr="00181887">
        <w:rPr>
          <w:rFonts w:eastAsia="Inter"/>
          <w:sz w:val="20"/>
          <w:szCs w:val="20"/>
        </w:rPr>
        <w:t xml:space="preserve">We recommend relaxing the level of lighting required in birth rooms. </w:t>
      </w:r>
    </w:p>
    <w:p w14:paraId="00000021" w14:textId="77777777" w:rsidR="009B7CF6" w:rsidRPr="00181887" w:rsidRDefault="009B7CF6">
      <w:pPr>
        <w:ind w:left="1440"/>
        <w:rPr>
          <w:rFonts w:eastAsia="Inter"/>
          <w:sz w:val="20"/>
          <w:szCs w:val="20"/>
        </w:rPr>
      </w:pPr>
    </w:p>
    <w:p w14:paraId="00000022" w14:textId="77777777" w:rsidR="009B7CF6" w:rsidRPr="00181887" w:rsidRDefault="00000000">
      <w:pPr>
        <w:numPr>
          <w:ilvl w:val="0"/>
          <w:numId w:val="3"/>
        </w:numPr>
        <w:rPr>
          <w:rFonts w:eastAsia="Inter"/>
          <w:b/>
          <w:sz w:val="20"/>
          <w:szCs w:val="20"/>
        </w:rPr>
      </w:pPr>
      <w:r w:rsidRPr="00181887">
        <w:rPr>
          <w:rFonts w:eastAsia="Inter"/>
          <w:b/>
          <w:sz w:val="20"/>
          <w:szCs w:val="20"/>
        </w:rPr>
        <w:t>Medical records</w:t>
      </w:r>
    </w:p>
    <w:p w14:paraId="00000023" w14:textId="3D53C648" w:rsidR="009B7CF6" w:rsidRPr="00181887" w:rsidRDefault="00000000">
      <w:pPr>
        <w:numPr>
          <w:ilvl w:val="0"/>
          <w:numId w:val="4"/>
        </w:numPr>
        <w:rPr>
          <w:rFonts w:eastAsia="Inter"/>
          <w:sz w:val="20"/>
          <w:szCs w:val="20"/>
        </w:rPr>
      </w:pPr>
      <w:r w:rsidRPr="00181887">
        <w:rPr>
          <w:rFonts w:eastAsia="Inter"/>
          <w:sz w:val="20"/>
          <w:szCs w:val="20"/>
        </w:rPr>
        <w:t>The current FGI guidelines refers to a medical records room for storage of physical patient records. However</w:t>
      </w:r>
      <w:r w:rsidR="00181887">
        <w:rPr>
          <w:rFonts w:eastAsia="Inter"/>
          <w:sz w:val="20"/>
          <w:szCs w:val="20"/>
        </w:rPr>
        <w:t>,</w:t>
      </w:r>
      <w:r w:rsidRPr="00181887">
        <w:rPr>
          <w:rFonts w:eastAsia="Inter"/>
          <w:sz w:val="20"/>
          <w:szCs w:val="20"/>
        </w:rPr>
        <w:t xml:space="preserve"> some newer or smaller facilities use digital records.</w:t>
      </w:r>
    </w:p>
    <w:p w14:paraId="00000024" w14:textId="77777777" w:rsidR="009B7CF6" w:rsidRPr="00181887" w:rsidRDefault="00000000">
      <w:pPr>
        <w:numPr>
          <w:ilvl w:val="0"/>
          <w:numId w:val="4"/>
        </w:numPr>
        <w:rPr>
          <w:rFonts w:eastAsia="Inter"/>
          <w:sz w:val="20"/>
          <w:szCs w:val="20"/>
        </w:rPr>
      </w:pPr>
      <w:r w:rsidRPr="00181887">
        <w:rPr>
          <w:rFonts w:eastAsia="Inter"/>
          <w:sz w:val="20"/>
          <w:szCs w:val="20"/>
        </w:rPr>
        <w:t xml:space="preserve">We recommend adding a clarifying addendum to the requirement, so that facilities using exclusively digital records are exempt from needing to have a physical medical records space. </w:t>
      </w:r>
    </w:p>
    <w:p w14:paraId="00000025" w14:textId="77777777" w:rsidR="009B7CF6" w:rsidRPr="00181887" w:rsidRDefault="009B7CF6">
      <w:pPr>
        <w:rPr>
          <w:rFonts w:eastAsia="Inter"/>
          <w:sz w:val="20"/>
          <w:szCs w:val="20"/>
        </w:rPr>
      </w:pPr>
    </w:p>
    <w:p w14:paraId="00000026" w14:textId="77777777" w:rsidR="009B7CF6" w:rsidRPr="00181887" w:rsidRDefault="00000000">
      <w:pPr>
        <w:numPr>
          <w:ilvl w:val="0"/>
          <w:numId w:val="3"/>
        </w:numPr>
        <w:rPr>
          <w:rFonts w:eastAsia="Inter"/>
          <w:b/>
          <w:sz w:val="20"/>
          <w:szCs w:val="20"/>
        </w:rPr>
      </w:pPr>
      <w:r w:rsidRPr="00181887">
        <w:rPr>
          <w:rFonts w:eastAsia="Inter"/>
          <w:b/>
          <w:sz w:val="20"/>
          <w:szCs w:val="20"/>
        </w:rPr>
        <w:t>Elevator</w:t>
      </w:r>
    </w:p>
    <w:p w14:paraId="00000027" w14:textId="77777777" w:rsidR="009B7CF6" w:rsidRPr="00181887" w:rsidRDefault="00000000">
      <w:pPr>
        <w:numPr>
          <w:ilvl w:val="0"/>
          <w:numId w:val="4"/>
        </w:numPr>
        <w:rPr>
          <w:rFonts w:eastAsia="Inter"/>
          <w:i/>
          <w:sz w:val="20"/>
          <w:szCs w:val="20"/>
        </w:rPr>
      </w:pPr>
      <w:r w:rsidRPr="00181887">
        <w:rPr>
          <w:rFonts w:eastAsia="Inter"/>
          <w:i/>
          <w:sz w:val="20"/>
          <w:szCs w:val="20"/>
        </w:rPr>
        <w:t>FGI 2.4-8.7 Elevators: “Minimum elevator car dimensions to be 5’-8” wide x 7’-6” deep”</w:t>
      </w:r>
    </w:p>
    <w:p w14:paraId="00000028" w14:textId="77777777" w:rsidR="009B7CF6" w:rsidRPr="00181887" w:rsidRDefault="00000000">
      <w:pPr>
        <w:numPr>
          <w:ilvl w:val="0"/>
          <w:numId w:val="4"/>
        </w:numPr>
        <w:rPr>
          <w:rFonts w:eastAsia="Inter"/>
          <w:sz w:val="20"/>
          <w:szCs w:val="20"/>
        </w:rPr>
      </w:pPr>
      <w:r w:rsidRPr="00181887">
        <w:rPr>
          <w:rFonts w:eastAsia="Inter"/>
          <w:sz w:val="20"/>
          <w:szCs w:val="20"/>
        </w:rPr>
        <w:t>The FGI guidelines currently requires gurney sized elevators. In the case that the elevator is being used to accommodate emergency stretcher access to birth rooms on an upper floor, this makes sense.</w:t>
      </w:r>
    </w:p>
    <w:p w14:paraId="00000029" w14:textId="77777777" w:rsidR="009B7CF6" w:rsidRPr="00181887" w:rsidRDefault="00000000">
      <w:pPr>
        <w:numPr>
          <w:ilvl w:val="0"/>
          <w:numId w:val="4"/>
        </w:numPr>
        <w:rPr>
          <w:rFonts w:eastAsia="Inter"/>
          <w:sz w:val="20"/>
          <w:szCs w:val="20"/>
        </w:rPr>
      </w:pPr>
      <w:r w:rsidRPr="00181887">
        <w:rPr>
          <w:rFonts w:eastAsia="Inter"/>
          <w:sz w:val="20"/>
          <w:szCs w:val="20"/>
        </w:rPr>
        <w:t xml:space="preserve">However, if the birth rooms are on a ground level floor; and a facility has an elevator to access non-birth spaces on an upper floor (such as multipurpose or staff spaces), the minimum elevator size should be allowed to be smaller. </w:t>
      </w:r>
    </w:p>
    <w:p w14:paraId="0000002A" w14:textId="77777777" w:rsidR="009B7CF6" w:rsidRPr="00181887" w:rsidRDefault="00000000">
      <w:pPr>
        <w:numPr>
          <w:ilvl w:val="0"/>
          <w:numId w:val="4"/>
        </w:numPr>
        <w:rPr>
          <w:rFonts w:eastAsia="Inter"/>
          <w:sz w:val="20"/>
          <w:szCs w:val="20"/>
        </w:rPr>
      </w:pPr>
      <w:r w:rsidRPr="00181887">
        <w:rPr>
          <w:rFonts w:eastAsia="Inter"/>
          <w:sz w:val="20"/>
          <w:szCs w:val="20"/>
        </w:rPr>
        <w:t xml:space="preserve">We recommend adding clarifying language to the point above. </w:t>
      </w:r>
    </w:p>
    <w:p w14:paraId="0000002B" w14:textId="77777777" w:rsidR="009B7CF6" w:rsidRPr="00181887" w:rsidRDefault="009B7CF6">
      <w:pPr>
        <w:rPr>
          <w:rFonts w:eastAsia="Inter"/>
          <w:sz w:val="20"/>
          <w:szCs w:val="20"/>
        </w:rPr>
      </w:pPr>
    </w:p>
    <w:p w14:paraId="0000002C" w14:textId="77777777" w:rsidR="009B7CF6" w:rsidRPr="00181887" w:rsidRDefault="00000000">
      <w:pPr>
        <w:numPr>
          <w:ilvl w:val="0"/>
          <w:numId w:val="3"/>
        </w:numPr>
        <w:rPr>
          <w:rFonts w:eastAsia="Inter"/>
          <w:b/>
          <w:sz w:val="20"/>
          <w:szCs w:val="20"/>
        </w:rPr>
      </w:pPr>
      <w:r w:rsidRPr="00181887">
        <w:rPr>
          <w:rFonts w:eastAsia="Inter"/>
          <w:b/>
          <w:sz w:val="20"/>
          <w:szCs w:val="20"/>
        </w:rPr>
        <w:t>Soiled workroom</w:t>
      </w:r>
    </w:p>
    <w:p w14:paraId="0000002D" w14:textId="77777777" w:rsidR="009B7CF6" w:rsidRPr="00181887" w:rsidRDefault="00000000">
      <w:pPr>
        <w:numPr>
          <w:ilvl w:val="0"/>
          <w:numId w:val="1"/>
        </w:numPr>
        <w:spacing w:line="259" w:lineRule="auto"/>
        <w:rPr>
          <w:rFonts w:eastAsia="Inter"/>
          <w:i/>
          <w:sz w:val="20"/>
          <w:szCs w:val="20"/>
        </w:rPr>
      </w:pPr>
      <w:r w:rsidRPr="00181887">
        <w:rPr>
          <w:rFonts w:eastAsia="Inter"/>
          <w:i/>
          <w:sz w:val="20"/>
          <w:szCs w:val="20"/>
        </w:rPr>
        <w:t>FGI 2.4-2.8.2 Staff Work Area: Provide facilities for cleaning bedpans in the mother’s bathrooms</w:t>
      </w:r>
    </w:p>
    <w:p w14:paraId="0000002E" w14:textId="0DEC4D07" w:rsidR="009B7CF6" w:rsidRPr="00181887" w:rsidRDefault="00000000">
      <w:pPr>
        <w:numPr>
          <w:ilvl w:val="0"/>
          <w:numId w:val="1"/>
        </w:numPr>
        <w:spacing w:line="259" w:lineRule="auto"/>
        <w:rPr>
          <w:rFonts w:eastAsia="Inter"/>
          <w:sz w:val="20"/>
          <w:szCs w:val="20"/>
        </w:rPr>
      </w:pPr>
      <w:r w:rsidRPr="00181887">
        <w:rPr>
          <w:rFonts w:eastAsia="Inter"/>
          <w:sz w:val="20"/>
          <w:szCs w:val="20"/>
        </w:rPr>
        <w:t>The FGI guidelines currently require facilities for cleaning bedpans in the soiled workroom. However</w:t>
      </w:r>
      <w:r w:rsidR="00181887">
        <w:rPr>
          <w:rFonts w:eastAsia="Inter"/>
          <w:sz w:val="20"/>
          <w:szCs w:val="20"/>
        </w:rPr>
        <w:t>,</w:t>
      </w:r>
      <w:r w:rsidRPr="00181887">
        <w:rPr>
          <w:rFonts w:eastAsia="Inter"/>
          <w:sz w:val="20"/>
          <w:szCs w:val="20"/>
        </w:rPr>
        <w:t xml:space="preserve"> birth centers do not use bedpans for patients, as mothers are ambulatory before, during, and after birth. </w:t>
      </w:r>
    </w:p>
    <w:p w14:paraId="0000002F" w14:textId="77777777" w:rsidR="009B7CF6" w:rsidRPr="00181887" w:rsidRDefault="00000000">
      <w:pPr>
        <w:numPr>
          <w:ilvl w:val="0"/>
          <w:numId w:val="1"/>
        </w:numPr>
        <w:spacing w:line="259" w:lineRule="auto"/>
        <w:rPr>
          <w:rFonts w:eastAsia="Inter"/>
          <w:sz w:val="20"/>
          <w:szCs w:val="20"/>
        </w:rPr>
      </w:pPr>
      <w:r w:rsidRPr="00181887">
        <w:rPr>
          <w:rFonts w:eastAsia="Inter"/>
          <w:sz w:val="20"/>
          <w:szCs w:val="20"/>
        </w:rPr>
        <w:t>We recommend relaxing or adding clarifying language on the above.</w:t>
      </w:r>
    </w:p>
    <w:p w14:paraId="00000030" w14:textId="77777777" w:rsidR="009B7CF6" w:rsidRPr="00181887" w:rsidRDefault="009B7CF6">
      <w:pPr>
        <w:rPr>
          <w:rFonts w:eastAsia="Inter"/>
          <w:sz w:val="20"/>
          <w:szCs w:val="20"/>
        </w:rPr>
      </w:pPr>
    </w:p>
    <w:p w14:paraId="00000031" w14:textId="77777777" w:rsidR="009B7CF6" w:rsidRPr="00181887" w:rsidRDefault="009B7CF6">
      <w:pPr>
        <w:rPr>
          <w:rFonts w:eastAsia="Inter"/>
          <w:sz w:val="20"/>
          <w:szCs w:val="20"/>
        </w:rPr>
      </w:pPr>
    </w:p>
    <w:p w14:paraId="00000032" w14:textId="77777777" w:rsidR="009B7CF6" w:rsidRPr="00181887" w:rsidRDefault="00000000">
      <w:pPr>
        <w:rPr>
          <w:rFonts w:eastAsia="Inter"/>
          <w:sz w:val="20"/>
          <w:szCs w:val="20"/>
        </w:rPr>
      </w:pPr>
      <w:r w:rsidRPr="00181887">
        <w:rPr>
          <w:rFonts w:eastAsia="Inter"/>
          <w:sz w:val="20"/>
          <w:szCs w:val="20"/>
        </w:rPr>
        <w:t>Sincerely,</w:t>
      </w:r>
    </w:p>
    <w:p w14:paraId="00000033" w14:textId="77777777" w:rsidR="009B7CF6" w:rsidRPr="00181887" w:rsidRDefault="009B7CF6">
      <w:pPr>
        <w:rPr>
          <w:rFonts w:eastAsia="Inter"/>
          <w:sz w:val="20"/>
          <w:szCs w:val="20"/>
        </w:rPr>
      </w:pPr>
    </w:p>
    <w:p w14:paraId="00000034" w14:textId="77777777" w:rsidR="009B7CF6" w:rsidRPr="00181887" w:rsidRDefault="00000000">
      <w:pPr>
        <w:rPr>
          <w:rFonts w:eastAsia="Inter"/>
          <w:b/>
          <w:sz w:val="20"/>
          <w:szCs w:val="20"/>
        </w:rPr>
      </w:pPr>
      <w:r w:rsidRPr="00181887">
        <w:rPr>
          <w:rFonts w:eastAsia="Inter"/>
          <w:b/>
          <w:sz w:val="20"/>
          <w:szCs w:val="20"/>
        </w:rPr>
        <w:t>MASS Design Group Team</w:t>
      </w:r>
    </w:p>
    <w:p w14:paraId="00000035" w14:textId="1872F9F8" w:rsidR="009B7CF6" w:rsidRPr="00181887" w:rsidRDefault="00000000">
      <w:pPr>
        <w:rPr>
          <w:rFonts w:eastAsia="Inter"/>
          <w:sz w:val="20"/>
          <w:szCs w:val="20"/>
        </w:rPr>
      </w:pPr>
      <w:r w:rsidRPr="00181887">
        <w:rPr>
          <w:rFonts w:eastAsia="Inter"/>
          <w:sz w:val="20"/>
          <w:szCs w:val="20"/>
        </w:rPr>
        <w:t>Amie Shao, Principal, MASS Design Group (amie@mass-group.org)</w:t>
      </w:r>
    </w:p>
    <w:p w14:paraId="00000036" w14:textId="77777777" w:rsidR="009B7CF6" w:rsidRPr="00181887" w:rsidRDefault="00000000">
      <w:pPr>
        <w:rPr>
          <w:rFonts w:eastAsia="Inter"/>
          <w:sz w:val="20"/>
          <w:szCs w:val="20"/>
        </w:rPr>
      </w:pPr>
      <w:r w:rsidRPr="00181887">
        <w:rPr>
          <w:rFonts w:eastAsia="Inter"/>
          <w:sz w:val="20"/>
          <w:szCs w:val="20"/>
        </w:rPr>
        <w:t xml:space="preserve">David </w:t>
      </w:r>
      <w:proofErr w:type="spellStart"/>
      <w:r w:rsidRPr="00181887">
        <w:rPr>
          <w:rFonts w:eastAsia="Inter"/>
          <w:sz w:val="20"/>
          <w:szCs w:val="20"/>
        </w:rPr>
        <w:t>Saladik</w:t>
      </w:r>
      <w:proofErr w:type="spellEnd"/>
      <w:r w:rsidRPr="00181887">
        <w:rPr>
          <w:rFonts w:eastAsia="Inter"/>
          <w:sz w:val="20"/>
          <w:szCs w:val="20"/>
        </w:rPr>
        <w:t>, Senior Principal, MASS Design Group (</w:t>
      </w:r>
      <w:hyperlink r:id="rId6">
        <w:r w:rsidRPr="00181887">
          <w:rPr>
            <w:rFonts w:eastAsia="Inter"/>
            <w:sz w:val="20"/>
            <w:szCs w:val="20"/>
          </w:rPr>
          <w:t>david@mass-group.org</w:t>
        </w:r>
      </w:hyperlink>
      <w:r w:rsidRPr="00181887">
        <w:rPr>
          <w:rFonts w:eastAsia="Inter"/>
          <w:sz w:val="20"/>
          <w:szCs w:val="20"/>
        </w:rPr>
        <w:t>)</w:t>
      </w:r>
    </w:p>
    <w:p w14:paraId="00000037" w14:textId="77777777" w:rsidR="009B7CF6" w:rsidRPr="00181887" w:rsidRDefault="00000000">
      <w:pPr>
        <w:rPr>
          <w:sz w:val="21"/>
          <w:szCs w:val="21"/>
        </w:rPr>
      </w:pPr>
      <w:r w:rsidRPr="00181887">
        <w:rPr>
          <w:rFonts w:eastAsia="Inter"/>
          <w:sz w:val="20"/>
          <w:szCs w:val="20"/>
        </w:rPr>
        <w:t>1 Chandler St, Boston, MA 02116</w:t>
      </w:r>
    </w:p>
    <w:sectPr w:rsidR="009B7CF6" w:rsidRPr="00181887">
      <w:type w:val="continuous"/>
      <w:pgSz w:w="12240" w:h="15840"/>
      <w:pgMar w:top="1440" w:right="1440" w:bottom="810" w:left="1440" w:header="72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charset w:val="00"/>
    <w:family w:val="auto"/>
    <w:pitch w:val="default"/>
  </w:font>
  <w:font w:name="Inter SemiBold">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269"/>
    <w:multiLevelType w:val="multilevel"/>
    <w:tmpl w:val="3D8CA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98077B"/>
    <w:multiLevelType w:val="multilevel"/>
    <w:tmpl w:val="506CC9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09A71E9"/>
    <w:multiLevelType w:val="multilevel"/>
    <w:tmpl w:val="6CF21A48"/>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F781E7F"/>
    <w:multiLevelType w:val="multilevel"/>
    <w:tmpl w:val="4EFA5B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737716">
    <w:abstractNumId w:val="2"/>
  </w:num>
  <w:num w:numId="2" w16cid:durableId="704335865">
    <w:abstractNumId w:val="1"/>
  </w:num>
  <w:num w:numId="3" w16cid:durableId="1279605994">
    <w:abstractNumId w:val="0"/>
  </w:num>
  <w:num w:numId="4" w16cid:durableId="1082025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F6"/>
    <w:rsid w:val="00181887"/>
    <w:rsid w:val="009B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E01E9"/>
  <w15:docId w15:val="{0990F711-CF64-1048-8A0D-2314412E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mass-group.org" TargetMode="External"/><Relationship Id="rId5" Type="http://schemas.openxmlformats.org/officeDocument/2006/relationships/hyperlink" Target="https://www.mass.gov/lists/outpatient-facilities-checkli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2024-10-28T14:11:00Z</dcterms:created>
  <dcterms:modified xsi:type="dcterms:W3CDTF">2024-10-28T14:13:00Z</dcterms:modified>
</cp:coreProperties>
</file>