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1A4CCA"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0" w:name="_GoBack"/>
                            <w:bookmarkEnd w:id="0"/>
                            <w:r>
                              <w:rPr>
                                <w:b/>
                                <w:sz w:val="36"/>
                              </w:rPr>
                              <w:t>WATER DAMAGE</w:t>
                            </w:r>
                            <w:r w:rsidR="004F4CDE">
                              <w:rPr>
                                <w:b/>
                                <w:sz w:val="36"/>
                              </w:rPr>
                              <w:t xml:space="preserve"> 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C1057F" w:rsidP="00484185">
                            <w:pPr>
                              <w:jc w:val="center"/>
                              <w:rPr>
                                <w:b/>
                                <w:bCs/>
                                <w:sz w:val="28"/>
                              </w:rPr>
                            </w:pPr>
                            <w:r>
                              <w:rPr>
                                <w:b/>
                                <w:bCs/>
                                <w:sz w:val="28"/>
                              </w:rPr>
                              <w:t>Massachusetts Gaming Commission</w:t>
                            </w:r>
                          </w:p>
                          <w:p w:rsidR="003279F9" w:rsidRDefault="002438B2" w:rsidP="004611AE">
                            <w:pPr>
                              <w:jc w:val="center"/>
                              <w:rPr>
                                <w:b/>
                                <w:bCs/>
                                <w:sz w:val="28"/>
                              </w:rPr>
                            </w:pPr>
                            <w:r>
                              <w:rPr>
                                <w:b/>
                                <w:bCs/>
                                <w:sz w:val="28"/>
                              </w:rPr>
                              <w:t>101 Federal Street, 1</w:t>
                            </w:r>
                            <w:r w:rsidR="00C1057F">
                              <w:rPr>
                                <w:b/>
                                <w:bCs/>
                                <w:sz w:val="28"/>
                              </w:rPr>
                              <w:t>2</w:t>
                            </w:r>
                            <w:r w:rsidRPr="002438B2">
                              <w:rPr>
                                <w:b/>
                                <w:bCs/>
                                <w:sz w:val="28"/>
                                <w:vertAlign w:val="superscript"/>
                              </w:rPr>
                              <w:t>th</w:t>
                            </w:r>
                            <w:r>
                              <w:rPr>
                                <w:b/>
                                <w:bCs/>
                                <w:sz w:val="28"/>
                              </w:rPr>
                              <w:t xml:space="preserve"> floor</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9F09DD" w:rsidRPr="009F09DD" w:rsidRDefault="001A4CCA" w:rsidP="00DB51C0">
                            <w:pPr>
                              <w:jc w:val="center"/>
                            </w:pPr>
                            <w:r w:rsidRPr="009F09DD">
                              <w:rPr>
                                <w:noProof/>
                              </w:rPr>
                              <w:drawing>
                                <wp:inline distT="0" distB="0" distL="0" distR="0">
                                  <wp:extent cx="2882900" cy="2787650"/>
                                  <wp:effectExtent l="0" t="0" r="0" b="0"/>
                                  <wp:docPr id="6" name="Picture 6" descr="Exterior view of 101 Federal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101 Federal Street"/>
                                          <pic:cNvPicPr>
                                            <a:picLocks noChangeAspect="1" noChangeArrowheads="1"/>
                                          </pic:cNvPicPr>
                                        </pic:nvPicPr>
                                        <pic:blipFill>
                                          <a:blip r:embed="rId8" cstate="screen">
                                            <a:extLst>
                                              <a:ext uri="{28A0092B-C50C-407E-A947-70E740481C1C}">
                                                <a14:useLocalDpi xmlns:a14="http://schemas.microsoft.com/office/drawing/2010/main"/>
                                              </a:ext>
                                            </a:extLst>
                                          </a:blip>
                                          <a:srcRect r="-4428"/>
                                          <a:stretch>
                                            <a:fillRect/>
                                          </a:stretch>
                                        </pic:blipFill>
                                        <pic:spPr bwMode="auto">
                                          <a:xfrm>
                                            <a:off x="0" y="0"/>
                                            <a:ext cx="2882900" cy="278765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3279F9" w:rsidP="00DB51C0">
                            <w:pPr>
                              <w:jc w:val="center"/>
                            </w:pPr>
                            <w:r>
                              <w:t>August</w:t>
                            </w:r>
                            <w:r w:rsidR="004F4CDE">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1" w:name="_GoBack"/>
                      <w:bookmarkEnd w:id="1"/>
                      <w:r>
                        <w:rPr>
                          <w:b/>
                          <w:sz w:val="36"/>
                        </w:rPr>
                        <w:t>WATER DAMAGE</w:t>
                      </w:r>
                      <w:r w:rsidR="004F4CDE">
                        <w:rPr>
                          <w:b/>
                          <w:sz w:val="36"/>
                        </w:rPr>
                        <w:t xml:space="preserve"> 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C1057F" w:rsidP="00484185">
                      <w:pPr>
                        <w:jc w:val="center"/>
                        <w:rPr>
                          <w:b/>
                          <w:bCs/>
                          <w:sz w:val="28"/>
                        </w:rPr>
                      </w:pPr>
                      <w:r>
                        <w:rPr>
                          <w:b/>
                          <w:bCs/>
                          <w:sz w:val="28"/>
                        </w:rPr>
                        <w:t>Massachusetts Gaming Commission</w:t>
                      </w:r>
                    </w:p>
                    <w:p w:rsidR="003279F9" w:rsidRDefault="002438B2" w:rsidP="004611AE">
                      <w:pPr>
                        <w:jc w:val="center"/>
                        <w:rPr>
                          <w:b/>
                          <w:bCs/>
                          <w:sz w:val="28"/>
                        </w:rPr>
                      </w:pPr>
                      <w:r>
                        <w:rPr>
                          <w:b/>
                          <w:bCs/>
                          <w:sz w:val="28"/>
                        </w:rPr>
                        <w:t>101 Federal Street, 1</w:t>
                      </w:r>
                      <w:r w:rsidR="00C1057F">
                        <w:rPr>
                          <w:b/>
                          <w:bCs/>
                          <w:sz w:val="28"/>
                        </w:rPr>
                        <w:t>2</w:t>
                      </w:r>
                      <w:r w:rsidRPr="002438B2">
                        <w:rPr>
                          <w:b/>
                          <w:bCs/>
                          <w:sz w:val="28"/>
                          <w:vertAlign w:val="superscript"/>
                        </w:rPr>
                        <w:t>th</w:t>
                      </w:r>
                      <w:r>
                        <w:rPr>
                          <w:b/>
                          <w:bCs/>
                          <w:sz w:val="28"/>
                        </w:rPr>
                        <w:t xml:space="preserve"> floor</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9F09DD" w:rsidRPr="009F09DD" w:rsidRDefault="001A4CCA" w:rsidP="00DB51C0">
                      <w:pPr>
                        <w:jc w:val="center"/>
                      </w:pPr>
                      <w:r w:rsidRPr="009F09DD">
                        <w:rPr>
                          <w:noProof/>
                        </w:rPr>
                        <w:drawing>
                          <wp:inline distT="0" distB="0" distL="0" distR="0">
                            <wp:extent cx="2882900" cy="2787650"/>
                            <wp:effectExtent l="0" t="0" r="0" b="0"/>
                            <wp:docPr id="6" name="Picture 6" descr="Exterior view of 101 Federal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101 Federal Street"/>
                                    <pic:cNvPicPr>
                                      <a:picLocks noChangeAspect="1" noChangeArrowheads="1"/>
                                    </pic:cNvPicPr>
                                  </pic:nvPicPr>
                                  <pic:blipFill>
                                    <a:blip r:embed="rId8" cstate="screen">
                                      <a:extLst>
                                        <a:ext uri="{28A0092B-C50C-407E-A947-70E740481C1C}">
                                          <a14:useLocalDpi xmlns:a14="http://schemas.microsoft.com/office/drawing/2010/main"/>
                                        </a:ext>
                                      </a:extLst>
                                    </a:blip>
                                    <a:srcRect r="-4428"/>
                                    <a:stretch>
                                      <a:fillRect/>
                                    </a:stretch>
                                  </pic:blipFill>
                                  <pic:spPr bwMode="auto">
                                    <a:xfrm>
                                      <a:off x="0" y="0"/>
                                      <a:ext cx="2882900" cy="278765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3279F9" w:rsidP="00DB51C0">
                      <w:pPr>
                        <w:jc w:val="center"/>
                      </w:pPr>
                      <w:r>
                        <w:t>August</w:t>
                      </w:r>
                      <w:r w:rsidR="004F4CDE">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017A75" w:rsidRPr="008261E3" w:rsidRDefault="00D7547F" w:rsidP="007859E6">
            <w:pPr>
              <w:tabs>
                <w:tab w:val="left" w:pos="1485"/>
              </w:tabs>
              <w:rPr>
                <w:bCs/>
              </w:rPr>
            </w:pPr>
            <w:r>
              <w:rPr>
                <w:bCs/>
              </w:rPr>
              <w:t>Massachusetts Gaming Commission (GC)</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017A75" w:rsidRPr="00412466" w:rsidRDefault="00E05301" w:rsidP="00EB0D1C">
            <w:pPr>
              <w:pStyle w:val="StaffTitleHangingIndent"/>
            </w:pPr>
            <w:r>
              <w:t xml:space="preserve">101 </w:t>
            </w:r>
            <w:r w:rsidRPr="00E05301">
              <w:t>Federal Street,</w:t>
            </w:r>
            <w:r w:rsidR="003279F9" w:rsidRPr="00E05301">
              <w:t xml:space="preserve"> </w:t>
            </w:r>
            <w:r w:rsidR="00D7547F">
              <w:t>12</w:t>
            </w:r>
            <w:r w:rsidRPr="00E05301">
              <w:rPr>
                <w:vertAlign w:val="superscript"/>
              </w:rPr>
              <w:t>th</w:t>
            </w:r>
            <w:r>
              <w:t xml:space="preserve"> floor, </w:t>
            </w:r>
            <w:r w:rsidR="003279F9" w:rsidRPr="00E05301">
              <w:t>Boston</w:t>
            </w:r>
          </w:p>
        </w:tc>
      </w:tr>
      <w:tr w:rsidR="00017A75" w:rsidRPr="005E458D" w:rsidTr="007154D5">
        <w:trPr>
          <w:jc w:val="center"/>
        </w:trPr>
        <w:tc>
          <w:tcPr>
            <w:tcW w:w="5089" w:type="dxa"/>
            <w:shd w:val="clear" w:color="auto" w:fill="auto"/>
          </w:tcPr>
          <w:p w:rsidR="00017A75" w:rsidRPr="00891A2F" w:rsidRDefault="00017A75" w:rsidP="00486557">
            <w:pPr>
              <w:tabs>
                <w:tab w:val="left" w:pos="1485"/>
              </w:tabs>
              <w:rPr>
                <w:rStyle w:val="BackgroundBoldedDescriptors"/>
              </w:rPr>
            </w:pPr>
            <w:r w:rsidRPr="00A53200">
              <w:rPr>
                <w:rStyle w:val="BackgroundBoldedDescriptors"/>
              </w:rPr>
              <w:t>Assessment Requested by:</w:t>
            </w:r>
          </w:p>
        </w:tc>
        <w:tc>
          <w:tcPr>
            <w:tcW w:w="4008" w:type="dxa"/>
            <w:shd w:val="clear" w:color="auto" w:fill="auto"/>
          </w:tcPr>
          <w:p w:rsidR="00017A75" w:rsidRPr="00412466" w:rsidRDefault="00A53200" w:rsidP="00C27C82">
            <w:pPr>
              <w:pStyle w:val="StaffTitleHangingIndent"/>
            </w:pPr>
            <w:r>
              <w:t>Janice Reilly, GC</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017A75" w:rsidRPr="00412466" w:rsidRDefault="003279F9" w:rsidP="003279F9">
            <w:pPr>
              <w:tabs>
                <w:tab w:val="left" w:pos="1485"/>
              </w:tabs>
              <w:rPr>
                <w:bCs/>
              </w:rPr>
            </w:pPr>
            <w:r>
              <w:rPr>
                <w:bCs/>
              </w:rPr>
              <w:t>Water damage following a flood</w:t>
            </w:r>
          </w:p>
        </w:tc>
      </w:tr>
      <w:tr w:rsidR="00017A75" w:rsidRPr="005E458D" w:rsidTr="007154D5">
        <w:trPr>
          <w:jc w:val="center"/>
        </w:trPr>
        <w:tc>
          <w:tcPr>
            <w:tcW w:w="5089" w:type="dxa"/>
            <w:shd w:val="clear" w:color="auto" w:fill="auto"/>
          </w:tcPr>
          <w:p w:rsidR="00017A75" w:rsidRPr="007F3BA2" w:rsidRDefault="00017A75" w:rsidP="00486557">
            <w:pPr>
              <w:tabs>
                <w:tab w:val="left" w:pos="1485"/>
              </w:tabs>
              <w:rPr>
                <w:rStyle w:val="BackgroundBoldedDescriptors"/>
              </w:rPr>
            </w:pPr>
            <w:r w:rsidRPr="007F3BA2">
              <w:rPr>
                <w:rStyle w:val="BackgroundBoldedDescriptors"/>
              </w:rPr>
              <w:t>Date of Assessment:</w:t>
            </w:r>
          </w:p>
        </w:tc>
        <w:tc>
          <w:tcPr>
            <w:tcW w:w="4008" w:type="dxa"/>
            <w:shd w:val="clear" w:color="auto" w:fill="auto"/>
          </w:tcPr>
          <w:p w:rsidR="00017A75" w:rsidRPr="007F3BA2" w:rsidRDefault="003279F9" w:rsidP="00C1057F">
            <w:pPr>
              <w:tabs>
                <w:tab w:val="left" w:pos="1485"/>
              </w:tabs>
              <w:rPr>
                <w:bCs/>
              </w:rPr>
            </w:pPr>
            <w:r>
              <w:rPr>
                <w:bCs/>
              </w:rPr>
              <w:t xml:space="preserve">July </w:t>
            </w:r>
            <w:r w:rsidR="00C1057F">
              <w:rPr>
                <w:bCs/>
              </w:rPr>
              <w:t>24</w:t>
            </w:r>
            <w:r>
              <w:rPr>
                <w:bCs/>
              </w:rPr>
              <w:t>,</w:t>
            </w:r>
            <w:r w:rsidR="00872598" w:rsidRPr="007F3BA2">
              <w:rPr>
                <w:bCs/>
              </w:rPr>
              <w:t xml:space="preserve"> 201</w:t>
            </w:r>
            <w:r w:rsidR="00A94DD2" w:rsidRPr="007F3BA2">
              <w:rPr>
                <w:bCs/>
              </w:rPr>
              <w:t>9</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7740F2" w:rsidRDefault="007740F2" w:rsidP="004B5977">
            <w:pPr>
              <w:pStyle w:val="StaffTitleHangingIndent"/>
              <w:rPr>
                <w:bCs/>
              </w:rPr>
            </w:pPr>
          </w:p>
          <w:p w:rsidR="00017A75" w:rsidRPr="0009667C" w:rsidRDefault="004611AE" w:rsidP="00C1057F">
            <w:pPr>
              <w:pStyle w:val="StaffTitleHangingIndent"/>
              <w:ind w:left="0" w:firstLine="0"/>
              <w:rPr>
                <w:bCs/>
              </w:rPr>
            </w:pPr>
            <w:r>
              <w:rPr>
                <w:bCs/>
              </w:rPr>
              <w:t>Mike Feeney, Director</w:t>
            </w:r>
            <w:r w:rsidR="00017A75">
              <w:rPr>
                <w:bCs/>
              </w:rPr>
              <w:t>, IAQ Program</w:t>
            </w:r>
            <w:r w:rsidR="003279F9">
              <w:rPr>
                <w:bCs/>
              </w:rPr>
              <w:t xml:space="preserve"> and </w:t>
            </w:r>
            <w:r w:rsidR="00C1057F" w:rsidRPr="00C1057F">
              <w:rPr>
                <w:bCs/>
              </w:rPr>
              <w:t>Ruth Alfasso, Environmental Engineer/Inspector, IAQ Program</w:t>
            </w:r>
          </w:p>
        </w:tc>
      </w:tr>
      <w:tr w:rsidR="00017A75" w:rsidRPr="005E458D" w:rsidTr="007154D5">
        <w:trPr>
          <w:trHeight w:val="323"/>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017A75" w:rsidRPr="00790002" w:rsidRDefault="004611AE" w:rsidP="004859AD">
            <w:pPr>
              <w:pStyle w:val="StaffTitleHangingIndent"/>
              <w:rPr>
                <w:bCs/>
              </w:rPr>
            </w:pPr>
            <w:r w:rsidRPr="00F9152D">
              <w:rPr>
                <w:bCs/>
              </w:rPr>
              <w:t xml:space="preserve">Other </w:t>
            </w:r>
            <w:r w:rsidR="003279F9" w:rsidRPr="00F9152D">
              <w:rPr>
                <w:bCs/>
              </w:rPr>
              <w:t>office tenants</w:t>
            </w:r>
            <w:r w:rsidR="00F9152D">
              <w:rPr>
                <w:bCs/>
              </w:rPr>
              <w:t xml:space="preserve"> </w:t>
            </w:r>
            <w:r w:rsidRPr="00F9152D">
              <w:rPr>
                <w:bCs/>
              </w:rPr>
              <w:t xml:space="preserve">occupy </w:t>
            </w:r>
            <w:r w:rsidR="00E05301" w:rsidRPr="00F9152D">
              <w:rPr>
                <w:bCs/>
              </w:rPr>
              <w:t xml:space="preserve">other floors </w:t>
            </w:r>
            <w:r w:rsidRPr="00F9152D">
              <w:rPr>
                <w:bCs/>
              </w:rPr>
              <w:t>in the building.</w:t>
            </w:r>
          </w:p>
        </w:tc>
      </w:tr>
      <w:tr w:rsidR="00017A75" w:rsidRPr="005E458D" w:rsidTr="007154D5">
        <w:trPr>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017A75" w:rsidRPr="00790002" w:rsidRDefault="004611AE" w:rsidP="00510448">
            <w:pPr>
              <w:tabs>
                <w:tab w:val="left" w:pos="1485"/>
              </w:tabs>
              <w:rPr>
                <w:bCs/>
              </w:rPr>
            </w:pPr>
            <w:r>
              <w:rPr>
                <w:bCs/>
              </w:rPr>
              <w:t xml:space="preserve">Not </w:t>
            </w:r>
            <w:r w:rsidR="00510448">
              <w:rPr>
                <w:bCs/>
              </w:rPr>
              <w:t>o</w:t>
            </w:r>
            <w:r w:rsidR="00017A75" w:rsidRPr="00790002">
              <w:rPr>
                <w:bCs/>
              </w:rPr>
              <w:t>penable</w:t>
            </w:r>
          </w:p>
        </w:tc>
      </w:tr>
    </w:tbl>
    <w:p w:rsidR="00710182" w:rsidRDefault="00710182" w:rsidP="00F93352">
      <w:pPr>
        <w:pStyle w:val="Heading1"/>
      </w:pPr>
      <w:r>
        <w:t>Introduction</w:t>
      </w:r>
    </w:p>
    <w:p w:rsidR="00D7547F" w:rsidRDefault="003279F9" w:rsidP="003279F9">
      <w:pPr>
        <w:pStyle w:val="BodyText10"/>
      </w:pPr>
      <w:r>
        <w:t xml:space="preserve">Over the weekend of July 20, 2019, water service to the building at </w:t>
      </w:r>
      <w:r w:rsidR="00E05301">
        <w:t>101 Federal Street</w:t>
      </w:r>
      <w:r>
        <w:t xml:space="preserve"> was interrupted due to City of Boston work </w:t>
      </w:r>
      <w:r w:rsidR="00E05301">
        <w:t xml:space="preserve">on the water mains. Building facility staff was not made aware of this interruption. </w:t>
      </w:r>
      <w:proofErr w:type="gramStart"/>
      <w:r w:rsidR="00E05301">
        <w:t>As a result</w:t>
      </w:r>
      <w:proofErr w:type="gramEnd"/>
      <w:r w:rsidR="00E05301">
        <w:t xml:space="preserve">, adjustments to the building cooling system were not made and the system was not monitored. High outdoor temperatures led to overwork of the building cooling system without access to a source of water for cooling. This resulted in a release of water from the cooling system </w:t>
      </w:r>
      <w:r w:rsidR="00E05301" w:rsidRPr="004859AD">
        <w:t xml:space="preserve">on the </w:t>
      </w:r>
      <w:r w:rsidR="004859AD" w:rsidRPr="004859AD">
        <w:t>15</w:t>
      </w:r>
      <w:r w:rsidR="004859AD" w:rsidRPr="004859AD">
        <w:rPr>
          <w:vertAlign w:val="superscript"/>
        </w:rPr>
        <w:t>th</w:t>
      </w:r>
      <w:r w:rsidR="004859AD">
        <w:t xml:space="preserve"> </w:t>
      </w:r>
      <w:r w:rsidR="00E05301" w:rsidRPr="004859AD">
        <w:t>floor</w:t>
      </w:r>
      <w:r w:rsidR="00E05301">
        <w:t xml:space="preserve"> of the building on Saturday July 2</w:t>
      </w:r>
      <w:r w:rsidR="009C6D7E">
        <w:t>0</w:t>
      </w:r>
      <w:r w:rsidR="000F7B59">
        <w:t xml:space="preserve">. Water flowed down and </w:t>
      </w:r>
      <w:r w:rsidR="00E05301">
        <w:t xml:space="preserve">moistened materials on most floors of the building. Because of the location of the </w:t>
      </w:r>
      <w:r w:rsidR="00D7547F">
        <w:t>GC on the 12</w:t>
      </w:r>
      <w:r w:rsidR="00E05301" w:rsidRPr="00E05301">
        <w:rPr>
          <w:vertAlign w:val="superscript"/>
        </w:rPr>
        <w:t>th</w:t>
      </w:r>
      <w:r w:rsidR="00E05301">
        <w:t xml:space="preserve"> floor, materials in this office were significantly </w:t>
      </w:r>
      <w:r w:rsidR="002438B2">
        <w:t>impacted</w:t>
      </w:r>
      <w:r w:rsidR="00E05301">
        <w:t xml:space="preserve"> by the flood.</w:t>
      </w:r>
    </w:p>
    <w:p w:rsidR="002438B2" w:rsidRDefault="00D7547F" w:rsidP="003279F9">
      <w:pPr>
        <w:pStyle w:val="BodyText10"/>
      </w:pPr>
      <w:r>
        <w:t>Note that the Cannabis Control Commission offices are located on the 13</w:t>
      </w:r>
      <w:r w:rsidRPr="00D7547F">
        <w:rPr>
          <w:vertAlign w:val="superscript"/>
        </w:rPr>
        <w:t>th</w:t>
      </w:r>
      <w:r>
        <w:t xml:space="preserve"> floor of this building and were visited on July 22, 2019. Discussion of that visit </w:t>
      </w:r>
      <w:r w:rsidR="004E54B5">
        <w:t>is</w:t>
      </w:r>
      <w:r>
        <w:t xml:space="preserve"> found in a separate report.</w:t>
      </w:r>
    </w:p>
    <w:p w:rsidR="003279F9" w:rsidRDefault="00A53200" w:rsidP="003279F9">
      <w:pPr>
        <w:pStyle w:val="BodyText10"/>
      </w:pPr>
      <w:r w:rsidRPr="00A53200">
        <w:t xml:space="preserve">Reportedly, building facility staff became aware of the water release during the July 20, 2019 weekend, and began drying and other remediation </w:t>
      </w:r>
      <w:proofErr w:type="gramStart"/>
      <w:r w:rsidRPr="00A53200">
        <w:t>measures.</w:t>
      </w:r>
      <w:r w:rsidR="002438B2">
        <w:t>.</w:t>
      </w:r>
      <w:proofErr w:type="gramEnd"/>
      <w:r w:rsidR="002438B2">
        <w:t xml:space="preserve"> These included</w:t>
      </w:r>
      <w:r w:rsidR="0029061D">
        <w:t>:</w:t>
      </w:r>
    </w:p>
    <w:p w:rsidR="002438B2" w:rsidRDefault="002438B2" w:rsidP="002438B2">
      <w:pPr>
        <w:pStyle w:val="BodyText10"/>
        <w:numPr>
          <w:ilvl w:val="0"/>
          <w:numId w:val="34"/>
        </w:numPr>
      </w:pPr>
      <w:r>
        <w:t xml:space="preserve">Use of fans to accelerate drying of carpeting and gypsum wallboard (GW); </w:t>
      </w:r>
    </w:p>
    <w:p w:rsidR="00CB079E" w:rsidRDefault="00CB079E" w:rsidP="002438B2">
      <w:pPr>
        <w:pStyle w:val="BodyText10"/>
        <w:numPr>
          <w:ilvl w:val="0"/>
          <w:numId w:val="34"/>
        </w:numPr>
      </w:pPr>
      <w:r>
        <w:t xml:space="preserve">Removal of areas of GW, with holes drilled in some remaining </w:t>
      </w:r>
      <w:r w:rsidR="0029061D">
        <w:t>wallboard to accelerate drying (Picture 1);</w:t>
      </w:r>
    </w:p>
    <w:p w:rsidR="009C2892" w:rsidRDefault="009C2892" w:rsidP="002438B2">
      <w:pPr>
        <w:pStyle w:val="BodyText10"/>
        <w:numPr>
          <w:ilvl w:val="0"/>
          <w:numId w:val="34"/>
        </w:numPr>
      </w:pPr>
      <w:r>
        <w:t>Removal of coving from impacted walls (Picture 2)</w:t>
      </w:r>
    </w:p>
    <w:p w:rsidR="00CB079E" w:rsidRDefault="00CB079E" w:rsidP="002438B2">
      <w:pPr>
        <w:pStyle w:val="BodyText10"/>
        <w:numPr>
          <w:ilvl w:val="0"/>
          <w:numId w:val="34"/>
        </w:numPr>
      </w:pPr>
      <w:r>
        <w:lastRenderedPageBreak/>
        <w:t>Movement of objects from the floor such as cabinets and floor mats</w:t>
      </w:r>
      <w:r w:rsidR="009C2892">
        <w:t>;</w:t>
      </w:r>
    </w:p>
    <w:p w:rsidR="002438B2" w:rsidRPr="003279F9" w:rsidRDefault="00CB079E" w:rsidP="002438B2">
      <w:pPr>
        <w:pStyle w:val="BodyText10"/>
        <w:numPr>
          <w:ilvl w:val="0"/>
          <w:numId w:val="34"/>
        </w:numPr>
      </w:pPr>
      <w:r>
        <w:t>Measurement of moisture content of GW and carpeting to identify areas needing additional treatment.</w:t>
      </w:r>
    </w:p>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2438B2">
        <w:t xml:space="preserve"> </w:t>
      </w:r>
      <w:r w:rsidR="004E54B5">
        <w:t>In addition, v</w:t>
      </w:r>
      <w:r w:rsidR="002438B2">
        <w:t>isual observations were made of water-damaged materials, drying procedures being used, and other conditions that may impact IAQ.</w:t>
      </w:r>
      <w:r w:rsidR="00CB079E">
        <w:t xml:space="preserve"> Some moisture measurements in GW and carpeting were conducted as is discussed further below.</w:t>
      </w:r>
    </w:p>
    <w:p w:rsidR="005D747F" w:rsidRDefault="005D747F" w:rsidP="005D747F">
      <w:pPr>
        <w:pStyle w:val="Heading1"/>
      </w:pPr>
      <w:r w:rsidRPr="00147DC7">
        <w:t>Results</w:t>
      </w:r>
      <w:r w:rsidR="004E54B5">
        <w:t xml:space="preserve"> and Discussion</w:t>
      </w:r>
    </w:p>
    <w:p w:rsidR="004E54B5" w:rsidRPr="008264F0" w:rsidRDefault="004E54B5" w:rsidP="004E54B5">
      <w:pPr>
        <w:pStyle w:val="BodyText"/>
      </w:pPr>
      <w:r w:rsidRPr="008264F0">
        <w:t>The following is a summary of indoor air testing results (Table 1).</w:t>
      </w:r>
    </w:p>
    <w:p w:rsidR="004E54B5" w:rsidRPr="00FF451A" w:rsidRDefault="004E54B5" w:rsidP="004E54B5">
      <w:pPr>
        <w:numPr>
          <w:ilvl w:val="0"/>
          <w:numId w:val="15"/>
        </w:numPr>
        <w:spacing w:line="360" w:lineRule="auto"/>
      </w:pPr>
      <w:r w:rsidRPr="00FF451A">
        <w:rPr>
          <w:b/>
          <w:i/>
        </w:rPr>
        <w:t>Carbon dioxide levels</w:t>
      </w:r>
      <w:r w:rsidRPr="00FF451A">
        <w:t xml:space="preserve"> were </w:t>
      </w:r>
      <w:r>
        <w:t>above</w:t>
      </w:r>
      <w:r w:rsidRPr="00FF451A">
        <w:t xml:space="preserve"> the MDPH guideline of 800 parts per million (ppm) in </w:t>
      </w:r>
      <w:r>
        <w:t xml:space="preserve">all areas tested, indicating that more fresh air is needed in the </w:t>
      </w:r>
      <w:r w:rsidRPr="00FF451A">
        <w:t>areas assessed.</w:t>
      </w:r>
    </w:p>
    <w:p w:rsidR="004E54B5" w:rsidRPr="00FF451A" w:rsidRDefault="004E54B5" w:rsidP="004E54B5">
      <w:pPr>
        <w:numPr>
          <w:ilvl w:val="0"/>
          <w:numId w:val="16"/>
        </w:numPr>
        <w:spacing w:line="360" w:lineRule="auto"/>
      </w:pPr>
      <w:r w:rsidRPr="00FF451A">
        <w:rPr>
          <w:b/>
          <w:i/>
        </w:rPr>
        <w:t>Temperature</w:t>
      </w:r>
      <w:r w:rsidRPr="00FF451A">
        <w:t xml:space="preserve"> was within the MDPH recommended range of 70°F to 78°F in all areas.</w:t>
      </w:r>
    </w:p>
    <w:p w:rsidR="004E54B5" w:rsidRPr="00FF451A" w:rsidRDefault="004E54B5" w:rsidP="004E54B5">
      <w:pPr>
        <w:numPr>
          <w:ilvl w:val="0"/>
          <w:numId w:val="17"/>
        </w:numPr>
        <w:spacing w:line="360" w:lineRule="auto"/>
      </w:pPr>
      <w:r w:rsidRPr="00FF451A">
        <w:rPr>
          <w:b/>
          <w:i/>
        </w:rPr>
        <w:t>Relative humidity</w:t>
      </w:r>
      <w:r w:rsidRPr="00FF451A">
        <w:t xml:space="preserve"> was within the MDPH recommended range of 40% to 60% in all areas assessed.</w:t>
      </w:r>
    </w:p>
    <w:p w:rsidR="004E54B5" w:rsidRPr="00FF451A" w:rsidRDefault="004E54B5" w:rsidP="004E54B5">
      <w:pPr>
        <w:numPr>
          <w:ilvl w:val="0"/>
          <w:numId w:val="18"/>
        </w:numPr>
        <w:spacing w:line="360" w:lineRule="auto"/>
      </w:pPr>
      <w:r>
        <w:rPr>
          <w:b/>
          <w:i/>
        </w:rPr>
        <w:t>Dew Point</w:t>
      </w:r>
      <w:r w:rsidRPr="00FF451A">
        <w:t xml:space="preserve"> </w:t>
      </w:r>
      <w:r>
        <w:t>ranged from 47</w:t>
      </w:r>
      <w:r w:rsidRPr="004E54B5">
        <w:t xml:space="preserve">°F </w:t>
      </w:r>
      <w:r>
        <w:t>to 49</w:t>
      </w:r>
      <w:r w:rsidRPr="00FF451A">
        <w:t xml:space="preserve">°F </w:t>
      </w:r>
      <w:r>
        <w:t>indicating that condensation on surfaces would be unlikely at the time of the assessment</w:t>
      </w:r>
      <w:r w:rsidRPr="00FF451A">
        <w:t>.</w:t>
      </w:r>
    </w:p>
    <w:p w:rsidR="005D747F" w:rsidRPr="00676A91" w:rsidRDefault="005D747F" w:rsidP="005D747F">
      <w:pPr>
        <w:pStyle w:val="Heading2"/>
      </w:pPr>
      <w:r w:rsidRPr="00412466">
        <w:t>Ventilation</w:t>
      </w:r>
    </w:p>
    <w:p w:rsidR="005D747F" w:rsidRDefault="005D747F" w:rsidP="005D747F">
      <w:pPr>
        <w:pStyle w:val="BodyText1"/>
      </w:pPr>
      <w:r w:rsidRPr="00CB079E">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EB0D1C" w:rsidRPr="00CB079E" w:rsidRDefault="004611AE" w:rsidP="004611AE">
      <w:pPr>
        <w:pStyle w:val="BodyText"/>
      </w:pPr>
      <w:r w:rsidRPr="00CB079E">
        <w:t>Fresh air is provided by</w:t>
      </w:r>
      <w:r w:rsidR="00710182" w:rsidRPr="00CB079E">
        <w:t xml:space="preserve"> </w:t>
      </w:r>
      <w:r w:rsidR="008A164C" w:rsidRPr="00CB079E">
        <w:t>ceiling</w:t>
      </w:r>
      <w:r w:rsidR="00710182" w:rsidRPr="00CB079E">
        <w:t xml:space="preserve">-mounted </w:t>
      </w:r>
      <w:r w:rsidR="00D60E30" w:rsidRPr="00CB079E">
        <w:t xml:space="preserve">fresh air </w:t>
      </w:r>
      <w:r w:rsidR="004F4CDE" w:rsidRPr="00CB079E">
        <w:t>diffusers</w:t>
      </w:r>
      <w:r w:rsidR="007D5924" w:rsidRPr="00CB079E">
        <w:t>.</w:t>
      </w:r>
      <w:r w:rsidR="00710182" w:rsidRPr="00CB079E">
        <w:t xml:space="preserve"> A mechanical exhaust vent system removes stale air</w:t>
      </w:r>
      <w:r w:rsidR="00EB0D1C" w:rsidRPr="00CB079E">
        <w:t>.</w:t>
      </w:r>
      <w:r w:rsidR="008A164C" w:rsidRPr="00CB079E">
        <w:t xml:space="preserve"> </w:t>
      </w:r>
      <w:r w:rsidR="007D5924" w:rsidRPr="00CB079E">
        <w:t xml:space="preserve">Fan coil units (FCU) were installed along exterior walls within the </w:t>
      </w:r>
      <w:r w:rsidR="007D5924" w:rsidRPr="00CB079E">
        <w:lastRenderedPageBreak/>
        <w:t>building. The FCUs are designed to provide both heat and cooling. Depending on the setting, heated or chilled water is pumped through a finned tube (i.e., a coil) that is connected to the furnace/chiller by copper pipes that are installed in the pipe chase. Water runs through supply pipe</w:t>
      </w:r>
      <w:r w:rsidR="008A164C" w:rsidRPr="00CB079E">
        <w:t>s</w:t>
      </w:r>
      <w:r w:rsidR="007D5924" w:rsidRPr="00CB079E">
        <w:t xml:space="preserve"> into the coils, which heat/cool the air forced </w:t>
      </w:r>
      <w:r w:rsidR="004F4CDE" w:rsidRPr="00CB079E">
        <w:t>through</w:t>
      </w:r>
      <w:r w:rsidR="007D5924" w:rsidRPr="00CB079E">
        <w:t xml:space="preserve"> the coils by the FCU fans. It is important to note that FCUs are designed to provide either heating or cooling, but do not have a fresh air supply. FCU units can only recirculate air.</w:t>
      </w:r>
    </w:p>
    <w:p w:rsidR="002667D9" w:rsidRDefault="004611AE" w:rsidP="004611AE">
      <w:pPr>
        <w:pStyle w:val="BodyText"/>
      </w:pPr>
      <w:r w:rsidRPr="00CB079E">
        <w:t xml:space="preserve">To maximize air exchange, the MDPH recommends that both supply and exhaust ventilation operate continuously during periods of occupancy. </w:t>
      </w:r>
      <w:proofErr w:type="gramStart"/>
      <w:r w:rsidRPr="00CB079E">
        <w:t>In order to</w:t>
      </w:r>
      <w:proofErr w:type="gramEnd"/>
      <w:r w:rsidRPr="00CB079E">
        <w:t xml:space="preserve">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w:t>
      </w:r>
      <w:r w:rsidR="002667D9" w:rsidRPr="00CB079E">
        <w:t xml:space="preserve"> It is unknown when the last time this system was balanced.</w:t>
      </w:r>
    </w:p>
    <w:p w:rsidR="005D747F" w:rsidRDefault="005D747F" w:rsidP="005D747F">
      <w:pPr>
        <w:pStyle w:val="Heading2"/>
      </w:pPr>
      <w:r w:rsidRPr="00684FFA">
        <w:t>Microbial/Moisture Concerns</w:t>
      </w:r>
    </w:p>
    <w:p w:rsidR="002438B2" w:rsidRDefault="002438B2" w:rsidP="002438B2"/>
    <w:p w:rsidR="002438B2" w:rsidRDefault="002438B2" w:rsidP="002438B2">
      <w:pPr>
        <w:pStyle w:val="BodyText10"/>
      </w:pPr>
      <w:r>
        <w:t>The following was observed during the visit:</w:t>
      </w:r>
    </w:p>
    <w:p w:rsidR="00532FA2" w:rsidRDefault="00532FA2" w:rsidP="002438B2">
      <w:pPr>
        <w:pStyle w:val="BodyText10"/>
        <w:numPr>
          <w:ilvl w:val="0"/>
          <w:numId w:val="35"/>
        </w:numPr>
      </w:pPr>
      <w:r>
        <w:t>Wallboard was removed and had holes cut in it</w:t>
      </w:r>
      <w:r w:rsidR="00A53200">
        <w:t>s base</w:t>
      </w:r>
      <w:r>
        <w:t xml:space="preserve"> to allow for drying in the affected areas (Picture 1). Coving was also removed from most affected walls</w:t>
      </w:r>
      <w:r w:rsidR="009C2892">
        <w:t xml:space="preserve"> (Picture 2)</w:t>
      </w:r>
      <w:r>
        <w:t>.</w:t>
      </w:r>
    </w:p>
    <w:p w:rsidR="00532FA2" w:rsidRDefault="00532FA2" w:rsidP="002438B2">
      <w:pPr>
        <w:pStyle w:val="BodyText10"/>
        <w:numPr>
          <w:ilvl w:val="0"/>
          <w:numId w:val="35"/>
        </w:numPr>
      </w:pPr>
      <w:r>
        <w:t>Moisture measurements were conducted in the remaining walls in the impacted area and many were</w:t>
      </w:r>
      <w:r w:rsidR="00660D57">
        <w:t xml:space="preserve"> found to still be moistened </w:t>
      </w:r>
      <w:r>
        <w:t>up to two feet above the floor.</w:t>
      </w:r>
    </w:p>
    <w:p w:rsidR="001220AE" w:rsidRDefault="001220AE" w:rsidP="002438B2">
      <w:pPr>
        <w:pStyle w:val="BodyText10"/>
        <w:numPr>
          <w:ilvl w:val="0"/>
          <w:numId w:val="35"/>
        </w:numPr>
      </w:pPr>
      <w:r>
        <w:t>Damage was observed to fan coil unit housing covers, which appear to be made of plywood with a heavy</w:t>
      </w:r>
      <w:r w:rsidR="00532FA2">
        <w:t xml:space="preserve"> layer of paint (Picture </w:t>
      </w:r>
      <w:r w:rsidR="009C2892">
        <w:t>3</w:t>
      </w:r>
      <w:r w:rsidR="00532FA2">
        <w:t>)</w:t>
      </w:r>
      <w:r>
        <w:t xml:space="preserve">. Additionally, </w:t>
      </w:r>
      <w:r w:rsidR="0068427D">
        <w:t>some</w:t>
      </w:r>
      <w:r>
        <w:t xml:space="preserve"> were </w:t>
      </w:r>
      <w:r w:rsidR="002738A4">
        <w:t xml:space="preserve">still </w:t>
      </w:r>
      <w:r>
        <w:t>wet at the time of the visit</w:t>
      </w:r>
      <w:r w:rsidR="0068427D">
        <w:t xml:space="preserve"> </w:t>
      </w:r>
      <w:r w:rsidR="00532FA2">
        <w:t>as shown by moisture measurements</w:t>
      </w:r>
      <w:r>
        <w:t xml:space="preserve">. These pieces should be replaced </w:t>
      </w:r>
      <w:r w:rsidR="002738A4">
        <w:t>since</w:t>
      </w:r>
      <w:r>
        <w:t xml:space="preserve"> water-damaged plywood can be an ongoing source of odors</w:t>
      </w:r>
      <w:r w:rsidR="002738A4">
        <w:t>,</w:t>
      </w:r>
      <w:r>
        <w:t xml:space="preserve"> particularly if it is in the airstre</w:t>
      </w:r>
      <w:r w:rsidR="008A7FAC">
        <w:t>am of air circulation equipment.</w:t>
      </w:r>
    </w:p>
    <w:p w:rsidR="002738A4" w:rsidRPr="002438B2" w:rsidRDefault="0068427D" w:rsidP="002438B2">
      <w:pPr>
        <w:pStyle w:val="BodyText10"/>
        <w:numPr>
          <w:ilvl w:val="0"/>
          <w:numId w:val="35"/>
        </w:numPr>
      </w:pPr>
      <w:r>
        <w:t>F</w:t>
      </w:r>
      <w:r w:rsidR="002738A4">
        <w:t xml:space="preserve">urniture and </w:t>
      </w:r>
      <w:r>
        <w:t xml:space="preserve">items including </w:t>
      </w:r>
      <w:r w:rsidR="002738A4">
        <w:t xml:space="preserve">porous items </w:t>
      </w:r>
      <w:r>
        <w:t>(e.g.,</w:t>
      </w:r>
      <w:r w:rsidR="002738A4">
        <w:t xml:space="preserve"> boxes</w:t>
      </w:r>
      <w:r>
        <w:t>)</w:t>
      </w:r>
      <w:r w:rsidR="002738A4">
        <w:t xml:space="preserve"> were observed remaining on the floor in the affected area</w:t>
      </w:r>
      <w:r w:rsidR="00532FA2">
        <w:t xml:space="preserve"> (Picture</w:t>
      </w:r>
      <w:r w:rsidR="009C2892">
        <w:t>s 2 and</w:t>
      </w:r>
      <w:r w:rsidR="00532FA2">
        <w:t xml:space="preserve"> </w:t>
      </w:r>
      <w:r w:rsidR="009C2892">
        <w:t>4</w:t>
      </w:r>
      <w:r>
        <w:t>)</w:t>
      </w:r>
      <w:r w:rsidR="002738A4">
        <w:t xml:space="preserve">. </w:t>
      </w:r>
      <w:r w:rsidR="00532FA2">
        <w:t xml:space="preserve">Some of the boxes appeared water-damaged. </w:t>
      </w:r>
      <w:r w:rsidR="002738A4">
        <w:t xml:space="preserve">These items can prevent walls/floors from drying and can prevent access for cleaning and testing. Furthermore, porous items can become colonized with mold. </w:t>
      </w:r>
    </w:p>
    <w:p w:rsidR="00D35C8C" w:rsidRDefault="00682FC7" w:rsidP="00137F73">
      <w:pPr>
        <w:pStyle w:val="BodyText"/>
      </w:pPr>
      <w:r w:rsidRPr="00682FC7">
        <w:lastRenderedPageBreak/>
        <w:t>The US Environmental Protection Agency (US EPA) and the American Conference of Governmental Industrial Hygienists (ACGIH) recommends that porous materials (e.g., wallboard, carpeting) be dried with fans and heating within 24 to 48 hours of becoming we</w:t>
      </w:r>
      <w:r w:rsidR="005D40A4">
        <w:t xml:space="preserve">t (US EPA, 2008; ACGIH, 1989). </w:t>
      </w:r>
      <w:r w:rsidRPr="00682FC7">
        <w:t>If porous materials are not dried within this time frame, mold growth may occur</w:t>
      </w:r>
      <w:r>
        <w:t xml:space="preserve">. </w:t>
      </w:r>
    </w:p>
    <w:p w:rsidR="004D05AC" w:rsidRPr="00736ECE" w:rsidRDefault="00DF2A15" w:rsidP="00104481">
      <w:pPr>
        <w:pStyle w:val="Heading1"/>
      </w:pPr>
      <w:r w:rsidRPr="00736ECE">
        <w:t>C</w:t>
      </w:r>
      <w:r w:rsidR="004D05AC" w:rsidRPr="00736ECE">
        <w:t>onclusions/Recommendations</w:t>
      </w:r>
    </w:p>
    <w:p w:rsidR="001208DE" w:rsidRDefault="001208DE" w:rsidP="00131F5C">
      <w:pPr>
        <w:pStyle w:val="BodyText"/>
        <w:numPr>
          <w:ilvl w:val="0"/>
          <w:numId w:val="30"/>
        </w:numPr>
      </w:pPr>
      <w:r>
        <w:t>Move or remove any items and furniture from the floor and away from walls in the affected areas to inspect underneath and behind them for additional water damage.</w:t>
      </w:r>
    </w:p>
    <w:p w:rsidR="001208DE" w:rsidRDefault="001208DE" w:rsidP="00131F5C">
      <w:pPr>
        <w:pStyle w:val="BodyText"/>
        <w:numPr>
          <w:ilvl w:val="0"/>
          <w:numId w:val="30"/>
        </w:numPr>
      </w:pPr>
      <w:r>
        <w:t>Water-damaged porous materials such as boxes/papers</w:t>
      </w:r>
      <w:r w:rsidR="00A53200">
        <w:t>, laminated tables or other items</w:t>
      </w:r>
      <w:r>
        <w:t xml:space="preserve"> may need to be discarded if they show signs of mold colonization such as musty odors.</w:t>
      </w:r>
    </w:p>
    <w:p w:rsidR="002738A4" w:rsidRDefault="002738A4" w:rsidP="00131F5C">
      <w:pPr>
        <w:pStyle w:val="BodyText"/>
        <w:numPr>
          <w:ilvl w:val="0"/>
          <w:numId w:val="30"/>
        </w:numPr>
      </w:pPr>
      <w:r>
        <w:t xml:space="preserve">Continue drying and remediating the affected area in </w:t>
      </w:r>
      <w:r w:rsidR="00AA29CE" w:rsidRPr="002738A4">
        <w:t xml:space="preserve">accordance with </w:t>
      </w:r>
      <w:r w:rsidR="00186540" w:rsidRPr="002738A4">
        <w:t>the EPA guideline “Mold Remediation in Schools and Commercial Buildings” (US</w:t>
      </w:r>
      <w:r w:rsidR="00F07D30" w:rsidRPr="002738A4">
        <w:t xml:space="preserve"> </w:t>
      </w:r>
      <w:r w:rsidR="00186540" w:rsidRPr="002738A4">
        <w:t>EPA, 2008</w:t>
      </w:r>
      <w:r w:rsidR="001C0E14" w:rsidRPr="002738A4">
        <w:t>)</w:t>
      </w:r>
      <w:r w:rsidR="00A706B9" w:rsidRPr="002738A4">
        <w:t>.</w:t>
      </w:r>
      <w:r>
        <w:t xml:space="preserve"> This may include:</w:t>
      </w:r>
    </w:p>
    <w:p w:rsidR="002738A4" w:rsidRDefault="002738A4" w:rsidP="002738A4">
      <w:pPr>
        <w:pStyle w:val="BodyText"/>
        <w:numPr>
          <w:ilvl w:val="1"/>
          <w:numId w:val="30"/>
        </w:numPr>
      </w:pPr>
      <w:r>
        <w:t>Inspecting and cleaning the area above moistened ceiling tiles;</w:t>
      </w:r>
    </w:p>
    <w:p w:rsidR="002738A4" w:rsidRDefault="002738A4" w:rsidP="002738A4">
      <w:pPr>
        <w:pStyle w:val="BodyText"/>
        <w:numPr>
          <w:ilvl w:val="1"/>
          <w:numId w:val="30"/>
        </w:numPr>
      </w:pPr>
      <w:r>
        <w:t>Cutting out and replacing areas of GW that continue to be moistened 48 hours after the flood;</w:t>
      </w:r>
    </w:p>
    <w:p w:rsidR="002738A4" w:rsidRDefault="002738A4" w:rsidP="002738A4">
      <w:pPr>
        <w:pStyle w:val="BodyText"/>
        <w:numPr>
          <w:ilvl w:val="1"/>
          <w:numId w:val="30"/>
        </w:numPr>
      </w:pPr>
      <w:r>
        <w:t xml:space="preserve">Replacing the covers of all damaged fan coil units such as </w:t>
      </w:r>
      <w:r w:rsidR="0068427D">
        <w:t>the one</w:t>
      </w:r>
      <w:r>
        <w:t xml:space="preserve"> shown in Picture</w:t>
      </w:r>
      <w:r w:rsidR="00E21BF1">
        <w:t xml:space="preserve"> 2</w:t>
      </w:r>
      <w:r>
        <w:t xml:space="preserve">. </w:t>
      </w:r>
      <w:proofErr w:type="gramStart"/>
      <w:r>
        <w:t>All of these</w:t>
      </w:r>
      <w:proofErr w:type="gramEnd"/>
      <w:r>
        <w:t xml:space="preserve"> units should be inspected for odors and vacuumed of debris at this time as well.</w:t>
      </w:r>
    </w:p>
    <w:p w:rsidR="001208DE" w:rsidRDefault="0068427D" w:rsidP="002738A4">
      <w:pPr>
        <w:pStyle w:val="BodyText"/>
        <w:numPr>
          <w:ilvl w:val="1"/>
          <w:numId w:val="30"/>
        </w:numPr>
      </w:pPr>
      <w:r>
        <w:t>Replacement of any carpet squares</w:t>
      </w:r>
      <w:r w:rsidR="001208DE">
        <w:t xml:space="preserve"> that had been moistened for over 48 hours</w:t>
      </w:r>
      <w:r>
        <w:t xml:space="preserve"> or have any musty or moldy odors</w:t>
      </w:r>
      <w:r w:rsidR="001208DE">
        <w:t>.</w:t>
      </w:r>
    </w:p>
    <w:p w:rsidR="001208DE" w:rsidRDefault="001208DE" w:rsidP="001208DE">
      <w:pPr>
        <w:pStyle w:val="BodyText"/>
        <w:numPr>
          <w:ilvl w:val="0"/>
          <w:numId w:val="30"/>
        </w:numPr>
      </w:pPr>
      <w:r>
        <w:t>Activities that may be disruptive or lead to dust and odors should be conducted during off-hours (evenings and weekends) to the greatest extent practical.</w:t>
      </w:r>
    </w:p>
    <w:p w:rsidR="001208DE" w:rsidRDefault="001208DE" w:rsidP="001208DE">
      <w:pPr>
        <w:pStyle w:val="BodyText"/>
        <w:numPr>
          <w:ilvl w:val="0"/>
          <w:numId w:val="30"/>
        </w:numPr>
      </w:pPr>
      <w:r>
        <w:t>Remove or separate staff from areas under remediation or construction to prevent exposure to dust and odors. Plastic sheeting and tape may be used for containment where needed.</w:t>
      </w:r>
    </w:p>
    <w:p w:rsidR="001208DE" w:rsidRDefault="001208DE" w:rsidP="001208DE">
      <w:pPr>
        <w:pStyle w:val="BodyText"/>
        <w:numPr>
          <w:ilvl w:val="0"/>
          <w:numId w:val="30"/>
        </w:numPr>
      </w:pPr>
      <w:r>
        <w:t>Increase cleaning in the affected areas to remove dust</w:t>
      </w:r>
      <w:r w:rsidR="0068427D">
        <w:t xml:space="preserve"> and debris</w:t>
      </w:r>
      <w:r>
        <w:t xml:space="preserve"> from carpeting and flat surfaces. Clean carpeting and surfaces thoroughly once the rest of the remediation is completed.</w:t>
      </w:r>
    </w:p>
    <w:p w:rsidR="00F84853" w:rsidRDefault="00F84853" w:rsidP="001208DE">
      <w:pPr>
        <w:pStyle w:val="BodyText"/>
        <w:numPr>
          <w:ilvl w:val="0"/>
          <w:numId w:val="30"/>
        </w:numPr>
      </w:pPr>
      <w:r>
        <w:lastRenderedPageBreak/>
        <w:t>Ensure the ventilation system is operating continuously during occupied periods. This includes setting thermostats to “fan on” to ensure fresh air circulation occurs even when temperature settings are satisfied.</w:t>
      </w:r>
    </w:p>
    <w:p w:rsidR="00F84853" w:rsidRPr="00F84853" w:rsidRDefault="00F84853" w:rsidP="00F84853">
      <w:pPr>
        <w:pStyle w:val="BodyText"/>
        <w:numPr>
          <w:ilvl w:val="0"/>
          <w:numId w:val="30"/>
        </w:numPr>
      </w:pPr>
      <w:r w:rsidRPr="00F84853">
        <w:t>Consider adopting a balancing schedule of every 5 years for all mechanical ventilation systems, as recommended by ventilation industrial standards (SMACNA, 1994).</w:t>
      </w:r>
    </w:p>
    <w:p w:rsidR="007A2045" w:rsidRDefault="007A2045" w:rsidP="00131F5C">
      <w:pPr>
        <w:pStyle w:val="BodyText"/>
        <w:numPr>
          <w:ilvl w:val="0"/>
          <w:numId w:val="30"/>
        </w:numPr>
      </w:pPr>
      <w:r>
        <w:t xml:space="preserve">Refer to resource manual and other related IAQ documents located on the MDPH’s website for further building-wide evaluations and advice on maintaining public buildings. These documents are available at: </w:t>
      </w:r>
      <w:hyperlink r:id="rId9" w:history="1">
        <w:r w:rsidR="000E5A97" w:rsidRPr="001E0490">
          <w:rPr>
            <w:rStyle w:val="Hyperlink"/>
          </w:rPr>
          <w:t>http:</w:t>
        </w:r>
        <w:r w:rsidR="000E5A97" w:rsidRPr="001E0490">
          <w:rPr>
            <w:rStyle w:val="Hyperlink"/>
          </w:rPr>
          <w:t>/</w:t>
        </w:r>
        <w:r w:rsidR="000E5A97" w:rsidRPr="001E0490">
          <w:rPr>
            <w:rStyle w:val="Hyperlink"/>
          </w:rPr>
          <w:t>/</w:t>
        </w:r>
        <w:r w:rsidR="000E5A97" w:rsidRPr="001E0490">
          <w:rPr>
            <w:rStyle w:val="Hyperlink"/>
          </w:rPr>
          <w:t>m</w:t>
        </w:r>
        <w:r w:rsidR="000E5A97" w:rsidRPr="001E0490">
          <w:rPr>
            <w:rStyle w:val="Hyperlink"/>
          </w:rPr>
          <w:t>ass.</w:t>
        </w:r>
        <w:r w:rsidR="000E5A97" w:rsidRPr="001E0490">
          <w:rPr>
            <w:rStyle w:val="Hyperlink"/>
          </w:rPr>
          <w:t>g</w:t>
        </w:r>
        <w:r w:rsidR="000E5A97" w:rsidRPr="001E0490">
          <w:rPr>
            <w:rStyle w:val="Hyperlink"/>
          </w:rPr>
          <w:t>o</w:t>
        </w:r>
        <w:r w:rsidR="000E5A97" w:rsidRPr="001E0490">
          <w:rPr>
            <w:rStyle w:val="Hyperlink"/>
          </w:rPr>
          <w:t>v</w:t>
        </w:r>
        <w:r w:rsidR="000E5A97" w:rsidRPr="001E0490">
          <w:rPr>
            <w:rStyle w:val="Hyperlink"/>
          </w:rPr>
          <w:t>/dph/iaq</w:t>
        </w:r>
      </w:hyperlink>
      <w:r w:rsidR="000E5A97">
        <w:t>.</w:t>
      </w:r>
    </w:p>
    <w:p w:rsidR="004D05AC" w:rsidRPr="00A009E4" w:rsidRDefault="005721D3" w:rsidP="002849F3">
      <w:pPr>
        <w:pStyle w:val="Heading1"/>
      </w:pPr>
      <w:r>
        <w:br w:type="page"/>
      </w:r>
      <w:r w:rsidR="004A28CB" w:rsidRPr="00A009E4">
        <w:lastRenderedPageBreak/>
        <w:t>R</w:t>
      </w:r>
      <w:r w:rsidR="004D05AC" w:rsidRPr="00A009E4">
        <w:t>eferences</w:t>
      </w:r>
    </w:p>
    <w:p w:rsidR="00395CD2" w:rsidRPr="00BC5F0C" w:rsidRDefault="00395CD2" w:rsidP="007740F2">
      <w:pPr>
        <w:pStyle w:val="BodyText2"/>
        <w:spacing w:after="240"/>
        <w:rPr>
          <w:szCs w:val="24"/>
        </w:rPr>
      </w:pPr>
      <w:r w:rsidRPr="00BC5F0C">
        <w:rPr>
          <w:szCs w:val="24"/>
        </w:rPr>
        <w:t>ACGIH. 1989. Guidelines for the Assessment of Bioaerosols in the Indoor Environment. American Conference of Governmental Industrial Hygienists, Cincinnati, OH.</w:t>
      </w:r>
    </w:p>
    <w:p w:rsidR="007740F2" w:rsidRDefault="00FB2D24" w:rsidP="007740F2">
      <w:pPr>
        <w:pStyle w:val="References"/>
      </w:pPr>
      <w:r w:rsidRPr="00BC5F0C">
        <w:t xml:space="preserve">MDPH. 2015. Massachusetts Department of Public Health. Indoor Air Quality Manual: Chapters I-III. Available at: </w:t>
      </w:r>
      <w:hyperlink r:id="rId10" w:history="1">
        <w:r w:rsidRPr="00BC5F0C">
          <w:rPr>
            <w:rStyle w:val="Hyperlink"/>
          </w:rPr>
          <w:t>http://www.mass.</w:t>
        </w:r>
        <w:r w:rsidRPr="00BC5F0C">
          <w:rPr>
            <w:rStyle w:val="Hyperlink"/>
          </w:rPr>
          <w:t>g</w:t>
        </w:r>
        <w:r w:rsidRPr="00BC5F0C">
          <w:rPr>
            <w:rStyle w:val="Hyperlink"/>
          </w:rPr>
          <w:t>ov/eo</w:t>
        </w:r>
        <w:r w:rsidRPr="00BC5F0C">
          <w:rPr>
            <w:rStyle w:val="Hyperlink"/>
          </w:rPr>
          <w:t>h</w:t>
        </w:r>
        <w:r w:rsidRPr="00BC5F0C">
          <w:rPr>
            <w:rStyle w:val="Hyperlink"/>
          </w:rPr>
          <w:t>h</w:t>
        </w:r>
        <w:r w:rsidRPr="00BC5F0C">
          <w:rPr>
            <w:rStyle w:val="Hyperlink"/>
          </w:rPr>
          <w:t>s/gov/departments/dp</w:t>
        </w:r>
        <w:r w:rsidRPr="00BC5F0C">
          <w:rPr>
            <w:rStyle w:val="Hyperlink"/>
          </w:rPr>
          <w:t>h</w:t>
        </w:r>
        <w:r w:rsidRPr="00BC5F0C">
          <w:rPr>
            <w:rStyle w:val="Hyperlink"/>
          </w:rPr>
          <w:t>/programs/environmental-health/exposure-topics/iaq/ia</w:t>
        </w:r>
        <w:r w:rsidRPr="00BC5F0C">
          <w:rPr>
            <w:rStyle w:val="Hyperlink"/>
          </w:rPr>
          <w:t>q</w:t>
        </w:r>
        <w:r w:rsidRPr="00BC5F0C">
          <w:rPr>
            <w:rStyle w:val="Hyperlink"/>
          </w:rPr>
          <w:t>-ma</w:t>
        </w:r>
        <w:r w:rsidRPr="00BC5F0C">
          <w:rPr>
            <w:rStyle w:val="Hyperlink"/>
          </w:rPr>
          <w:t>n</w:t>
        </w:r>
        <w:r w:rsidRPr="00BC5F0C">
          <w:rPr>
            <w:rStyle w:val="Hyperlink"/>
          </w:rPr>
          <w:t>u</w:t>
        </w:r>
        <w:r w:rsidRPr="00BC5F0C">
          <w:rPr>
            <w:rStyle w:val="Hyperlink"/>
          </w:rPr>
          <w:t>al/</w:t>
        </w:r>
      </w:hyperlink>
      <w:r w:rsidRPr="00BC5F0C">
        <w:t>.</w:t>
      </w:r>
    </w:p>
    <w:p w:rsidR="00F84853" w:rsidRPr="00F84853" w:rsidRDefault="00F84853" w:rsidP="00F84853">
      <w:pPr>
        <w:pStyle w:val="BodyText2"/>
        <w:spacing w:after="240"/>
        <w:rPr>
          <w:szCs w:val="24"/>
        </w:rPr>
      </w:pPr>
      <w:r w:rsidRPr="00F67EF0">
        <w:rPr>
          <w:szCs w:val="24"/>
        </w:rPr>
        <w:t>SMACNA. 1994. HVAC Systems Commissioning Manual. 1</w:t>
      </w:r>
      <w:r w:rsidRPr="00F67EF0">
        <w:rPr>
          <w:szCs w:val="24"/>
          <w:vertAlign w:val="superscript"/>
        </w:rPr>
        <w:t>st</w:t>
      </w:r>
      <w:r w:rsidRPr="00F67EF0">
        <w:rPr>
          <w:szCs w:val="24"/>
        </w:rPr>
        <w:t xml:space="preserve"> ed. Sheet Metal and Air Conditioning Contractors’ National Association, Inc., Chantilly, VA.</w:t>
      </w:r>
    </w:p>
    <w:p w:rsidR="009E703F" w:rsidRDefault="00C838F6" w:rsidP="007740F2">
      <w:pPr>
        <w:spacing w:after="240"/>
        <w:sectPr w:rsidR="009E703F" w:rsidSect="00B0444B">
          <w:footerReference w:type="even" r:id="rId11"/>
          <w:footerReference w:type="default" r:id="rId12"/>
          <w:pgSz w:w="12240" w:h="15840" w:code="1"/>
          <w:pgMar w:top="1440" w:right="1440" w:bottom="1440" w:left="1440" w:header="720" w:footer="720" w:gutter="0"/>
          <w:cols w:space="720"/>
          <w:noEndnote/>
          <w:titlePg/>
          <w:docGrid w:linePitch="254"/>
        </w:sectPr>
      </w:pPr>
      <w:r w:rsidRPr="00BC5F0C">
        <w:t xml:space="preserve">US EPA. 2008. “Mold Remediation in Schools and Commercial Buildings”. Office of Air and Radiation, Indoor Environments Division, Washington, DC. EPA 402-K-01-001. September 2008. Available at: </w:t>
      </w:r>
      <w:hyperlink r:id="rId13" w:history="1">
        <w:r w:rsidRPr="00BC5F0C">
          <w:rPr>
            <w:color w:val="0000FF"/>
            <w:u w:val="single"/>
          </w:rPr>
          <w:t>http://w</w:t>
        </w:r>
        <w:r w:rsidRPr="00BC5F0C">
          <w:rPr>
            <w:color w:val="0000FF"/>
            <w:u w:val="single"/>
          </w:rPr>
          <w:t>w</w:t>
        </w:r>
        <w:r w:rsidRPr="00BC5F0C">
          <w:rPr>
            <w:color w:val="0000FF"/>
            <w:u w:val="single"/>
          </w:rPr>
          <w:t>w</w:t>
        </w:r>
        <w:r w:rsidRPr="00BC5F0C">
          <w:rPr>
            <w:color w:val="0000FF"/>
            <w:u w:val="single"/>
          </w:rPr>
          <w:t>.epa</w:t>
        </w:r>
        <w:r w:rsidRPr="00BC5F0C">
          <w:rPr>
            <w:color w:val="0000FF"/>
            <w:u w:val="single"/>
          </w:rPr>
          <w:t>.</w:t>
        </w:r>
        <w:r w:rsidRPr="00BC5F0C">
          <w:rPr>
            <w:color w:val="0000FF"/>
            <w:u w:val="single"/>
          </w:rPr>
          <w:t>gov</w:t>
        </w:r>
        <w:r w:rsidRPr="00BC5F0C">
          <w:rPr>
            <w:color w:val="0000FF"/>
            <w:u w:val="single"/>
          </w:rPr>
          <w:t>/</w:t>
        </w:r>
        <w:r w:rsidRPr="00BC5F0C">
          <w:rPr>
            <w:color w:val="0000FF"/>
            <w:u w:val="single"/>
          </w:rPr>
          <w:t>mold/mold</w:t>
        </w:r>
        <w:r w:rsidRPr="00BC5F0C">
          <w:rPr>
            <w:color w:val="0000FF"/>
            <w:u w:val="single"/>
          </w:rPr>
          <w:t>-</w:t>
        </w:r>
        <w:r w:rsidRPr="00BC5F0C">
          <w:rPr>
            <w:color w:val="0000FF"/>
            <w:u w:val="single"/>
          </w:rPr>
          <w:t>r</w:t>
        </w:r>
        <w:r w:rsidRPr="00BC5F0C">
          <w:rPr>
            <w:color w:val="0000FF"/>
            <w:u w:val="single"/>
          </w:rPr>
          <w:t>e</w:t>
        </w:r>
        <w:r w:rsidRPr="00BC5F0C">
          <w:rPr>
            <w:color w:val="0000FF"/>
            <w:u w:val="single"/>
          </w:rPr>
          <w:t>me</w:t>
        </w:r>
        <w:r w:rsidRPr="00BC5F0C">
          <w:rPr>
            <w:color w:val="0000FF"/>
            <w:u w:val="single"/>
          </w:rPr>
          <w:t>d</w:t>
        </w:r>
        <w:r w:rsidRPr="00BC5F0C">
          <w:rPr>
            <w:color w:val="0000FF"/>
            <w:u w:val="single"/>
          </w:rPr>
          <w:t>iation-schools-and-commercial-buildings-guide</w:t>
        </w:r>
      </w:hyperlink>
      <w:r w:rsidRPr="00BC5F0C">
        <w:t>.</w:t>
      </w:r>
    </w:p>
    <w:p w:rsidR="009E703F" w:rsidRPr="009E703F" w:rsidRDefault="009E703F" w:rsidP="009E703F">
      <w:pPr>
        <w:spacing w:line="480" w:lineRule="auto"/>
        <w:rPr>
          <w:rFonts w:eastAsia="Calibri"/>
          <w:b/>
          <w:sz w:val="22"/>
          <w:szCs w:val="22"/>
        </w:rPr>
      </w:pPr>
      <w:r w:rsidRPr="009E703F">
        <w:rPr>
          <w:rFonts w:eastAsia="Calibri"/>
          <w:b/>
          <w:sz w:val="22"/>
          <w:szCs w:val="22"/>
        </w:rPr>
        <w:lastRenderedPageBreak/>
        <w:t>Picture 1</w:t>
      </w:r>
    </w:p>
    <w:p w:rsidR="009E703F" w:rsidRPr="009E703F" w:rsidRDefault="001A4CCA" w:rsidP="009E703F">
      <w:pPr>
        <w:spacing w:line="480" w:lineRule="auto"/>
        <w:jc w:val="center"/>
        <w:rPr>
          <w:rFonts w:eastAsia="Calibri"/>
          <w:b/>
          <w:sz w:val="22"/>
          <w:szCs w:val="22"/>
        </w:rPr>
      </w:pPr>
      <w:r w:rsidRPr="009E703F">
        <w:rPr>
          <w:rFonts w:eastAsia="Calibri"/>
          <w:b/>
          <w:noProof/>
          <w:sz w:val="22"/>
          <w:szCs w:val="22"/>
        </w:rPr>
        <w:drawing>
          <wp:inline distT="0" distB="0" distL="0" distR="0">
            <wp:extent cx="4387850" cy="3289300"/>
            <wp:effectExtent l="0" t="0" r="0" b="0"/>
            <wp:docPr id="2" name="Picture 2" descr="Gypsum wallboard cut away from wall with holes drilled in opposite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ypsum wallboard cut away from wall with holes drilled in opposite side"/>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E703F" w:rsidRPr="009E703F" w:rsidRDefault="009E703F" w:rsidP="009E703F">
      <w:pPr>
        <w:spacing w:line="480" w:lineRule="auto"/>
        <w:jc w:val="center"/>
        <w:rPr>
          <w:rFonts w:eastAsia="Calibri"/>
          <w:b/>
          <w:sz w:val="22"/>
          <w:szCs w:val="22"/>
        </w:rPr>
      </w:pPr>
      <w:r w:rsidRPr="009E703F">
        <w:rPr>
          <w:rFonts w:eastAsia="Calibri"/>
          <w:b/>
          <w:sz w:val="22"/>
          <w:szCs w:val="22"/>
        </w:rPr>
        <w:t>Gypsum wallboard cut away from wall with holes drilled in opposite side</w:t>
      </w:r>
    </w:p>
    <w:p w:rsidR="009E703F" w:rsidRPr="009E703F" w:rsidRDefault="009E703F" w:rsidP="009E703F">
      <w:pPr>
        <w:spacing w:line="480" w:lineRule="auto"/>
        <w:rPr>
          <w:rFonts w:eastAsia="Calibri"/>
          <w:b/>
          <w:sz w:val="22"/>
          <w:szCs w:val="22"/>
        </w:rPr>
      </w:pPr>
      <w:r w:rsidRPr="009E703F">
        <w:rPr>
          <w:rFonts w:eastAsia="Calibri"/>
          <w:b/>
          <w:sz w:val="22"/>
          <w:szCs w:val="22"/>
        </w:rPr>
        <w:t>Picture 2</w:t>
      </w:r>
    </w:p>
    <w:p w:rsidR="009E703F" w:rsidRPr="009E703F" w:rsidRDefault="001A4CCA" w:rsidP="009E703F">
      <w:pPr>
        <w:spacing w:line="480" w:lineRule="auto"/>
        <w:jc w:val="center"/>
        <w:rPr>
          <w:rFonts w:eastAsia="Calibri"/>
          <w:b/>
          <w:sz w:val="22"/>
          <w:szCs w:val="22"/>
        </w:rPr>
      </w:pPr>
      <w:r w:rsidRPr="009E703F">
        <w:rPr>
          <w:rFonts w:eastAsia="Calibri"/>
          <w:b/>
          <w:noProof/>
          <w:sz w:val="22"/>
          <w:szCs w:val="22"/>
        </w:rPr>
        <w:drawing>
          <wp:inline distT="0" distB="0" distL="0" distR="0">
            <wp:extent cx="4387850" cy="3289300"/>
            <wp:effectExtent l="0" t="0" r="0" b="0"/>
            <wp:docPr id="3" name="Picture 3" descr="Coving removed from wall, note furniture against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ng removed from wall, note furniture against wall"/>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E703F" w:rsidRPr="009E703F" w:rsidRDefault="009E703F" w:rsidP="009E703F">
      <w:pPr>
        <w:spacing w:line="480" w:lineRule="auto"/>
        <w:jc w:val="center"/>
        <w:rPr>
          <w:rFonts w:eastAsia="Calibri"/>
          <w:b/>
          <w:sz w:val="22"/>
          <w:szCs w:val="22"/>
        </w:rPr>
      </w:pPr>
      <w:r w:rsidRPr="009E703F">
        <w:rPr>
          <w:rFonts w:eastAsia="Calibri"/>
          <w:b/>
          <w:sz w:val="22"/>
          <w:szCs w:val="22"/>
        </w:rPr>
        <w:t>Coving removed from wall, note furniture against wall</w:t>
      </w:r>
    </w:p>
    <w:p w:rsidR="009E703F" w:rsidRPr="009E703F" w:rsidRDefault="009E703F" w:rsidP="009E703F">
      <w:pPr>
        <w:spacing w:line="480" w:lineRule="auto"/>
        <w:rPr>
          <w:rFonts w:eastAsia="Calibri"/>
          <w:b/>
          <w:sz w:val="22"/>
          <w:szCs w:val="22"/>
        </w:rPr>
      </w:pPr>
      <w:r w:rsidRPr="009E703F">
        <w:rPr>
          <w:rFonts w:eastAsia="Calibri"/>
          <w:b/>
          <w:sz w:val="22"/>
          <w:szCs w:val="22"/>
        </w:rPr>
        <w:lastRenderedPageBreak/>
        <w:t>Picture 3</w:t>
      </w:r>
    </w:p>
    <w:p w:rsidR="009E703F" w:rsidRPr="009E703F" w:rsidRDefault="001A4CCA" w:rsidP="009E703F">
      <w:pPr>
        <w:spacing w:line="480" w:lineRule="auto"/>
        <w:jc w:val="center"/>
        <w:rPr>
          <w:rFonts w:eastAsia="Calibri"/>
          <w:b/>
          <w:sz w:val="22"/>
          <w:szCs w:val="22"/>
        </w:rPr>
      </w:pPr>
      <w:r w:rsidRPr="009E703F">
        <w:rPr>
          <w:rFonts w:eastAsia="Calibri"/>
          <w:b/>
          <w:noProof/>
          <w:sz w:val="22"/>
          <w:szCs w:val="22"/>
        </w:rPr>
        <w:drawing>
          <wp:inline distT="0" distB="0" distL="0" distR="0">
            <wp:extent cx="4387850" cy="3289300"/>
            <wp:effectExtent l="0" t="0" r="0" b="0"/>
            <wp:docPr id="4" name="Picture 4" descr="Fan coil unit cover, found to be mo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n coil unit cover, found to be moist"/>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E703F" w:rsidRPr="009E703F" w:rsidRDefault="009E703F" w:rsidP="009E703F">
      <w:pPr>
        <w:spacing w:line="480" w:lineRule="auto"/>
        <w:jc w:val="center"/>
        <w:rPr>
          <w:rFonts w:eastAsia="Calibri"/>
          <w:b/>
          <w:sz w:val="22"/>
          <w:szCs w:val="22"/>
        </w:rPr>
      </w:pPr>
      <w:r w:rsidRPr="009E703F">
        <w:rPr>
          <w:rFonts w:eastAsia="Calibri"/>
          <w:b/>
          <w:sz w:val="22"/>
          <w:szCs w:val="22"/>
        </w:rPr>
        <w:t>Fan coil unit cover, found to be moist</w:t>
      </w:r>
    </w:p>
    <w:p w:rsidR="009E703F" w:rsidRPr="009E703F" w:rsidRDefault="009E703F" w:rsidP="009E703F">
      <w:pPr>
        <w:spacing w:line="480" w:lineRule="auto"/>
        <w:rPr>
          <w:rFonts w:eastAsia="Calibri"/>
          <w:b/>
          <w:sz w:val="22"/>
          <w:szCs w:val="22"/>
        </w:rPr>
      </w:pPr>
      <w:r w:rsidRPr="009E703F">
        <w:rPr>
          <w:rFonts w:eastAsia="Calibri"/>
          <w:b/>
          <w:sz w:val="22"/>
          <w:szCs w:val="22"/>
        </w:rPr>
        <w:t>Picture 4</w:t>
      </w:r>
    </w:p>
    <w:p w:rsidR="009E703F" w:rsidRPr="009E703F" w:rsidRDefault="001A4CCA" w:rsidP="009E703F">
      <w:pPr>
        <w:spacing w:line="480" w:lineRule="auto"/>
        <w:jc w:val="center"/>
        <w:rPr>
          <w:rFonts w:eastAsia="Calibri"/>
          <w:b/>
          <w:sz w:val="22"/>
          <w:szCs w:val="22"/>
        </w:rPr>
      </w:pPr>
      <w:r w:rsidRPr="009E703F">
        <w:rPr>
          <w:rFonts w:eastAsia="Calibri"/>
          <w:b/>
          <w:noProof/>
          <w:sz w:val="22"/>
          <w:szCs w:val="22"/>
        </w:rPr>
        <w:drawing>
          <wp:inline distT="0" distB="0" distL="0" distR="0">
            <wp:extent cx="4387850" cy="3289300"/>
            <wp:effectExtent l="0" t="0" r="0" b="0"/>
            <wp:docPr id="5" name="Picture 5" descr="Box on floor in impacted area, note signs of water da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 on floor in impacted area, note signs of water damage"/>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9E703F" w:rsidRDefault="009E703F" w:rsidP="009E703F">
      <w:pPr>
        <w:spacing w:line="480" w:lineRule="auto"/>
        <w:jc w:val="center"/>
        <w:rPr>
          <w:rFonts w:eastAsia="Calibri"/>
          <w:b/>
          <w:sz w:val="22"/>
          <w:szCs w:val="22"/>
        </w:rPr>
        <w:sectPr w:rsidR="009E703F">
          <w:footerReference w:type="default" r:id="rId18"/>
          <w:pgSz w:w="12240" w:h="15840"/>
          <w:pgMar w:top="1440" w:right="1440" w:bottom="1440" w:left="1440" w:header="720" w:footer="720" w:gutter="0"/>
          <w:cols w:space="720"/>
          <w:docGrid w:linePitch="360"/>
        </w:sectPr>
      </w:pPr>
      <w:r w:rsidRPr="009E703F">
        <w:rPr>
          <w:rFonts w:eastAsia="Calibri"/>
          <w:b/>
          <w:sz w:val="22"/>
          <w:szCs w:val="22"/>
        </w:rPr>
        <w:t>Box on floor in impacted area, note signs of water damage</w:t>
      </w: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1080"/>
        <w:gridCol w:w="1080"/>
        <w:gridCol w:w="1170"/>
        <w:gridCol w:w="900"/>
        <w:gridCol w:w="990"/>
        <w:gridCol w:w="2615"/>
      </w:tblGrid>
      <w:tr w:rsidR="009E703F" w:rsidRPr="009E703F" w:rsidTr="00585211">
        <w:trPr>
          <w:cantSplit/>
          <w:trHeight w:val="350"/>
          <w:tblHeader/>
          <w:jc w:val="center"/>
        </w:trPr>
        <w:tc>
          <w:tcPr>
            <w:tcW w:w="1909" w:type="dxa"/>
            <w:vMerge w:val="restart"/>
            <w:tcBorders>
              <w:top w:val="single" w:sz="12" w:space="0" w:color="000000"/>
            </w:tcBorders>
            <w:vAlign w:val="bottom"/>
          </w:tcPr>
          <w:p w:rsidR="009E703F" w:rsidRPr="009E703F" w:rsidRDefault="009E703F" w:rsidP="009E703F">
            <w:pPr>
              <w:keepNext/>
              <w:jc w:val="center"/>
              <w:outlineLvl w:val="0"/>
              <w:rPr>
                <w:sz w:val="20"/>
              </w:rPr>
            </w:pPr>
            <w:r w:rsidRPr="009E703F">
              <w:rPr>
                <w:sz w:val="20"/>
              </w:rPr>
              <w:lastRenderedPageBreak/>
              <w:t>Location</w:t>
            </w:r>
          </w:p>
        </w:tc>
        <w:tc>
          <w:tcPr>
            <w:tcW w:w="920" w:type="dxa"/>
            <w:vMerge w:val="restart"/>
            <w:tcBorders>
              <w:top w:val="single" w:sz="12" w:space="0" w:color="000000"/>
            </w:tcBorders>
            <w:vAlign w:val="bottom"/>
          </w:tcPr>
          <w:p w:rsidR="009E703F" w:rsidRPr="009E703F" w:rsidRDefault="009E703F" w:rsidP="009E703F">
            <w:pPr>
              <w:jc w:val="center"/>
              <w:rPr>
                <w:sz w:val="20"/>
              </w:rPr>
            </w:pPr>
            <w:r w:rsidRPr="009E703F">
              <w:rPr>
                <w:sz w:val="20"/>
              </w:rPr>
              <w:t>Carbon</w:t>
            </w:r>
          </w:p>
          <w:p w:rsidR="009E703F" w:rsidRPr="009E703F" w:rsidRDefault="009E703F" w:rsidP="009E703F">
            <w:pPr>
              <w:jc w:val="center"/>
              <w:rPr>
                <w:sz w:val="20"/>
              </w:rPr>
            </w:pPr>
            <w:r w:rsidRPr="009E703F">
              <w:rPr>
                <w:sz w:val="20"/>
              </w:rPr>
              <w:t>Dioxide</w:t>
            </w:r>
          </w:p>
          <w:p w:rsidR="009E703F" w:rsidRPr="009E703F" w:rsidRDefault="009E703F" w:rsidP="009E703F">
            <w:pPr>
              <w:jc w:val="center"/>
              <w:rPr>
                <w:sz w:val="20"/>
              </w:rPr>
            </w:pPr>
            <w:r w:rsidRPr="009E703F">
              <w:rPr>
                <w:sz w:val="20"/>
              </w:rPr>
              <w:t>(ppm)</w:t>
            </w:r>
          </w:p>
        </w:tc>
        <w:tc>
          <w:tcPr>
            <w:tcW w:w="1136" w:type="dxa"/>
            <w:vMerge w:val="restart"/>
            <w:tcBorders>
              <w:top w:val="single" w:sz="12" w:space="0" w:color="000000"/>
            </w:tcBorders>
            <w:vAlign w:val="bottom"/>
          </w:tcPr>
          <w:p w:rsidR="009E703F" w:rsidRPr="009E703F" w:rsidRDefault="009E703F" w:rsidP="009E703F">
            <w:pPr>
              <w:jc w:val="center"/>
              <w:rPr>
                <w:sz w:val="20"/>
              </w:rPr>
            </w:pPr>
            <w:r w:rsidRPr="009E703F">
              <w:rPr>
                <w:sz w:val="20"/>
              </w:rPr>
              <w:t>Carbon Monoxide</w:t>
            </w:r>
          </w:p>
          <w:p w:rsidR="009E703F" w:rsidRPr="009E703F" w:rsidRDefault="009E703F" w:rsidP="009E703F">
            <w:pPr>
              <w:jc w:val="center"/>
              <w:rPr>
                <w:sz w:val="20"/>
              </w:rPr>
            </w:pPr>
            <w:r w:rsidRPr="009E703F">
              <w:rPr>
                <w:sz w:val="20"/>
              </w:rPr>
              <w:t>(ppm)</w:t>
            </w:r>
          </w:p>
        </w:tc>
        <w:tc>
          <w:tcPr>
            <w:tcW w:w="810" w:type="dxa"/>
            <w:vMerge w:val="restart"/>
            <w:tcBorders>
              <w:top w:val="single" w:sz="12" w:space="0" w:color="000000"/>
            </w:tcBorders>
            <w:vAlign w:val="bottom"/>
          </w:tcPr>
          <w:p w:rsidR="009E703F" w:rsidRPr="009E703F" w:rsidRDefault="009E703F" w:rsidP="009E703F">
            <w:pPr>
              <w:jc w:val="center"/>
              <w:rPr>
                <w:sz w:val="20"/>
              </w:rPr>
            </w:pPr>
            <w:r w:rsidRPr="009E703F">
              <w:rPr>
                <w:sz w:val="20"/>
              </w:rPr>
              <w:t>Temp</w:t>
            </w:r>
          </w:p>
          <w:p w:rsidR="009E703F" w:rsidRPr="009E703F" w:rsidRDefault="009E703F" w:rsidP="009E703F">
            <w:pPr>
              <w:jc w:val="center"/>
              <w:rPr>
                <w:sz w:val="20"/>
              </w:rPr>
            </w:pPr>
            <w:r w:rsidRPr="009E703F">
              <w:rPr>
                <w:sz w:val="20"/>
              </w:rPr>
              <w:t>(°F)</w:t>
            </w:r>
          </w:p>
        </w:tc>
        <w:tc>
          <w:tcPr>
            <w:tcW w:w="1080" w:type="dxa"/>
            <w:vMerge w:val="restart"/>
            <w:tcBorders>
              <w:top w:val="single" w:sz="12" w:space="0" w:color="000000"/>
            </w:tcBorders>
            <w:vAlign w:val="bottom"/>
          </w:tcPr>
          <w:p w:rsidR="009E703F" w:rsidRPr="009E703F" w:rsidRDefault="009E703F" w:rsidP="009E703F">
            <w:pPr>
              <w:jc w:val="center"/>
              <w:rPr>
                <w:sz w:val="20"/>
              </w:rPr>
            </w:pPr>
            <w:r w:rsidRPr="009E703F">
              <w:rPr>
                <w:sz w:val="20"/>
              </w:rPr>
              <w:t>Relative</w:t>
            </w:r>
          </w:p>
          <w:p w:rsidR="009E703F" w:rsidRPr="009E703F" w:rsidRDefault="009E703F" w:rsidP="009E703F">
            <w:pPr>
              <w:jc w:val="center"/>
              <w:rPr>
                <w:sz w:val="20"/>
              </w:rPr>
            </w:pPr>
            <w:r w:rsidRPr="009E703F">
              <w:rPr>
                <w:sz w:val="20"/>
              </w:rPr>
              <w:t>Humidity</w:t>
            </w:r>
          </w:p>
          <w:p w:rsidR="009E703F" w:rsidRPr="009E703F" w:rsidRDefault="009E703F" w:rsidP="009E703F">
            <w:pPr>
              <w:jc w:val="center"/>
              <w:rPr>
                <w:sz w:val="20"/>
              </w:rPr>
            </w:pPr>
            <w:r w:rsidRPr="009E703F">
              <w:rPr>
                <w:sz w:val="20"/>
              </w:rPr>
              <w:t>(%)</w:t>
            </w:r>
          </w:p>
        </w:tc>
        <w:tc>
          <w:tcPr>
            <w:tcW w:w="1080" w:type="dxa"/>
            <w:vMerge w:val="restart"/>
            <w:tcBorders>
              <w:top w:val="single" w:sz="12" w:space="0" w:color="000000"/>
            </w:tcBorders>
            <w:vAlign w:val="bottom"/>
          </w:tcPr>
          <w:p w:rsidR="009E703F" w:rsidRPr="009E703F" w:rsidRDefault="009E703F" w:rsidP="009E703F">
            <w:pPr>
              <w:jc w:val="center"/>
              <w:rPr>
                <w:sz w:val="20"/>
              </w:rPr>
            </w:pPr>
            <w:r w:rsidRPr="009E703F">
              <w:rPr>
                <w:sz w:val="20"/>
              </w:rPr>
              <w:t>Dew Point (°F)</w:t>
            </w:r>
          </w:p>
        </w:tc>
        <w:tc>
          <w:tcPr>
            <w:tcW w:w="1080" w:type="dxa"/>
            <w:vMerge w:val="restart"/>
            <w:tcBorders>
              <w:top w:val="single" w:sz="12" w:space="0" w:color="000000"/>
            </w:tcBorders>
            <w:vAlign w:val="bottom"/>
          </w:tcPr>
          <w:p w:rsidR="009E703F" w:rsidRPr="009E703F" w:rsidRDefault="009E703F" w:rsidP="009E703F">
            <w:pPr>
              <w:jc w:val="center"/>
              <w:rPr>
                <w:sz w:val="20"/>
              </w:rPr>
            </w:pPr>
            <w:r w:rsidRPr="009E703F">
              <w:rPr>
                <w:sz w:val="20"/>
              </w:rPr>
              <w:t>Occupants</w:t>
            </w:r>
          </w:p>
          <w:p w:rsidR="009E703F" w:rsidRPr="009E703F" w:rsidRDefault="009E703F" w:rsidP="009E703F">
            <w:pPr>
              <w:jc w:val="center"/>
              <w:rPr>
                <w:sz w:val="20"/>
              </w:rPr>
            </w:pPr>
            <w:r w:rsidRPr="009E703F">
              <w:rPr>
                <w:sz w:val="20"/>
              </w:rPr>
              <w:t>in Room</w:t>
            </w:r>
          </w:p>
        </w:tc>
        <w:tc>
          <w:tcPr>
            <w:tcW w:w="1170" w:type="dxa"/>
            <w:vMerge w:val="restart"/>
            <w:tcBorders>
              <w:top w:val="single" w:sz="12" w:space="0" w:color="000000"/>
            </w:tcBorders>
            <w:vAlign w:val="bottom"/>
          </w:tcPr>
          <w:p w:rsidR="009E703F" w:rsidRPr="009E703F" w:rsidRDefault="009E703F" w:rsidP="009E703F">
            <w:pPr>
              <w:jc w:val="center"/>
              <w:rPr>
                <w:sz w:val="20"/>
              </w:rPr>
            </w:pPr>
            <w:r w:rsidRPr="009E703F">
              <w:rPr>
                <w:sz w:val="20"/>
              </w:rPr>
              <w:t>Windows</w:t>
            </w:r>
          </w:p>
          <w:p w:rsidR="009E703F" w:rsidRPr="009E703F" w:rsidRDefault="009E703F" w:rsidP="009E703F">
            <w:pPr>
              <w:jc w:val="center"/>
              <w:rPr>
                <w:sz w:val="20"/>
              </w:rPr>
            </w:pPr>
            <w:r w:rsidRPr="009E703F">
              <w:rPr>
                <w:sz w:val="20"/>
              </w:rPr>
              <w:t>Openable</w:t>
            </w:r>
          </w:p>
        </w:tc>
        <w:tc>
          <w:tcPr>
            <w:tcW w:w="1890" w:type="dxa"/>
            <w:gridSpan w:val="2"/>
            <w:tcBorders>
              <w:top w:val="single" w:sz="12" w:space="0" w:color="000000"/>
              <w:left w:val="nil"/>
              <w:bottom w:val="nil"/>
            </w:tcBorders>
            <w:vAlign w:val="bottom"/>
          </w:tcPr>
          <w:p w:rsidR="009E703F" w:rsidRPr="009E703F" w:rsidRDefault="009E703F" w:rsidP="009E703F">
            <w:pPr>
              <w:ind w:left="-105"/>
              <w:jc w:val="center"/>
              <w:rPr>
                <w:sz w:val="20"/>
              </w:rPr>
            </w:pPr>
            <w:r w:rsidRPr="009E703F">
              <w:rPr>
                <w:sz w:val="20"/>
              </w:rPr>
              <w:t>Ventilation</w:t>
            </w:r>
          </w:p>
        </w:tc>
        <w:tc>
          <w:tcPr>
            <w:tcW w:w="2615" w:type="dxa"/>
            <w:vMerge w:val="restart"/>
            <w:tcBorders>
              <w:top w:val="single" w:sz="12" w:space="0" w:color="000000"/>
            </w:tcBorders>
            <w:vAlign w:val="bottom"/>
          </w:tcPr>
          <w:p w:rsidR="009E703F" w:rsidRPr="009E703F" w:rsidRDefault="009E703F" w:rsidP="009E703F">
            <w:pPr>
              <w:jc w:val="center"/>
              <w:rPr>
                <w:sz w:val="20"/>
              </w:rPr>
            </w:pPr>
            <w:r w:rsidRPr="009E703F">
              <w:rPr>
                <w:sz w:val="20"/>
              </w:rPr>
              <w:t>Remarks</w:t>
            </w:r>
          </w:p>
        </w:tc>
      </w:tr>
      <w:tr w:rsidR="009E703F" w:rsidRPr="009E703F" w:rsidTr="00585211">
        <w:trPr>
          <w:cantSplit/>
          <w:trHeight w:val="350"/>
          <w:tblHeader/>
          <w:jc w:val="center"/>
        </w:trPr>
        <w:tc>
          <w:tcPr>
            <w:tcW w:w="1909" w:type="dxa"/>
            <w:vMerge/>
            <w:tcBorders>
              <w:bottom w:val="single" w:sz="6" w:space="0" w:color="000000"/>
            </w:tcBorders>
            <w:vAlign w:val="bottom"/>
          </w:tcPr>
          <w:p w:rsidR="009E703F" w:rsidRPr="009E703F" w:rsidRDefault="009E703F" w:rsidP="009E703F">
            <w:pPr>
              <w:keepNext/>
              <w:jc w:val="center"/>
              <w:outlineLvl w:val="0"/>
              <w:rPr>
                <w:sz w:val="20"/>
              </w:rPr>
            </w:pPr>
          </w:p>
        </w:tc>
        <w:tc>
          <w:tcPr>
            <w:tcW w:w="920" w:type="dxa"/>
            <w:vMerge/>
            <w:tcBorders>
              <w:bottom w:val="single" w:sz="6" w:space="0" w:color="000000"/>
            </w:tcBorders>
            <w:vAlign w:val="bottom"/>
          </w:tcPr>
          <w:p w:rsidR="009E703F" w:rsidRPr="009E703F" w:rsidRDefault="009E703F" w:rsidP="009E703F">
            <w:pPr>
              <w:jc w:val="center"/>
              <w:rPr>
                <w:sz w:val="20"/>
              </w:rPr>
            </w:pPr>
          </w:p>
        </w:tc>
        <w:tc>
          <w:tcPr>
            <w:tcW w:w="1136" w:type="dxa"/>
            <w:vMerge/>
            <w:tcBorders>
              <w:bottom w:val="single" w:sz="6" w:space="0" w:color="000000"/>
            </w:tcBorders>
          </w:tcPr>
          <w:p w:rsidR="009E703F" w:rsidRPr="009E703F" w:rsidRDefault="009E703F" w:rsidP="009E703F">
            <w:pPr>
              <w:jc w:val="center"/>
              <w:rPr>
                <w:sz w:val="20"/>
              </w:rPr>
            </w:pPr>
          </w:p>
        </w:tc>
        <w:tc>
          <w:tcPr>
            <w:tcW w:w="810" w:type="dxa"/>
            <w:vMerge/>
            <w:tcBorders>
              <w:bottom w:val="single" w:sz="6" w:space="0" w:color="000000"/>
            </w:tcBorders>
            <w:vAlign w:val="bottom"/>
          </w:tcPr>
          <w:p w:rsidR="009E703F" w:rsidRPr="009E703F" w:rsidRDefault="009E703F" w:rsidP="009E703F">
            <w:pPr>
              <w:jc w:val="center"/>
              <w:rPr>
                <w:sz w:val="20"/>
              </w:rPr>
            </w:pPr>
          </w:p>
        </w:tc>
        <w:tc>
          <w:tcPr>
            <w:tcW w:w="1080" w:type="dxa"/>
            <w:vMerge/>
            <w:tcBorders>
              <w:bottom w:val="single" w:sz="6" w:space="0" w:color="000000"/>
            </w:tcBorders>
            <w:vAlign w:val="bottom"/>
          </w:tcPr>
          <w:p w:rsidR="009E703F" w:rsidRPr="009E703F" w:rsidRDefault="009E703F" w:rsidP="009E703F">
            <w:pPr>
              <w:jc w:val="center"/>
              <w:rPr>
                <w:sz w:val="20"/>
              </w:rPr>
            </w:pPr>
          </w:p>
        </w:tc>
        <w:tc>
          <w:tcPr>
            <w:tcW w:w="1080" w:type="dxa"/>
            <w:vMerge/>
            <w:tcBorders>
              <w:bottom w:val="single" w:sz="6" w:space="0" w:color="000000"/>
            </w:tcBorders>
          </w:tcPr>
          <w:p w:rsidR="009E703F" w:rsidRPr="009E703F" w:rsidRDefault="009E703F" w:rsidP="009E703F">
            <w:pPr>
              <w:jc w:val="center"/>
              <w:rPr>
                <w:sz w:val="20"/>
              </w:rPr>
            </w:pPr>
          </w:p>
        </w:tc>
        <w:tc>
          <w:tcPr>
            <w:tcW w:w="1080" w:type="dxa"/>
            <w:vMerge/>
            <w:tcBorders>
              <w:bottom w:val="single" w:sz="6" w:space="0" w:color="000000"/>
            </w:tcBorders>
            <w:vAlign w:val="bottom"/>
          </w:tcPr>
          <w:p w:rsidR="009E703F" w:rsidRPr="009E703F" w:rsidRDefault="009E703F" w:rsidP="009E703F">
            <w:pPr>
              <w:jc w:val="center"/>
              <w:rPr>
                <w:sz w:val="20"/>
              </w:rPr>
            </w:pPr>
          </w:p>
        </w:tc>
        <w:tc>
          <w:tcPr>
            <w:tcW w:w="1170" w:type="dxa"/>
            <w:vMerge/>
            <w:tcBorders>
              <w:bottom w:val="single" w:sz="6" w:space="0" w:color="000000"/>
            </w:tcBorders>
            <w:vAlign w:val="bottom"/>
          </w:tcPr>
          <w:p w:rsidR="009E703F" w:rsidRPr="009E703F" w:rsidRDefault="009E703F" w:rsidP="009E703F">
            <w:pPr>
              <w:jc w:val="center"/>
              <w:rPr>
                <w:sz w:val="20"/>
              </w:rPr>
            </w:pPr>
          </w:p>
        </w:tc>
        <w:tc>
          <w:tcPr>
            <w:tcW w:w="900" w:type="dxa"/>
            <w:tcBorders>
              <w:left w:val="nil"/>
              <w:bottom w:val="single" w:sz="6" w:space="0" w:color="000000"/>
            </w:tcBorders>
            <w:vAlign w:val="bottom"/>
          </w:tcPr>
          <w:p w:rsidR="009E703F" w:rsidRPr="009E703F" w:rsidRDefault="009E703F" w:rsidP="009E703F">
            <w:pPr>
              <w:ind w:left="-105"/>
              <w:jc w:val="center"/>
              <w:rPr>
                <w:sz w:val="20"/>
              </w:rPr>
            </w:pPr>
            <w:r w:rsidRPr="009E703F">
              <w:rPr>
                <w:sz w:val="20"/>
              </w:rPr>
              <w:t>Supply</w:t>
            </w:r>
          </w:p>
        </w:tc>
        <w:tc>
          <w:tcPr>
            <w:tcW w:w="990" w:type="dxa"/>
            <w:tcBorders>
              <w:left w:val="nil"/>
              <w:bottom w:val="single" w:sz="6" w:space="0" w:color="000000"/>
            </w:tcBorders>
            <w:vAlign w:val="bottom"/>
          </w:tcPr>
          <w:p w:rsidR="009E703F" w:rsidRPr="009E703F" w:rsidRDefault="009E703F" w:rsidP="009E703F">
            <w:pPr>
              <w:ind w:left="-105"/>
              <w:jc w:val="center"/>
              <w:rPr>
                <w:sz w:val="20"/>
              </w:rPr>
            </w:pPr>
            <w:r w:rsidRPr="009E703F">
              <w:rPr>
                <w:sz w:val="20"/>
              </w:rPr>
              <w:t>Exhaust</w:t>
            </w:r>
          </w:p>
        </w:tc>
        <w:tc>
          <w:tcPr>
            <w:tcW w:w="2615" w:type="dxa"/>
            <w:vMerge/>
            <w:tcBorders>
              <w:bottom w:val="single" w:sz="6" w:space="0" w:color="000000"/>
            </w:tcBorders>
            <w:vAlign w:val="bottom"/>
          </w:tcPr>
          <w:p w:rsidR="009E703F" w:rsidRPr="009E703F" w:rsidRDefault="009E703F" w:rsidP="009E703F">
            <w:pPr>
              <w:jc w:val="center"/>
              <w:rPr>
                <w:sz w:val="20"/>
              </w:rPr>
            </w:pP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Main hall</w:t>
            </w:r>
          </w:p>
        </w:tc>
        <w:tc>
          <w:tcPr>
            <w:tcW w:w="920" w:type="dxa"/>
            <w:vAlign w:val="center"/>
          </w:tcPr>
          <w:p w:rsidR="009E703F" w:rsidRPr="009E703F" w:rsidRDefault="009E703F" w:rsidP="009E703F">
            <w:pPr>
              <w:jc w:val="center"/>
              <w:rPr>
                <w:sz w:val="22"/>
                <w:szCs w:val="22"/>
              </w:rPr>
            </w:pPr>
            <w:r w:rsidRPr="009E703F">
              <w:rPr>
                <w:sz w:val="22"/>
                <w:szCs w:val="22"/>
              </w:rPr>
              <w:t>936</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71</w:t>
            </w:r>
          </w:p>
        </w:tc>
        <w:tc>
          <w:tcPr>
            <w:tcW w:w="1080" w:type="dxa"/>
            <w:vAlign w:val="center"/>
          </w:tcPr>
          <w:p w:rsidR="009E703F" w:rsidRPr="009E703F" w:rsidRDefault="009E703F" w:rsidP="009E703F">
            <w:pPr>
              <w:jc w:val="center"/>
              <w:rPr>
                <w:sz w:val="22"/>
                <w:szCs w:val="22"/>
              </w:rPr>
            </w:pPr>
            <w:r w:rsidRPr="009E703F">
              <w:rPr>
                <w:sz w:val="22"/>
                <w:szCs w:val="22"/>
              </w:rPr>
              <w:t>43</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0</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1252</w:t>
            </w:r>
          </w:p>
        </w:tc>
        <w:tc>
          <w:tcPr>
            <w:tcW w:w="920" w:type="dxa"/>
            <w:vAlign w:val="center"/>
          </w:tcPr>
          <w:p w:rsidR="009E703F" w:rsidRPr="009E703F" w:rsidRDefault="009E703F" w:rsidP="009E703F">
            <w:pPr>
              <w:jc w:val="center"/>
              <w:rPr>
                <w:sz w:val="22"/>
                <w:szCs w:val="22"/>
              </w:rPr>
            </w:pPr>
            <w:r w:rsidRPr="009E703F">
              <w:rPr>
                <w:sz w:val="22"/>
                <w:szCs w:val="22"/>
              </w:rPr>
              <w:t>912</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70</w:t>
            </w:r>
          </w:p>
        </w:tc>
        <w:tc>
          <w:tcPr>
            <w:tcW w:w="1080" w:type="dxa"/>
            <w:vAlign w:val="center"/>
          </w:tcPr>
          <w:p w:rsidR="009E703F" w:rsidRPr="009E703F" w:rsidRDefault="009E703F" w:rsidP="009E703F">
            <w:pPr>
              <w:jc w:val="center"/>
              <w:rPr>
                <w:sz w:val="22"/>
                <w:szCs w:val="22"/>
              </w:rPr>
            </w:pPr>
            <w:r w:rsidRPr="009E703F">
              <w:rPr>
                <w:sz w:val="22"/>
                <w:szCs w:val="22"/>
              </w:rPr>
              <w:t>44</w:t>
            </w:r>
          </w:p>
        </w:tc>
        <w:tc>
          <w:tcPr>
            <w:tcW w:w="1080" w:type="dxa"/>
            <w:vAlign w:val="center"/>
          </w:tcPr>
          <w:p w:rsidR="009E703F" w:rsidRPr="009E703F" w:rsidRDefault="009E703F" w:rsidP="009E703F">
            <w:pPr>
              <w:jc w:val="center"/>
              <w:rPr>
                <w:sz w:val="22"/>
                <w:szCs w:val="22"/>
              </w:rPr>
            </w:pPr>
            <w:r w:rsidRPr="009E703F">
              <w:rPr>
                <w:sz w:val="22"/>
                <w:szCs w:val="22"/>
              </w:rPr>
              <w:t>48</w:t>
            </w:r>
          </w:p>
        </w:tc>
        <w:tc>
          <w:tcPr>
            <w:tcW w:w="1080" w:type="dxa"/>
            <w:vAlign w:val="center"/>
          </w:tcPr>
          <w:p w:rsidR="009E703F" w:rsidRPr="009E703F" w:rsidRDefault="009E703F" w:rsidP="009E703F">
            <w:pPr>
              <w:jc w:val="center"/>
              <w:rPr>
                <w:sz w:val="22"/>
                <w:szCs w:val="22"/>
              </w:rPr>
            </w:pPr>
            <w:r w:rsidRPr="009E703F">
              <w:rPr>
                <w:sz w:val="22"/>
                <w:szCs w:val="22"/>
              </w:rPr>
              <w:t>0</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1253</w:t>
            </w:r>
          </w:p>
        </w:tc>
        <w:tc>
          <w:tcPr>
            <w:tcW w:w="920" w:type="dxa"/>
            <w:vAlign w:val="center"/>
          </w:tcPr>
          <w:p w:rsidR="009E703F" w:rsidRPr="009E703F" w:rsidRDefault="009E703F" w:rsidP="009E703F">
            <w:pPr>
              <w:jc w:val="center"/>
              <w:rPr>
                <w:sz w:val="22"/>
                <w:szCs w:val="22"/>
              </w:rPr>
            </w:pPr>
            <w:r w:rsidRPr="009E703F">
              <w:rPr>
                <w:sz w:val="22"/>
                <w:szCs w:val="22"/>
              </w:rPr>
              <w:t>902</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70</w:t>
            </w:r>
          </w:p>
        </w:tc>
        <w:tc>
          <w:tcPr>
            <w:tcW w:w="1080" w:type="dxa"/>
            <w:vAlign w:val="center"/>
          </w:tcPr>
          <w:p w:rsidR="009E703F" w:rsidRPr="009E703F" w:rsidRDefault="009E703F" w:rsidP="009E703F">
            <w:pPr>
              <w:jc w:val="center"/>
              <w:rPr>
                <w:sz w:val="22"/>
                <w:szCs w:val="22"/>
              </w:rPr>
            </w:pPr>
            <w:r w:rsidRPr="009E703F">
              <w:rPr>
                <w:sz w:val="22"/>
                <w:szCs w:val="22"/>
              </w:rPr>
              <w:t>46</w:t>
            </w:r>
          </w:p>
        </w:tc>
        <w:tc>
          <w:tcPr>
            <w:tcW w:w="1080" w:type="dxa"/>
            <w:vAlign w:val="center"/>
          </w:tcPr>
          <w:p w:rsidR="009E703F" w:rsidRPr="009E703F" w:rsidRDefault="009E703F" w:rsidP="009E703F">
            <w:pPr>
              <w:jc w:val="center"/>
              <w:rPr>
                <w:sz w:val="22"/>
                <w:szCs w:val="22"/>
              </w:rPr>
            </w:pPr>
            <w:r w:rsidRPr="009E703F">
              <w:rPr>
                <w:sz w:val="22"/>
                <w:szCs w:val="22"/>
              </w:rPr>
              <w:t>48</w:t>
            </w:r>
          </w:p>
        </w:tc>
        <w:tc>
          <w:tcPr>
            <w:tcW w:w="1080" w:type="dxa"/>
            <w:vAlign w:val="center"/>
          </w:tcPr>
          <w:p w:rsidR="009E703F" w:rsidRPr="009E703F" w:rsidRDefault="009E703F" w:rsidP="009E703F">
            <w:pPr>
              <w:jc w:val="center"/>
              <w:rPr>
                <w:sz w:val="22"/>
                <w:szCs w:val="22"/>
              </w:rPr>
            </w:pPr>
            <w:r w:rsidRPr="009E703F">
              <w:rPr>
                <w:sz w:val="22"/>
                <w:szCs w:val="22"/>
              </w:rPr>
              <w:t>2</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1254</w:t>
            </w:r>
          </w:p>
        </w:tc>
        <w:tc>
          <w:tcPr>
            <w:tcW w:w="920" w:type="dxa"/>
            <w:vAlign w:val="center"/>
          </w:tcPr>
          <w:p w:rsidR="009E703F" w:rsidRPr="009E703F" w:rsidRDefault="009E703F" w:rsidP="009E703F">
            <w:pPr>
              <w:jc w:val="center"/>
              <w:rPr>
                <w:sz w:val="22"/>
                <w:szCs w:val="22"/>
              </w:rPr>
            </w:pPr>
            <w:r w:rsidRPr="009E703F">
              <w:rPr>
                <w:sz w:val="22"/>
                <w:szCs w:val="22"/>
              </w:rPr>
              <w:t>911</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70</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49</w:t>
            </w:r>
          </w:p>
        </w:tc>
        <w:tc>
          <w:tcPr>
            <w:tcW w:w="1080" w:type="dxa"/>
            <w:vAlign w:val="center"/>
          </w:tcPr>
          <w:p w:rsidR="009E703F" w:rsidRPr="009E703F" w:rsidRDefault="009E703F" w:rsidP="009E703F">
            <w:pPr>
              <w:jc w:val="center"/>
              <w:rPr>
                <w:sz w:val="22"/>
                <w:szCs w:val="22"/>
              </w:rPr>
            </w:pPr>
            <w:r w:rsidRPr="009E703F">
              <w:rPr>
                <w:sz w:val="22"/>
                <w:szCs w:val="22"/>
              </w:rPr>
              <w:t>0</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1263</w:t>
            </w:r>
          </w:p>
        </w:tc>
        <w:tc>
          <w:tcPr>
            <w:tcW w:w="920" w:type="dxa"/>
            <w:vAlign w:val="center"/>
          </w:tcPr>
          <w:p w:rsidR="009E703F" w:rsidRPr="009E703F" w:rsidRDefault="009E703F" w:rsidP="009E703F">
            <w:pPr>
              <w:jc w:val="center"/>
              <w:rPr>
                <w:sz w:val="22"/>
                <w:szCs w:val="22"/>
              </w:rPr>
            </w:pPr>
            <w:r w:rsidRPr="009E703F">
              <w:rPr>
                <w:sz w:val="22"/>
                <w:szCs w:val="22"/>
              </w:rPr>
              <w:t>918</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70</w:t>
            </w:r>
          </w:p>
        </w:tc>
        <w:tc>
          <w:tcPr>
            <w:tcW w:w="1080" w:type="dxa"/>
            <w:vAlign w:val="center"/>
          </w:tcPr>
          <w:p w:rsidR="009E703F" w:rsidRPr="009E703F" w:rsidRDefault="009E703F" w:rsidP="009E703F">
            <w:pPr>
              <w:jc w:val="center"/>
              <w:rPr>
                <w:sz w:val="22"/>
                <w:szCs w:val="22"/>
              </w:rPr>
            </w:pPr>
            <w:r w:rsidRPr="009E703F">
              <w:rPr>
                <w:sz w:val="22"/>
                <w:szCs w:val="22"/>
              </w:rPr>
              <w:t>42</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0</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1265</w:t>
            </w:r>
          </w:p>
        </w:tc>
        <w:tc>
          <w:tcPr>
            <w:tcW w:w="920" w:type="dxa"/>
            <w:vAlign w:val="center"/>
          </w:tcPr>
          <w:p w:rsidR="009E703F" w:rsidRPr="009E703F" w:rsidRDefault="009E703F" w:rsidP="009E703F">
            <w:pPr>
              <w:jc w:val="center"/>
              <w:rPr>
                <w:sz w:val="22"/>
                <w:szCs w:val="22"/>
              </w:rPr>
            </w:pPr>
            <w:r w:rsidRPr="009E703F">
              <w:rPr>
                <w:sz w:val="22"/>
                <w:szCs w:val="22"/>
              </w:rPr>
              <w:t>921</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70</w:t>
            </w:r>
          </w:p>
        </w:tc>
        <w:tc>
          <w:tcPr>
            <w:tcW w:w="1080" w:type="dxa"/>
            <w:vAlign w:val="center"/>
          </w:tcPr>
          <w:p w:rsidR="009E703F" w:rsidRPr="009E703F" w:rsidRDefault="009E703F" w:rsidP="009E703F">
            <w:pPr>
              <w:jc w:val="center"/>
              <w:rPr>
                <w:sz w:val="22"/>
                <w:szCs w:val="22"/>
              </w:rPr>
            </w:pPr>
            <w:r w:rsidRPr="009E703F">
              <w:rPr>
                <w:sz w:val="22"/>
                <w:szCs w:val="22"/>
              </w:rPr>
              <w:t>42</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0</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1267</w:t>
            </w:r>
          </w:p>
        </w:tc>
        <w:tc>
          <w:tcPr>
            <w:tcW w:w="920" w:type="dxa"/>
            <w:vAlign w:val="center"/>
          </w:tcPr>
          <w:p w:rsidR="009E703F" w:rsidRPr="009E703F" w:rsidRDefault="009E703F" w:rsidP="009E703F">
            <w:pPr>
              <w:jc w:val="center"/>
              <w:rPr>
                <w:sz w:val="22"/>
                <w:szCs w:val="22"/>
              </w:rPr>
            </w:pPr>
            <w:r w:rsidRPr="009E703F">
              <w:rPr>
                <w:sz w:val="22"/>
                <w:szCs w:val="22"/>
              </w:rPr>
              <w:t>986</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71</w:t>
            </w:r>
          </w:p>
        </w:tc>
        <w:tc>
          <w:tcPr>
            <w:tcW w:w="1080" w:type="dxa"/>
            <w:vAlign w:val="center"/>
          </w:tcPr>
          <w:p w:rsidR="009E703F" w:rsidRPr="009E703F" w:rsidRDefault="009E703F" w:rsidP="009E703F">
            <w:pPr>
              <w:jc w:val="center"/>
              <w:rPr>
                <w:sz w:val="22"/>
                <w:szCs w:val="22"/>
              </w:rPr>
            </w:pPr>
            <w:r w:rsidRPr="009E703F">
              <w:rPr>
                <w:sz w:val="22"/>
                <w:szCs w:val="22"/>
              </w:rPr>
              <w:t>43</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1</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1268</w:t>
            </w:r>
          </w:p>
        </w:tc>
        <w:tc>
          <w:tcPr>
            <w:tcW w:w="920" w:type="dxa"/>
            <w:vAlign w:val="center"/>
          </w:tcPr>
          <w:p w:rsidR="009E703F" w:rsidRPr="009E703F" w:rsidRDefault="009E703F" w:rsidP="009E703F">
            <w:pPr>
              <w:jc w:val="center"/>
              <w:rPr>
                <w:sz w:val="22"/>
                <w:szCs w:val="22"/>
              </w:rPr>
            </w:pPr>
            <w:r w:rsidRPr="009E703F">
              <w:rPr>
                <w:sz w:val="22"/>
                <w:szCs w:val="22"/>
              </w:rPr>
              <w:t>960</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70</w:t>
            </w:r>
          </w:p>
        </w:tc>
        <w:tc>
          <w:tcPr>
            <w:tcW w:w="1080" w:type="dxa"/>
            <w:vAlign w:val="center"/>
          </w:tcPr>
          <w:p w:rsidR="009E703F" w:rsidRPr="009E703F" w:rsidRDefault="009E703F" w:rsidP="009E703F">
            <w:pPr>
              <w:jc w:val="center"/>
              <w:rPr>
                <w:sz w:val="22"/>
                <w:szCs w:val="22"/>
              </w:rPr>
            </w:pPr>
            <w:r w:rsidRPr="009E703F">
              <w:rPr>
                <w:sz w:val="22"/>
                <w:szCs w:val="22"/>
              </w:rPr>
              <w:t>42</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1</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1270</w:t>
            </w:r>
          </w:p>
        </w:tc>
        <w:tc>
          <w:tcPr>
            <w:tcW w:w="920" w:type="dxa"/>
            <w:vAlign w:val="center"/>
          </w:tcPr>
          <w:p w:rsidR="009E703F" w:rsidRPr="009E703F" w:rsidRDefault="009E703F" w:rsidP="009E703F">
            <w:pPr>
              <w:jc w:val="center"/>
              <w:rPr>
                <w:sz w:val="22"/>
                <w:szCs w:val="22"/>
              </w:rPr>
            </w:pPr>
            <w:r w:rsidRPr="009E703F">
              <w:rPr>
                <w:sz w:val="22"/>
                <w:szCs w:val="22"/>
              </w:rPr>
              <w:t>951</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70</w:t>
            </w:r>
          </w:p>
        </w:tc>
        <w:tc>
          <w:tcPr>
            <w:tcW w:w="1080" w:type="dxa"/>
            <w:vAlign w:val="center"/>
          </w:tcPr>
          <w:p w:rsidR="009E703F" w:rsidRPr="009E703F" w:rsidRDefault="009E703F" w:rsidP="009E703F">
            <w:pPr>
              <w:jc w:val="center"/>
              <w:rPr>
                <w:sz w:val="22"/>
                <w:szCs w:val="22"/>
              </w:rPr>
            </w:pPr>
            <w:r w:rsidRPr="009E703F">
              <w:rPr>
                <w:sz w:val="22"/>
                <w:szCs w:val="22"/>
              </w:rPr>
              <w:t>43</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0</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1271</w:t>
            </w:r>
          </w:p>
        </w:tc>
        <w:tc>
          <w:tcPr>
            <w:tcW w:w="920" w:type="dxa"/>
            <w:vAlign w:val="center"/>
          </w:tcPr>
          <w:p w:rsidR="009E703F" w:rsidRPr="009E703F" w:rsidRDefault="009E703F" w:rsidP="009E703F">
            <w:pPr>
              <w:jc w:val="center"/>
              <w:rPr>
                <w:sz w:val="22"/>
                <w:szCs w:val="22"/>
              </w:rPr>
            </w:pPr>
            <w:r w:rsidRPr="009E703F">
              <w:rPr>
                <w:sz w:val="22"/>
                <w:szCs w:val="22"/>
              </w:rPr>
              <w:t>947</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70</w:t>
            </w:r>
          </w:p>
        </w:tc>
        <w:tc>
          <w:tcPr>
            <w:tcW w:w="1080" w:type="dxa"/>
            <w:vAlign w:val="center"/>
          </w:tcPr>
          <w:p w:rsidR="009E703F" w:rsidRPr="009E703F" w:rsidRDefault="009E703F" w:rsidP="009E703F">
            <w:pPr>
              <w:jc w:val="center"/>
              <w:rPr>
                <w:sz w:val="22"/>
                <w:szCs w:val="22"/>
              </w:rPr>
            </w:pPr>
            <w:r w:rsidRPr="009E703F">
              <w:rPr>
                <w:sz w:val="22"/>
                <w:szCs w:val="22"/>
              </w:rPr>
              <w:t>43</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0</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r w:rsidR="009E703F" w:rsidRPr="009E703F" w:rsidTr="00585211">
        <w:trPr>
          <w:cantSplit/>
          <w:trHeight w:val="576"/>
          <w:jc w:val="center"/>
        </w:trPr>
        <w:tc>
          <w:tcPr>
            <w:tcW w:w="1909" w:type="dxa"/>
            <w:vAlign w:val="center"/>
          </w:tcPr>
          <w:p w:rsidR="009E703F" w:rsidRPr="009E703F" w:rsidRDefault="009E703F" w:rsidP="009E703F">
            <w:pPr>
              <w:rPr>
                <w:sz w:val="22"/>
                <w:szCs w:val="22"/>
              </w:rPr>
            </w:pPr>
            <w:r w:rsidRPr="009E703F">
              <w:rPr>
                <w:sz w:val="22"/>
                <w:szCs w:val="22"/>
              </w:rPr>
              <w:t>1274</w:t>
            </w:r>
          </w:p>
        </w:tc>
        <w:tc>
          <w:tcPr>
            <w:tcW w:w="920" w:type="dxa"/>
            <w:vAlign w:val="center"/>
          </w:tcPr>
          <w:p w:rsidR="009E703F" w:rsidRPr="009E703F" w:rsidRDefault="009E703F" w:rsidP="009E703F">
            <w:pPr>
              <w:jc w:val="center"/>
              <w:rPr>
                <w:sz w:val="22"/>
                <w:szCs w:val="22"/>
              </w:rPr>
            </w:pPr>
            <w:r w:rsidRPr="009E703F">
              <w:rPr>
                <w:sz w:val="22"/>
                <w:szCs w:val="22"/>
              </w:rPr>
              <w:t>945</w:t>
            </w:r>
          </w:p>
        </w:tc>
        <w:tc>
          <w:tcPr>
            <w:tcW w:w="1136" w:type="dxa"/>
            <w:vAlign w:val="center"/>
          </w:tcPr>
          <w:p w:rsidR="009E703F" w:rsidRPr="009E703F" w:rsidRDefault="009E703F" w:rsidP="009E703F">
            <w:pPr>
              <w:jc w:val="center"/>
              <w:rPr>
                <w:sz w:val="22"/>
                <w:szCs w:val="22"/>
              </w:rPr>
            </w:pPr>
            <w:r w:rsidRPr="009E703F">
              <w:rPr>
                <w:sz w:val="22"/>
                <w:szCs w:val="22"/>
              </w:rPr>
              <w:t>ND</w:t>
            </w:r>
          </w:p>
        </w:tc>
        <w:tc>
          <w:tcPr>
            <w:tcW w:w="810" w:type="dxa"/>
            <w:vAlign w:val="center"/>
          </w:tcPr>
          <w:p w:rsidR="009E703F" w:rsidRPr="009E703F" w:rsidRDefault="009E703F" w:rsidP="009E703F">
            <w:pPr>
              <w:jc w:val="center"/>
              <w:rPr>
                <w:sz w:val="22"/>
                <w:szCs w:val="22"/>
              </w:rPr>
            </w:pPr>
            <w:r w:rsidRPr="009E703F">
              <w:rPr>
                <w:sz w:val="22"/>
                <w:szCs w:val="22"/>
              </w:rPr>
              <w:t>71</w:t>
            </w:r>
          </w:p>
        </w:tc>
        <w:tc>
          <w:tcPr>
            <w:tcW w:w="1080" w:type="dxa"/>
            <w:vAlign w:val="center"/>
          </w:tcPr>
          <w:p w:rsidR="009E703F" w:rsidRPr="009E703F" w:rsidRDefault="009E703F" w:rsidP="009E703F">
            <w:pPr>
              <w:jc w:val="center"/>
              <w:rPr>
                <w:sz w:val="22"/>
                <w:szCs w:val="22"/>
              </w:rPr>
            </w:pPr>
            <w:r w:rsidRPr="009E703F">
              <w:rPr>
                <w:sz w:val="22"/>
                <w:szCs w:val="22"/>
              </w:rPr>
              <w:t>43</w:t>
            </w:r>
          </w:p>
        </w:tc>
        <w:tc>
          <w:tcPr>
            <w:tcW w:w="1080" w:type="dxa"/>
            <w:vAlign w:val="center"/>
          </w:tcPr>
          <w:p w:rsidR="009E703F" w:rsidRPr="009E703F" w:rsidRDefault="009E703F" w:rsidP="009E703F">
            <w:pPr>
              <w:jc w:val="center"/>
              <w:rPr>
                <w:sz w:val="22"/>
                <w:szCs w:val="22"/>
              </w:rPr>
            </w:pPr>
            <w:r w:rsidRPr="009E703F">
              <w:rPr>
                <w:sz w:val="22"/>
                <w:szCs w:val="22"/>
              </w:rPr>
              <w:t>47</w:t>
            </w:r>
          </w:p>
        </w:tc>
        <w:tc>
          <w:tcPr>
            <w:tcW w:w="1080" w:type="dxa"/>
            <w:vAlign w:val="center"/>
          </w:tcPr>
          <w:p w:rsidR="009E703F" w:rsidRPr="009E703F" w:rsidRDefault="009E703F" w:rsidP="009E703F">
            <w:pPr>
              <w:jc w:val="center"/>
              <w:rPr>
                <w:sz w:val="22"/>
                <w:szCs w:val="22"/>
              </w:rPr>
            </w:pPr>
            <w:r w:rsidRPr="009E703F">
              <w:rPr>
                <w:sz w:val="22"/>
                <w:szCs w:val="22"/>
              </w:rPr>
              <w:t>0</w:t>
            </w:r>
          </w:p>
        </w:tc>
        <w:tc>
          <w:tcPr>
            <w:tcW w:w="1170" w:type="dxa"/>
            <w:vAlign w:val="center"/>
          </w:tcPr>
          <w:p w:rsidR="009E703F" w:rsidRPr="009E703F" w:rsidRDefault="009E703F" w:rsidP="009E703F">
            <w:pPr>
              <w:jc w:val="center"/>
              <w:rPr>
                <w:sz w:val="22"/>
                <w:szCs w:val="22"/>
              </w:rPr>
            </w:pPr>
            <w:r w:rsidRPr="009E703F">
              <w:rPr>
                <w:sz w:val="22"/>
                <w:szCs w:val="22"/>
              </w:rPr>
              <w:t>N</w:t>
            </w:r>
          </w:p>
        </w:tc>
        <w:tc>
          <w:tcPr>
            <w:tcW w:w="900" w:type="dxa"/>
            <w:vAlign w:val="center"/>
          </w:tcPr>
          <w:p w:rsidR="009E703F" w:rsidRPr="009E703F" w:rsidRDefault="009E703F" w:rsidP="009E703F">
            <w:pPr>
              <w:jc w:val="center"/>
              <w:rPr>
                <w:sz w:val="22"/>
                <w:szCs w:val="22"/>
              </w:rPr>
            </w:pPr>
            <w:r w:rsidRPr="009E703F">
              <w:rPr>
                <w:sz w:val="22"/>
                <w:szCs w:val="22"/>
              </w:rPr>
              <w:t>Y</w:t>
            </w:r>
          </w:p>
        </w:tc>
        <w:tc>
          <w:tcPr>
            <w:tcW w:w="990" w:type="dxa"/>
            <w:vAlign w:val="center"/>
          </w:tcPr>
          <w:p w:rsidR="009E703F" w:rsidRPr="009E703F" w:rsidRDefault="009E703F" w:rsidP="009E703F">
            <w:pPr>
              <w:jc w:val="center"/>
              <w:rPr>
                <w:sz w:val="22"/>
                <w:szCs w:val="22"/>
              </w:rPr>
            </w:pPr>
            <w:r w:rsidRPr="009E703F">
              <w:rPr>
                <w:sz w:val="22"/>
                <w:szCs w:val="22"/>
              </w:rPr>
              <w:t>Y</w:t>
            </w:r>
          </w:p>
        </w:tc>
        <w:tc>
          <w:tcPr>
            <w:tcW w:w="2615" w:type="dxa"/>
            <w:tcBorders>
              <w:left w:val="nil"/>
            </w:tcBorders>
            <w:vAlign w:val="center"/>
          </w:tcPr>
          <w:p w:rsidR="009E703F" w:rsidRPr="009E703F" w:rsidRDefault="009E703F" w:rsidP="009E703F">
            <w:pPr>
              <w:rPr>
                <w:sz w:val="22"/>
                <w:szCs w:val="22"/>
              </w:rPr>
            </w:pPr>
            <w:r w:rsidRPr="009E703F">
              <w:rPr>
                <w:sz w:val="22"/>
                <w:szCs w:val="22"/>
              </w:rPr>
              <w:t>FCU</w:t>
            </w:r>
          </w:p>
        </w:tc>
      </w:tr>
    </w:tbl>
    <w:p w:rsidR="009E703F" w:rsidRPr="009E703F" w:rsidRDefault="009E703F" w:rsidP="009E703F"/>
    <w:p w:rsidR="00533D9F" w:rsidRPr="009E703F" w:rsidRDefault="00533D9F" w:rsidP="009E703F">
      <w:pPr>
        <w:spacing w:line="480" w:lineRule="auto"/>
        <w:jc w:val="center"/>
        <w:rPr>
          <w:rFonts w:eastAsia="Calibri"/>
          <w:b/>
          <w:sz w:val="22"/>
          <w:szCs w:val="22"/>
        </w:rPr>
      </w:pPr>
    </w:p>
    <w:sectPr w:rsidR="00533D9F" w:rsidRPr="009E703F" w:rsidSect="009E703F">
      <w:headerReference w:type="default" r:id="rId19"/>
      <w:footerReference w:type="default" r:id="rId20"/>
      <w:headerReference w:type="first" r:id="rId21"/>
      <w:footerReference w:type="first" r:id="rId22"/>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11" w:rsidRDefault="00585211">
      <w:r>
        <w:separator/>
      </w:r>
    </w:p>
  </w:endnote>
  <w:endnote w:type="continuationSeparator" w:id="0">
    <w:p w:rsidR="00585211" w:rsidRDefault="0058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CDE" w:rsidRDefault="004F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4CCA">
      <w:rPr>
        <w:rStyle w:val="PageNumber"/>
        <w:noProof/>
      </w:rPr>
      <w:t>2</w:t>
    </w:r>
    <w:r>
      <w:rPr>
        <w:rStyle w:val="PageNumber"/>
      </w:rPr>
      <w:fldChar w:fldCharType="end"/>
    </w:r>
  </w:p>
  <w:p w:rsidR="004F4CDE" w:rsidRDefault="004F4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3F" w:rsidRDefault="009E70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8" w:type="dxa"/>
      <w:jc w:val="center"/>
      <w:tblLayout w:type="fixed"/>
      <w:tblLook w:val="0000" w:firstRow="0" w:lastRow="0" w:firstColumn="0" w:lastColumn="0" w:noHBand="0" w:noVBand="0"/>
    </w:tblPr>
    <w:tblGrid>
      <w:gridCol w:w="3285"/>
      <w:gridCol w:w="2768"/>
      <w:gridCol w:w="3895"/>
    </w:tblGrid>
    <w:tr w:rsidR="00585211" w:rsidRPr="00F374D5" w:rsidTr="00585211">
      <w:trPr>
        <w:trHeight w:val="300"/>
        <w:jc w:val="center"/>
      </w:trPr>
      <w:tc>
        <w:tcPr>
          <w:tcW w:w="3285" w:type="dxa"/>
          <w:tcBorders>
            <w:top w:val="nil"/>
            <w:left w:val="nil"/>
            <w:bottom w:val="nil"/>
            <w:right w:val="nil"/>
          </w:tcBorders>
          <w:shd w:val="clear" w:color="auto" w:fill="auto"/>
          <w:noWrap/>
          <w:vAlign w:val="center"/>
        </w:tcPr>
        <w:p w:rsidR="00585211" w:rsidRPr="00F374D5" w:rsidRDefault="00585211" w:rsidP="00585211">
          <w:pPr>
            <w:rPr>
              <w:rFonts w:ascii="Times" w:hAnsi="Times" w:cs="Times"/>
              <w:sz w:val="20"/>
            </w:rPr>
          </w:pPr>
          <w:r w:rsidRPr="00F374D5">
            <w:rPr>
              <w:rFonts w:ascii="Times" w:hAnsi="Times" w:cs="Times"/>
              <w:sz w:val="20"/>
            </w:rPr>
            <w:t>ppm = parts per million</w:t>
          </w:r>
        </w:p>
      </w:tc>
      <w:tc>
        <w:tcPr>
          <w:tcW w:w="2768" w:type="dxa"/>
          <w:tcBorders>
            <w:top w:val="nil"/>
            <w:left w:val="nil"/>
            <w:bottom w:val="nil"/>
            <w:right w:val="nil"/>
          </w:tcBorders>
          <w:shd w:val="clear" w:color="auto" w:fill="auto"/>
          <w:noWrap/>
          <w:vAlign w:val="center"/>
        </w:tcPr>
        <w:p w:rsidR="00585211" w:rsidRPr="00F374D5" w:rsidRDefault="00585211" w:rsidP="00585211">
          <w:pPr>
            <w:rPr>
              <w:rFonts w:ascii="Times" w:hAnsi="Times" w:cs="Times"/>
              <w:sz w:val="20"/>
            </w:rPr>
          </w:pPr>
          <w:r>
            <w:rPr>
              <w:rFonts w:ascii="Times" w:hAnsi="Times" w:cs="Times"/>
              <w:sz w:val="20"/>
            </w:rPr>
            <w:t>CT = ceiling tile</w:t>
          </w:r>
        </w:p>
      </w:tc>
      <w:tc>
        <w:tcPr>
          <w:tcW w:w="3895" w:type="dxa"/>
          <w:tcBorders>
            <w:top w:val="nil"/>
            <w:left w:val="nil"/>
            <w:bottom w:val="nil"/>
            <w:right w:val="nil"/>
          </w:tcBorders>
          <w:vAlign w:val="center"/>
        </w:tcPr>
        <w:p w:rsidR="00585211" w:rsidRDefault="00585211" w:rsidP="00585211">
          <w:pPr>
            <w:rPr>
              <w:rFonts w:ascii="Times" w:hAnsi="Times" w:cs="Times"/>
              <w:sz w:val="20"/>
            </w:rPr>
          </w:pPr>
          <w:r>
            <w:rPr>
              <w:rFonts w:ascii="Times" w:hAnsi="Times" w:cs="Times"/>
              <w:sz w:val="20"/>
            </w:rPr>
            <w:t>TVOC = total volatile organic compounds</w:t>
          </w:r>
        </w:p>
      </w:tc>
    </w:tr>
    <w:tr w:rsidR="00585211" w:rsidRPr="00F374D5" w:rsidTr="00585211">
      <w:trPr>
        <w:trHeight w:val="300"/>
        <w:jc w:val="center"/>
      </w:trPr>
      <w:tc>
        <w:tcPr>
          <w:tcW w:w="3285" w:type="dxa"/>
          <w:tcBorders>
            <w:top w:val="nil"/>
            <w:left w:val="nil"/>
            <w:bottom w:val="nil"/>
            <w:right w:val="nil"/>
          </w:tcBorders>
          <w:shd w:val="clear" w:color="auto" w:fill="auto"/>
          <w:noWrap/>
          <w:vAlign w:val="center"/>
        </w:tcPr>
        <w:p w:rsidR="00585211" w:rsidRPr="00F374D5" w:rsidRDefault="00585211" w:rsidP="00585211">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768" w:type="dxa"/>
          <w:tcBorders>
            <w:top w:val="nil"/>
            <w:left w:val="nil"/>
            <w:bottom w:val="nil"/>
            <w:right w:val="nil"/>
          </w:tcBorders>
          <w:shd w:val="clear" w:color="auto" w:fill="auto"/>
          <w:noWrap/>
          <w:vAlign w:val="center"/>
        </w:tcPr>
        <w:p w:rsidR="00585211" w:rsidRPr="00F374D5" w:rsidRDefault="00585211" w:rsidP="00585211">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3895" w:type="dxa"/>
          <w:tcBorders>
            <w:top w:val="nil"/>
            <w:left w:val="nil"/>
            <w:bottom w:val="nil"/>
            <w:right w:val="nil"/>
          </w:tcBorders>
          <w:vAlign w:val="center"/>
        </w:tcPr>
        <w:p w:rsidR="00585211" w:rsidRDefault="00585211" w:rsidP="00585211">
          <w:pPr>
            <w:rPr>
              <w:rFonts w:ascii="Times" w:hAnsi="Times" w:cs="Times"/>
              <w:sz w:val="20"/>
            </w:rPr>
          </w:pPr>
          <w:r>
            <w:rPr>
              <w:rFonts w:ascii="Times" w:hAnsi="Times" w:cs="Times"/>
              <w:sz w:val="20"/>
            </w:rPr>
            <w:t>WD = water-damaged</w:t>
          </w:r>
        </w:p>
      </w:tc>
    </w:tr>
  </w:tbl>
  <w:p w:rsidR="00585211" w:rsidRDefault="00585211" w:rsidP="00585211">
    <w:pPr>
      <w:tabs>
        <w:tab w:val="left" w:pos="9180"/>
      </w:tabs>
      <w:rPr>
        <w:b/>
        <w:sz w:val="20"/>
      </w:rPr>
    </w:pPr>
  </w:p>
  <w:p w:rsidR="00585211" w:rsidRDefault="00585211" w:rsidP="0058521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85211" w:rsidTr="00585211">
      <w:tc>
        <w:tcPr>
          <w:tcW w:w="2718" w:type="dxa"/>
          <w:tcBorders>
            <w:top w:val="single" w:sz="18" w:space="0" w:color="auto"/>
          </w:tcBorders>
        </w:tcPr>
        <w:p w:rsidR="00585211" w:rsidRDefault="00585211" w:rsidP="00585211">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585211" w:rsidRDefault="00585211" w:rsidP="00585211">
          <w:pPr>
            <w:rPr>
              <w:sz w:val="20"/>
            </w:rPr>
          </w:pPr>
          <w:r>
            <w:rPr>
              <w:sz w:val="20"/>
            </w:rPr>
            <w:t>&lt; 800 ppm = preferred</w:t>
          </w:r>
        </w:p>
      </w:tc>
      <w:tc>
        <w:tcPr>
          <w:tcW w:w="3600" w:type="dxa"/>
          <w:tcBorders>
            <w:top w:val="single" w:sz="18" w:space="0" w:color="auto"/>
          </w:tcBorders>
        </w:tcPr>
        <w:p w:rsidR="00585211" w:rsidRDefault="00585211" w:rsidP="00585211">
          <w:pPr>
            <w:jc w:val="right"/>
            <w:rPr>
              <w:sz w:val="20"/>
            </w:rPr>
          </w:pPr>
          <w:r>
            <w:rPr>
              <w:sz w:val="20"/>
            </w:rPr>
            <w:t>Temperature:</w:t>
          </w:r>
        </w:p>
      </w:tc>
      <w:tc>
        <w:tcPr>
          <w:tcW w:w="3420" w:type="dxa"/>
          <w:tcBorders>
            <w:top w:val="single" w:sz="18" w:space="0" w:color="auto"/>
          </w:tcBorders>
        </w:tcPr>
        <w:p w:rsidR="00585211" w:rsidRDefault="00585211" w:rsidP="00585211">
          <w:pPr>
            <w:rPr>
              <w:sz w:val="20"/>
            </w:rPr>
          </w:pPr>
          <w:r>
            <w:rPr>
              <w:sz w:val="20"/>
            </w:rPr>
            <w:t>70 - 78 °F</w:t>
          </w:r>
        </w:p>
      </w:tc>
    </w:tr>
    <w:tr w:rsidR="00585211" w:rsidTr="00585211">
      <w:tc>
        <w:tcPr>
          <w:tcW w:w="2718" w:type="dxa"/>
        </w:tcPr>
        <w:p w:rsidR="00585211" w:rsidRDefault="00585211" w:rsidP="00585211">
          <w:pPr>
            <w:jc w:val="right"/>
            <w:rPr>
              <w:sz w:val="20"/>
            </w:rPr>
          </w:pPr>
        </w:p>
      </w:tc>
      <w:tc>
        <w:tcPr>
          <w:tcW w:w="4860" w:type="dxa"/>
        </w:tcPr>
        <w:p w:rsidR="00585211" w:rsidRDefault="00585211" w:rsidP="00585211">
          <w:pPr>
            <w:rPr>
              <w:sz w:val="20"/>
            </w:rPr>
          </w:pPr>
          <w:r>
            <w:rPr>
              <w:sz w:val="20"/>
            </w:rPr>
            <w:t>&gt; 800 ppm = indicative of ventilation problems</w:t>
          </w:r>
        </w:p>
      </w:tc>
      <w:tc>
        <w:tcPr>
          <w:tcW w:w="3600" w:type="dxa"/>
        </w:tcPr>
        <w:p w:rsidR="00585211" w:rsidRDefault="00585211" w:rsidP="00585211">
          <w:pPr>
            <w:jc w:val="right"/>
            <w:rPr>
              <w:sz w:val="20"/>
            </w:rPr>
          </w:pPr>
          <w:r>
            <w:rPr>
              <w:sz w:val="20"/>
            </w:rPr>
            <w:t>Relative Humidity:</w:t>
          </w:r>
        </w:p>
      </w:tc>
      <w:tc>
        <w:tcPr>
          <w:tcW w:w="3420" w:type="dxa"/>
        </w:tcPr>
        <w:p w:rsidR="00585211" w:rsidRDefault="00585211" w:rsidP="00585211">
          <w:pPr>
            <w:rPr>
              <w:sz w:val="20"/>
            </w:rPr>
          </w:pPr>
          <w:r>
            <w:rPr>
              <w:sz w:val="20"/>
            </w:rPr>
            <w:t>40 - 60%</w:t>
          </w:r>
        </w:p>
      </w:tc>
    </w:tr>
  </w:tbl>
  <w:p w:rsidR="00585211" w:rsidRDefault="00585211" w:rsidP="00585211">
    <w:pPr>
      <w:pStyle w:val="Footer"/>
      <w:jc w:val="center"/>
    </w:pPr>
  </w:p>
  <w:p w:rsidR="00585211" w:rsidRPr="00B22C39" w:rsidRDefault="00585211" w:rsidP="00585211">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95" w:type="dxa"/>
      <w:jc w:val="center"/>
      <w:tblLayout w:type="fixed"/>
      <w:tblLook w:val="0000" w:firstRow="0" w:lastRow="0" w:firstColumn="0" w:lastColumn="0" w:noHBand="0" w:noVBand="0"/>
    </w:tblPr>
    <w:tblGrid>
      <w:gridCol w:w="2885"/>
      <w:gridCol w:w="3670"/>
      <w:gridCol w:w="2270"/>
      <w:gridCol w:w="2270"/>
    </w:tblGrid>
    <w:tr w:rsidR="00585211" w:rsidRPr="00F374D5" w:rsidTr="00585211">
      <w:trPr>
        <w:trHeight w:val="300"/>
        <w:jc w:val="center"/>
      </w:trPr>
      <w:tc>
        <w:tcPr>
          <w:tcW w:w="2885" w:type="dxa"/>
          <w:tcBorders>
            <w:top w:val="nil"/>
            <w:left w:val="nil"/>
            <w:bottom w:val="nil"/>
            <w:right w:val="nil"/>
          </w:tcBorders>
          <w:shd w:val="clear" w:color="auto" w:fill="auto"/>
          <w:noWrap/>
          <w:vAlign w:val="center"/>
        </w:tcPr>
        <w:p w:rsidR="00585211" w:rsidRPr="00F374D5" w:rsidRDefault="00585211" w:rsidP="00585211">
          <w:pPr>
            <w:rPr>
              <w:rFonts w:ascii="Times" w:hAnsi="Times" w:cs="Times"/>
              <w:sz w:val="20"/>
            </w:rPr>
          </w:pPr>
          <w:r w:rsidRPr="00F374D5">
            <w:rPr>
              <w:rFonts w:ascii="Times" w:hAnsi="Times" w:cs="Times"/>
              <w:sz w:val="20"/>
            </w:rPr>
            <w:t>ppm = parts per million</w:t>
          </w:r>
        </w:p>
      </w:tc>
      <w:tc>
        <w:tcPr>
          <w:tcW w:w="3670" w:type="dxa"/>
          <w:tcBorders>
            <w:top w:val="nil"/>
            <w:left w:val="nil"/>
            <w:bottom w:val="nil"/>
            <w:right w:val="nil"/>
          </w:tcBorders>
          <w:shd w:val="clear" w:color="auto" w:fill="auto"/>
          <w:noWrap/>
          <w:vAlign w:val="center"/>
        </w:tcPr>
        <w:p w:rsidR="00585211" w:rsidRPr="00F374D5" w:rsidRDefault="00585211" w:rsidP="00585211">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270" w:type="dxa"/>
          <w:tcBorders>
            <w:top w:val="nil"/>
            <w:left w:val="nil"/>
            <w:bottom w:val="nil"/>
            <w:right w:val="nil"/>
          </w:tcBorders>
          <w:vAlign w:val="center"/>
        </w:tcPr>
        <w:p w:rsidR="00585211" w:rsidRDefault="00585211" w:rsidP="00585211">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2270" w:type="dxa"/>
          <w:tcBorders>
            <w:top w:val="nil"/>
            <w:left w:val="nil"/>
            <w:bottom w:val="nil"/>
            <w:right w:val="nil"/>
          </w:tcBorders>
        </w:tcPr>
        <w:p w:rsidR="00585211" w:rsidRDefault="00585211" w:rsidP="00585211">
          <w:pPr>
            <w:rPr>
              <w:rFonts w:ascii="Times" w:hAnsi="Times" w:cs="Times"/>
              <w:sz w:val="20"/>
            </w:rPr>
          </w:pPr>
          <w:r>
            <w:rPr>
              <w:rFonts w:ascii="Times" w:hAnsi="Times" w:cs="Times"/>
              <w:sz w:val="20"/>
            </w:rPr>
            <w:t>FCU = fan coil unit</w:t>
          </w:r>
        </w:p>
      </w:tc>
    </w:tr>
  </w:tbl>
  <w:p w:rsidR="00585211" w:rsidRDefault="00585211" w:rsidP="00585211">
    <w:pPr>
      <w:tabs>
        <w:tab w:val="left" w:pos="9180"/>
      </w:tabs>
      <w:rPr>
        <w:b/>
        <w:sz w:val="20"/>
      </w:rPr>
    </w:pPr>
  </w:p>
  <w:p w:rsidR="00585211" w:rsidRDefault="00585211" w:rsidP="0058521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85211" w:rsidTr="00585211">
      <w:tc>
        <w:tcPr>
          <w:tcW w:w="2718" w:type="dxa"/>
          <w:tcBorders>
            <w:top w:val="single" w:sz="18" w:space="0" w:color="auto"/>
          </w:tcBorders>
        </w:tcPr>
        <w:p w:rsidR="00585211" w:rsidRDefault="00585211" w:rsidP="00585211">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585211" w:rsidRDefault="00585211" w:rsidP="00585211">
          <w:pPr>
            <w:rPr>
              <w:sz w:val="20"/>
            </w:rPr>
          </w:pPr>
          <w:r>
            <w:rPr>
              <w:sz w:val="20"/>
            </w:rPr>
            <w:t>&lt; 800 ppm = preferred</w:t>
          </w:r>
        </w:p>
      </w:tc>
      <w:tc>
        <w:tcPr>
          <w:tcW w:w="3600" w:type="dxa"/>
          <w:tcBorders>
            <w:top w:val="single" w:sz="18" w:space="0" w:color="auto"/>
          </w:tcBorders>
        </w:tcPr>
        <w:p w:rsidR="00585211" w:rsidRDefault="00585211" w:rsidP="00585211">
          <w:pPr>
            <w:jc w:val="right"/>
            <w:rPr>
              <w:sz w:val="20"/>
            </w:rPr>
          </w:pPr>
          <w:r>
            <w:rPr>
              <w:sz w:val="20"/>
            </w:rPr>
            <w:t>Temperature:</w:t>
          </w:r>
        </w:p>
      </w:tc>
      <w:tc>
        <w:tcPr>
          <w:tcW w:w="3420" w:type="dxa"/>
          <w:tcBorders>
            <w:top w:val="single" w:sz="18" w:space="0" w:color="auto"/>
          </w:tcBorders>
        </w:tcPr>
        <w:p w:rsidR="00585211" w:rsidRDefault="00585211" w:rsidP="00585211">
          <w:pPr>
            <w:rPr>
              <w:sz w:val="20"/>
            </w:rPr>
          </w:pPr>
          <w:r>
            <w:rPr>
              <w:sz w:val="20"/>
            </w:rPr>
            <w:t>70 - 78 °F</w:t>
          </w:r>
        </w:p>
      </w:tc>
    </w:tr>
    <w:tr w:rsidR="00585211" w:rsidTr="00585211">
      <w:tc>
        <w:tcPr>
          <w:tcW w:w="2718" w:type="dxa"/>
        </w:tcPr>
        <w:p w:rsidR="00585211" w:rsidRDefault="00585211" w:rsidP="00585211">
          <w:pPr>
            <w:jc w:val="right"/>
            <w:rPr>
              <w:sz w:val="20"/>
            </w:rPr>
          </w:pPr>
        </w:p>
      </w:tc>
      <w:tc>
        <w:tcPr>
          <w:tcW w:w="4860" w:type="dxa"/>
        </w:tcPr>
        <w:p w:rsidR="00585211" w:rsidRDefault="00585211" w:rsidP="00585211">
          <w:pPr>
            <w:rPr>
              <w:sz w:val="20"/>
            </w:rPr>
          </w:pPr>
          <w:r>
            <w:rPr>
              <w:sz w:val="20"/>
            </w:rPr>
            <w:t>&gt; 800 ppm = indicative of ventilation problems</w:t>
          </w:r>
        </w:p>
      </w:tc>
      <w:tc>
        <w:tcPr>
          <w:tcW w:w="3600" w:type="dxa"/>
        </w:tcPr>
        <w:p w:rsidR="00585211" w:rsidRDefault="00585211" w:rsidP="00585211">
          <w:pPr>
            <w:jc w:val="right"/>
            <w:rPr>
              <w:sz w:val="20"/>
            </w:rPr>
          </w:pPr>
          <w:r>
            <w:rPr>
              <w:sz w:val="20"/>
            </w:rPr>
            <w:t>Relative Humidity:</w:t>
          </w:r>
        </w:p>
      </w:tc>
      <w:tc>
        <w:tcPr>
          <w:tcW w:w="3420" w:type="dxa"/>
        </w:tcPr>
        <w:p w:rsidR="00585211" w:rsidRDefault="00585211" w:rsidP="00585211">
          <w:pPr>
            <w:rPr>
              <w:sz w:val="20"/>
            </w:rPr>
          </w:pPr>
          <w:r>
            <w:rPr>
              <w:sz w:val="20"/>
            </w:rPr>
            <w:t>40 - 60%</w:t>
          </w:r>
        </w:p>
      </w:tc>
    </w:tr>
  </w:tbl>
  <w:p w:rsidR="00585211" w:rsidRDefault="00585211" w:rsidP="00585211">
    <w:pPr>
      <w:pStyle w:val="Footer"/>
      <w:jc w:val="center"/>
    </w:pPr>
  </w:p>
  <w:p w:rsidR="00585211" w:rsidRPr="002C53A9" w:rsidRDefault="00585211" w:rsidP="00585211">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A4CC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11" w:rsidRDefault="00585211">
      <w:r>
        <w:separator/>
      </w:r>
    </w:p>
  </w:footnote>
  <w:footnote w:type="continuationSeparator" w:id="0">
    <w:p w:rsidR="00585211" w:rsidRDefault="0058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228"/>
      <w:gridCol w:w="3516"/>
      <w:gridCol w:w="2514"/>
      <w:gridCol w:w="2358"/>
    </w:tblGrid>
    <w:tr w:rsidR="00585211" w:rsidTr="00585211">
      <w:trPr>
        <w:cantSplit/>
      </w:trPr>
      <w:tc>
        <w:tcPr>
          <w:tcW w:w="12258" w:type="dxa"/>
          <w:gridSpan w:val="3"/>
        </w:tcPr>
        <w:p w:rsidR="00585211" w:rsidRPr="00677AC6" w:rsidRDefault="00585211" w:rsidP="00585211">
          <w:pPr>
            <w:pStyle w:val="Header"/>
            <w:spacing w:before="60" w:after="60"/>
            <w:rPr>
              <w:b/>
            </w:rPr>
          </w:pPr>
          <w:r>
            <w:rPr>
              <w:b/>
            </w:rPr>
            <w:t>Location: Department of Children and Families Legal Office</w:t>
          </w:r>
        </w:p>
      </w:tc>
      <w:tc>
        <w:tcPr>
          <w:tcW w:w="2358" w:type="dxa"/>
        </w:tcPr>
        <w:p w:rsidR="00585211" w:rsidRDefault="00585211" w:rsidP="00585211">
          <w:pPr>
            <w:pStyle w:val="Header"/>
            <w:tabs>
              <w:tab w:val="clear" w:pos="4320"/>
              <w:tab w:val="clear" w:pos="8640"/>
            </w:tabs>
            <w:spacing w:before="60" w:after="60"/>
            <w:rPr>
              <w:b/>
            </w:rPr>
          </w:pPr>
          <w:r>
            <w:rPr>
              <w:b/>
            </w:rPr>
            <w:t>Indoor Air Results</w:t>
          </w:r>
        </w:p>
      </w:tc>
    </w:tr>
    <w:tr w:rsidR="00585211" w:rsidTr="00585211">
      <w:trPr>
        <w:cantSplit/>
      </w:trPr>
      <w:tc>
        <w:tcPr>
          <w:tcW w:w="6228" w:type="dxa"/>
        </w:tcPr>
        <w:p w:rsidR="00585211" w:rsidRDefault="00585211" w:rsidP="00585211">
          <w:pPr>
            <w:pStyle w:val="Header"/>
            <w:spacing w:before="60" w:after="60"/>
            <w:rPr>
              <w:b/>
            </w:rPr>
          </w:pPr>
          <w:r w:rsidRPr="006C52FF">
            <w:rPr>
              <w:b/>
            </w:rPr>
            <w:t>Address: 140 High Street, 5th floor, Springfield, MA</w:t>
          </w:r>
        </w:p>
      </w:tc>
      <w:tc>
        <w:tcPr>
          <w:tcW w:w="3516" w:type="dxa"/>
        </w:tcPr>
        <w:p w:rsidR="00585211" w:rsidRDefault="00585211" w:rsidP="00585211">
          <w:pPr>
            <w:pStyle w:val="Header"/>
            <w:tabs>
              <w:tab w:val="clear" w:pos="4320"/>
              <w:tab w:val="clear" w:pos="8640"/>
            </w:tabs>
            <w:spacing w:before="60" w:after="60"/>
            <w:jc w:val="center"/>
            <w:rPr>
              <w:b/>
              <w:sz w:val="28"/>
            </w:rPr>
          </w:pPr>
          <w:r>
            <w:rPr>
              <w:b/>
              <w:sz w:val="28"/>
            </w:rPr>
            <w:t>Table 1 (continued)</w:t>
          </w:r>
        </w:p>
      </w:tc>
      <w:tc>
        <w:tcPr>
          <w:tcW w:w="2514" w:type="dxa"/>
        </w:tcPr>
        <w:p w:rsidR="00585211" w:rsidRDefault="00585211" w:rsidP="00585211">
          <w:pPr>
            <w:pStyle w:val="Header"/>
            <w:tabs>
              <w:tab w:val="clear" w:pos="4320"/>
              <w:tab w:val="clear" w:pos="8640"/>
            </w:tabs>
            <w:spacing w:before="60" w:after="60"/>
            <w:rPr>
              <w:b/>
            </w:rPr>
          </w:pPr>
        </w:p>
      </w:tc>
      <w:tc>
        <w:tcPr>
          <w:tcW w:w="2358" w:type="dxa"/>
        </w:tcPr>
        <w:p w:rsidR="00585211" w:rsidRDefault="00585211" w:rsidP="00585211">
          <w:pPr>
            <w:pStyle w:val="Header"/>
            <w:tabs>
              <w:tab w:val="clear" w:pos="4320"/>
              <w:tab w:val="clear" w:pos="8640"/>
            </w:tabs>
            <w:spacing w:before="60" w:after="60"/>
            <w:rPr>
              <w:b/>
            </w:rPr>
          </w:pPr>
          <w:r w:rsidRPr="00677AC6">
            <w:rPr>
              <w:b/>
            </w:rPr>
            <w:t>Date:</w:t>
          </w:r>
          <w:r>
            <w:rPr>
              <w:b/>
            </w:rPr>
            <w:t xml:space="preserve"> 4/26/2019</w:t>
          </w:r>
        </w:p>
      </w:tc>
    </w:tr>
  </w:tbl>
  <w:p w:rsidR="00585211" w:rsidRPr="00FB37EB" w:rsidRDefault="00585211" w:rsidP="00585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0"/>
      <w:gridCol w:w="3465"/>
      <w:gridCol w:w="2470"/>
      <w:gridCol w:w="2335"/>
    </w:tblGrid>
    <w:tr w:rsidR="00585211" w:rsidTr="00585211">
      <w:trPr>
        <w:cantSplit/>
      </w:trPr>
      <w:tc>
        <w:tcPr>
          <w:tcW w:w="12258" w:type="dxa"/>
          <w:gridSpan w:val="3"/>
        </w:tcPr>
        <w:p w:rsidR="00585211" w:rsidRPr="00677AC6" w:rsidRDefault="00585211" w:rsidP="00585211">
          <w:pPr>
            <w:pStyle w:val="Header"/>
            <w:spacing w:before="60" w:after="60"/>
            <w:rPr>
              <w:b/>
            </w:rPr>
          </w:pPr>
          <w:r>
            <w:rPr>
              <w:b/>
            </w:rPr>
            <w:t>Location: Massachusetts Gaming Commission</w:t>
          </w:r>
        </w:p>
      </w:tc>
      <w:tc>
        <w:tcPr>
          <w:tcW w:w="2358" w:type="dxa"/>
        </w:tcPr>
        <w:p w:rsidR="00585211" w:rsidRDefault="00585211" w:rsidP="00585211">
          <w:pPr>
            <w:pStyle w:val="Header"/>
            <w:tabs>
              <w:tab w:val="clear" w:pos="4320"/>
              <w:tab w:val="clear" w:pos="8640"/>
            </w:tabs>
            <w:spacing w:before="60" w:after="60"/>
            <w:rPr>
              <w:b/>
            </w:rPr>
          </w:pPr>
          <w:r>
            <w:rPr>
              <w:b/>
            </w:rPr>
            <w:t>Indoor Air Results</w:t>
          </w:r>
        </w:p>
      </w:tc>
    </w:tr>
    <w:tr w:rsidR="00585211" w:rsidTr="00585211">
      <w:trPr>
        <w:cantSplit/>
      </w:trPr>
      <w:tc>
        <w:tcPr>
          <w:tcW w:w="6228" w:type="dxa"/>
        </w:tcPr>
        <w:p w:rsidR="00585211" w:rsidRDefault="00585211" w:rsidP="00585211">
          <w:pPr>
            <w:pStyle w:val="Header"/>
            <w:spacing w:before="60" w:after="60"/>
            <w:rPr>
              <w:b/>
            </w:rPr>
          </w:pPr>
          <w:r w:rsidRPr="006C52FF">
            <w:rPr>
              <w:b/>
            </w:rPr>
            <w:t>Address: 1</w:t>
          </w:r>
          <w:r>
            <w:rPr>
              <w:b/>
            </w:rPr>
            <w:t>01 Federal Street, 12</w:t>
          </w:r>
          <w:r w:rsidRPr="00B86724">
            <w:rPr>
              <w:b/>
              <w:vertAlign w:val="superscript"/>
            </w:rPr>
            <w:t>th</w:t>
          </w:r>
          <w:r>
            <w:rPr>
              <w:b/>
            </w:rPr>
            <w:t xml:space="preserve"> floor, Boston</w:t>
          </w:r>
        </w:p>
      </w:tc>
      <w:tc>
        <w:tcPr>
          <w:tcW w:w="3516" w:type="dxa"/>
        </w:tcPr>
        <w:p w:rsidR="00585211" w:rsidRDefault="00585211" w:rsidP="00585211">
          <w:pPr>
            <w:pStyle w:val="Header"/>
            <w:tabs>
              <w:tab w:val="clear" w:pos="4320"/>
              <w:tab w:val="clear" w:pos="8640"/>
            </w:tabs>
            <w:spacing w:before="60" w:after="60"/>
            <w:jc w:val="center"/>
            <w:rPr>
              <w:b/>
              <w:sz w:val="28"/>
            </w:rPr>
          </w:pPr>
          <w:r>
            <w:rPr>
              <w:b/>
              <w:sz w:val="28"/>
            </w:rPr>
            <w:t>Table 1</w:t>
          </w:r>
        </w:p>
      </w:tc>
      <w:tc>
        <w:tcPr>
          <w:tcW w:w="2514" w:type="dxa"/>
        </w:tcPr>
        <w:p w:rsidR="00585211" w:rsidRDefault="00585211" w:rsidP="00585211">
          <w:pPr>
            <w:pStyle w:val="Header"/>
            <w:tabs>
              <w:tab w:val="clear" w:pos="4320"/>
              <w:tab w:val="clear" w:pos="8640"/>
            </w:tabs>
            <w:spacing w:before="60" w:after="60"/>
            <w:rPr>
              <w:b/>
            </w:rPr>
          </w:pPr>
        </w:p>
      </w:tc>
      <w:tc>
        <w:tcPr>
          <w:tcW w:w="2358" w:type="dxa"/>
        </w:tcPr>
        <w:p w:rsidR="00585211" w:rsidRDefault="00585211" w:rsidP="00585211">
          <w:pPr>
            <w:pStyle w:val="Header"/>
            <w:tabs>
              <w:tab w:val="clear" w:pos="4320"/>
              <w:tab w:val="clear" w:pos="8640"/>
            </w:tabs>
            <w:spacing w:before="60" w:after="60"/>
            <w:rPr>
              <w:b/>
            </w:rPr>
          </w:pPr>
          <w:r w:rsidRPr="00677AC6">
            <w:rPr>
              <w:b/>
            </w:rPr>
            <w:t>Date:</w:t>
          </w:r>
          <w:r>
            <w:rPr>
              <w:b/>
            </w:rPr>
            <w:t xml:space="preserve"> 7/24/2019</w:t>
          </w:r>
        </w:p>
      </w:tc>
    </w:tr>
  </w:tbl>
  <w:p w:rsidR="00585211" w:rsidRDefault="00585211" w:rsidP="00585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3D77E40"/>
    <w:multiLevelType w:val="hybridMultilevel"/>
    <w:tmpl w:val="80C20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AA5F72"/>
    <w:multiLevelType w:val="hybridMultilevel"/>
    <w:tmpl w:val="CD6A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600B"/>
    <w:multiLevelType w:val="multilevel"/>
    <w:tmpl w:val="1762915E"/>
    <w:numStyleLink w:val="StyleBulletedSymbolsymbolBoldLeft0Hanging0251"/>
  </w:abstractNum>
  <w:abstractNum w:abstractNumId="7" w15:restartNumberingAfterBreak="0">
    <w:nsid w:val="1C21507C"/>
    <w:multiLevelType w:val="hybridMultilevel"/>
    <w:tmpl w:val="700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329A2"/>
    <w:multiLevelType w:val="multilevel"/>
    <w:tmpl w:val="1762915E"/>
    <w:numStyleLink w:val="StyleBulletedSymbolsymbolBoldLeft0Hanging0251"/>
  </w:abstractNum>
  <w:abstractNum w:abstractNumId="9"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72B522E"/>
    <w:multiLevelType w:val="hybridMultilevel"/>
    <w:tmpl w:val="EEC0CE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AD30EED"/>
    <w:multiLevelType w:val="multilevel"/>
    <w:tmpl w:val="1762915E"/>
    <w:numStyleLink w:val="StyleBulletedSymbolsymbolBoldLeft0Hanging0251"/>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1273A90"/>
    <w:multiLevelType w:val="hybridMultilevel"/>
    <w:tmpl w:val="C3145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E67BEC"/>
    <w:multiLevelType w:val="multilevel"/>
    <w:tmpl w:val="71C4E34C"/>
    <w:numStyleLink w:val="StyleNumberedLeft0Hanging025"/>
  </w:abstractNum>
  <w:abstractNum w:abstractNumId="23"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B7174"/>
    <w:multiLevelType w:val="hybridMultilevel"/>
    <w:tmpl w:val="36BE9CA0"/>
    <w:lvl w:ilvl="0" w:tplc="0409000F">
      <w:start w:val="1"/>
      <w:numFmt w:val="decimal"/>
      <w:lvlText w:val="%1."/>
      <w:lvlJc w:val="left"/>
      <w:pPr>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FC6D8A"/>
    <w:multiLevelType w:val="multilevel"/>
    <w:tmpl w:val="1762915E"/>
    <w:numStyleLink w:val="StyleBulletedSymbolsymbolBoldLeft0Hanging0251"/>
  </w:abstractNum>
  <w:abstractNum w:abstractNumId="31"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6E742B2"/>
    <w:multiLevelType w:val="hybridMultilevel"/>
    <w:tmpl w:val="EBE6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0"/>
  </w:num>
  <w:num w:numId="3">
    <w:abstractNumId w:val="15"/>
  </w:num>
  <w:num w:numId="4">
    <w:abstractNumId w:val="17"/>
  </w:num>
  <w:num w:numId="5">
    <w:abstractNumId w:val="18"/>
  </w:num>
  <w:num w:numId="6">
    <w:abstractNumId w:val="32"/>
  </w:num>
  <w:num w:numId="7">
    <w:abstractNumId w:val="31"/>
  </w:num>
  <w:num w:numId="8">
    <w:abstractNumId w:val="10"/>
  </w:num>
  <w:num w:numId="9">
    <w:abstractNumId w:val="2"/>
  </w:num>
  <w:num w:numId="10">
    <w:abstractNumId w:val="11"/>
  </w:num>
  <w:num w:numId="11">
    <w:abstractNumId w:val="23"/>
  </w:num>
  <w:num w:numId="12">
    <w:abstractNumId w:val="9"/>
  </w:num>
  <w:num w:numId="13">
    <w:abstractNumId w:val="26"/>
  </w:num>
  <w:num w:numId="14">
    <w:abstractNumId w:val="21"/>
  </w:num>
  <w:num w:numId="15">
    <w:abstractNumId w:val="8"/>
  </w:num>
  <w:num w:numId="16">
    <w:abstractNumId w:val="19"/>
  </w:num>
  <w:num w:numId="17">
    <w:abstractNumId w:val="6"/>
  </w:num>
  <w:num w:numId="18">
    <w:abstractNumId w:val="13"/>
  </w:num>
  <w:num w:numId="19">
    <w:abstractNumId w:val="30"/>
  </w:num>
  <w:num w:numId="20">
    <w:abstractNumId w:val="29"/>
  </w:num>
  <w:num w:numId="21">
    <w:abstractNumId w:val="34"/>
  </w:num>
  <w:num w:numId="22">
    <w:abstractNumId w:val="22"/>
  </w:num>
  <w:num w:numId="23">
    <w:abstractNumId w:val="25"/>
  </w:num>
  <w:num w:numId="24">
    <w:abstractNumId w:val="5"/>
  </w:num>
  <w:num w:numId="25">
    <w:abstractNumId w:val="27"/>
  </w:num>
  <w:num w:numId="26">
    <w:abstractNumId w:val="14"/>
  </w:num>
  <w:num w:numId="27">
    <w:abstractNumId w:val="28"/>
  </w:num>
  <w:num w:numId="28">
    <w:abstractNumId w:val="24"/>
  </w:num>
  <w:num w:numId="29">
    <w:abstractNumId w:val="7"/>
  </w:num>
  <w:num w:numId="30">
    <w:abstractNumId w:val="33"/>
  </w:num>
  <w:num w:numId="31">
    <w:abstractNumId w:val="12"/>
  </w:num>
  <w:num w:numId="32">
    <w:abstractNumId w:val="1"/>
  </w:num>
  <w:num w:numId="33">
    <w:abstractNumId w:val="3"/>
  </w:num>
  <w:num w:numId="34">
    <w:abstractNumId w:val="4"/>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17A75"/>
    <w:rsid w:val="00020432"/>
    <w:rsid w:val="00020771"/>
    <w:rsid w:val="0002162C"/>
    <w:rsid w:val="00021A0F"/>
    <w:rsid w:val="00022134"/>
    <w:rsid w:val="00022AA8"/>
    <w:rsid w:val="0002362C"/>
    <w:rsid w:val="00023943"/>
    <w:rsid w:val="000246BF"/>
    <w:rsid w:val="00024D15"/>
    <w:rsid w:val="000258C5"/>
    <w:rsid w:val="00025B08"/>
    <w:rsid w:val="00025B71"/>
    <w:rsid w:val="00027FA9"/>
    <w:rsid w:val="000307F4"/>
    <w:rsid w:val="00032C01"/>
    <w:rsid w:val="00033BBE"/>
    <w:rsid w:val="00034C32"/>
    <w:rsid w:val="00034E7F"/>
    <w:rsid w:val="000350D8"/>
    <w:rsid w:val="000359F8"/>
    <w:rsid w:val="0003626A"/>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6A6"/>
    <w:rsid w:val="00050A04"/>
    <w:rsid w:val="00051245"/>
    <w:rsid w:val="00051D6A"/>
    <w:rsid w:val="00053BF7"/>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7B7"/>
    <w:rsid w:val="00070900"/>
    <w:rsid w:val="00071FD1"/>
    <w:rsid w:val="000723F3"/>
    <w:rsid w:val="00073BC9"/>
    <w:rsid w:val="00073FF3"/>
    <w:rsid w:val="000747FD"/>
    <w:rsid w:val="00074CF6"/>
    <w:rsid w:val="00074DFE"/>
    <w:rsid w:val="000754DA"/>
    <w:rsid w:val="000755A9"/>
    <w:rsid w:val="0007568F"/>
    <w:rsid w:val="00075945"/>
    <w:rsid w:val="00076A4B"/>
    <w:rsid w:val="00076CDF"/>
    <w:rsid w:val="000770C5"/>
    <w:rsid w:val="000771D8"/>
    <w:rsid w:val="00081794"/>
    <w:rsid w:val="00081B88"/>
    <w:rsid w:val="000822D5"/>
    <w:rsid w:val="000824E4"/>
    <w:rsid w:val="0008264F"/>
    <w:rsid w:val="000835D9"/>
    <w:rsid w:val="00084CDC"/>
    <w:rsid w:val="00084F8C"/>
    <w:rsid w:val="000858A8"/>
    <w:rsid w:val="0008592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267C"/>
    <w:rsid w:val="000D35ED"/>
    <w:rsid w:val="000D3F92"/>
    <w:rsid w:val="000D423F"/>
    <w:rsid w:val="000D5513"/>
    <w:rsid w:val="000D6993"/>
    <w:rsid w:val="000D6D88"/>
    <w:rsid w:val="000D6E60"/>
    <w:rsid w:val="000D7274"/>
    <w:rsid w:val="000D77C0"/>
    <w:rsid w:val="000D7D6F"/>
    <w:rsid w:val="000E3262"/>
    <w:rsid w:val="000E3EA9"/>
    <w:rsid w:val="000E5A97"/>
    <w:rsid w:val="000E64AB"/>
    <w:rsid w:val="000F005B"/>
    <w:rsid w:val="000F042F"/>
    <w:rsid w:val="000F07EE"/>
    <w:rsid w:val="000F247D"/>
    <w:rsid w:val="000F2B46"/>
    <w:rsid w:val="000F2DD2"/>
    <w:rsid w:val="000F4FE6"/>
    <w:rsid w:val="000F5F97"/>
    <w:rsid w:val="000F694B"/>
    <w:rsid w:val="000F7B59"/>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1769F"/>
    <w:rsid w:val="001208DE"/>
    <w:rsid w:val="0012097F"/>
    <w:rsid w:val="00120991"/>
    <w:rsid w:val="00121426"/>
    <w:rsid w:val="001216C4"/>
    <w:rsid w:val="001219A9"/>
    <w:rsid w:val="00121A72"/>
    <w:rsid w:val="001220AE"/>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1F5C"/>
    <w:rsid w:val="00132BC1"/>
    <w:rsid w:val="00132EF8"/>
    <w:rsid w:val="00132F44"/>
    <w:rsid w:val="001341F9"/>
    <w:rsid w:val="00134FDB"/>
    <w:rsid w:val="001355AE"/>
    <w:rsid w:val="00135B50"/>
    <w:rsid w:val="00136653"/>
    <w:rsid w:val="00137F73"/>
    <w:rsid w:val="00140CFF"/>
    <w:rsid w:val="00141FBD"/>
    <w:rsid w:val="00143327"/>
    <w:rsid w:val="00143334"/>
    <w:rsid w:val="001442D6"/>
    <w:rsid w:val="0014514E"/>
    <w:rsid w:val="001466B0"/>
    <w:rsid w:val="00146E57"/>
    <w:rsid w:val="00146EE0"/>
    <w:rsid w:val="0014793F"/>
    <w:rsid w:val="00147DC7"/>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3ED2"/>
    <w:rsid w:val="001844EF"/>
    <w:rsid w:val="001848D9"/>
    <w:rsid w:val="00184974"/>
    <w:rsid w:val="001855D7"/>
    <w:rsid w:val="00186540"/>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24A"/>
    <w:rsid w:val="00197A4E"/>
    <w:rsid w:val="00197CCC"/>
    <w:rsid w:val="00197DED"/>
    <w:rsid w:val="001A0088"/>
    <w:rsid w:val="001A13E3"/>
    <w:rsid w:val="001A21AD"/>
    <w:rsid w:val="001A291A"/>
    <w:rsid w:val="001A2D49"/>
    <w:rsid w:val="001A3656"/>
    <w:rsid w:val="001A3882"/>
    <w:rsid w:val="001A4A0C"/>
    <w:rsid w:val="001A4B16"/>
    <w:rsid w:val="001A4CCA"/>
    <w:rsid w:val="001A6E3E"/>
    <w:rsid w:val="001A6F32"/>
    <w:rsid w:val="001A7969"/>
    <w:rsid w:val="001A7ACE"/>
    <w:rsid w:val="001B0089"/>
    <w:rsid w:val="001B1660"/>
    <w:rsid w:val="001B28EA"/>
    <w:rsid w:val="001B4988"/>
    <w:rsid w:val="001B535E"/>
    <w:rsid w:val="001B64D5"/>
    <w:rsid w:val="001B7980"/>
    <w:rsid w:val="001B7C7D"/>
    <w:rsid w:val="001C07FF"/>
    <w:rsid w:val="001C0838"/>
    <w:rsid w:val="001C0E1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B08"/>
    <w:rsid w:val="001D6E71"/>
    <w:rsid w:val="001D6F66"/>
    <w:rsid w:val="001D772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38B2"/>
    <w:rsid w:val="0024497D"/>
    <w:rsid w:val="00244B7E"/>
    <w:rsid w:val="00244FA3"/>
    <w:rsid w:val="002456CA"/>
    <w:rsid w:val="00245C46"/>
    <w:rsid w:val="00245EC2"/>
    <w:rsid w:val="00246147"/>
    <w:rsid w:val="0024763B"/>
    <w:rsid w:val="00247F97"/>
    <w:rsid w:val="00251B76"/>
    <w:rsid w:val="0025271C"/>
    <w:rsid w:val="0025288A"/>
    <w:rsid w:val="00253B50"/>
    <w:rsid w:val="00253F0C"/>
    <w:rsid w:val="0025583E"/>
    <w:rsid w:val="00255988"/>
    <w:rsid w:val="002563BC"/>
    <w:rsid w:val="00257350"/>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607"/>
    <w:rsid w:val="00272C40"/>
    <w:rsid w:val="002738A4"/>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061D"/>
    <w:rsid w:val="00291819"/>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8AD"/>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63A8"/>
    <w:rsid w:val="002B7F3F"/>
    <w:rsid w:val="002C3B44"/>
    <w:rsid w:val="002C4353"/>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32D"/>
    <w:rsid w:val="002E378D"/>
    <w:rsid w:val="002E3BBA"/>
    <w:rsid w:val="002E418D"/>
    <w:rsid w:val="002E45D9"/>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6278"/>
    <w:rsid w:val="003274E6"/>
    <w:rsid w:val="003279F9"/>
    <w:rsid w:val="00330468"/>
    <w:rsid w:val="0033092B"/>
    <w:rsid w:val="00330F06"/>
    <w:rsid w:val="00330F29"/>
    <w:rsid w:val="003341D9"/>
    <w:rsid w:val="003343D6"/>
    <w:rsid w:val="003351C0"/>
    <w:rsid w:val="00335919"/>
    <w:rsid w:val="00336208"/>
    <w:rsid w:val="00336A6A"/>
    <w:rsid w:val="003375EE"/>
    <w:rsid w:val="003378F3"/>
    <w:rsid w:val="00337A18"/>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571"/>
    <w:rsid w:val="003507C7"/>
    <w:rsid w:val="00351496"/>
    <w:rsid w:val="003518E7"/>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22B5"/>
    <w:rsid w:val="0036510F"/>
    <w:rsid w:val="00365C53"/>
    <w:rsid w:val="003671C5"/>
    <w:rsid w:val="00367B9E"/>
    <w:rsid w:val="00370275"/>
    <w:rsid w:val="00370784"/>
    <w:rsid w:val="00371434"/>
    <w:rsid w:val="003717E5"/>
    <w:rsid w:val="00372350"/>
    <w:rsid w:val="00373943"/>
    <w:rsid w:val="00373B4E"/>
    <w:rsid w:val="0037436F"/>
    <w:rsid w:val="003754B2"/>
    <w:rsid w:val="0037757C"/>
    <w:rsid w:val="00377EE9"/>
    <w:rsid w:val="003820B3"/>
    <w:rsid w:val="00382A79"/>
    <w:rsid w:val="00382BFA"/>
    <w:rsid w:val="00382C3D"/>
    <w:rsid w:val="003835AD"/>
    <w:rsid w:val="00383BB7"/>
    <w:rsid w:val="003856FF"/>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3AE0"/>
    <w:rsid w:val="003B4C3C"/>
    <w:rsid w:val="003B4CAE"/>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ABF"/>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466"/>
    <w:rsid w:val="00412AE3"/>
    <w:rsid w:val="00412B14"/>
    <w:rsid w:val="00412FF2"/>
    <w:rsid w:val="00414AD3"/>
    <w:rsid w:val="00415383"/>
    <w:rsid w:val="004155F6"/>
    <w:rsid w:val="004160E5"/>
    <w:rsid w:val="00416293"/>
    <w:rsid w:val="004168D8"/>
    <w:rsid w:val="00416DB2"/>
    <w:rsid w:val="00417496"/>
    <w:rsid w:val="00417FC1"/>
    <w:rsid w:val="004206B7"/>
    <w:rsid w:val="00420721"/>
    <w:rsid w:val="00420CE0"/>
    <w:rsid w:val="00420D1A"/>
    <w:rsid w:val="0042199C"/>
    <w:rsid w:val="00421CB4"/>
    <w:rsid w:val="0042251C"/>
    <w:rsid w:val="00423B8F"/>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6E4C"/>
    <w:rsid w:val="00437F04"/>
    <w:rsid w:val="00440644"/>
    <w:rsid w:val="004409C4"/>
    <w:rsid w:val="004411D8"/>
    <w:rsid w:val="00441201"/>
    <w:rsid w:val="00441790"/>
    <w:rsid w:val="004424F9"/>
    <w:rsid w:val="0044477F"/>
    <w:rsid w:val="00445006"/>
    <w:rsid w:val="0044643A"/>
    <w:rsid w:val="004510D8"/>
    <w:rsid w:val="00453B51"/>
    <w:rsid w:val="0045416E"/>
    <w:rsid w:val="004543CC"/>
    <w:rsid w:val="004545E3"/>
    <w:rsid w:val="00454B4A"/>
    <w:rsid w:val="00454D42"/>
    <w:rsid w:val="00455543"/>
    <w:rsid w:val="00456C2C"/>
    <w:rsid w:val="004576F9"/>
    <w:rsid w:val="004578E9"/>
    <w:rsid w:val="004610F9"/>
    <w:rsid w:val="004611AE"/>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59AD"/>
    <w:rsid w:val="004862E3"/>
    <w:rsid w:val="00486557"/>
    <w:rsid w:val="0049028D"/>
    <w:rsid w:val="00491149"/>
    <w:rsid w:val="00491DC6"/>
    <w:rsid w:val="00492676"/>
    <w:rsid w:val="004934A8"/>
    <w:rsid w:val="0049417E"/>
    <w:rsid w:val="004964D7"/>
    <w:rsid w:val="004A085A"/>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977"/>
    <w:rsid w:val="004B5AEC"/>
    <w:rsid w:val="004B62FC"/>
    <w:rsid w:val="004B6DBA"/>
    <w:rsid w:val="004B6E80"/>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30C"/>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4B5"/>
    <w:rsid w:val="004E5910"/>
    <w:rsid w:val="004E6D12"/>
    <w:rsid w:val="004E6E17"/>
    <w:rsid w:val="004F0B28"/>
    <w:rsid w:val="004F2827"/>
    <w:rsid w:val="004F3E9F"/>
    <w:rsid w:val="004F4CDE"/>
    <w:rsid w:val="004F67B2"/>
    <w:rsid w:val="004F72C4"/>
    <w:rsid w:val="004F7390"/>
    <w:rsid w:val="004F786B"/>
    <w:rsid w:val="00500EEB"/>
    <w:rsid w:val="00501086"/>
    <w:rsid w:val="00502819"/>
    <w:rsid w:val="0050417C"/>
    <w:rsid w:val="00504AD7"/>
    <w:rsid w:val="0050537D"/>
    <w:rsid w:val="00510448"/>
    <w:rsid w:val="00510BAB"/>
    <w:rsid w:val="00510F5C"/>
    <w:rsid w:val="00511466"/>
    <w:rsid w:val="0051146E"/>
    <w:rsid w:val="00511DA7"/>
    <w:rsid w:val="00511E11"/>
    <w:rsid w:val="00511E2A"/>
    <w:rsid w:val="00512131"/>
    <w:rsid w:val="005127CC"/>
    <w:rsid w:val="005133BC"/>
    <w:rsid w:val="005139EA"/>
    <w:rsid w:val="0051411F"/>
    <w:rsid w:val="00514539"/>
    <w:rsid w:val="00514CF7"/>
    <w:rsid w:val="00514DA5"/>
    <w:rsid w:val="0051531C"/>
    <w:rsid w:val="00515C4A"/>
    <w:rsid w:val="00516F75"/>
    <w:rsid w:val="0051773D"/>
    <w:rsid w:val="00520166"/>
    <w:rsid w:val="0052037F"/>
    <w:rsid w:val="00521831"/>
    <w:rsid w:val="00521E5B"/>
    <w:rsid w:val="005223F5"/>
    <w:rsid w:val="00523553"/>
    <w:rsid w:val="0052514D"/>
    <w:rsid w:val="005251C8"/>
    <w:rsid w:val="00526EA9"/>
    <w:rsid w:val="00527EE3"/>
    <w:rsid w:val="00531136"/>
    <w:rsid w:val="005312F5"/>
    <w:rsid w:val="00531E02"/>
    <w:rsid w:val="00532279"/>
    <w:rsid w:val="00532FA2"/>
    <w:rsid w:val="005333E0"/>
    <w:rsid w:val="005335FD"/>
    <w:rsid w:val="005338A3"/>
    <w:rsid w:val="00533D9F"/>
    <w:rsid w:val="00534E93"/>
    <w:rsid w:val="00536481"/>
    <w:rsid w:val="005405FD"/>
    <w:rsid w:val="005407B3"/>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1D3"/>
    <w:rsid w:val="005724EB"/>
    <w:rsid w:val="005730B6"/>
    <w:rsid w:val="005736A2"/>
    <w:rsid w:val="00582C5A"/>
    <w:rsid w:val="00583227"/>
    <w:rsid w:val="005835A3"/>
    <w:rsid w:val="0058447C"/>
    <w:rsid w:val="00584656"/>
    <w:rsid w:val="00585211"/>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2CEA"/>
    <w:rsid w:val="005935A5"/>
    <w:rsid w:val="00593C22"/>
    <w:rsid w:val="00593C70"/>
    <w:rsid w:val="005942C5"/>
    <w:rsid w:val="005958EC"/>
    <w:rsid w:val="0059606F"/>
    <w:rsid w:val="0059648C"/>
    <w:rsid w:val="0059686C"/>
    <w:rsid w:val="00596C19"/>
    <w:rsid w:val="00596DCA"/>
    <w:rsid w:val="00597D61"/>
    <w:rsid w:val="005A053D"/>
    <w:rsid w:val="005A05AE"/>
    <w:rsid w:val="005A093F"/>
    <w:rsid w:val="005A3396"/>
    <w:rsid w:val="005A376F"/>
    <w:rsid w:val="005A5371"/>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1DA9"/>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03"/>
    <w:rsid w:val="005D3FFD"/>
    <w:rsid w:val="005D40A4"/>
    <w:rsid w:val="005D43DF"/>
    <w:rsid w:val="005D56EC"/>
    <w:rsid w:val="005D5715"/>
    <w:rsid w:val="005D5966"/>
    <w:rsid w:val="005D5F26"/>
    <w:rsid w:val="005D747F"/>
    <w:rsid w:val="005D770E"/>
    <w:rsid w:val="005D7919"/>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33FD"/>
    <w:rsid w:val="0060425F"/>
    <w:rsid w:val="0060439A"/>
    <w:rsid w:val="00605F18"/>
    <w:rsid w:val="006063F2"/>
    <w:rsid w:val="00606D1D"/>
    <w:rsid w:val="00607980"/>
    <w:rsid w:val="00607B34"/>
    <w:rsid w:val="00610F72"/>
    <w:rsid w:val="006120FB"/>
    <w:rsid w:val="006124F8"/>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304F6"/>
    <w:rsid w:val="0063061F"/>
    <w:rsid w:val="00630BCD"/>
    <w:rsid w:val="00630D2F"/>
    <w:rsid w:val="006329B8"/>
    <w:rsid w:val="00633747"/>
    <w:rsid w:val="00634327"/>
    <w:rsid w:val="00634E61"/>
    <w:rsid w:val="006352A5"/>
    <w:rsid w:val="00635311"/>
    <w:rsid w:val="00635742"/>
    <w:rsid w:val="006362ED"/>
    <w:rsid w:val="00637DD0"/>
    <w:rsid w:val="00640074"/>
    <w:rsid w:val="00640206"/>
    <w:rsid w:val="006405B9"/>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0D57"/>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1CD"/>
    <w:rsid w:val="0067766C"/>
    <w:rsid w:val="00677F31"/>
    <w:rsid w:val="00680180"/>
    <w:rsid w:val="00682779"/>
    <w:rsid w:val="00682E02"/>
    <w:rsid w:val="00682FC7"/>
    <w:rsid w:val="0068427D"/>
    <w:rsid w:val="00684E5D"/>
    <w:rsid w:val="0068520B"/>
    <w:rsid w:val="006859E5"/>
    <w:rsid w:val="006873A1"/>
    <w:rsid w:val="00687A3E"/>
    <w:rsid w:val="00687F30"/>
    <w:rsid w:val="00690032"/>
    <w:rsid w:val="006905B5"/>
    <w:rsid w:val="006908CA"/>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6E8D"/>
    <w:rsid w:val="0069711B"/>
    <w:rsid w:val="00697417"/>
    <w:rsid w:val="006976C4"/>
    <w:rsid w:val="006A2B37"/>
    <w:rsid w:val="006A3281"/>
    <w:rsid w:val="006A45C5"/>
    <w:rsid w:val="006A4C27"/>
    <w:rsid w:val="006A5A4A"/>
    <w:rsid w:val="006A7C9F"/>
    <w:rsid w:val="006B0B31"/>
    <w:rsid w:val="006B1F55"/>
    <w:rsid w:val="006B3423"/>
    <w:rsid w:val="006B4831"/>
    <w:rsid w:val="006B55F3"/>
    <w:rsid w:val="006B5D6C"/>
    <w:rsid w:val="006B6B4F"/>
    <w:rsid w:val="006B6FE8"/>
    <w:rsid w:val="006B7347"/>
    <w:rsid w:val="006B73BF"/>
    <w:rsid w:val="006B7913"/>
    <w:rsid w:val="006C0C2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9DF"/>
    <w:rsid w:val="00701DCD"/>
    <w:rsid w:val="00702971"/>
    <w:rsid w:val="00702F60"/>
    <w:rsid w:val="00703249"/>
    <w:rsid w:val="00703A75"/>
    <w:rsid w:val="007040C2"/>
    <w:rsid w:val="007046AA"/>
    <w:rsid w:val="007048D1"/>
    <w:rsid w:val="00704AD7"/>
    <w:rsid w:val="0070714C"/>
    <w:rsid w:val="00710182"/>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AF3"/>
    <w:rsid w:val="00747D2C"/>
    <w:rsid w:val="00750545"/>
    <w:rsid w:val="00750BD2"/>
    <w:rsid w:val="0075126F"/>
    <w:rsid w:val="00751572"/>
    <w:rsid w:val="007515A3"/>
    <w:rsid w:val="0075353C"/>
    <w:rsid w:val="00753693"/>
    <w:rsid w:val="0075388D"/>
    <w:rsid w:val="007548B2"/>
    <w:rsid w:val="00755AD1"/>
    <w:rsid w:val="0075685C"/>
    <w:rsid w:val="00757A0B"/>
    <w:rsid w:val="00757D0A"/>
    <w:rsid w:val="0076164D"/>
    <w:rsid w:val="00763F34"/>
    <w:rsid w:val="007659D3"/>
    <w:rsid w:val="00765A98"/>
    <w:rsid w:val="00766B6A"/>
    <w:rsid w:val="00766C9B"/>
    <w:rsid w:val="00766E6E"/>
    <w:rsid w:val="00766EE5"/>
    <w:rsid w:val="007722D0"/>
    <w:rsid w:val="007740F2"/>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151A"/>
    <w:rsid w:val="007929C0"/>
    <w:rsid w:val="00792D77"/>
    <w:rsid w:val="007945CC"/>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394"/>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1CD"/>
    <w:rsid w:val="007D0632"/>
    <w:rsid w:val="007D0659"/>
    <w:rsid w:val="007D0CA9"/>
    <w:rsid w:val="007D2370"/>
    <w:rsid w:val="007D24F4"/>
    <w:rsid w:val="007D26CD"/>
    <w:rsid w:val="007D2865"/>
    <w:rsid w:val="007D2C35"/>
    <w:rsid w:val="007D2CC8"/>
    <w:rsid w:val="007D30D1"/>
    <w:rsid w:val="007D3E11"/>
    <w:rsid w:val="007D5924"/>
    <w:rsid w:val="007D5D3A"/>
    <w:rsid w:val="007D5DB9"/>
    <w:rsid w:val="007D62F3"/>
    <w:rsid w:val="007D7648"/>
    <w:rsid w:val="007D7E4C"/>
    <w:rsid w:val="007E07BA"/>
    <w:rsid w:val="007E1385"/>
    <w:rsid w:val="007E13F8"/>
    <w:rsid w:val="007E2484"/>
    <w:rsid w:val="007E24D2"/>
    <w:rsid w:val="007E34FC"/>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3BA2"/>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B06"/>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00D"/>
    <w:rsid w:val="0082247C"/>
    <w:rsid w:val="00822A88"/>
    <w:rsid w:val="00822BDB"/>
    <w:rsid w:val="00823653"/>
    <w:rsid w:val="00823B4D"/>
    <w:rsid w:val="008248B1"/>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691F"/>
    <w:rsid w:val="008672A5"/>
    <w:rsid w:val="008672D6"/>
    <w:rsid w:val="0086784D"/>
    <w:rsid w:val="00870582"/>
    <w:rsid w:val="008719E4"/>
    <w:rsid w:val="00872598"/>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45D2"/>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164C"/>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A7FAC"/>
    <w:rsid w:val="008B0058"/>
    <w:rsid w:val="008B0092"/>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54FD"/>
    <w:rsid w:val="008D60D1"/>
    <w:rsid w:val="008D6221"/>
    <w:rsid w:val="008E0D2C"/>
    <w:rsid w:val="008E1DC4"/>
    <w:rsid w:val="008E1E90"/>
    <w:rsid w:val="008E227A"/>
    <w:rsid w:val="008E25DB"/>
    <w:rsid w:val="008E2AAA"/>
    <w:rsid w:val="008E33B0"/>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67E"/>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99F"/>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F27"/>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559"/>
    <w:rsid w:val="00991847"/>
    <w:rsid w:val="0099195B"/>
    <w:rsid w:val="00991D7C"/>
    <w:rsid w:val="00991FF4"/>
    <w:rsid w:val="00992BBC"/>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892"/>
    <w:rsid w:val="009C2BDD"/>
    <w:rsid w:val="009C3562"/>
    <w:rsid w:val="009C44BD"/>
    <w:rsid w:val="009C45D8"/>
    <w:rsid w:val="009C4F02"/>
    <w:rsid w:val="009C6546"/>
    <w:rsid w:val="009C6D7E"/>
    <w:rsid w:val="009C7C1A"/>
    <w:rsid w:val="009D26CE"/>
    <w:rsid w:val="009D2AB1"/>
    <w:rsid w:val="009D2E84"/>
    <w:rsid w:val="009D42E1"/>
    <w:rsid w:val="009D6851"/>
    <w:rsid w:val="009D6FC0"/>
    <w:rsid w:val="009E061D"/>
    <w:rsid w:val="009E12C3"/>
    <w:rsid w:val="009E278E"/>
    <w:rsid w:val="009E286D"/>
    <w:rsid w:val="009E34E2"/>
    <w:rsid w:val="009E39FE"/>
    <w:rsid w:val="009E3D17"/>
    <w:rsid w:val="009E50F2"/>
    <w:rsid w:val="009E5767"/>
    <w:rsid w:val="009E5884"/>
    <w:rsid w:val="009E703F"/>
    <w:rsid w:val="009F049C"/>
    <w:rsid w:val="009F0850"/>
    <w:rsid w:val="009F09DD"/>
    <w:rsid w:val="009F174B"/>
    <w:rsid w:val="009F1877"/>
    <w:rsid w:val="009F1BF6"/>
    <w:rsid w:val="009F3619"/>
    <w:rsid w:val="009F3F72"/>
    <w:rsid w:val="009F4797"/>
    <w:rsid w:val="009F4D06"/>
    <w:rsid w:val="009F4F7E"/>
    <w:rsid w:val="009F5F4D"/>
    <w:rsid w:val="009F6115"/>
    <w:rsid w:val="009F617A"/>
    <w:rsid w:val="009F6242"/>
    <w:rsid w:val="009F6872"/>
    <w:rsid w:val="009F6A7E"/>
    <w:rsid w:val="009F743E"/>
    <w:rsid w:val="00A0065B"/>
    <w:rsid w:val="00A0067C"/>
    <w:rsid w:val="00A00691"/>
    <w:rsid w:val="00A009E4"/>
    <w:rsid w:val="00A01220"/>
    <w:rsid w:val="00A020F8"/>
    <w:rsid w:val="00A038DD"/>
    <w:rsid w:val="00A0397C"/>
    <w:rsid w:val="00A054C9"/>
    <w:rsid w:val="00A064E8"/>
    <w:rsid w:val="00A07063"/>
    <w:rsid w:val="00A077D7"/>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492"/>
    <w:rsid w:val="00A27DB3"/>
    <w:rsid w:val="00A27F47"/>
    <w:rsid w:val="00A30906"/>
    <w:rsid w:val="00A30B81"/>
    <w:rsid w:val="00A31BC6"/>
    <w:rsid w:val="00A325D3"/>
    <w:rsid w:val="00A335F3"/>
    <w:rsid w:val="00A3362C"/>
    <w:rsid w:val="00A33B7A"/>
    <w:rsid w:val="00A344EE"/>
    <w:rsid w:val="00A3485F"/>
    <w:rsid w:val="00A35651"/>
    <w:rsid w:val="00A35899"/>
    <w:rsid w:val="00A35E28"/>
    <w:rsid w:val="00A36B7E"/>
    <w:rsid w:val="00A36F4F"/>
    <w:rsid w:val="00A36FC9"/>
    <w:rsid w:val="00A40797"/>
    <w:rsid w:val="00A40E0A"/>
    <w:rsid w:val="00A41A20"/>
    <w:rsid w:val="00A41DD2"/>
    <w:rsid w:val="00A4203D"/>
    <w:rsid w:val="00A42B71"/>
    <w:rsid w:val="00A42E40"/>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3200"/>
    <w:rsid w:val="00A5401F"/>
    <w:rsid w:val="00A54F4E"/>
    <w:rsid w:val="00A55F4C"/>
    <w:rsid w:val="00A569A9"/>
    <w:rsid w:val="00A60961"/>
    <w:rsid w:val="00A63B94"/>
    <w:rsid w:val="00A64B61"/>
    <w:rsid w:val="00A64C3F"/>
    <w:rsid w:val="00A64D7B"/>
    <w:rsid w:val="00A64EBD"/>
    <w:rsid w:val="00A65108"/>
    <w:rsid w:val="00A65AAD"/>
    <w:rsid w:val="00A660B5"/>
    <w:rsid w:val="00A6613C"/>
    <w:rsid w:val="00A679E5"/>
    <w:rsid w:val="00A7005E"/>
    <w:rsid w:val="00A706B9"/>
    <w:rsid w:val="00A72486"/>
    <w:rsid w:val="00A72E47"/>
    <w:rsid w:val="00A72EDD"/>
    <w:rsid w:val="00A7329A"/>
    <w:rsid w:val="00A73ED8"/>
    <w:rsid w:val="00A7459C"/>
    <w:rsid w:val="00A74C13"/>
    <w:rsid w:val="00A74E68"/>
    <w:rsid w:val="00A7500E"/>
    <w:rsid w:val="00A75834"/>
    <w:rsid w:val="00A75866"/>
    <w:rsid w:val="00A76375"/>
    <w:rsid w:val="00A774C8"/>
    <w:rsid w:val="00A81115"/>
    <w:rsid w:val="00A81BBA"/>
    <w:rsid w:val="00A8441B"/>
    <w:rsid w:val="00A845A3"/>
    <w:rsid w:val="00A84FF0"/>
    <w:rsid w:val="00A875D1"/>
    <w:rsid w:val="00A87BF2"/>
    <w:rsid w:val="00A90795"/>
    <w:rsid w:val="00A907A9"/>
    <w:rsid w:val="00A90B98"/>
    <w:rsid w:val="00A91138"/>
    <w:rsid w:val="00A91275"/>
    <w:rsid w:val="00A9262C"/>
    <w:rsid w:val="00A92C70"/>
    <w:rsid w:val="00A9343F"/>
    <w:rsid w:val="00A939DE"/>
    <w:rsid w:val="00A93AF6"/>
    <w:rsid w:val="00A94DD2"/>
    <w:rsid w:val="00A95AE2"/>
    <w:rsid w:val="00A96F0D"/>
    <w:rsid w:val="00A97799"/>
    <w:rsid w:val="00AA03A5"/>
    <w:rsid w:val="00AA07E6"/>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708"/>
    <w:rsid w:val="00AC7A9C"/>
    <w:rsid w:val="00AD0093"/>
    <w:rsid w:val="00AD0A1D"/>
    <w:rsid w:val="00AD13C6"/>
    <w:rsid w:val="00AD216A"/>
    <w:rsid w:val="00AD2BB8"/>
    <w:rsid w:val="00AD3753"/>
    <w:rsid w:val="00AD482C"/>
    <w:rsid w:val="00AD50A4"/>
    <w:rsid w:val="00AD54E0"/>
    <w:rsid w:val="00AD5FB2"/>
    <w:rsid w:val="00AD61ED"/>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5DA5"/>
    <w:rsid w:val="00B06288"/>
    <w:rsid w:val="00B06714"/>
    <w:rsid w:val="00B076B5"/>
    <w:rsid w:val="00B110E6"/>
    <w:rsid w:val="00B1139E"/>
    <w:rsid w:val="00B1230C"/>
    <w:rsid w:val="00B124A0"/>
    <w:rsid w:val="00B12F7B"/>
    <w:rsid w:val="00B1308E"/>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26A6"/>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274"/>
    <w:rsid w:val="00BA2565"/>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0C"/>
    <w:rsid w:val="00BC636A"/>
    <w:rsid w:val="00BC6DCD"/>
    <w:rsid w:val="00BC7718"/>
    <w:rsid w:val="00BD0556"/>
    <w:rsid w:val="00BD08A8"/>
    <w:rsid w:val="00BD2485"/>
    <w:rsid w:val="00BD24E9"/>
    <w:rsid w:val="00BD3445"/>
    <w:rsid w:val="00BD3D98"/>
    <w:rsid w:val="00BD4226"/>
    <w:rsid w:val="00BD67F6"/>
    <w:rsid w:val="00BD6EB7"/>
    <w:rsid w:val="00BD7633"/>
    <w:rsid w:val="00BD767C"/>
    <w:rsid w:val="00BD7905"/>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0394"/>
    <w:rsid w:val="00BF1164"/>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57F"/>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27C82"/>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370C4"/>
    <w:rsid w:val="00C408A6"/>
    <w:rsid w:val="00C40900"/>
    <w:rsid w:val="00C4122E"/>
    <w:rsid w:val="00C41A6F"/>
    <w:rsid w:val="00C424AE"/>
    <w:rsid w:val="00C4264C"/>
    <w:rsid w:val="00C4453D"/>
    <w:rsid w:val="00C4477B"/>
    <w:rsid w:val="00C455B3"/>
    <w:rsid w:val="00C45947"/>
    <w:rsid w:val="00C4674D"/>
    <w:rsid w:val="00C468AF"/>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8F6"/>
    <w:rsid w:val="00C84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357"/>
    <w:rsid w:val="00CA257D"/>
    <w:rsid w:val="00CA3A18"/>
    <w:rsid w:val="00CA4EB5"/>
    <w:rsid w:val="00CA5013"/>
    <w:rsid w:val="00CA63B2"/>
    <w:rsid w:val="00CA7509"/>
    <w:rsid w:val="00CA7C48"/>
    <w:rsid w:val="00CB079E"/>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4933"/>
    <w:rsid w:val="00CC5328"/>
    <w:rsid w:val="00CC7262"/>
    <w:rsid w:val="00CC7B11"/>
    <w:rsid w:val="00CD09A2"/>
    <w:rsid w:val="00CD133C"/>
    <w:rsid w:val="00CD13F9"/>
    <w:rsid w:val="00CD19D7"/>
    <w:rsid w:val="00CD247C"/>
    <w:rsid w:val="00CD2B09"/>
    <w:rsid w:val="00CD2B5C"/>
    <w:rsid w:val="00CD30EF"/>
    <w:rsid w:val="00CD3971"/>
    <w:rsid w:val="00CD4380"/>
    <w:rsid w:val="00CD4559"/>
    <w:rsid w:val="00CD4BC9"/>
    <w:rsid w:val="00CD5328"/>
    <w:rsid w:val="00CD55C7"/>
    <w:rsid w:val="00CD5A9D"/>
    <w:rsid w:val="00CD5D39"/>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3CA"/>
    <w:rsid w:val="00CF5BD7"/>
    <w:rsid w:val="00CF738F"/>
    <w:rsid w:val="00D00461"/>
    <w:rsid w:val="00D018A3"/>
    <w:rsid w:val="00D021BA"/>
    <w:rsid w:val="00D024E7"/>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4B05"/>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E2D"/>
    <w:rsid w:val="00D414A9"/>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575C1"/>
    <w:rsid w:val="00D60623"/>
    <w:rsid w:val="00D60790"/>
    <w:rsid w:val="00D607B1"/>
    <w:rsid w:val="00D60D10"/>
    <w:rsid w:val="00D60E30"/>
    <w:rsid w:val="00D636B5"/>
    <w:rsid w:val="00D639C1"/>
    <w:rsid w:val="00D6402F"/>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47F"/>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87EEF"/>
    <w:rsid w:val="00D9014F"/>
    <w:rsid w:val="00D903F7"/>
    <w:rsid w:val="00D91494"/>
    <w:rsid w:val="00D91573"/>
    <w:rsid w:val="00D919CD"/>
    <w:rsid w:val="00D91C75"/>
    <w:rsid w:val="00D9365A"/>
    <w:rsid w:val="00D93B48"/>
    <w:rsid w:val="00D942C3"/>
    <w:rsid w:val="00D94EDD"/>
    <w:rsid w:val="00D9557A"/>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951"/>
    <w:rsid w:val="00DB2BA9"/>
    <w:rsid w:val="00DB2E8E"/>
    <w:rsid w:val="00DB4B07"/>
    <w:rsid w:val="00DB51C0"/>
    <w:rsid w:val="00DB5A6A"/>
    <w:rsid w:val="00DB662D"/>
    <w:rsid w:val="00DB689F"/>
    <w:rsid w:val="00DB7124"/>
    <w:rsid w:val="00DB7329"/>
    <w:rsid w:val="00DB7E35"/>
    <w:rsid w:val="00DC0857"/>
    <w:rsid w:val="00DC1F6D"/>
    <w:rsid w:val="00DC296A"/>
    <w:rsid w:val="00DC3E30"/>
    <w:rsid w:val="00DC4407"/>
    <w:rsid w:val="00DC4961"/>
    <w:rsid w:val="00DC5569"/>
    <w:rsid w:val="00DC5A66"/>
    <w:rsid w:val="00DC6636"/>
    <w:rsid w:val="00DD0516"/>
    <w:rsid w:val="00DD0E39"/>
    <w:rsid w:val="00DD3D9A"/>
    <w:rsid w:val="00DD42C3"/>
    <w:rsid w:val="00DD5249"/>
    <w:rsid w:val="00DD54E4"/>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188"/>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5301"/>
    <w:rsid w:val="00E06A7B"/>
    <w:rsid w:val="00E06F0A"/>
    <w:rsid w:val="00E07992"/>
    <w:rsid w:val="00E102B0"/>
    <w:rsid w:val="00E10416"/>
    <w:rsid w:val="00E11055"/>
    <w:rsid w:val="00E115C8"/>
    <w:rsid w:val="00E125FF"/>
    <w:rsid w:val="00E12938"/>
    <w:rsid w:val="00E133E4"/>
    <w:rsid w:val="00E15CC3"/>
    <w:rsid w:val="00E17A04"/>
    <w:rsid w:val="00E20175"/>
    <w:rsid w:val="00E20275"/>
    <w:rsid w:val="00E2097B"/>
    <w:rsid w:val="00E20A0F"/>
    <w:rsid w:val="00E21719"/>
    <w:rsid w:val="00E21BF1"/>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5D31"/>
    <w:rsid w:val="00E6607A"/>
    <w:rsid w:val="00E66248"/>
    <w:rsid w:val="00E66A1A"/>
    <w:rsid w:val="00E66BEA"/>
    <w:rsid w:val="00E66D0A"/>
    <w:rsid w:val="00E67EE4"/>
    <w:rsid w:val="00E703D1"/>
    <w:rsid w:val="00E70410"/>
    <w:rsid w:val="00E706A0"/>
    <w:rsid w:val="00E70F93"/>
    <w:rsid w:val="00E71F1E"/>
    <w:rsid w:val="00E7225C"/>
    <w:rsid w:val="00E7277E"/>
    <w:rsid w:val="00E728B4"/>
    <w:rsid w:val="00E72FF5"/>
    <w:rsid w:val="00E74B8A"/>
    <w:rsid w:val="00E761FD"/>
    <w:rsid w:val="00E76D00"/>
    <w:rsid w:val="00E77116"/>
    <w:rsid w:val="00E77729"/>
    <w:rsid w:val="00E82B15"/>
    <w:rsid w:val="00E8418A"/>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A66B6"/>
    <w:rsid w:val="00EB06CB"/>
    <w:rsid w:val="00EB0B19"/>
    <w:rsid w:val="00EB0D1C"/>
    <w:rsid w:val="00EB1CD1"/>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4FD1"/>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19BC"/>
    <w:rsid w:val="00F02A7D"/>
    <w:rsid w:val="00F02C25"/>
    <w:rsid w:val="00F03135"/>
    <w:rsid w:val="00F04081"/>
    <w:rsid w:val="00F0449B"/>
    <w:rsid w:val="00F04D19"/>
    <w:rsid w:val="00F059CA"/>
    <w:rsid w:val="00F0689C"/>
    <w:rsid w:val="00F07413"/>
    <w:rsid w:val="00F0783A"/>
    <w:rsid w:val="00F07C87"/>
    <w:rsid w:val="00F07D30"/>
    <w:rsid w:val="00F10ED1"/>
    <w:rsid w:val="00F11294"/>
    <w:rsid w:val="00F1230E"/>
    <w:rsid w:val="00F123DE"/>
    <w:rsid w:val="00F12A54"/>
    <w:rsid w:val="00F135A8"/>
    <w:rsid w:val="00F13948"/>
    <w:rsid w:val="00F14CF2"/>
    <w:rsid w:val="00F14F0C"/>
    <w:rsid w:val="00F167D9"/>
    <w:rsid w:val="00F16C30"/>
    <w:rsid w:val="00F2051A"/>
    <w:rsid w:val="00F2059C"/>
    <w:rsid w:val="00F21871"/>
    <w:rsid w:val="00F21E72"/>
    <w:rsid w:val="00F233A6"/>
    <w:rsid w:val="00F2579C"/>
    <w:rsid w:val="00F26076"/>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229"/>
    <w:rsid w:val="00F51419"/>
    <w:rsid w:val="00F516B0"/>
    <w:rsid w:val="00F536B1"/>
    <w:rsid w:val="00F53A8F"/>
    <w:rsid w:val="00F53C9A"/>
    <w:rsid w:val="00F53CA1"/>
    <w:rsid w:val="00F5440E"/>
    <w:rsid w:val="00F546B5"/>
    <w:rsid w:val="00F5553C"/>
    <w:rsid w:val="00F562C7"/>
    <w:rsid w:val="00F56D9B"/>
    <w:rsid w:val="00F56DEF"/>
    <w:rsid w:val="00F60573"/>
    <w:rsid w:val="00F612CF"/>
    <w:rsid w:val="00F61CBC"/>
    <w:rsid w:val="00F61E0A"/>
    <w:rsid w:val="00F62370"/>
    <w:rsid w:val="00F62A29"/>
    <w:rsid w:val="00F63984"/>
    <w:rsid w:val="00F64B5E"/>
    <w:rsid w:val="00F65040"/>
    <w:rsid w:val="00F6732A"/>
    <w:rsid w:val="00F674A9"/>
    <w:rsid w:val="00F67C33"/>
    <w:rsid w:val="00F705EC"/>
    <w:rsid w:val="00F70B19"/>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853"/>
    <w:rsid w:val="00F84ED8"/>
    <w:rsid w:val="00F85700"/>
    <w:rsid w:val="00F85E13"/>
    <w:rsid w:val="00F85E1B"/>
    <w:rsid w:val="00F861A8"/>
    <w:rsid w:val="00F87A1A"/>
    <w:rsid w:val="00F9063F"/>
    <w:rsid w:val="00F9152D"/>
    <w:rsid w:val="00F91EAE"/>
    <w:rsid w:val="00F92385"/>
    <w:rsid w:val="00F93352"/>
    <w:rsid w:val="00F93486"/>
    <w:rsid w:val="00F93D5E"/>
    <w:rsid w:val="00F9508C"/>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57D1"/>
    <w:rsid w:val="00FB7ECF"/>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F79EC51-66A4-4C10-94C5-6F8EE7B5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9E703F"/>
    <w:rPr>
      <w:sz w:val="24"/>
    </w:rPr>
  </w:style>
  <w:style w:type="character" w:customStyle="1" w:styleId="FooterChar">
    <w:name w:val="Footer Char"/>
    <w:link w:val="Footer"/>
    <w:uiPriority w:val="99"/>
    <w:rsid w:val="009E70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a.gov/mold/mold-remediation-schools-and-commercial-buildings-guid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image" Target="media/image2.jpe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BD27-0B99-4BD1-8DB9-B171043B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1614</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INDOOR AIR QUALITY WATER DAMAGE ASSESSMENT</vt:lpstr>
    </vt:vector>
  </TitlesOfParts>
  <Company>MDPH</Company>
  <LinksUpToDate>false</LinksUpToDate>
  <CharactersWithSpaces>10266</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WATER DAMAGE ASSESSMENT</dc:title>
  <dc:subject>Boston Gaming Commission</dc:subject>
  <dc:creator>Indoor Air Quality Program</dc:creator>
  <cp:keywords/>
  <cp:lastModifiedBy>Woo, Karl (EHS)</cp:lastModifiedBy>
  <cp:revision>2</cp:revision>
  <cp:lastPrinted>2019-07-31T12:44:00Z</cp:lastPrinted>
  <dcterms:created xsi:type="dcterms:W3CDTF">2019-09-19T14:34:00Z</dcterms:created>
  <dcterms:modified xsi:type="dcterms:W3CDTF">2019-09-19T14:34:00Z</dcterms:modified>
</cp:coreProperties>
</file>