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DFEFB" w14:textId="532FC5D9" w:rsidR="003B2BCF" w:rsidRPr="001577F5" w:rsidRDefault="003B2BCF" w:rsidP="007D719D">
      <w:pPr>
        <w:spacing w:after="160"/>
        <w:rPr>
          <w:sz w:val="22"/>
          <w:szCs w:val="22"/>
          <w:u w:val="single"/>
        </w:rPr>
      </w:pPr>
      <w:r w:rsidRPr="001577F5">
        <w:rPr>
          <w:sz w:val="22"/>
          <w:szCs w:val="22"/>
          <w:u w:val="single"/>
        </w:rPr>
        <w:t xml:space="preserve">Project Overview </w:t>
      </w:r>
    </w:p>
    <w:p w14:paraId="784831F9" w14:textId="16E10383" w:rsidR="002E7BED" w:rsidRPr="001577F5" w:rsidRDefault="002E7BED">
      <w:pPr>
        <w:rPr>
          <w:b/>
          <w:bCs/>
          <w:sz w:val="22"/>
          <w:szCs w:val="22"/>
        </w:rPr>
      </w:pPr>
      <w:r w:rsidRPr="001577F5">
        <w:rPr>
          <w:sz w:val="22"/>
          <w:szCs w:val="22"/>
        </w:rPr>
        <w:t xml:space="preserve">As outlined in the </w:t>
      </w:r>
      <w:proofErr w:type="spellStart"/>
      <w:r w:rsidRPr="001577F5">
        <w:rPr>
          <w:sz w:val="22"/>
          <w:szCs w:val="22"/>
        </w:rPr>
        <w:t>DoN</w:t>
      </w:r>
      <w:proofErr w:type="spellEnd"/>
      <w:r w:rsidRPr="001577F5">
        <w:rPr>
          <w:sz w:val="22"/>
          <w:szCs w:val="22"/>
        </w:rPr>
        <w:t xml:space="preserve"> Application</w:t>
      </w:r>
      <w:r w:rsidR="002C3B20" w:rsidRPr="001577F5">
        <w:rPr>
          <w:sz w:val="22"/>
          <w:szCs w:val="22"/>
        </w:rPr>
        <w:t xml:space="preserve">, </w:t>
      </w:r>
      <w:r w:rsidRPr="001577F5">
        <w:rPr>
          <w:sz w:val="22"/>
          <w:szCs w:val="22"/>
        </w:rPr>
        <w:t>Brigham and Women’s Faulkner Hospital (“BWFH”)</w:t>
      </w:r>
      <w:r w:rsidR="00CD2AF4" w:rsidRPr="001577F5">
        <w:rPr>
          <w:sz w:val="22"/>
          <w:szCs w:val="22"/>
        </w:rPr>
        <w:t xml:space="preserve"> </w:t>
      </w:r>
      <w:r w:rsidR="00C81B62" w:rsidRPr="001577F5">
        <w:rPr>
          <w:sz w:val="22"/>
          <w:szCs w:val="22"/>
        </w:rPr>
        <w:t xml:space="preserve">does </w:t>
      </w:r>
      <w:r w:rsidRPr="001577F5">
        <w:rPr>
          <w:sz w:val="22"/>
          <w:szCs w:val="22"/>
        </w:rPr>
        <w:t xml:space="preserve">not have sufficient inpatient capacity to </w:t>
      </w:r>
      <w:r w:rsidR="00133096" w:rsidRPr="001577F5">
        <w:rPr>
          <w:sz w:val="22"/>
          <w:szCs w:val="22"/>
        </w:rPr>
        <w:t xml:space="preserve">meet demand in the future. </w:t>
      </w:r>
      <w:r w:rsidRPr="001577F5">
        <w:rPr>
          <w:sz w:val="22"/>
          <w:szCs w:val="22"/>
        </w:rPr>
        <w:t xml:space="preserve"> </w:t>
      </w:r>
      <w:r w:rsidR="00046BE9" w:rsidRPr="001577F5">
        <w:rPr>
          <w:sz w:val="22"/>
          <w:szCs w:val="22"/>
        </w:rPr>
        <w:t xml:space="preserve">The Proposed Project will meaningfully contribute to </w:t>
      </w:r>
      <w:r w:rsidR="008057E7" w:rsidRPr="001577F5">
        <w:rPr>
          <w:sz w:val="22"/>
          <w:szCs w:val="22"/>
        </w:rPr>
        <w:t xml:space="preserve">overall </w:t>
      </w:r>
      <w:r w:rsidR="00047E39" w:rsidRPr="001577F5">
        <w:rPr>
          <w:sz w:val="22"/>
          <w:szCs w:val="22"/>
        </w:rPr>
        <w:t>inpatient</w:t>
      </w:r>
      <w:r w:rsidR="00133096" w:rsidRPr="001577F5">
        <w:rPr>
          <w:sz w:val="22"/>
          <w:szCs w:val="22"/>
        </w:rPr>
        <w:t xml:space="preserve"> capacity </w:t>
      </w:r>
      <w:r w:rsidR="00047E39" w:rsidRPr="001577F5">
        <w:rPr>
          <w:sz w:val="22"/>
          <w:szCs w:val="22"/>
        </w:rPr>
        <w:t xml:space="preserve">among Brigham and Women’s Hospital (“BWH”) and BWFH (“Brigham”) </w:t>
      </w:r>
      <w:r w:rsidR="00133096" w:rsidRPr="001577F5">
        <w:rPr>
          <w:sz w:val="22"/>
          <w:szCs w:val="22"/>
        </w:rPr>
        <w:t xml:space="preserve">by adding </w:t>
      </w:r>
      <w:r w:rsidR="006333AD" w:rsidRPr="001577F5">
        <w:rPr>
          <w:sz w:val="22"/>
          <w:szCs w:val="22"/>
        </w:rPr>
        <w:t xml:space="preserve">78 </w:t>
      </w:r>
      <w:r w:rsidR="00133096" w:rsidRPr="001577F5">
        <w:rPr>
          <w:sz w:val="22"/>
          <w:szCs w:val="22"/>
        </w:rPr>
        <w:t xml:space="preserve">medical/surgical </w:t>
      </w:r>
      <w:r w:rsidR="006333AD" w:rsidRPr="001577F5">
        <w:rPr>
          <w:sz w:val="22"/>
          <w:szCs w:val="22"/>
        </w:rPr>
        <w:t>beds</w:t>
      </w:r>
      <w:r w:rsidR="00133096" w:rsidRPr="001577F5">
        <w:rPr>
          <w:sz w:val="22"/>
          <w:szCs w:val="22"/>
        </w:rPr>
        <w:t xml:space="preserve"> at BWFH</w:t>
      </w:r>
      <w:r w:rsidR="008057E7" w:rsidRPr="001577F5">
        <w:rPr>
          <w:sz w:val="22"/>
          <w:szCs w:val="22"/>
        </w:rPr>
        <w:t>. Th</w:t>
      </w:r>
      <w:r w:rsidR="00D94D97" w:rsidRPr="001577F5">
        <w:rPr>
          <w:sz w:val="22"/>
          <w:szCs w:val="22"/>
        </w:rPr>
        <w:t xml:space="preserve">ese beds </w:t>
      </w:r>
      <w:r w:rsidR="00B76780" w:rsidRPr="001577F5">
        <w:rPr>
          <w:sz w:val="22"/>
          <w:szCs w:val="22"/>
        </w:rPr>
        <w:t xml:space="preserve">will allow for the timely admission of emergency patients, </w:t>
      </w:r>
      <w:r w:rsidR="00D94D97" w:rsidRPr="001577F5">
        <w:rPr>
          <w:sz w:val="22"/>
          <w:szCs w:val="22"/>
        </w:rPr>
        <w:t>improve transfer rates from</w:t>
      </w:r>
      <w:r w:rsidR="00047E39" w:rsidRPr="001577F5">
        <w:rPr>
          <w:sz w:val="22"/>
          <w:szCs w:val="22"/>
        </w:rPr>
        <w:t xml:space="preserve"> BWH</w:t>
      </w:r>
      <w:r w:rsidR="00D94D97" w:rsidRPr="001577F5">
        <w:rPr>
          <w:sz w:val="22"/>
          <w:szCs w:val="22"/>
        </w:rPr>
        <w:t xml:space="preserve"> to B</w:t>
      </w:r>
      <w:r w:rsidR="008B5905" w:rsidRPr="001577F5">
        <w:rPr>
          <w:sz w:val="22"/>
          <w:szCs w:val="22"/>
        </w:rPr>
        <w:t>WFH, and to</w:t>
      </w:r>
      <w:r w:rsidR="00403E7D" w:rsidRPr="001577F5">
        <w:rPr>
          <w:sz w:val="22"/>
          <w:szCs w:val="22"/>
        </w:rPr>
        <w:t xml:space="preserve"> </w:t>
      </w:r>
      <w:r w:rsidR="00963C8B" w:rsidRPr="001577F5">
        <w:rPr>
          <w:sz w:val="22"/>
          <w:szCs w:val="22"/>
        </w:rPr>
        <w:t>better</w:t>
      </w:r>
      <w:r w:rsidR="008B5905" w:rsidRPr="001577F5">
        <w:rPr>
          <w:sz w:val="22"/>
          <w:szCs w:val="22"/>
        </w:rPr>
        <w:t xml:space="preserve"> manage its patient population </w:t>
      </w:r>
      <w:r w:rsidR="00963C8B" w:rsidRPr="001577F5">
        <w:rPr>
          <w:sz w:val="22"/>
          <w:szCs w:val="22"/>
        </w:rPr>
        <w:t xml:space="preserve">by </w:t>
      </w:r>
      <w:r w:rsidR="0007236F" w:rsidRPr="001577F5">
        <w:rPr>
          <w:sz w:val="22"/>
          <w:szCs w:val="22"/>
        </w:rPr>
        <w:t>provid</w:t>
      </w:r>
      <w:r w:rsidR="00963C8B" w:rsidRPr="001577F5">
        <w:rPr>
          <w:sz w:val="22"/>
          <w:szCs w:val="22"/>
        </w:rPr>
        <w:t>ing</w:t>
      </w:r>
      <w:r w:rsidR="0007236F" w:rsidRPr="001577F5">
        <w:rPr>
          <w:sz w:val="22"/>
          <w:szCs w:val="22"/>
        </w:rPr>
        <w:t xml:space="preserve"> care</w:t>
      </w:r>
      <w:r w:rsidR="008B5905" w:rsidRPr="001577F5">
        <w:rPr>
          <w:sz w:val="22"/>
          <w:szCs w:val="22"/>
        </w:rPr>
        <w:t xml:space="preserve"> in the </w:t>
      </w:r>
      <w:r w:rsidR="0058173A" w:rsidRPr="001577F5">
        <w:rPr>
          <w:sz w:val="22"/>
          <w:szCs w:val="22"/>
        </w:rPr>
        <w:t>most appropriate</w:t>
      </w:r>
      <w:r w:rsidR="0007236F" w:rsidRPr="001577F5">
        <w:rPr>
          <w:sz w:val="22"/>
          <w:szCs w:val="22"/>
        </w:rPr>
        <w:t xml:space="preserve"> </w:t>
      </w:r>
      <w:r w:rsidR="0058173A" w:rsidRPr="001577F5">
        <w:rPr>
          <w:sz w:val="22"/>
          <w:szCs w:val="22"/>
        </w:rPr>
        <w:t xml:space="preserve">setting. </w:t>
      </w:r>
    </w:p>
    <w:p w14:paraId="1F5CE63C" w14:textId="6AC5FCB5" w:rsidR="002E7BED" w:rsidRPr="001577F5" w:rsidRDefault="002E7BED">
      <w:pPr>
        <w:rPr>
          <w:b/>
          <w:bCs/>
          <w:sz w:val="22"/>
          <w:szCs w:val="22"/>
        </w:rPr>
      </w:pPr>
    </w:p>
    <w:p w14:paraId="487C94A7" w14:textId="67619D8F" w:rsidR="003B2BCF" w:rsidRPr="001577F5" w:rsidRDefault="007D719D" w:rsidP="007D719D">
      <w:pPr>
        <w:spacing w:after="160"/>
        <w:rPr>
          <w:sz w:val="22"/>
          <w:szCs w:val="22"/>
          <w:u w:val="single"/>
        </w:rPr>
      </w:pPr>
      <w:r w:rsidRPr="001577F5">
        <w:rPr>
          <w:sz w:val="22"/>
          <w:szCs w:val="22"/>
          <w:u w:val="single"/>
        </w:rPr>
        <w:t>Current Challenges That Project Will Address</w:t>
      </w:r>
    </w:p>
    <w:p w14:paraId="131C386B" w14:textId="59901ECE" w:rsidR="004570B1" w:rsidRPr="001577F5" w:rsidRDefault="00DE5607">
      <w:pPr>
        <w:rPr>
          <w:sz w:val="22"/>
          <w:szCs w:val="22"/>
        </w:rPr>
      </w:pPr>
      <w:r w:rsidRPr="001577F5">
        <w:rPr>
          <w:sz w:val="22"/>
          <w:szCs w:val="22"/>
        </w:rPr>
        <w:t xml:space="preserve">Historical </w:t>
      </w:r>
      <w:r w:rsidR="002566F1" w:rsidRPr="001577F5">
        <w:rPr>
          <w:sz w:val="22"/>
          <w:szCs w:val="22"/>
        </w:rPr>
        <w:t xml:space="preserve">occupancy rates </w:t>
      </w:r>
      <w:r w:rsidR="00047E39" w:rsidRPr="001577F5">
        <w:rPr>
          <w:sz w:val="22"/>
          <w:szCs w:val="22"/>
        </w:rPr>
        <w:t xml:space="preserve">across </w:t>
      </w:r>
      <w:r w:rsidR="001A382F" w:rsidRPr="001577F5">
        <w:rPr>
          <w:sz w:val="22"/>
          <w:szCs w:val="22"/>
        </w:rPr>
        <w:t xml:space="preserve">Brigham </w:t>
      </w:r>
      <w:r w:rsidR="00047E39" w:rsidRPr="001577F5">
        <w:rPr>
          <w:sz w:val="22"/>
          <w:szCs w:val="22"/>
        </w:rPr>
        <w:t xml:space="preserve">hospitals </w:t>
      </w:r>
      <w:r w:rsidR="009F1D08" w:rsidRPr="001577F5">
        <w:rPr>
          <w:sz w:val="22"/>
          <w:szCs w:val="22"/>
        </w:rPr>
        <w:t xml:space="preserve">demonstrate insufficient capacity to meet the </w:t>
      </w:r>
      <w:r w:rsidR="0080584F" w:rsidRPr="001577F5">
        <w:rPr>
          <w:sz w:val="22"/>
          <w:szCs w:val="22"/>
        </w:rPr>
        <w:t>demand for services. T</w:t>
      </w:r>
      <w:r w:rsidR="002566F1" w:rsidRPr="001577F5">
        <w:rPr>
          <w:sz w:val="22"/>
          <w:szCs w:val="22"/>
        </w:rPr>
        <w:t>he lack of adequate inpatient med/surg bed capacity at BWFH is evidenced by overcrowding in its ED and PACU, and the inability to accept secondary acuity transfers from BWH</w:t>
      </w:r>
      <w:r w:rsidR="001A382F" w:rsidRPr="001577F5">
        <w:rPr>
          <w:sz w:val="22"/>
          <w:szCs w:val="22"/>
        </w:rPr>
        <w:t xml:space="preserve">, which is also experiencing overwhelming </w:t>
      </w:r>
      <w:r w:rsidR="00133096" w:rsidRPr="001577F5">
        <w:rPr>
          <w:sz w:val="22"/>
          <w:szCs w:val="22"/>
        </w:rPr>
        <w:t>demand for inpatient</w:t>
      </w:r>
      <w:r w:rsidR="001A382F" w:rsidRPr="001577F5">
        <w:rPr>
          <w:sz w:val="22"/>
          <w:szCs w:val="22"/>
        </w:rPr>
        <w:t xml:space="preserve"> secondary medicine </w:t>
      </w:r>
      <w:r w:rsidR="00133096" w:rsidRPr="001577F5">
        <w:rPr>
          <w:sz w:val="22"/>
          <w:szCs w:val="22"/>
        </w:rPr>
        <w:t>admissions</w:t>
      </w:r>
      <w:r w:rsidR="001A382F" w:rsidRPr="001577F5">
        <w:rPr>
          <w:sz w:val="22"/>
          <w:szCs w:val="22"/>
        </w:rPr>
        <w:t xml:space="preserve">. </w:t>
      </w:r>
      <w:r w:rsidR="00A91B7D" w:rsidRPr="001577F5">
        <w:rPr>
          <w:sz w:val="22"/>
          <w:szCs w:val="22"/>
        </w:rPr>
        <w:t xml:space="preserve">As occupancy </w:t>
      </w:r>
      <w:r w:rsidR="00C43B59" w:rsidRPr="001577F5">
        <w:rPr>
          <w:sz w:val="22"/>
          <w:szCs w:val="22"/>
        </w:rPr>
        <w:t xml:space="preserve">at BWFH </w:t>
      </w:r>
      <w:r w:rsidR="00A91B7D" w:rsidRPr="001577F5">
        <w:rPr>
          <w:sz w:val="22"/>
          <w:szCs w:val="22"/>
        </w:rPr>
        <w:t xml:space="preserve">reaches and exceeds 85%, </w:t>
      </w:r>
      <w:r w:rsidR="00C43B59" w:rsidRPr="001577F5">
        <w:rPr>
          <w:sz w:val="22"/>
          <w:szCs w:val="22"/>
        </w:rPr>
        <w:t>there is an adverse</w:t>
      </w:r>
      <w:r w:rsidR="00573708" w:rsidRPr="001577F5">
        <w:rPr>
          <w:sz w:val="22"/>
          <w:szCs w:val="22"/>
        </w:rPr>
        <w:t xml:space="preserve"> impact</w:t>
      </w:r>
      <w:r w:rsidR="00EE03DB" w:rsidRPr="001577F5">
        <w:rPr>
          <w:sz w:val="22"/>
          <w:szCs w:val="22"/>
        </w:rPr>
        <w:t xml:space="preserve"> on</w:t>
      </w:r>
      <w:r w:rsidR="00C43B59" w:rsidRPr="001577F5">
        <w:rPr>
          <w:sz w:val="22"/>
          <w:szCs w:val="22"/>
        </w:rPr>
        <w:t xml:space="preserve"> </w:t>
      </w:r>
      <w:r w:rsidR="00FD75CE" w:rsidRPr="001577F5">
        <w:rPr>
          <w:sz w:val="22"/>
          <w:szCs w:val="22"/>
        </w:rPr>
        <w:t xml:space="preserve">access to </w:t>
      </w:r>
      <w:r w:rsidR="00573708" w:rsidRPr="001577F5">
        <w:rPr>
          <w:sz w:val="22"/>
          <w:szCs w:val="22"/>
        </w:rPr>
        <w:t>care,</w:t>
      </w:r>
      <w:r w:rsidR="00D53ABF" w:rsidRPr="001577F5">
        <w:rPr>
          <w:sz w:val="22"/>
          <w:szCs w:val="22"/>
        </w:rPr>
        <w:t xml:space="preserve"> including </w:t>
      </w:r>
      <w:r w:rsidR="00EE03DB" w:rsidRPr="001577F5">
        <w:rPr>
          <w:sz w:val="22"/>
          <w:szCs w:val="22"/>
        </w:rPr>
        <w:t>ED and surgical throughput</w:t>
      </w:r>
      <w:r w:rsidR="00D53ABF" w:rsidRPr="001577F5">
        <w:rPr>
          <w:sz w:val="22"/>
          <w:szCs w:val="22"/>
        </w:rPr>
        <w:t xml:space="preserve">. </w:t>
      </w:r>
      <w:r w:rsidR="00573122" w:rsidRPr="001577F5">
        <w:rPr>
          <w:sz w:val="22"/>
          <w:szCs w:val="22"/>
        </w:rPr>
        <w:t xml:space="preserve">Moreover, </w:t>
      </w:r>
      <w:r w:rsidR="00971060" w:rsidRPr="001577F5">
        <w:rPr>
          <w:sz w:val="22"/>
          <w:szCs w:val="22"/>
        </w:rPr>
        <w:t>without available capacity at</w:t>
      </w:r>
      <w:r w:rsidR="004D1473" w:rsidRPr="001577F5">
        <w:rPr>
          <w:sz w:val="22"/>
          <w:szCs w:val="22"/>
        </w:rPr>
        <w:t xml:space="preserve"> BWFH, the </w:t>
      </w:r>
      <w:r w:rsidR="00200285" w:rsidRPr="001577F5">
        <w:rPr>
          <w:sz w:val="22"/>
          <w:szCs w:val="22"/>
        </w:rPr>
        <w:t xml:space="preserve">goals of the </w:t>
      </w:r>
      <w:r w:rsidR="00573122" w:rsidRPr="001577F5">
        <w:rPr>
          <w:sz w:val="22"/>
          <w:szCs w:val="22"/>
        </w:rPr>
        <w:t>BWFH Transfer Program</w:t>
      </w:r>
      <w:r w:rsidR="004D1473" w:rsidRPr="001577F5">
        <w:rPr>
          <w:sz w:val="22"/>
          <w:szCs w:val="22"/>
        </w:rPr>
        <w:t xml:space="preserve"> </w:t>
      </w:r>
      <w:r w:rsidR="002A0301" w:rsidRPr="001577F5">
        <w:rPr>
          <w:sz w:val="22"/>
          <w:szCs w:val="22"/>
        </w:rPr>
        <w:t>can</w:t>
      </w:r>
      <w:r w:rsidR="00C50F4C" w:rsidRPr="001577F5">
        <w:rPr>
          <w:sz w:val="22"/>
          <w:szCs w:val="22"/>
        </w:rPr>
        <w:t xml:space="preserve">not be </w:t>
      </w:r>
      <w:r w:rsidR="00B719F2" w:rsidRPr="001577F5">
        <w:rPr>
          <w:sz w:val="22"/>
          <w:szCs w:val="22"/>
        </w:rPr>
        <w:t xml:space="preserve">fully </w:t>
      </w:r>
      <w:r w:rsidR="00200285" w:rsidRPr="001577F5">
        <w:rPr>
          <w:sz w:val="22"/>
          <w:szCs w:val="22"/>
        </w:rPr>
        <w:t>realized</w:t>
      </w:r>
      <w:r w:rsidR="00B719F2" w:rsidRPr="001577F5">
        <w:rPr>
          <w:sz w:val="22"/>
          <w:szCs w:val="22"/>
        </w:rPr>
        <w:t>, preventing BWH from transferring patients who would be more appropriately care</w:t>
      </w:r>
      <w:r w:rsidR="00133096" w:rsidRPr="001577F5">
        <w:rPr>
          <w:sz w:val="22"/>
          <w:szCs w:val="22"/>
        </w:rPr>
        <w:t>d</w:t>
      </w:r>
      <w:r w:rsidR="00B719F2" w:rsidRPr="001577F5">
        <w:rPr>
          <w:sz w:val="22"/>
          <w:szCs w:val="22"/>
        </w:rPr>
        <w:t xml:space="preserve"> for at a community hospital.</w:t>
      </w:r>
      <w:r w:rsidR="001A382F" w:rsidRPr="001577F5">
        <w:rPr>
          <w:sz w:val="22"/>
          <w:szCs w:val="22"/>
        </w:rPr>
        <w:t xml:space="preserve"> Furthermore, there are </w:t>
      </w:r>
      <w:proofErr w:type="gramStart"/>
      <w:r w:rsidR="001A382F" w:rsidRPr="001577F5">
        <w:rPr>
          <w:sz w:val="22"/>
          <w:szCs w:val="22"/>
        </w:rPr>
        <w:t>a number of</w:t>
      </w:r>
      <w:proofErr w:type="gramEnd"/>
      <w:r w:rsidR="001A382F" w:rsidRPr="001577F5">
        <w:rPr>
          <w:sz w:val="22"/>
          <w:szCs w:val="22"/>
        </w:rPr>
        <w:t xml:space="preserve"> patients </w:t>
      </w:r>
      <w:r w:rsidR="00133096" w:rsidRPr="001577F5">
        <w:rPr>
          <w:sz w:val="22"/>
          <w:szCs w:val="22"/>
        </w:rPr>
        <w:t>who utilize</w:t>
      </w:r>
      <w:r w:rsidR="001A382F" w:rsidRPr="001577F5">
        <w:rPr>
          <w:sz w:val="22"/>
          <w:szCs w:val="22"/>
        </w:rPr>
        <w:t xml:space="preserve"> Brigham</w:t>
      </w:r>
      <w:r w:rsidR="00047E39" w:rsidRPr="001577F5">
        <w:rPr>
          <w:sz w:val="22"/>
          <w:szCs w:val="22"/>
        </w:rPr>
        <w:t xml:space="preserve"> services</w:t>
      </w:r>
      <w:r w:rsidR="001A382F" w:rsidRPr="001577F5">
        <w:rPr>
          <w:sz w:val="22"/>
          <w:szCs w:val="22"/>
        </w:rPr>
        <w:t xml:space="preserve"> who would be most appropriately cared for at BWFH, but as a result of in</w:t>
      </w:r>
      <w:r w:rsidR="00133096" w:rsidRPr="001577F5">
        <w:rPr>
          <w:sz w:val="22"/>
          <w:szCs w:val="22"/>
        </w:rPr>
        <w:t>adequate</w:t>
      </w:r>
      <w:r w:rsidR="001A382F" w:rsidRPr="001577F5">
        <w:rPr>
          <w:sz w:val="22"/>
          <w:szCs w:val="22"/>
        </w:rPr>
        <w:t xml:space="preserve"> capacity, cannot be appropriately shifted to BWFH. </w:t>
      </w:r>
      <w:r w:rsidR="00B719F2" w:rsidRPr="001577F5">
        <w:rPr>
          <w:sz w:val="22"/>
          <w:szCs w:val="22"/>
        </w:rPr>
        <w:t xml:space="preserve"> </w:t>
      </w:r>
      <w:r w:rsidR="009A0DC5" w:rsidRPr="001577F5">
        <w:rPr>
          <w:sz w:val="22"/>
          <w:szCs w:val="22"/>
        </w:rPr>
        <w:t xml:space="preserve">BWH continues to experience significant growth from lower acuity patients who do not necessitate treatment at an AMC. In order to ensure these </w:t>
      </w:r>
      <w:proofErr w:type="gramStart"/>
      <w:r w:rsidR="009A0DC5" w:rsidRPr="001577F5">
        <w:rPr>
          <w:sz w:val="22"/>
          <w:szCs w:val="22"/>
        </w:rPr>
        <w:t>patients</w:t>
      </w:r>
      <w:proofErr w:type="gramEnd"/>
      <w:r w:rsidR="009A0DC5" w:rsidRPr="001577F5">
        <w:rPr>
          <w:sz w:val="22"/>
          <w:szCs w:val="22"/>
        </w:rPr>
        <w:t xml:space="preserve"> receive care in the most appropriate setting, capacity is needed at BWFH as the hospital cannot absorb capacity from BWH, as evidenced by the number of patients who cannot be transferred to BWFH. This in turn puts additional pressure on BWH as it struggles to maintain capacity for complex, high-acuity patients who require treatment at an Academic Medical Center</w:t>
      </w:r>
      <w:r w:rsidR="00047E39" w:rsidRPr="001577F5">
        <w:rPr>
          <w:sz w:val="22"/>
          <w:szCs w:val="22"/>
        </w:rPr>
        <w:t>.  Brigham continuously assesses the best site of care for various patient populations, including certain Cardiology patients, chronic diseases such as diabetes and diagnoses such as pneumonia and other low acuity conditions. The addition of these beds will allow for the shift of care for these populations from BWH to BWFH.</w:t>
      </w:r>
      <w:r w:rsidR="009A0DC5" w:rsidRPr="001577F5">
        <w:rPr>
          <w:sz w:val="22"/>
          <w:szCs w:val="22"/>
        </w:rPr>
        <w:t xml:space="preserve"> These patients are in addition to the 1,439 patients BWFH projects will be eligible for transfer on a case-by-case basis in FY 2027 and would not be accepted due to capacity but for the expanded inpatient capacity at BWFH.  </w:t>
      </w:r>
      <w:r w:rsidR="00B94DE6" w:rsidRPr="001577F5">
        <w:rPr>
          <w:sz w:val="22"/>
          <w:szCs w:val="22"/>
        </w:rPr>
        <w:t>Lastly</w:t>
      </w:r>
      <w:r w:rsidR="004570B1" w:rsidRPr="001577F5">
        <w:rPr>
          <w:sz w:val="22"/>
          <w:szCs w:val="22"/>
        </w:rPr>
        <w:t xml:space="preserve">, patient length of stay and acuity is increasing, </w:t>
      </w:r>
      <w:r w:rsidR="00575B96" w:rsidRPr="001577F5">
        <w:rPr>
          <w:sz w:val="22"/>
          <w:szCs w:val="22"/>
        </w:rPr>
        <w:t>decreasing the number of</w:t>
      </w:r>
      <w:r w:rsidR="004570B1" w:rsidRPr="001577F5">
        <w:rPr>
          <w:sz w:val="22"/>
          <w:szCs w:val="22"/>
        </w:rPr>
        <w:t xml:space="preserve"> available </w:t>
      </w:r>
      <w:r w:rsidR="00575B96" w:rsidRPr="001577F5">
        <w:rPr>
          <w:sz w:val="22"/>
          <w:szCs w:val="22"/>
        </w:rPr>
        <w:t xml:space="preserve">beds </w:t>
      </w:r>
      <w:r w:rsidR="004570B1" w:rsidRPr="001577F5">
        <w:rPr>
          <w:sz w:val="22"/>
          <w:szCs w:val="22"/>
        </w:rPr>
        <w:t xml:space="preserve">for new patients. This </w:t>
      </w:r>
      <w:r w:rsidR="003B6833" w:rsidRPr="001577F5">
        <w:rPr>
          <w:sz w:val="22"/>
          <w:szCs w:val="22"/>
        </w:rPr>
        <w:t xml:space="preserve">challenge </w:t>
      </w:r>
      <w:r w:rsidR="004570B1" w:rsidRPr="001577F5">
        <w:rPr>
          <w:sz w:val="22"/>
          <w:szCs w:val="22"/>
        </w:rPr>
        <w:t xml:space="preserve">will increase as the patient panel ages. </w:t>
      </w:r>
    </w:p>
    <w:p w14:paraId="73521E66" w14:textId="5DAF2F99" w:rsidR="008E2C79" w:rsidRPr="001577F5" w:rsidRDefault="008E2C79">
      <w:pPr>
        <w:rPr>
          <w:sz w:val="22"/>
          <w:szCs w:val="22"/>
        </w:rPr>
      </w:pPr>
    </w:p>
    <w:p w14:paraId="24C1DE2B" w14:textId="344E06E5" w:rsidR="007D719D" w:rsidRPr="001577F5" w:rsidRDefault="00F34600" w:rsidP="007D719D">
      <w:pPr>
        <w:spacing w:after="160"/>
        <w:rPr>
          <w:sz w:val="22"/>
          <w:szCs w:val="22"/>
          <w:u w:val="single"/>
        </w:rPr>
      </w:pPr>
      <w:r w:rsidRPr="001577F5">
        <w:rPr>
          <w:sz w:val="22"/>
          <w:szCs w:val="22"/>
          <w:u w:val="single"/>
        </w:rPr>
        <w:t>Bed Need Analysis</w:t>
      </w:r>
    </w:p>
    <w:p w14:paraId="70F2A06E" w14:textId="1D5DEAAA" w:rsidR="00D202CB" w:rsidRPr="001577F5" w:rsidRDefault="001A382F" w:rsidP="003E2846">
      <w:pPr>
        <w:rPr>
          <w:sz w:val="22"/>
          <w:szCs w:val="22"/>
        </w:rPr>
      </w:pPr>
      <w:r w:rsidRPr="001577F5">
        <w:rPr>
          <w:sz w:val="22"/>
          <w:szCs w:val="22"/>
        </w:rPr>
        <w:t>To meaningfully address its capacity c</w:t>
      </w:r>
      <w:r w:rsidR="00633E51" w:rsidRPr="001577F5">
        <w:rPr>
          <w:sz w:val="22"/>
          <w:szCs w:val="22"/>
        </w:rPr>
        <w:t>onstraint</w:t>
      </w:r>
      <w:r w:rsidRPr="001577F5">
        <w:rPr>
          <w:sz w:val="22"/>
          <w:szCs w:val="22"/>
        </w:rPr>
        <w:t xml:space="preserve">s, while simultaneously addressing where care is provided, </w:t>
      </w:r>
      <w:r w:rsidR="00346438" w:rsidRPr="001577F5">
        <w:rPr>
          <w:sz w:val="22"/>
          <w:szCs w:val="22"/>
        </w:rPr>
        <w:t xml:space="preserve">BWFH proposes to add </w:t>
      </w:r>
      <w:r w:rsidRPr="001577F5">
        <w:rPr>
          <w:sz w:val="22"/>
          <w:szCs w:val="22"/>
        </w:rPr>
        <w:t xml:space="preserve">78 med/surg beds. </w:t>
      </w:r>
      <w:r w:rsidR="00346438" w:rsidRPr="001577F5">
        <w:rPr>
          <w:sz w:val="22"/>
          <w:szCs w:val="22"/>
        </w:rPr>
        <w:t xml:space="preserve">After taking into consideration BWFH growth, the need for increased capacity to fully implement the transfer program, and shifting care to appropriate care environments, </w:t>
      </w:r>
      <w:proofErr w:type="gramStart"/>
      <w:r w:rsidR="00346438" w:rsidRPr="001577F5">
        <w:rPr>
          <w:sz w:val="22"/>
          <w:szCs w:val="22"/>
        </w:rPr>
        <w:t>Based</w:t>
      </w:r>
      <w:proofErr w:type="gramEnd"/>
      <w:r w:rsidR="00346438" w:rsidRPr="001577F5">
        <w:rPr>
          <w:sz w:val="22"/>
          <w:szCs w:val="22"/>
        </w:rPr>
        <w:t xml:space="preserve"> on modeled market projections for FY 2027 (see below chart), BWFH determined 78 beds are needed to accommodate future volume at the industry standard occupancy rate of 85%. These beds will accommodate patient growth at BWFH (12), full implementation of the BWFH Transfer Program (17), and systemically shifting appropriate patients and cases from BWH to BWFH (49). The following chart details the analysis completed to determine that 78 new beds are needed at BWFH</w:t>
      </w:r>
      <w:r w:rsidR="009A0DC5" w:rsidRPr="001577F5">
        <w:rPr>
          <w:sz w:val="22"/>
          <w:szCs w:val="22"/>
        </w:rPr>
        <w:t>.</w:t>
      </w:r>
    </w:p>
    <w:p w14:paraId="07A9A1C2" w14:textId="146FBDB9" w:rsidR="009A0DC5" w:rsidRDefault="009A0DC5" w:rsidP="003E2846">
      <w:pPr>
        <w:rPr>
          <w:rFonts w:asciiTheme="minorHAnsi" w:hAnsiTheme="minorHAnsi" w:cstheme="minorHAnsi"/>
          <w:sz w:val="22"/>
          <w:szCs w:val="22"/>
        </w:rPr>
      </w:pPr>
    </w:p>
    <w:p w14:paraId="5648EAF1" w14:textId="77777777" w:rsidR="001577F5" w:rsidRDefault="001577F5" w:rsidP="003E2846">
      <w:pPr>
        <w:rPr>
          <w:rFonts w:asciiTheme="majorHAnsi" w:hAnsiTheme="majorHAnsi" w:cstheme="majorHAnsi"/>
          <w:b/>
          <w:bCs/>
          <w:color w:val="000000"/>
          <w:sz w:val="20"/>
          <w:szCs w:val="20"/>
        </w:rPr>
      </w:pPr>
    </w:p>
    <w:p w14:paraId="361323F9" w14:textId="0EBF2707" w:rsidR="00D202CB" w:rsidRPr="001577F5" w:rsidRDefault="00D77AEE" w:rsidP="003E2846">
      <w:pPr>
        <w:rPr>
          <w:b/>
          <w:bCs/>
          <w:sz w:val="22"/>
          <w:szCs w:val="22"/>
        </w:rPr>
      </w:pPr>
      <w:r w:rsidRPr="001577F5">
        <w:rPr>
          <w:b/>
          <w:bCs/>
          <w:color w:val="000000"/>
          <w:sz w:val="20"/>
          <w:szCs w:val="20"/>
        </w:rPr>
        <w:t>Table 1: Brigham and Women’s Faulkner Hospital Bed Need Analysis</w:t>
      </w:r>
    </w:p>
    <w:p w14:paraId="4E4B3AA6" w14:textId="77777777" w:rsidR="00D77AEE" w:rsidRDefault="00D77AEE" w:rsidP="003E2846">
      <w:pPr>
        <w:rPr>
          <w:rFonts w:asciiTheme="minorHAnsi" w:hAnsiTheme="minorHAnsi" w:cstheme="minorHAnsi"/>
          <w:sz w:val="22"/>
          <w:szCs w:val="22"/>
        </w:rPr>
      </w:pPr>
    </w:p>
    <w:tbl>
      <w:tblPr>
        <w:tblpPr w:leftFromText="180" w:rightFromText="180" w:vertAnchor="text" w:tblpY="1"/>
        <w:tblOverlap w:val="neve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900"/>
        <w:gridCol w:w="900"/>
        <w:gridCol w:w="990"/>
        <w:gridCol w:w="990"/>
        <w:gridCol w:w="900"/>
        <w:gridCol w:w="900"/>
        <w:gridCol w:w="1080"/>
        <w:gridCol w:w="900"/>
        <w:gridCol w:w="900"/>
        <w:gridCol w:w="2335"/>
      </w:tblGrid>
      <w:tr w:rsidR="00423BDA" w:rsidRPr="00D202CB" w14:paraId="255FB477" w14:textId="651B3F8F" w:rsidTr="00423BDA">
        <w:trPr>
          <w:trHeight w:val="290"/>
        </w:trPr>
        <w:tc>
          <w:tcPr>
            <w:tcW w:w="3240" w:type="dxa"/>
            <w:shd w:val="clear" w:color="000000" w:fill="44546A"/>
            <w:noWrap/>
            <w:vAlign w:val="bottom"/>
            <w:hideMark/>
          </w:tcPr>
          <w:p w14:paraId="4B191646" w14:textId="77777777" w:rsidR="00423BDA" w:rsidRPr="00D202CB" w:rsidRDefault="00423BDA" w:rsidP="00423BDA">
            <w:pPr>
              <w:suppressAutoHyphens w:val="0"/>
              <w:rPr>
                <w:rFonts w:asciiTheme="majorHAnsi" w:hAnsiTheme="majorHAnsi" w:cstheme="majorHAnsi"/>
                <w:b/>
                <w:bCs/>
                <w:color w:val="FFFFFF"/>
                <w:sz w:val="20"/>
                <w:szCs w:val="20"/>
              </w:rPr>
            </w:pPr>
            <w:r w:rsidRPr="00D202CB">
              <w:rPr>
                <w:rFonts w:asciiTheme="majorHAnsi" w:hAnsiTheme="majorHAnsi" w:cstheme="majorHAnsi"/>
                <w:b/>
                <w:bCs/>
                <w:color w:val="FFFFFF"/>
                <w:sz w:val="20"/>
                <w:szCs w:val="20"/>
              </w:rPr>
              <w:lastRenderedPageBreak/>
              <w:t> </w:t>
            </w:r>
          </w:p>
        </w:tc>
        <w:tc>
          <w:tcPr>
            <w:tcW w:w="2790" w:type="dxa"/>
            <w:gridSpan w:val="3"/>
            <w:shd w:val="clear" w:color="000000" w:fill="44546A"/>
            <w:noWrap/>
            <w:vAlign w:val="bottom"/>
            <w:hideMark/>
          </w:tcPr>
          <w:p w14:paraId="4E919391" w14:textId="77777777" w:rsidR="00423BDA" w:rsidRPr="00D202CB" w:rsidRDefault="00423BDA" w:rsidP="00423BDA">
            <w:pPr>
              <w:suppressAutoHyphens w:val="0"/>
              <w:jc w:val="center"/>
              <w:rPr>
                <w:rFonts w:asciiTheme="majorHAnsi" w:hAnsiTheme="majorHAnsi" w:cstheme="majorHAnsi"/>
                <w:b/>
                <w:bCs/>
                <w:color w:val="FFFFFF"/>
                <w:sz w:val="20"/>
                <w:szCs w:val="20"/>
              </w:rPr>
            </w:pPr>
            <w:r w:rsidRPr="00D202CB">
              <w:rPr>
                <w:rFonts w:asciiTheme="majorHAnsi" w:hAnsiTheme="majorHAnsi" w:cstheme="majorHAnsi"/>
                <w:b/>
                <w:bCs/>
                <w:color w:val="FFFFFF"/>
                <w:sz w:val="20"/>
                <w:szCs w:val="20"/>
              </w:rPr>
              <w:t>Volume</w:t>
            </w:r>
          </w:p>
        </w:tc>
        <w:tc>
          <w:tcPr>
            <w:tcW w:w="2790" w:type="dxa"/>
            <w:gridSpan w:val="3"/>
            <w:shd w:val="clear" w:color="000000" w:fill="44546A"/>
            <w:noWrap/>
            <w:vAlign w:val="bottom"/>
            <w:hideMark/>
          </w:tcPr>
          <w:p w14:paraId="705BFE89" w14:textId="77777777" w:rsidR="00423BDA" w:rsidRPr="00D202CB" w:rsidRDefault="00423BDA" w:rsidP="00423BDA">
            <w:pPr>
              <w:suppressAutoHyphens w:val="0"/>
              <w:jc w:val="center"/>
              <w:rPr>
                <w:rFonts w:asciiTheme="majorHAnsi" w:hAnsiTheme="majorHAnsi" w:cstheme="majorHAnsi"/>
                <w:b/>
                <w:bCs/>
                <w:color w:val="FFFFFF"/>
                <w:sz w:val="20"/>
                <w:szCs w:val="20"/>
              </w:rPr>
            </w:pPr>
            <w:r w:rsidRPr="00D202CB">
              <w:rPr>
                <w:rFonts w:asciiTheme="majorHAnsi" w:hAnsiTheme="majorHAnsi" w:cstheme="majorHAnsi"/>
                <w:b/>
                <w:bCs/>
                <w:color w:val="FFFFFF"/>
                <w:sz w:val="20"/>
                <w:szCs w:val="20"/>
              </w:rPr>
              <w:t>Patient Days</w:t>
            </w:r>
          </w:p>
        </w:tc>
        <w:tc>
          <w:tcPr>
            <w:tcW w:w="2880" w:type="dxa"/>
            <w:gridSpan w:val="3"/>
            <w:shd w:val="clear" w:color="000000" w:fill="44546A"/>
            <w:noWrap/>
            <w:vAlign w:val="bottom"/>
            <w:hideMark/>
          </w:tcPr>
          <w:p w14:paraId="12EBB512" w14:textId="77777777" w:rsidR="00423BDA" w:rsidRPr="00D202CB" w:rsidRDefault="00423BDA" w:rsidP="00423BDA">
            <w:pPr>
              <w:suppressAutoHyphens w:val="0"/>
              <w:jc w:val="center"/>
              <w:rPr>
                <w:rFonts w:asciiTheme="majorHAnsi" w:hAnsiTheme="majorHAnsi" w:cstheme="majorHAnsi"/>
                <w:b/>
                <w:bCs/>
                <w:color w:val="FFFFFF"/>
                <w:sz w:val="20"/>
                <w:szCs w:val="20"/>
              </w:rPr>
            </w:pPr>
            <w:r w:rsidRPr="00D202CB">
              <w:rPr>
                <w:rFonts w:asciiTheme="majorHAnsi" w:hAnsiTheme="majorHAnsi" w:cstheme="majorHAnsi"/>
                <w:b/>
                <w:bCs/>
                <w:color w:val="FFFFFF"/>
                <w:sz w:val="20"/>
                <w:szCs w:val="20"/>
              </w:rPr>
              <w:t>Average Daily Census</w:t>
            </w:r>
          </w:p>
        </w:tc>
        <w:tc>
          <w:tcPr>
            <w:tcW w:w="2335" w:type="dxa"/>
            <w:shd w:val="clear" w:color="000000" w:fill="44546A"/>
          </w:tcPr>
          <w:p w14:paraId="0BCBC12B" w14:textId="648EEB88" w:rsidR="00423BDA" w:rsidRDefault="00423BDA" w:rsidP="00423BDA">
            <w:pPr>
              <w:suppressAutoHyphens w:val="0"/>
              <w:jc w:val="center"/>
              <w:rPr>
                <w:rFonts w:asciiTheme="majorHAnsi" w:hAnsiTheme="majorHAnsi" w:cstheme="majorHAnsi"/>
                <w:b/>
                <w:bCs/>
                <w:color w:val="FFFFFF"/>
                <w:sz w:val="20"/>
                <w:szCs w:val="20"/>
              </w:rPr>
            </w:pPr>
            <w:r>
              <w:rPr>
                <w:rFonts w:asciiTheme="majorHAnsi" w:hAnsiTheme="majorHAnsi" w:cstheme="majorHAnsi"/>
                <w:b/>
                <w:bCs/>
                <w:color w:val="FFFFFF"/>
                <w:sz w:val="20"/>
                <w:szCs w:val="20"/>
              </w:rPr>
              <w:t>Incremental Bed Need</w:t>
            </w:r>
          </w:p>
        </w:tc>
      </w:tr>
      <w:tr w:rsidR="00423BDA" w:rsidRPr="00D202CB" w14:paraId="7851AFE3" w14:textId="22BE4E50" w:rsidTr="00423BDA">
        <w:trPr>
          <w:trHeight w:val="300"/>
        </w:trPr>
        <w:tc>
          <w:tcPr>
            <w:tcW w:w="3240" w:type="dxa"/>
            <w:shd w:val="clear" w:color="000000" w:fill="FFF2CC"/>
            <w:noWrap/>
            <w:vAlign w:val="bottom"/>
            <w:hideMark/>
          </w:tcPr>
          <w:p w14:paraId="639AF279" w14:textId="1D9BE98C" w:rsidR="00423BDA" w:rsidRPr="00D202CB" w:rsidRDefault="00423BDA" w:rsidP="00423BDA">
            <w:pPr>
              <w:suppressAutoHyphens w:val="0"/>
              <w:rPr>
                <w:rFonts w:asciiTheme="majorHAnsi" w:hAnsiTheme="majorHAnsi" w:cstheme="majorHAnsi"/>
                <w:b/>
                <w:bCs/>
                <w:color w:val="000000"/>
                <w:sz w:val="20"/>
                <w:szCs w:val="20"/>
              </w:rPr>
            </w:pPr>
          </w:p>
        </w:tc>
        <w:tc>
          <w:tcPr>
            <w:tcW w:w="900" w:type="dxa"/>
            <w:shd w:val="clear" w:color="000000" w:fill="FFF2CC"/>
            <w:noWrap/>
            <w:vAlign w:val="bottom"/>
            <w:hideMark/>
          </w:tcPr>
          <w:p w14:paraId="3A72E192" w14:textId="77777777"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Baseline</w:t>
            </w:r>
          </w:p>
        </w:tc>
        <w:tc>
          <w:tcPr>
            <w:tcW w:w="900" w:type="dxa"/>
            <w:shd w:val="clear" w:color="000000" w:fill="FFF2CC"/>
            <w:noWrap/>
            <w:vAlign w:val="bottom"/>
            <w:hideMark/>
          </w:tcPr>
          <w:p w14:paraId="644462BF" w14:textId="77777777"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FY 2027</w:t>
            </w:r>
          </w:p>
        </w:tc>
        <w:tc>
          <w:tcPr>
            <w:tcW w:w="990" w:type="dxa"/>
            <w:shd w:val="clear" w:color="000000" w:fill="FFF2CC"/>
            <w:noWrap/>
            <w:vAlign w:val="bottom"/>
            <w:hideMark/>
          </w:tcPr>
          <w:p w14:paraId="2E8D28E2" w14:textId="76D070B9"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Increase</w:t>
            </w:r>
          </w:p>
        </w:tc>
        <w:tc>
          <w:tcPr>
            <w:tcW w:w="990" w:type="dxa"/>
            <w:shd w:val="clear" w:color="000000" w:fill="FFF2CC"/>
            <w:noWrap/>
            <w:vAlign w:val="bottom"/>
            <w:hideMark/>
          </w:tcPr>
          <w:p w14:paraId="018E01D2" w14:textId="77777777"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Baseline</w:t>
            </w:r>
          </w:p>
        </w:tc>
        <w:tc>
          <w:tcPr>
            <w:tcW w:w="900" w:type="dxa"/>
            <w:shd w:val="clear" w:color="000000" w:fill="FFF2CC"/>
            <w:noWrap/>
            <w:vAlign w:val="bottom"/>
            <w:hideMark/>
          </w:tcPr>
          <w:p w14:paraId="3FE8767C" w14:textId="77777777"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FY 2027</w:t>
            </w:r>
          </w:p>
        </w:tc>
        <w:tc>
          <w:tcPr>
            <w:tcW w:w="900" w:type="dxa"/>
            <w:shd w:val="clear" w:color="000000" w:fill="FFF2CC"/>
            <w:noWrap/>
            <w:vAlign w:val="bottom"/>
            <w:hideMark/>
          </w:tcPr>
          <w:p w14:paraId="5416386E" w14:textId="5877B2CF"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Increase</w:t>
            </w:r>
          </w:p>
        </w:tc>
        <w:tc>
          <w:tcPr>
            <w:tcW w:w="1080" w:type="dxa"/>
            <w:shd w:val="clear" w:color="000000" w:fill="FFF2CC"/>
            <w:noWrap/>
            <w:vAlign w:val="bottom"/>
            <w:hideMark/>
          </w:tcPr>
          <w:p w14:paraId="0718622C" w14:textId="77777777"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Baseline</w:t>
            </w:r>
          </w:p>
        </w:tc>
        <w:tc>
          <w:tcPr>
            <w:tcW w:w="900" w:type="dxa"/>
            <w:shd w:val="clear" w:color="000000" w:fill="FFF2CC"/>
            <w:noWrap/>
            <w:vAlign w:val="bottom"/>
            <w:hideMark/>
          </w:tcPr>
          <w:p w14:paraId="4D7AD606" w14:textId="77777777"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FY 2027</w:t>
            </w:r>
          </w:p>
        </w:tc>
        <w:tc>
          <w:tcPr>
            <w:tcW w:w="900" w:type="dxa"/>
            <w:shd w:val="clear" w:color="000000" w:fill="FFF2CC"/>
            <w:noWrap/>
            <w:vAlign w:val="bottom"/>
            <w:hideMark/>
          </w:tcPr>
          <w:p w14:paraId="7C718C2D" w14:textId="004A4B20"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color w:val="000000"/>
                <w:sz w:val="20"/>
                <w:szCs w:val="20"/>
              </w:rPr>
              <w:t>Increase</w:t>
            </w:r>
          </w:p>
        </w:tc>
        <w:tc>
          <w:tcPr>
            <w:tcW w:w="2335" w:type="dxa"/>
            <w:shd w:val="clear" w:color="000000" w:fill="FFF2CC"/>
          </w:tcPr>
          <w:p w14:paraId="79CF15AC" w14:textId="59EEBE22" w:rsidR="00423BDA" w:rsidRPr="00423BDA" w:rsidRDefault="00423BDA" w:rsidP="00423BDA">
            <w:pPr>
              <w:suppressAutoHyphens w:val="0"/>
              <w:jc w:val="center"/>
              <w:rPr>
                <w:rFonts w:asciiTheme="majorHAnsi" w:hAnsiTheme="majorHAnsi" w:cstheme="majorHAnsi"/>
                <w:b/>
                <w:bCs/>
                <w:color w:val="000000"/>
                <w:sz w:val="20"/>
                <w:szCs w:val="20"/>
              </w:rPr>
            </w:pPr>
            <w:r w:rsidRPr="00423BDA">
              <w:rPr>
                <w:rFonts w:asciiTheme="majorHAnsi" w:hAnsiTheme="majorHAnsi" w:cstheme="majorHAnsi"/>
                <w:b/>
                <w:bCs/>
                <w:sz w:val="20"/>
                <w:szCs w:val="20"/>
              </w:rPr>
              <w:t>Adjusted for 85% Occupancy</w:t>
            </w:r>
          </w:p>
        </w:tc>
      </w:tr>
      <w:tr w:rsidR="00423BDA" w:rsidRPr="00D202CB" w14:paraId="7BEEAA6A" w14:textId="7613A5A3" w:rsidTr="00423BDA">
        <w:trPr>
          <w:trHeight w:val="290"/>
        </w:trPr>
        <w:tc>
          <w:tcPr>
            <w:tcW w:w="3240" w:type="dxa"/>
            <w:shd w:val="clear" w:color="000000" w:fill="FFFFFF"/>
            <w:noWrap/>
            <w:vAlign w:val="bottom"/>
            <w:hideMark/>
          </w:tcPr>
          <w:p w14:paraId="70D59E68" w14:textId="77777777" w:rsidR="00423BDA" w:rsidRPr="00D202CB" w:rsidRDefault="00423BDA" w:rsidP="00423BDA">
            <w:pPr>
              <w:suppressAutoHyphens w:val="0"/>
              <w:rPr>
                <w:rFonts w:asciiTheme="majorHAnsi" w:hAnsiTheme="majorHAnsi" w:cstheme="majorHAnsi"/>
                <w:color w:val="000000"/>
                <w:sz w:val="20"/>
                <w:szCs w:val="20"/>
              </w:rPr>
            </w:pPr>
            <w:r w:rsidRPr="00D202CB">
              <w:rPr>
                <w:rFonts w:asciiTheme="majorHAnsi" w:hAnsiTheme="majorHAnsi" w:cstheme="majorHAnsi"/>
                <w:color w:val="000000"/>
                <w:sz w:val="20"/>
                <w:szCs w:val="20"/>
              </w:rPr>
              <w:t>BWFH Patient Growth</w:t>
            </w:r>
          </w:p>
        </w:tc>
        <w:tc>
          <w:tcPr>
            <w:tcW w:w="900" w:type="dxa"/>
            <w:shd w:val="clear" w:color="000000" w:fill="FFFFFF"/>
            <w:noWrap/>
            <w:vAlign w:val="bottom"/>
            <w:hideMark/>
          </w:tcPr>
          <w:p w14:paraId="62DAFB3D"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11,295 </w:t>
            </w:r>
          </w:p>
        </w:tc>
        <w:tc>
          <w:tcPr>
            <w:tcW w:w="900" w:type="dxa"/>
            <w:shd w:val="clear" w:color="000000" w:fill="FFFFFF"/>
            <w:noWrap/>
            <w:vAlign w:val="bottom"/>
            <w:hideMark/>
          </w:tcPr>
          <w:p w14:paraId="05E545F4"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12,751 </w:t>
            </w:r>
          </w:p>
        </w:tc>
        <w:tc>
          <w:tcPr>
            <w:tcW w:w="990" w:type="dxa"/>
            <w:shd w:val="clear" w:color="000000" w:fill="FFFFFF"/>
            <w:noWrap/>
            <w:vAlign w:val="bottom"/>
            <w:hideMark/>
          </w:tcPr>
          <w:p w14:paraId="47B95F9B"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11%</w:t>
            </w:r>
          </w:p>
        </w:tc>
        <w:tc>
          <w:tcPr>
            <w:tcW w:w="990" w:type="dxa"/>
            <w:shd w:val="clear" w:color="000000" w:fill="FFFFFF"/>
            <w:noWrap/>
            <w:vAlign w:val="bottom"/>
            <w:hideMark/>
          </w:tcPr>
          <w:p w14:paraId="6013701F"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 xml:space="preserve">33,544 </w:t>
            </w:r>
          </w:p>
        </w:tc>
        <w:tc>
          <w:tcPr>
            <w:tcW w:w="900" w:type="dxa"/>
            <w:shd w:val="clear" w:color="000000" w:fill="FFFFFF"/>
            <w:noWrap/>
            <w:vAlign w:val="bottom"/>
            <w:hideMark/>
          </w:tcPr>
          <w:p w14:paraId="64C13192"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 xml:space="preserve">37,105 </w:t>
            </w:r>
          </w:p>
        </w:tc>
        <w:tc>
          <w:tcPr>
            <w:tcW w:w="900" w:type="dxa"/>
            <w:shd w:val="clear" w:color="000000" w:fill="FFFFFF"/>
            <w:noWrap/>
            <w:vAlign w:val="bottom"/>
            <w:hideMark/>
          </w:tcPr>
          <w:p w14:paraId="6297A5D9"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10%</w:t>
            </w:r>
          </w:p>
        </w:tc>
        <w:tc>
          <w:tcPr>
            <w:tcW w:w="1080" w:type="dxa"/>
            <w:shd w:val="clear" w:color="000000" w:fill="FFFFFF"/>
            <w:noWrap/>
            <w:vAlign w:val="bottom"/>
            <w:hideMark/>
          </w:tcPr>
          <w:p w14:paraId="3203CDCD"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92 </w:t>
            </w:r>
          </w:p>
        </w:tc>
        <w:tc>
          <w:tcPr>
            <w:tcW w:w="900" w:type="dxa"/>
            <w:shd w:val="clear" w:color="000000" w:fill="FFFFFF"/>
            <w:noWrap/>
            <w:vAlign w:val="bottom"/>
            <w:hideMark/>
          </w:tcPr>
          <w:p w14:paraId="56FAFC2D"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102 </w:t>
            </w:r>
          </w:p>
        </w:tc>
        <w:tc>
          <w:tcPr>
            <w:tcW w:w="900" w:type="dxa"/>
            <w:shd w:val="clear" w:color="000000" w:fill="FFFFFF"/>
            <w:noWrap/>
            <w:vAlign w:val="bottom"/>
            <w:hideMark/>
          </w:tcPr>
          <w:p w14:paraId="75A927DB"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10%</w:t>
            </w:r>
          </w:p>
        </w:tc>
        <w:tc>
          <w:tcPr>
            <w:tcW w:w="2335" w:type="dxa"/>
            <w:shd w:val="clear" w:color="000000" w:fill="FFFFFF"/>
            <w:vAlign w:val="bottom"/>
          </w:tcPr>
          <w:p w14:paraId="67BA1F23" w14:textId="7515FD11"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12 </w:t>
            </w:r>
          </w:p>
        </w:tc>
      </w:tr>
      <w:tr w:rsidR="00423BDA" w:rsidRPr="00D202CB" w14:paraId="4E5D2577" w14:textId="53106F6F" w:rsidTr="00423BDA">
        <w:trPr>
          <w:trHeight w:val="290"/>
        </w:trPr>
        <w:tc>
          <w:tcPr>
            <w:tcW w:w="3240" w:type="dxa"/>
            <w:shd w:val="clear" w:color="000000" w:fill="FFFFFF"/>
            <w:noWrap/>
            <w:vAlign w:val="bottom"/>
            <w:hideMark/>
          </w:tcPr>
          <w:p w14:paraId="0E0CACBB" w14:textId="067FA9E1" w:rsidR="00423BDA" w:rsidRPr="00D202CB" w:rsidRDefault="00423BDA" w:rsidP="00423BDA">
            <w:pPr>
              <w:suppressAutoHyphens w:val="0"/>
              <w:rPr>
                <w:rFonts w:asciiTheme="majorHAnsi" w:hAnsiTheme="majorHAnsi" w:cstheme="majorHAnsi"/>
                <w:color w:val="000000"/>
                <w:sz w:val="20"/>
                <w:szCs w:val="20"/>
              </w:rPr>
            </w:pPr>
            <w:r>
              <w:rPr>
                <w:rFonts w:asciiTheme="majorHAnsi" w:hAnsiTheme="majorHAnsi" w:cstheme="majorHAnsi"/>
                <w:color w:val="000000"/>
                <w:sz w:val="20"/>
                <w:szCs w:val="20"/>
              </w:rPr>
              <w:t xml:space="preserve">Shifting Services from BWH to BWFH </w:t>
            </w:r>
            <w:r w:rsidRPr="00D202CB">
              <w:rPr>
                <w:rFonts w:asciiTheme="majorHAnsi" w:hAnsiTheme="majorHAnsi" w:cstheme="majorHAnsi"/>
                <w:color w:val="000000"/>
                <w:sz w:val="20"/>
                <w:szCs w:val="20"/>
              </w:rPr>
              <w:t xml:space="preserve"> </w:t>
            </w:r>
          </w:p>
        </w:tc>
        <w:tc>
          <w:tcPr>
            <w:tcW w:w="900" w:type="dxa"/>
            <w:shd w:val="clear" w:color="000000" w:fill="FFFFFF"/>
            <w:noWrap/>
            <w:vAlign w:val="bottom"/>
            <w:hideMark/>
          </w:tcPr>
          <w:p w14:paraId="3C9A3FD1"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0 </w:t>
            </w:r>
          </w:p>
        </w:tc>
        <w:tc>
          <w:tcPr>
            <w:tcW w:w="900" w:type="dxa"/>
            <w:shd w:val="clear" w:color="000000" w:fill="FFFFFF"/>
            <w:noWrap/>
            <w:vAlign w:val="bottom"/>
            <w:hideMark/>
          </w:tcPr>
          <w:p w14:paraId="048EFCA3"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4,235 </w:t>
            </w:r>
          </w:p>
        </w:tc>
        <w:tc>
          <w:tcPr>
            <w:tcW w:w="990" w:type="dxa"/>
            <w:shd w:val="clear" w:color="000000" w:fill="FFFFFF"/>
            <w:noWrap/>
            <w:vAlign w:val="bottom"/>
            <w:hideMark/>
          </w:tcPr>
          <w:p w14:paraId="7C7EA62B"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w:t>
            </w:r>
          </w:p>
        </w:tc>
        <w:tc>
          <w:tcPr>
            <w:tcW w:w="990" w:type="dxa"/>
            <w:shd w:val="clear" w:color="000000" w:fill="FFFFFF"/>
            <w:noWrap/>
            <w:vAlign w:val="bottom"/>
            <w:hideMark/>
          </w:tcPr>
          <w:p w14:paraId="6DE9D46E"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 xml:space="preserve">0 </w:t>
            </w:r>
          </w:p>
        </w:tc>
        <w:tc>
          <w:tcPr>
            <w:tcW w:w="900" w:type="dxa"/>
            <w:shd w:val="clear" w:color="000000" w:fill="FFFFFF"/>
            <w:noWrap/>
            <w:vAlign w:val="bottom"/>
            <w:hideMark/>
          </w:tcPr>
          <w:p w14:paraId="3E87814A"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 xml:space="preserve">14,993 </w:t>
            </w:r>
          </w:p>
        </w:tc>
        <w:tc>
          <w:tcPr>
            <w:tcW w:w="900" w:type="dxa"/>
            <w:shd w:val="clear" w:color="000000" w:fill="FFFFFF"/>
            <w:noWrap/>
            <w:vAlign w:val="bottom"/>
            <w:hideMark/>
          </w:tcPr>
          <w:p w14:paraId="6F77BB23"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w:t>
            </w:r>
          </w:p>
        </w:tc>
        <w:tc>
          <w:tcPr>
            <w:tcW w:w="1080" w:type="dxa"/>
            <w:shd w:val="clear" w:color="000000" w:fill="FFFFFF"/>
            <w:noWrap/>
            <w:vAlign w:val="bottom"/>
            <w:hideMark/>
          </w:tcPr>
          <w:p w14:paraId="13971365"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0 </w:t>
            </w:r>
          </w:p>
        </w:tc>
        <w:tc>
          <w:tcPr>
            <w:tcW w:w="900" w:type="dxa"/>
            <w:shd w:val="clear" w:color="000000" w:fill="FFFFFF"/>
            <w:noWrap/>
            <w:vAlign w:val="bottom"/>
            <w:hideMark/>
          </w:tcPr>
          <w:p w14:paraId="25CFD5AC"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41 </w:t>
            </w:r>
          </w:p>
        </w:tc>
        <w:tc>
          <w:tcPr>
            <w:tcW w:w="900" w:type="dxa"/>
            <w:shd w:val="clear" w:color="000000" w:fill="FFFFFF"/>
            <w:noWrap/>
            <w:vAlign w:val="bottom"/>
            <w:hideMark/>
          </w:tcPr>
          <w:p w14:paraId="3144E201"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w:t>
            </w:r>
          </w:p>
        </w:tc>
        <w:tc>
          <w:tcPr>
            <w:tcW w:w="2335" w:type="dxa"/>
            <w:shd w:val="clear" w:color="000000" w:fill="FFFFFF"/>
            <w:vAlign w:val="bottom"/>
          </w:tcPr>
          <w:p w14:paraId="1F241BE7" w14:textId="679A7E5E"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4</w:t>
            </w:r>
            <w:r>
              <w:rPr>
                <w:rFonts w:asciiTheme="majorHAnsi" w:hAnsiTheme="majorHAnsi" w:cstheme="majorHAnsi"/>
                <w:sz w:val="20"/>
                <w:szCs w:val="20"/>
              </w:rPr>
              <w:t>9</w:t>
            </w:r>
          </w:p>
        </w:tc>
      </w:tr>
      <w:tr w:rsidR="00423BDA" w:rsidRPr="00D202CB" w14:paraId="4270EDA4" w14:textId="00618C0E" w:rsidTr="00423BDA">
        <w:trPr>
          <w:trHeight w:val="290"/>
        </w:trPr>
        <w:tc>
          <w:tcPr>
            <w:tcW w:w="3240" w:type="dxa"/>
            <w:shd w:val="clear" w:color="000000" w:fill="FFFFFF"/>
            <w:noWrap/>
            <w:vAlign w:val="bottom"/>
            <w:hideMark/>
          </w:tcPr>
          <w:p w14:paraId="66732038" w14:textId="15F58E23" w:rsidR="00423BDA" w:rsidRPr="00D202CB" w:rsidRDefault="00423BDA" w:rsidP="00423BDA">
            <w:pPr>
              <w:suppressAutoHyphens w:val="0"/>
              <w:rPr>
                <w:rFonts w:asciiTheme="majorHAnsi" w:hAnsiTheme="majorHAnsi" w:cstheme="majorHAnsi"/>
                <w:color w:val="000000"/>
                <w:sz w:val="20"/>
                <w:szCs w:val="20"/>
              </w:rPr>
            </w:pPr>
            <w:r>
              <w:rPr>
                <w:rFonts w:asciiTheme="majorHAnsi" w:hAnsiTheme="majorHAnsi" w:cstheme="majorHAnsi"/>
                <w:color w:val="000000"/>
                <w:sz w:val="20"/>
                <w:szCs w:val="20"/>
              </w:rPr>
              <w:t>BWH to BWFH</w:t>
            </w:r>
            <w:r w:rsidRPr="00D202CB">
              <w:rPr>
                <w:rFonts w:asciiTheme="majorHAnsi" w:hAnsiTheme="majorHAnsi" w:cstheme="majorHAnsi"/>
                <w:color w:val="000000"/>
                <w:sz w:val="20"/>
                <w:szCs w:val="20"/>
              </w:rPr>
              <w:t xml:space="preserve"> Transfer Program</w:t>
            </w:r>
          </w:p>
        </w:tc>
        <w:tc>
          <w:tcPr>
            <w:tcW w:w="900" w:type="dxa"/>
            <w:shd w:val="clear" w:color="000000" w:fill="FFFFFF"/>
            <w:noWrap/>
            <w:vAlign w:val="bottom"/>
            <w:hideMark/>
          </w:tcPr>
          <w:p w14:paraId="68E0D8C9"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0 </w:t>
            </w:r>
          </w:p>
        </w:tc>
        <w:tc>
          <w:tcPr>
            <w:tcW w:w="900" w:type="dxa"/>
            <w:shd w:val="clear" w:color="000000" w:fill="FFFFFF"/>
            <w:noWrap/>
            <w:vAlign w:val="bottom"/>
            <w:hideMark/>
          </w:tcPr>
          <w:p w14:paraId="14E98C5C"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1,439 </w:t>
            </w:r>
          </w:p>
        </w:tc>
        <w:tc>
          <w:tcPr>
            <w:tcW w:w="990" w:type="dxa"/>
            <w:shd w:val="clear" w:color="000000" w:fill="FFFFFF"/>
            <w:noWrap/>
            <w:vAlign w:val="bottom"/>
            <w:hideMark/>
          </w:tcPr>
          <w:p w14:paraId="5EBA6A21"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w:t>
            </w:r>
          </w:p>
        </w:tc>
        <w:tc>
          <w:tcPr>
            <w:tcW w:w="990" w:type="dxa"/>
            <w:shd w:val="clear" w:color="000000" w:fill="FFFFFF"/>
            <w:noWrap/>
            <w:vAlign w:val="bottom"/>
            <w:hideMark/>
          </w:tcPr>
          <w:p w14:paraId="2EA34A50"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 xml:space="preserve">0 </w:t>
            </w:r>
          </w:p>
        </w:tc>
        <w:tc>
          <w:tcPr>
            <w:tcW w:w="900" w:type="dxa"/>
            <w:shd w:val="clear" w:color="000000" w:fill="FFFFFF"/>
            <w:noWrap/>
            <w:vAlign w:val="bottom"/>
            <w:hideMark/>
          </w:tcPr>
          <w:p w14:paraId="4966B6BA"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 xml:space="preserve">5,093 </w:t>
            </w:r>
          </w:p>
        </w:tc>
        <w:tc>
          <w:tcPr>
            <w:tcW w:w="900" w:type="dxa"/>
            <w:shd w:val="clear" w:color="000000" w:fill="FFFFFF"/>
            <w:noWrap/>
            <w:vAlign w:val="bottom"/>
            <w:hideMark/>
          </w:tcPr>
          <w:p w14:paraId="047CEB58"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w:t>
            </w:r>
          </w:p>
        </w:tc>
        <w:tc>
          <w:tcPr>
            <w:tcW w:w="1080" w:type="dxa"/>
            <w:shd w:val="clear" w:color="000000" w:fill="FFFFFF"/>
            <w:noWrap/>
            <w:vAlign w:val="bottom"/>
            <w:hideMark/>
          </w:tcPr>
          <w:p w14:paraId="60633A3B"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0 </w:t>
            </w:r>
          </w:p>
        </w:tc>
        <w:tc>
          <w:tcPr>
            <w:tcW w:w="900" w:type="dxa"/>
            <w:shd w:val="clear" w:color="000000" w:fill="FFFFFF"/>
            <w:noWrap/>
            <w:vAlign w:val="bottom"/>
            <w:hideMark/>
          </w:tcPr>
          <w:p w14:paraId="59BDCE96" w14:textId="77777777"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 xml:space="preserve">14 </w:t>
            </w:r>
          </w:p>
        </w:tc>
        <w:tc>
          <w:tcPr>
            <w:tcW w:w="900" w:type="dxa"/>
            <w:shd w:val="clear" w:color="000000" w:fill="FFFFFF"/>
            <w:noWrap/>
            <w:vAlign w:val="bottom"/>
            <w:hideMark/>
          </w:tcPr>
          <w:p w14:paraId="61AB3292" w14:textId="77777777" w:rsidR="00423BDA" w:rsidRPr="00D202CB" w:rsidRDefault="00423BDA" w:rsidP="00423BDA">
            <w:pPr>
              <w:suppressAutoHyphens w:val="0"/>
              <w:jc w:val="center"/>
              <w:rPr>
                <w:rFonts w:asciiTheme="majorHAnsi" w:hAnsiTheme="majorHAnsi" w:cstheme="majorHAnsi"/>
                <w:color w:val="000000"/>
                <w:sz w:val="20"/>
                <w:szCs w:val="20"/>
              </w:rPr>
            </w:pPr>
            <w:r w:rsidRPr="00D202CB">
              <w:rPr>
                <w:rFonts w:asciiTheme="majorHAnsi" w:hAnsiTheme="majorHAnsi" w:cstheme="majorHAnsi"/>
                <w:color w:val="000000"/>
                <w:sz w:val="20"/>
                <w:szCs w:val="20"/>
              </w:rPr>
              <w:t>-</w:t>
            </w:r>
          </w:p>
        </w:tc>
        <w:tc>
          <w:tcPr>
            <w:tcW w:w="2335" w:type="dxa"/>
            <w:shd w:val="clear" w:color="000000" w:fill="FFFFFF"/>
            <w:vAlign w:val="bottom"/>
          </w:tcPr>
          <w:p w14:paraId="426C6AEC" w14:textId="2CEECC78" w:rsidR="00423BDA" w:rsidRPr="00D202CB" w:rsidRDefault="00423BDA" w:rsidP="00423BDA">
            <w:pPr>
              <w:suppressAutoHyphens w:val="0"/>
              <w:jc w:val="center"/>
              <w:rPr>
                <w:rFonts w:asciiTheme="majorHAnsi" w:hAnsiTheme="majorHAnsi" w:cstheme="majorHAnsi"/>
                <w:sz w:val="20"/>
                <w:szCs w:val="20"/>
              </w:rPr>
            </w:pPr>
            <w:r w:rsidRPr="00D202CB">
              <w:rPr>
                <w:rFonts w:asciiTheme="majorHAnsi" w:hAnsiTheme="majorHAnsi" w:cstheme="majorHAnsi"/>
                <w:sz w:val="20"/>
                <w:szCs w:val="20"/>
              </w:rPr>
              <w:t>1</w:t>
            </w:r>
            <w:r>
              <w:rPr>
                <w:rFonts w:asciiTheme="majorHAnsi" w:hAnsiTheme="majorHAnsi" w:cstheme="majorHAnsi"/>
                <w:sz w:val="20"/>
                <w:szCs w:val="20"/>
              </w:rPr>
              <w:t>7</w:t>
            </w:r>
            <w:r w:rsidRPr="00D202CB">
              <w:rPr>
                <w:rFonts w:asciiTheme="majorHAnsi" w:hAnsiTheme="majorHAnsi" w:cstheme="majorHAnsi"/>
                <w:sz w:val="20"/>
                <w:szCs w:val="20"/>
              </w:rPr>
              <w:t xml:space="preserve"> </w:t>
            </w:r>
          </w:p>
        </w:tc>
      </w:tr>
      <w:tr w:rsidR="00423BDA" w:rsidRPr="00D202CB" w14:paraId="70C71F47" w14:textId="65647D81" w:rsidTr="00423BDA">
        <w:trPr>
          <w:trHeight w:val="300"/>
        </w:trPr>
        <w:tc>
          <w:tcPr>
            <w:tcW w:w="3240" w:type="dxa"/>
            <w:shd w:val="clear" w:color="000000" w:fill="DBDBDB"/>
            <w:noWrap/>
            <w:vAlign w:val="bottom"/>
            <w:hideMark/>
          </w:tcPr>
          <w:p w14:paraId="01597B8F" w14:textId="77777777" w:rsidR="00423BDA" w:rsidRPr="00D202CB" w:rsidRDefault="00423BDA" w:rsidP="00423BDA">
            <w:pPr>
              <w:suppressAutoHyphens w:val="0"/>
              <w:rPr>
                <w:rFonts w:asciiTheme="majorHAnsi" w:hAnsiTheme="majorHAnsi" w:cstheme="majorHAnsi"/>
                <w:b/>
                <w:bCs/>
                <w:color w:val="000000"/>
                <w:sz w:val="20"/>
                <w:szCs w:val="20"/>
              </w:rPr>
            </w:pPr>
            <w:r w:rsidRPr="00D202CB">
              <w:rPr>
                <w:rFonts w:asciiTheme="majorHAnsi" w:hAnsiTheme="majorHAnsi" w:cstheme="majorHAnsi"/>
                <w:b/>
                <w:bCs/>
                <w:color w:val="000000"/>
                <w:sz w:val="20"/>
                <w:szCs w:val="20"/>
              </w:rPr>
              <w:t>Total</w:t>
            </w:r>
          </w:p>
        </w:tc>
        <w:tc>
          <w:tcPr>
            <w:tcW w:w="900" w:type="dxa"/>
            <w:shd w:val="clear" w:color="000000" w:fill="DBDBDB"/>
            <w:noWrap/>
            <w:vAlign w:val="bottom"/>
            <w:hideMark/>
          </w:tcPr>
          <w:p w14:paraId="684F1BBD" w14:textId="77777777" w:rsidR="00423BDA" w:rsidRPr="00D202CB" w:rsidRDefault="00423BDA" w:rsidP="00423BDA">
            <w:pPr>
              <w:suppressAutoHyphens w:val="0"/>
              <w:jc w:val="center"/>
              <w:rPr>
                <w:rFonts w:asciiTheme="majorHAnsi" w:hAnsiTheme="majorHAnsi" w:cstheme="majorHAnsi"/>
                <w:b/>
                <w:bCs/>
                <w:sz w:val="20"/>
                <w:szCs w:val="20"/>
              </w:rPr>
            </w:pPr>
            <w:r w:rsidRPr="00D202CB">
              <w:rPr>
                <w:rFonts w:asciiTheme="majorHAnsi" w:hAnsiTheme="majorHAnsi" w:cstheme="majorHAnsi"/>
                <w:b/>
                <w:bCs/>
                <w:sz w:val="20"/>
                <w:szCs w:val="20"/>
              </w:rPr>
              <w:t xml:space="preserve">11,295 </w:t>
            </w:r>
          </w:p>
        </w:tc>
        <w:tc>
          <w:tcPr>
            <w:tcW w:w="900" w:type="dxa"/>
            <w:shd w:val="clear" w:color="000000" w:fill="DBDBDB"/>
            <w:noWrap/>
            <w:vAlign w:val="bottom"/>
            <w:hideMark/>
          </w:tcPr>
          <w:p w14:paraId="3DE811C1" w14:textId="77777777" w:rsidR="00423BDA" w:rsidRPr="00D202CB" w:rsidRDefault="00423BDA" w:rsidP="00423BDA">
            <w:pPr>
              <w:suppressAutoHyphens w:val="0"/>
              <w:jc w:val="center"/>
              <w:rPr>
                <w:rFonts w:asciiTheme="majorHAnsi" w:hAnsiTheme="majorHAnsi" w:cstheme="majorHAnsi"/>
                <w:b/>
                <w:bCs/>
                <w:sz w:val="20"/>
                <w:szCs w:val="20"/>
              </w:rPr>
            </w:pPr>
            <w:r w:rsidRPr="00D202CB">
              <w:rPr>
                <w:rFonts w:asciiTheme="majorHAnsi" w:hAnsiTheme="majorHAnsi" w:cstheme="majorHAnsi"/>
                <w:b/>
                <w:bCs/>
                <w:sz w:val="20"/>
                <w:szCs w:val="20"/>
              </w:rPr>
              <w:t xml:space="preserve">18,425 </w:t>
            </w:r>
          </w:p>
        </w:tc>
        <w:tc>
          <w:tcPr>
            <w:tcW w:w="990" w:type="dxa"/>
            <w:shd w:val="clear" w:color="000000" w:fill="DBDBDB"/>
            <w:noWrap/>
            <w:vAlign w:val="bottom"/>
            <w:hideMark/>
          </w:tcPr>
          <w:p w14:paraId="0AFDE8C4" w14:textId="77777777" w:rsidR="00423BDA" w:rsidRPr="00D202CB" w:rsidRDefault="00423BDA" w:rsidP="00423BDA">
            <w:pPr>
              <w:suppressAutoHyphens w:val="0"/>
              <w:jc w:val="center"/>
              <w:rPr>
                <w:rFonts w:asciiTheme="majorHAnsi" w:hAnsiTheme="majorHAnsi" w:cstheme="majorHAnsi"/>
                <w:b/>
                <w:bCs/>
                <w:color w:val="000000"/>
                <w:sz w:val="20"/>
                <w:szCs w:val="20"/>
              </w:rPr>
            </w:pPr>
            <w:r w:rsidRPr="00D202CB">
              <w:rPr>
                <w:rFonts w:asciiTheme="majorHAnsi" w:hAnsiTheme="majorHAnsi" w:cstheme="majorHAnsi"/>
                <w:b/>
                <w:bCs/>
                <w:color w:val="000000"/>
                <w:sz w:val="20"/>
                <w:szCs w:val="20"/>
              </w:rPr>
              <w:t>63%</w:t>
            </w:r>
          </w:p>
        </w:tc>
        <w:tc>
          <w:tcPr>
            <w:tcW w:w="990" w:type="dxa"/>
            <w:shd w:val="clear" w:color="000000" w:fill="DBDBDB"/>
            <w:noWrap/>
            <w:vAlign w:val="bottom"/>
            <w:hideMark/>
          </w:tcPr>
          <w:p w14:paraId="663A3152" w14:textId="77777777" w:rsidR="00423BDA" w:rsidRPr="00D202CB" w:rsidRDefault="00423BDA" w:rsidP="00423BDA">
            <w:pPr>
              <w:suppressAutoHyphens w:val="0"/>
              <w:jc w:val="center"/>
              <w:rPr>
                <w:rFonts w:asciiTheme="majorHAnsi" w:hAnsiTheme="majorHAnsi" w:cstheme="majorHAnsi"/>
                <w:b/>
                <w:bCs/>
                <w:color w:val="000000"/>
                <w:sz w:val="20"/>
                <w:szCs w:val="20"/>
              </w:rPr>
            </w:pPr>
            <w:r w:rsidRPr="00D202CB">
              <w:rPr>
                <w:rFonts w:asciiTheme="majorHAnsi" w:hAnsiTheme="majorHAnsi" w:cstheme="majorHAnsi"/>
                <w:b/>
                <w:bCs/>
                <w:color w:val="000000"/>
                <w:sz w:val="20"/>
                <w:szCs w:val="20"/>
              </w:rPr>
              <w:t xml:space="preserve">33,544 </w:t>
            </w:r>
          </w:p>
        </w:tc>
        <w:tc>
          <w:tcPr>
            <w:tcW w:w="900" w:type="dxa"/>
            <w:shd w:val="clear" w:color="000000" w:fill="DBDBDB"/>
            <w:noWrap/>
            <w:vAlign w:val="bottom"/>
            <w:hideMark/>
          </w:tcPr>
          <w:p w14:paraId="6182FECA" w14:textId="77777777" w:rsidR="00423BDA" w:rsidRPr="00D202CB" w:rsidRDefault="00423BDA" w:rsidP="00423BDA">
            <w:pPr>
              <w:suppressAutoHyphens w:val="0"/>
              <w:jc w:val="center"/>
              <w:rPr>
                <w:rFonts w:asciiTheme="majorHAnsi" w:hAnsiTheme="majorHAnsi" w:cstheme="majorHAnsi"/>
                <w:b/>
                <w:bCs/>
                <w:color w:val="000000"/>
                <w:sz w:val="20"/>
                <w:szCs w:val="20"/>
              </w:rPr>
            </w:pPr>
            <w:r w:rsidRPr="00D202CB">
              <w:rPr>
                <w:rFonts w:asciiTheme="majorHAnsi" w:hAnsiTheme="majorHAnsi" w:cstheme="majorHAnsi"/>
                <w:b/>
                <w:bCs/>
                <w:color w:val="000000"/>
                <w:sz w:val="20"/>
                <w:szCs w:val="20"/>
              </w:rPr>
              <w:t xml:space="preserve">57,191 </w:t>
            </w:r>
          </w:p>
        </w:tc>
        <w:tc>
          <w:tcPr>
            <w:tcW w:w="900" w:type="dxa"/>
            <w:shd w:val="clear" w:color="000000" w:fill="DBDBDB"/>
            <w:noWrap/>
            <w:vAlign w:val="bottom"/>
            <w:hideMark/>
          </w:tcPr>
          <w:p w14:paraId="797569B7" w14:textId="77777777" w:rsidR="00423BDA" w:rsidRPr="00D202CB" w:rsidRDefault="00423BDA" w:rsidP="00423BDA">
            <w:pPr>
              <w:suppressAutoHyphens w:val="0"/>
              <w:jc w:val="center"/>
              <w:rPr>
                <w:rFonts w:asciiTheme="majorHAnsi" w:hAnsiTheme="majorHAnsi" w:cstheme="majorHAnsi"/>
                <w:b/>
                <w:bCs/>
                <w:color w:val="000000"/>
                <w:sz w:val="20"/>
                <w:szCs w:val="20"/>
              </w:rPr>
            </w:pPr>
            <w:r w:rsidRPr="00D202CB">
              <w:rPr>
                <w:rFonts w:asciiTheme="majorHAnsi" w:hAnsiTheme="majorHAnsi" w:cstheme="majorHAnsi"/>
                <w:b/>
                <w:bCs/>
                <w:color w:val="000000"/>
                <w:sz w:val="20"/>
                <w:szCs w:val="20"/>
              </w:rPr>
              <w:t>70%</w:t>
            </w:r>
          </w:p>
        </w:tc>
        <w:tc>
          <w:tcPr>
            <w:tcW w:w="1080" w:type="dxa"/>
            <w:shd w:val="clear" w:color="000000" w:fill="DBDBDB"/>
            <w:noWrap/>
            <w:vAlign w:val="bottom"/>
            <w:hideMark/>
          </w:tcPr>
          <w:p w14:paraId="59C3ED37" w14:textId="77777777" w:rsidR="00423BDA" w:rsidRPr="00D202CB" w:rsidRDefault="00423BDA" w:rsidP="00423BDA">
            <w:pPr>
              <w:suppressAutoHyphens w:val="0"/>
              <w:jc w:val="center"/>
              <w:rPr>
                <w:rFonts w:asciiTheme="majorHAnsi" w:hAnsiTheme="majorHAnsi" w:cstheme="majorHAnsi"/>
                <w:b/>
                <w:bCs/>
                <w:sz w:val="20"/>
                <w:szCs w:val="20"/>
              </w:rPr>
            </w:pPr>
            <w:r w:rsidRPr="00D202CB">
              <w:rPr>
                <w:rFonts w:asciiTheme="majorHAnsi" w:hAnsiTheme="majorHAnsi" w:cstheme="majorHAnsi"/>
                <w:b/>
                <w:bCs/>
                <w:sz w:val="20"/>
                <w:szCs w:val="20"/>
              </w:rPr>
              <w:t xml:space="preserve">92 </w:t>
            </w:r>
          </w:p>
        </w:tc>
        <w:tc>
          <w:tcPr>
            <w:tcW w:w="900" w:type="dxa"/>
            <w:shd w:val="clear" w:color="000000" w:fill="DBDBDB"/>
            <w:noWrap/>
            <w:vAlign w:val="bottom"/>
            <w:hideMark/>
          </w:tcPr>
          <w:p w14:paraId="4C70499F" w14:textId="77777777" w:rsidR="00423BDA" w:rsidRPr="00D202CB" w:rsidRDefault="00423BDA" w:rsidP="00423BDA">
            <w:pPr>
              <w:suppressAutoHyphens w:val="0"/>
              <w:jc w:val="center"/>
              <w:rPr>
                <w:rFonts w:asciiTheme="majorHAnsi" w:hAnsiTheme="majorHAnsi" w:cstheme="majorHAnsi"/>
                <w:b/>
                <w:bCs/>
                <w:sz w:val="20"/>
                <w:szCs w:val="20"/>
              </w:rPr>
            </w:pPr>
            <w:r w:rsidRPr="00D202CB">
              <w:rPr>
                <w:rFonts w:asciiTheme="majorHAnsi" w:hAnsiTheme="majorHAnsi" w:cstheme="majorHAnsi"/>
                <w:b/>
                <w:bCs/>
                <w:sz w:val="20"/>
                <w:szCs w:val="20"/>
              </w:rPr>
              <w:t xml:space="preserve">157 </w:t>
            </w:r>
          </w:p>
        </w:tc>
        <w:tc>
          <w:tcPr>
            <w:tcW w:w="900" w:type="dxa"/>
            <w:shd w:val="clear" w:color="000000" w:fill="DBDBDB"/>
            <w:noWrap/>
            <w:vAlign w:val="bottom"/>
            <w:hideMark/>
          </w:tcPr>
          <w:p w14:paraId="0AC52F28" w14:textId="77777777" w:rsidR="00423BDA" w:rsidRPr="00D202CB" w:rsidRDefault="00423BDA" w:rsidP="00423BDA">
            <w:pPr>
              <w:suppressAutoHyphens w:val="0"/>
              <w:jc w:val="center"/>
              <w:rPr>
                <w:rFonts w:asciiTheme="majorHAnsi" w:hAnsiTheme="majorHAnsi" w:cstheme="majorHAnsi"/>
                <w:b/>
                <w:bCs/>
                <w:color w:val="000000"/>
                <w:sz w:val="20"/>
                <w:szCs w:val="20"/>
              </w:rPr>
            </w:pPr>
            <w:r w:rsidRPr="00D202CB">
              <w:rPr>
                <w:rFonts w:asciiTheme="majorHAnsi" w:hAnsiTheme="majorHAnsi" w:cstheme="majorHAnsi"/>
                <w:b/>
                <w:bCs/>
                <w:color w:val="000000"/>
                <w:sz w:val="20"/>
                <w:szCs w:val="20"/>
              </w:rPr>
              <w:t>70%</w:t>
            </w:r>
          </w:p>
        </w:tc>
        <w:tc>
          <w:tcPr>
            <w:tcW w:w="2335" w:type="dxa"/>
            <w:shd w:val="clear" w:color="000000" w:fill="DBDBDB"/>
            <w:vAlign w:val="bottom"/>
          </w:tcPr>
          <w:p w14:paraId="6C09A45F" w14:textId="6026D5C8" w:rsidR="00423BDA" w:rsidRPr="00D202CB" w:rsidRDefault="00423BDA" w:rsidP="00423BDA">
            <w:pPr>
              <w:suppressAutoHyphens w:val="0"/>
              <w:jc w:val="center"/>
              <w:rPr>
                <w:rFonts w:asciiTheme="majorHAnsi" w:hAnsiTheme="majorHAnsi" w:cstheme="majorHAnsi"/>
                <w:b/>
                <w:bCs/>
                <w:sz w:val="20"/>
                <w:szCs w:val="20"/>
              </w:rPr>
            </w:pPr>
            <w:bookmarkStart w:id="0" w:name="_GoBack"/>
            <w:r w:rsidRPr="00D202CB">
              <w:rPr>
                <w:rFonts w:asciiTheme="majorHAnsi" w:hAnsiTheme="majorHAnsi" w:cstheme="majorHAnsi"/>
                <w:b/>
                <w:bCs/>
                <w:sz w:val="20"/>
                <w:szCs w:val="20"/>
              </w:rPr>
              <w:t>7</w:t>
            </w:r>
            <w:r>
              <w:rPr>
                <w:rFonts w:asciiTheme="majorHAnsi" w:hAnsiTheme="majorHAnsi" w:cstheme="majorHAnsi"/>
                <w:b/>
                <w:bCs/>
                <w:sz w:val="20"/>
                <w:szCs w:val="20"/>
              </w:rPr>
              <w:t>8</w:t>
            </w:r>
            <w:r w:rsidRPr="00D202CB">
              <w:rPr>
                <w:rFonts w:asciiTheme="majorHAnsi" w:hAnsiTheme="majorHAnsi" w:cstheme="majorHAnsi"/>
                <w:b/>
                <w:bCs/>
                <w:sz w:val="20"/>
                <w:szCs w:val="20"/>
              </w:rPr>
              <w:t xml:space="preserve"> </w:t>
            </w:r>
            <w:bookmarkEnd w:id="0"/>
          </w:p>
        </w:tc>
      </w:tr>
    </w:tbl>
    <w:p w14:paraId="72C03F27" w14:textId="6A652478" w:rsidR="009433E9" w:rsidRDefault="00423BDA" w:rsidP="00F75B1B">
      <w:r>
        <w:rPr>
          <w:rFonts w:asciiTheme="minorHAnsi" w:hAnsiTheme="minorHAnsi" w:cstheme="minorHAnsi"/>
          <w:sz w:val="22"/>
          <w:szCs w:val="22"/>
        </w:rPr>
        <w:br w:type="textWrapping" w:clear="all"/>
      </w:r>
      <w:r w:rsidR="003E2846" w:rsidRPr="001577F5">
        <w:rPr>
          <w:sz w:val="22"/>
          <w:szCs w:val="22"/>
        </w:rPr>
        <w:t xml:space="preserve">In summary, the addition of 78 inpatient beds will meaningfully address </w:t>
      </w:r>
      <w:r w:rsidR="00633E51" w:rsidRPr="001577F5">
        <w:rPr>
          <w:sz w:val="22"/>
          <w:szCs w:val="22"/>
        </w:rPr>
        <w:t>Brigham</w:t>
      </w:r>
      <w:r w:rsidR="00047E39" w:rsidRPr="001577F5">
        <w:rPr>
          <w:sz w:val="22"/>
          <w:szCs w:val="22"/>
        </w:rPr>
        <w:t>’s</w:t>
      </w:r>
      <w:r w:rsidR="003E2846" w:rsidRPr="001577F5">
        <w:rPr>
          <w:sz w:val="22"/>
          <w:szCs w:val="22"/>
        </w:rPr>
        <w:t xml:space="preserve"> overall capacity constraints</w:t>
      </w:r>
      <w:r w:rsidR="00633E51" w:rsidRPr="001577F5">
        <w:rPr>
          <w:sz w:val="22"/>
          <w:szCs w:val="22"/>
        </w:rPr>
        <w:t xml:space="preserve"> </w:t>
      </w:r>
      <w:r w:rsidR="00A57BE5" w:rsidRPr="001577F5">
        <w:rPr>
          <w:sz w:val="22"/>
          <w:szCs w:val="22"/>
        </w:rPr>
        <w:t>while ensuring capacity is available in the most appropriate setting for its patients.</w:t>
      </w:r>
      <w:r w:rsidR="009433E9">
        <w:t xml:space="preserve"> </w:t>
      </w:r>
    </w:p>
    <w:p w14:paraId="1BC3FE1F" w14:textId="61D71C7C" w:rsidR="009C2EF6" w:rsidRDefault="009C2EF6" w:rsidP="00A611F0">
      <w:pPr>
        <w:framePr w:w="13576" w:h="720" w:hSpace="180" w:wrap="around" w:vAnchor="page" w:hAnchor="page" w:x="811" w:y="11541"/>
      </w:pPr>
      <w:r>
        <w:fldChar w:fldCharType="begin"/>
      </w:r>
      <w:r w:rsidRPr="001577F5">
        <w:rPr>
          <w:rStyle w:val="DocID"/>
        </w:rPr>
        <w:instrText>DOCPROPERTY DOCXDOCID DMS=NetDocuments Format=HB: &lt;&lt;ID&gt;&gt;.&lt;&lt;VER&gt;&gt; PRESERVELOCATION</w:instrText>
      </w:r>
      <w:r>
        <w:fldChar w:fldCharType="separate"/>
      </w:r>
      <w:r w:rsidR="001577F5" w:rsidRPr="001577F5">
        <w:rPr>
          <w:rStyle w:val="DocID"/>
        </w:rPr>
        <w:t>HB: 4846-4521-9325.1</w:t>
      </w:r>
      <w:r>
        <w:fldChar w:fldCharType="end"/>
      </w:r>
    </w:p>
    <w:p w14:paraId="364E6E80" w14:textId="77777777" w:rsidR="005E3BC8" w:rsidRDefault="005E3BC8" w:rsidP="009C2EF6"/>
    <w:sectPr w:rsidR="005E3BC8" w:rsidSect="00922CDE">
      <w:headerReference w:type="default" r:id="rId9"/>
      <w:footerReference w:type="default" r:id="rId10"/>
      <w:pgSz w:w="15840" w:h="12240" w:orient="landscape"/>
      <w:pgMar w:top="1440" w:right="720" w:bottom="144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34BB2" w14:textId="77777777" w:rsidR="00AE547F" w:rsidRDefault="00AE547F" w:rsidP="004626C9">
      <w:r>
        <w:separator/>
      </w:r>
    </w:p>
  </w:endnote>
  <w:endnote w:type="continuationSeparator" w:id="0">
    <w:p w14:paraId="4797829A" w14:textId="77777777" w:rsidR="00AE547F" w:rsidRDefault="00AE547F" w:rsidP="0046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392304"/>
      <w:docPartObj>
        <w:docPartGallery w:val="Page Numbers (Bottom of Page)"/>
        <w:docPartUnique/>
      </w:docPartObj>
    </w:sdtPr>
    <w:sdtEndPr>
      <w:rPr>
        <w:noProof/>
        <w:sz w:val="22"/>
        <w:szCs w:val="22"/>
      </w:rPr>
    </w:sdtEndPr>
    <w:sdtContent>
      <w:p w14:paraId="04F6C638" w14:textId="7A626148" w:rsidR="00A611F0" w:rsidRPr="001577F5" w:rsidRDefault="00A611F0">
        <w:pPr>
          <w:pStyle w:val="Footer"/>
          <w:jc w:val="center"/>
          <w:rPr>
            <w:sz w:val="22"/>
            <w:szCs w:val="22"/>
          </w:rPr>
        </w:pPr>
        <w:r w:rsidRPr="001577F5">
          <w:rPr>
            <w:sz w:val="22"/>
            <w:szCs w:val="22"/>
          </w:rPr>
          <w:fldChar w:fldCharType="begin"/>
        </w:r>
        <w:r w:rsidRPr="001577F5">
          <w:rPr>
            <w:sz w:val="22"/>
            <w:szCs w:val="22"/>
          </w:rPr>
          <w:instrText xml:space="preserve"> PAGE   \* MERGEFORMAT </w:instrText>
        </w:r>
        <w:r w:rsidRPr="001577F5">
          <w:rPr>
            <w:sz w:val="22"/>
            <w:szCs w:val="22"/>
          </w:rPr>
          <w:fldChar w:fldCharType="separate"/>
        </w:r>
        <w:r w:rsidR="00582382">
          <w:rPr>
            <w:noProof/>
            <w:sz w:val="22"/>
            <w:szCs w:val="22"/>
          </w:rPr>
          <w:t>2</w:t>
        </w:r>
        <w:r w:rsidRPr="001577F5">
          <w:rPr>
            <w:noProof/>
            <w:sz w:val="22"/>
            <w:szCs w:val="22"/>
          </w:rPr>
          <w:fldChar w:fldCharType="end"/>
        </w:r>
      </w:p>
    </w:sdtContent>
  </w:sdt>
  <w:p w14:paraId="49A7BEBC" w14:textId="77777777" w:rsidR="005E3BC8" w:rsidRDefault="005E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F0574" w14:textId="77777777" w:rsidR="00AE547F" w:rsidRDefault="00AE547F" w:rsidP="004626C9">
      <w:r>
        <w:separator/>
      </w:r>
    </w:p>
  </w:footnote>
  <w:footnote w:type="continuationSeparator" w:id="0">
    <w:p w14:paraId="6DF37C1C" w14:textId="77777777" w:rsidR="00AE547F" w:rsidRDefault="00AE547F" w:rsidP="0046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C458" w14:textId="77777777" w:rsidR="00A611F0" w:rsidRDefault="00A611F0" w:rsidP="00A611F0">
    <w:pPr>
      <w:pStyle w:val="Header"/>
      <w:jc w:val="center"/>
    </w:pPr>
  </w:p>
  <w:p w14:paraId="2F449588" w14:textId="3F164454" w:rsidR="00A611F0" w:rsidRPr="001577F5" w:rsidRDefault="00A611F0" w:rsidP="00A611F0">
    <w:pPr>
      <w:pStyle w:val="Header"/>
      <w:jc w:val="center"/>
      <w:rPr>
        <w:b/>
        <w:bCs/>
      </w:rPr>
    </w:pPr>
    <w:r w:rsidRPr="001577F5">
      <w:rPr>
        <w:b/>
        <w:bCs/>
      </w:rPr>
      <w:t>MGB- 20121716-HE</w:t>
    </w:r>
  </w:p>
  <w:p w14:paraId="5448149E" w14:textId="6C4BE3E3" w:rsidR="00A611F0" w:rsidRDefault="00A611F0" w:rsidP="00A611F0">
    <w:pPr>
      <w:pStyle w:val="Header"/>
      <w:jc w:val="center"/>
    </w:pPr>
  </w:p>
  <w:p w14:paraId="36726A49" w14:textId="77777777" w:rsidR="00A611F0" w:rsidRDefault="00A611F0" w:rsidP="00A611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79"/>
    <w:rsid w:val="00017389"/>
    <w:rsid w:val="00026D39"/>
    <w:rsid w:val="00046BE9"/>
    <w:rsid w:val="00047E39"/>
    <w:rsid w:val="00052680"/>
    <w:rsid w:val="00056D66"/>
    <w:rsid w:val="00064E16"/>
    <w:rsid w:val="000706CD"/>
    <w:rsid w:val="0007236F"/>
    <w:rsid w:val="00081AFB"/>
    <w:rsid w:val="000B5EC0"/>
    <w:rsid w:val="000D03E5"/>
    <w:rsid w:val="000D121F"/>
    <w:rsid w:val="000D32F2"/>
    <w:rsid w:val="000E3BE6"/>
    <w:rsid w:val="001039F9"/>
    <w:rsid w:val="00107A53"/>
    <w:rsid w:val="00111C90"/>
    <w:rsid w:val="0012544F"/>
    <w:rsid w:val="00127B5A"/>
    <w:rsid w:val="00133096"/>
    <w:rsid w:val="001356A8"/>
    <w:rsid w:val="0015431E"/>
    <w:rsid w:val="001577F5"/>
    <w:rsid w:val="001603A3"/>
    <w:rsid w:val="00162802"/>
    <w:rsid w:val="001771B5"/>
    <w:rsid w:val="001821C6"/>
    <w:rsid w:val="00185E31"/>
    <w:rsid w:val="001A007F"/>
    <w:rsid w:val="001A382F"/>
    <w:rsid w:val="001A4C9B"/>
    <w:rsid w:val="001A61FE"/>
    <w:rsid w:val="001A6DD7"/>
    <w:rsid w:val="001C2869"/>
    <w:rsid w:val="001E65D6"/>
    <w:rsid w:val="00200285"/>
    <w:rsid w:val="0021255D"/>
    <w:rsid w:val="00227BF4"/>
    <w:rsid w:val="002566F1"/>
    <w:rsid w:val="0025756B"/>
    <w:rsid w:val="00275E31"/>
    <w:rsid w:val="00276D93"/>
    <w:rsid w:val="00293638"/>
    <w:rsid w:val="002A0301"/>
    <w:rsid w:val="002B3CE5"/>
    <w:rsid w:val="002C3B20"/>
    <w:rsid w:val="002C56AB"/>
    <w:rsid w:val="002C6F88"/>
    <w:rsid w:val="002E166E"/>
    <w:rsid w:val="002E7BED"/>
    <w:rsid w:val="002E7E97"/>
    <w:rsid w:val="002F0C1E"/>
    <w:rsid w:val="00331550"/>
    <w:rsid w:val="003400BD"/>
    <w:rsid w:val="00345820"/>
    <w:rsid w:val="00346438"/>
    <w:rsid w:val="00366394"/>
    <w:rsid w:val="003667B6"/>
    <w:rsid w:val="003A42A4"/>
    <w:rsid w:val="003B1EB6"/>
    <w:rsid w:val="003B2BCF"/>
    <w:rsid w:val="003B6833"/>
    <w:rsid w:val="003D0ACA"/>
    <w:rsid w:val="003D0DB3"/>
    <w:rsid w:val="003E2846"/>
    <w:rsid w:val="003E3737"/>
    <w:rsid w:val="003E5FC1"/>
    <w:rsid w:val="003F4EEE"/>
    <w:rsid w:val="00400173"/>
    <w:rsid w:val="00401CA5"/>
    <w:rsid w:val="00403E7D"/>
    <w:rsid w:val="00413123"/>
    <w:rsid w:val="00423BDA"/>
    <w:rsid w:val="004334BB"/>
    <w:rsid w:val="00440007"/>
    <w:rsid w:val="00455592"/>
    <w:rsid w:val="004570B1"/>
    <w:rsid w:val="004626C9"/>
    <w:rsid w:val="0046450A"/>
    <w:rsid w:val="00487EBD"/>
    <w:rsid w:val="004B1A23"/>
    <w:rsid w:val="004D1473"/>
    <w:rsid w:val="004E1707"/>
    <w:rsid w:val="004F43D9"/>
    <w:rsid w:val="00502DC2"/>
    <w:rsid w:val="0051648D"/>
    <w:rsid w:val="00522BDB"/>
    <w:rsid w:val="005312FE"/>
    <w:rsid w:val="00531AFA"/>
    <w:rsid w:val="0054074C"/>
    <w:rsid w:val="005535D0"/>
    <w:rsid w:val="00560DEA"/>
    <w:rsid w:val="00573122"/>
    <w:rsid w:val="00573708"/>
    <w:rsid w:val="00575B96"/>
    <w:rsid w:val="0058173A"/>
    <w:rsid w:val="00582382"/>
    <w:rsid w:val="005951B3"/>
    <w:rsid w:val="005B6ED9"/>
    <w:rsid w:val="005D4678"/>
    <w:rsid w:val="005E3BC8"/>
    <w:rsid w:val="005F781F"/>
    <w:rsid w:val="00601DDB"/>
    <w:rsid w:val="00605690"/>
    <w:rsid w:val="006126BA"/>
    <w:rsid w:val="0062309A"/>
    <w:rsid w:val="0062588A"/>
    <w:rsid w:val="0063092B"/>
    <w:rsid w:val="006333AD"/>
    <w:rsid w:val="00633E51"/>
    <w:rsid w:val="00651A5D"/>
    <w:rsid w:val="0066063B"/>
    <w:rsid w:val="006808C6"/>
    <w:rsid w:val="00681EE7"/>
    <w:rsid w:val="00692026"/>
    <w:rsid w:val="006D36DB"/>
    <w:rsid w:val="00715754"/>
    <w:rsid w:val="0071716E"/>
    <w:rsid w:val="00720C3C"/>
    <w:rsid w:val="00721B95"/>
    <w:rsid w:val="007230A9"/>
    <w:rsid w:val="00726B41"/>
    <w:rsid w:val="00730F5C"/>
    <w:rsid w:val="0073357C"/>
    <w:rsid w:val="007377CE"/>
    <w:rsid w:val="00763AB5"/>
    <w:rsid w:val="00791B8B"/>
    <w:rsid w:val="00792093"/>
    <w:rsid w:val="007C6AF0"/>
    <w:rsid w:val="007D719D"/>
    <w:rsid w:val="007E363E"/>
    <w:rsid w:val="00803CB2"/>
    <w:rsid w:val="00804519"/>
    <w:rsid w:val="008057E7"/>
    <w:rsid w:val="0080584F"/>
    <w:rsid w:val="00807534"/>
    <w:rsid w:val="00817B99"/>
    <w:rsid w:val="0087000B"/>
    <w:rsid w:val="008A6E31"/>
    <w:rsid w:val="008B00B1"/>
    <w:rsid w:val="008B367F"/>
    <w:rsid w:val="008B5905"/>
    <w:rsid w:val="008C4B2C"/>
    <w:rsid w:val="008E2C79"/>
    <w:rsid w:val="009018DC"/>
    <w:rsid w:val="00922CDE"/>
    <w:rsid w:val="00934F3A"/>
    <w:rsid w:val="009433E9"/>
    <w:rsid w:val="009616B3"/>
    <w:rsid w:val="00963C8B"/>
    <w:rsid w:val="00971060"/>
    <w:rsid w:val="00980458"/>
    <w:rsid w:val="00983B48"/>
    <w:rsid w:val="00986663"/>
    <w:rsid w:val="009A0DC5"/>
    <w:rsid w:val="009C2EF6"/>
    <w:rsid w:val="009D7246"/>
    <w:rsid w:val="009F1D08"/>
    <w:rsid w:val="00A036EF"/>
    <w:rsid w:val="00A2580D"/>
    <w:rsid w:val="00A37130"/>
    <w:rsid w:val="00A45934"/>
    <w:rsid w:val="00A52ECD"/>
    <w:rsid w:val="00A57BE5"/>
    <w:rsid w:val="00A611F0"/>
    <w:rsid w:val="00A64B01"/>
    <w:rsid w:val="00A81FF1"/>
    <w:rsid w:val="00A84E88"/>
    <w:rsid w:val="00A91B7D"/>
    <w:rsid w:val="00AA0202"/>
    <w:rsid w:val="00AB2AA4"/>
    <w:rsid w:val="00AD4EA7"/>
    <w:rsid w:val="00AE547F"/>
    <w:rsid w:val="00AF257B"/>
    <w:rsid w:val="00AF5991"/>
    <w:rsid w:val="00B029A0"/>
    <w:rsid w:val="00B07EAB"/>
    <w:rsid w:val="00B6685C"/>
    <w:rsid w:val="00B66B70"/>
    <w:rsid w:val="00B719F2"/>
    <w:rsid w:val="00B76780"/>
    <w:rsid w:val="00B94DE6"/>
    <w:rsid w:val="00BB7B01"/>
    <w:rsid w:val="00BC2B3D"/>
    <w:rsid w:val="00BC4630"/>
    <w:rsid w:val="00BC6B80"/>
    <w:rsid w:val="00C00752"/>
    <w:rsid w:val="00C144DA"/>
    <w:rsid w:val="00C3010A"/>
    <w:rsid w:val="00C31B08"/>
    <w:rsid w:val="00C3583B"/>
    <w:rsid w:val="00C43B59"/>
    <w:rsid w:val="00C50F4C"/>
    <w:rsid w:val="00C5100B"/>
    <w:rsid w:val="00C637CA"/>
    <w:rsid w:val="00C672EA"/>
    <w:rsid w:val="00C73D24"/>
    <w:rsid w:val="00C7409D"/>
    <w:rsid w:val="00C81B62"/>
    <w:rsid w:val="00C82BEA"/>
    <w:rsid w:val="00CD2AF4"/>
    <w:rsid w:val="00CE406D"/>
    <w:rsid w:val="00D202CB"/>
    <w:rsid w:val="00D51722"/>
    <w:rsid w:val="00D53ABF"/>
    <w:rsid w:val="00D77AEE"/>
    <w:rsid w:val="00D90877"/>
    <w:rsid w:val="00D915F7"/>
    <w:rsid w:val="00D94D97"/>
    <w:rsid w:val="00DB432F"/>
    <w:rsid w:val="00DD046C"/>
    <w:rsid w:val="00DD42AB"/>
    <w:rsid w:val="00DE5607"/>
    <w:rsid w:val="00E116CC"/>
    <w:rsid w:val="00E2163D"/>
    <w:rsid w:val="00E3017D"/>
    <w:rsid w:val="00E36BCB"/>
    <w:rsid w:val="00E43A9A"/>
    <w:rsid w:val="00E534FC"/>
    <w:rsid w:val="00E834BD"/>
    <w:rsid w:val="00E956B1"/>
    <w:rsid w:val="00EA7C6E"/>
    <w:rsid w:val="00EC1BC9"/>
    <w:rsid w:val="00EE03DB"/>
    <w:rsid w:val="00EE6422"/>
    <w:rsid w:val="00EE6940"/>
    <w:rsid w:val="00EF3120"/>
    <w:rsid w:val="00F04BA4"/>
    <w:rsid w:val="00F20642"/>
    <w:rsid w:val="00F34600"/>
    <w:rsid w:val="00F43FD6"/>
    <w:rsid w:val="00F624E7"/>
    <w:rsid w:val="00F67A3E"/>
    <w:rsid w:val="00F75B1B"/>
    <w:rsid w:val="00F812DB"/>
    <w:rsid w:val="00F81D27"/>
    <w:rsid w:val="00F83B1B"/>
    <w:rsid w:val="00F94400"/>
    <w:rsid w:val="00FA15BC"/>
    <w:rsid w:val="00FA451F"/>
    <w:rsid w:val="00FB2B87"/>
    <w:rsid w:val="00FB4892"/>
    <w:rsid w:val="00FD75CE"/>
    <w:rsid w:val="00FE7394"/>
    <w:rsid w:val="00FE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C3FEB"/>
  <w15:chartTrackingRefBased/>
  <w15:docId w15:val="{44D0246A-376D-49F3-8BC1-37EB3B2D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Header">
    <w:name w:val="header"/>
    <w:basedOn w:val="Normal"/>
    <w:link w:val="HeaderChar"/>
    <w:uiPriority w:val="99"/>
    <w:unhideWhenUsed/>
    <w:rsid w:val="004626C9"/>
    <w:pPr>
      <w:tabs>
        <w:tab w:val="center" w:pos="4680"/>
        <w:tab w:val="right" w:pos="9360"/>
      </w:tabs>
    </w:pPr>
  </w:style>
  <w:style w:type="character" w:customStyle="1" w:styleId="HeaderChar">
    <w:name w:val="Header Char"/>
    <w:basedOn w:val="DefaultParagraphFont"/>
    <w:link w:val="Header"/>
    <w:uiPriority w:val="99"/>
    <w:rsid w:val="004626C9"/>
    <w:rPr>
      <w:rFonts w:ascii="Times New Roman" w:hAnsi="Times New Roman" w:cs="Times New Roman"/>
      <w:sz w:val="24"/>
      <w:szCs w:val="24"/>
    </w:rPr>
  </w:style>
  <w:style w:type="paragraph" w:styleId="Footer">
    <w:name w:val="footer"/>
    <w:basedOn w:val="Normal"/>
    <w:link w:val="FooterChar"/>
    <w:uiPriority w:val="99"/>
    <w:unhideWhenUsed/>
    <w:rsid w:val="004626C9"/>
    <w:pPr>
      <w:tabs>
        <w:tab w:val="center" w:pos="4680"/>
        <w:tab w:val="right" w:pos="9360"/>
      </w:tabs>
    </w:pPr>
  </w:style>
  <w:style w:type="character" w:customStyle="1" w:styleId="FooterChar">
    <w:name w:val="Footer Char"/>
    <w:basedOn w:val="DefaultParagraphFont"/>
    <w:link w:val="Footer"/>
    <w:uiPriority w:val="99"/>
    <w:rsid w:val="004626C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37130"/>
    <w:rPr>
      <w:sz w:val="20"/>
      <w:szCs w:val="20"/>
    </w:rPr>
  </w:style>
  <w:style w:type="character" w:customStyle="1" w:styleId="FootnoteTextChar">
    <w:name w:val="Footnote Text Char"/>
    <w:basedOn w:val="DefaultParagraphFont"/>
    <w:link w:val="FootnoteText"/>
    <w:uiPriority w:val="99"/>
    <w:semiHidden/>
    <w:rsid w:val="00A3713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37130"/>
    <w:rPr>
      <w:vertAlign w:val="superscript"/>
    </w:rPr>
  </w:style>
  <w:style w:type="character" w:customStyle="1" w:styleId="DocID">
    <w:name w:val="DocID"/>
    <w:basedOn w:val="DefaultParagraphFont"/>
    <w:uiPriority w:val="1"/>
    <w:rsid w:val="005E3BC8"/>
    <w:rPr>
      <w:rFonts w:ascii="Times New Roman" w:hAnsi="Times New Roman"/>
      <w:sz w:val="16"/>
      <w:szCs w:val="16"/>
    </w:rPr>
  </w:style>
  <w:style w:type="character" w:styleId="CommentReference">
    <w:name w:val="annotation reference"/>
    <w:basedOn w:val="DefaultParagraphFont"/>
    <w:uiPriority w:val="99"/>
    <w:semiHidden/>
    <w:unhideWhenUsed/>
    <w:rsid w:val="00EE03DB"/>
    <w:rPr>
      <w:sz w:val="16"/>
      <w:szCs w:val="16"/>
    </w:rPr>
  </w:style>
  <w:style w:type="paragraph" w:styleId="CommentText">
    <w:name w:val="annotation text"/>
    <w:basedOn w:val="Normal"/>
    <w:link w:val="CommentTextChar"/>
    <w:uiPriority w:val="99"/>
    <w:semiHidden/>
    <w:unhideWhenUsed/>
    <w:rsid w:val="00EE03DB"/>
    <w:rPr>
      <w:sz w:val="20"/>
      <w:szCs w:val="20"/>
    </w:rPr>
  </w:style>
  <w:style w:type="character" w:customStyle="1" w:styleId="CommentTextChar">
    <w:name w:val="Comment Text Char"/>
    <w:basedOn w:val="DefaultParagraphFont"/>
    <w:link w:val="CommentText"/>
    <w:uiPriority w:val="99"/>
    <w:semiHidden/>
    <w:rsid w:val="00EE03D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03DB"/>
    <w:rPr>
      <w:b/>
      <w:bCs/>
    </w:rPr>
  </w:style>
  <w:style w:type="character" w:customStyle="1" w:styleId="CommentSubjectChar">
    <w:name w:val="Comment Subject Char"/>
    <w:basedOn w:val="CommentTextChar"/>
    <w:link w:val="CommentSubject"/>
    <w:uiPriority w:val="99"/>
    <w:semiHidden/>
    <w:rsid w:val="00EE03D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77397">
      <w:bodyDiv w:val="1"/>
      <w:marLeft w:val="0"/>
      <w:marRight w:val="0"/>
      <w:marTop w:val="0"/>
      <w:marBottom w:val="0"/>
      <w:divBdr>
        <w:top w:val="none" w:sz="0" w:space="0" w:color="auto"/>
        <w:left w:val="none" w:sz="0" w:space="0" w:color="auto"/>
        <w:bottom w:val="none" w:sz="0" w:space="0" w:color="auto"/>
        <w:right w:val="none" w:sz="0" w:space="0" w:color="auto"/>
      </w:divBdr>
    </w:div>
    <w:div w:id="738753886">
      <w:bodyDiv w:val="1"/>
      <w:marLeft w:val="0"/>
      <w:marRight w:val="0"/>
      <w:marTop w:val="0"/>
      <w:marBottom w:val="0"/>
      <w:divBdr>
        <w:top w:val="none" w:sz="0" w:space="0" w:color="auto"/>
        <w:left w:val="none" w:sz="0" w:space="0" w:color="auto"/>
        <w:bottom w:val="none" w:sz="0" w:space="0" w:color="auto"/>
        <w:right w:val="none" w:sz="0" w:space="0" w:color="auto"/>
      </w:divBdr>
    </w:div>
    <w:div w:id="804279914">
      <w:bodyDiv w:val="1"/>
      <w:marLeft w:val="0"/>
      <w:marRight w:val="0"/>
      <w:marTop w:val="0"/>
      <w:marBottom w:val="0"/>
      <w:divBdr>
        <w:top w:val="none" w:sz="0" w:space="0" w:color="auto"/>
        <w:left w:val="none" w:sz="0" w:space="0" w:color="auto"/>
        <w:bottom w:val="none" w:sz="0" w:space="0" w:color="auto"/>
        <w:right w:val="none" w:sz="0" w:space="0" w:color="auto"/>
      </w:divBdr>
    </w:div>
    <w:div w:id="1214853770">
      <w:bodyDiv w:val="1"/>
      <w:marLeft w:val="0"/>
      <w:marRight w:val="0"/>
      <w:marTop w:val="0"/>
      <w:marBottom w:val="0"/>
      <w:divBdr>
        <w:top w:val="none" w:sz="0" w:space="0" w:color="auto"/>
        <w:left w:val="none" w:sz="0" w:space="0" w:color="auto"/>
        <w:bottom w:val="none" w:sz="0" w:space="0" w:color="auto"/>
        <w:right w:val="none" w:sz="0" w:space="0" w:color="auto"/>
      </w:divBdr>
    </w:div>
    <w:div w:id="1779133034">
      <w:bodyDiv w:val="1"/>
      <w:marLeft w:val="0"/>
      <w:marRight w:val="0"/>
      <w:marTop w:val="0"/>
      <w:marBottom w:val="0"/>
      <w:divBdr>
        <w:top w:val="none" w:sz="0" w:space="0" w:color="auto"/>
        <w:left w:val="none" w:sz="0" w:space="0" w:color="auto"/>
        <w:bottom w:val="none" w:sz="0" w:space="0" w:color="auto"/>
        <w:right w:val="none" w:sz="0" w:space="0" w:color="auto"/>
      </w:divBdr>
    </w:div>
    <w:div w:id="18983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5D11-268F-439A-B06A-2F8F1844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696</Words>
  <Characters>3736</Characters>
  <Application>Microsoft Office Word</Application>
  <DocSecurity>0</DocSecurity>
  <Lines>120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Susan M.</dc:creator>
  <cp:keywords/>
  <dc:description/>
  <cp:lastModifiedBy>Cioffari-Macphee, Diana (DPH)</cp:lastModifiedBy>
  <cp:revision>5</cp:revision>
  <cp:lastPrinted>2021-09-28T19:09:00Z</cp:lastPrinted>
  <dcterms:created xsi:type="dcterms:W3CDTF">2021-10-21T13:48:00Z</dcterms:created>
  <dcterms:modified xsi:type="dcterms:W3CDTF">2021-10-21T13:52:00Z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4846-4521-9325.1</vt:lpwstr>
  </property>
  <property fmtid="{D5CDD505-2E9C-101B-9397-08002B2CF9AE}" pid="3" name="_AdHocReviewCycleID">
    <vt:i4>1658434586</vt:i4>
  </property>
  <property fmtid="{D5CDD505-2E9C-101B-9397-08002B2CF9AE}" pid="4" name="_NewReviewCycle">
    <vt:lpwstr/>
  </property>
  <property fmtid="{D5CDD505-2E9C-101B-9397-08002B2CF9AE}" pid="5" name="_EmailSubject">
    <vt:lpwstr>Faulkner DoN Questions</vt:lpwstr>
  </property>
  <property fmtid="{D5CDD505-2E9C-101B-9397-08002B2CF9AE}" pid="6" name="_AuthorEmail">
    <vt:lpwstr>sdempsey@bwh.harvard.edu</vt:lpwstr>
  </property>
  <property fmtid="{D5CDD505-2E9C-101B-9397-08002B2CF9AE}" pid="7" name="_AuthorEmailDisplayName">
    <vt:lpwstr>Dempsey, Susan M.</vt:lpwstr>
  </property>
  <property fmtid="{D5CDD505-2E9C-101B-9397-08002B2CF9AE}" pid="8" name="_ReviewingToolsShownOnce">
    <vt:lpwstr/>
  </property>
  <property fmtid="{D5CDD505-2E9C-101B-9397-08002B2CF9AE}" pid="9" name="ndDocumentId">
    <vt:lpwstr>4846-4521-9325</vt:lpwstr>
  </property>
  <property fmtid="{D5CDD505-2E9C-101B-9397-08002B2CF9AE}" pid="10" name="DocXFormat">
    <vt:lpwstr>HB DocID w/ver w/HB Label</vt:lpwstr>
  </property>
  <property fmtid="{D5CDD505-2E9C-101B-9397-08002B2CF9AE}" pid="11" name="_MarkAsFinal">
    <vt:bool>true</vt:bool>
  </property>
</Properties>
</file>