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EC142" w14:textId="77777777" w:rsidR="00D303ED" w:rsidRDefault="00D303ED" w:rsidP="00D303ED">
      <w:pPr>
        <w:pStyle w:val="Header"/>
        <w:jc w:val="center"/>
        <w:rPr>
          <w:sz w:val="28"/>
          <w:szCs w:val="28"/>
        </w:rPr>
      </w:pPr>
      <w:r w:rsidRPr="004B2D67">
        <w:rPr>
          <w:sz w:val="28"/>
          <w:szCs w:val="28"/>
        </w:rPr>
        <w:t>Mass General Incorporated</w:t>
      </w:r>
      <w:r>
        <w:rPr>
          <w:sz w:val="28"/>
          <w:szCs w:val="28"/>
        </w:rPr>
        <w:t xml:space="preserve"> </w:t>
      </w:r>
    </w:p>
    <w:p w14:paraId="239909DF" w14:textId="77777777" w:rsidR="00D303ED" w:rsidRPr="004B2D67" w:rsidRDefault="00D303ED" w:rsidP="00D303ED">
      <w:pPr>
        <w:pStyle w:val="Header"/>
        <w:jc w:val="center"/>
        <w:rPr>
          <w:sz w:val="28"/>
          <w:szCs w:val="28"/>
        </w:rPr>
      </w:pPr>
      <w:r>
        <w:rPr>
          <w:sz w:val="28"/>
          <w:szCs w:val="28"/>
        </w:rPr>
        <w:t>Brigham and Women’s Faulkner</w:t>
      </w:r>
      <w:r w:rsidRPr="004B2D67">
        <w:rPr>
          <w:sz w:val="28"/>
          <w:szCs w:val="28"/>
        </w:rPr>
        <w:t xml:space="preserve"> Hospital </w:t>
      </w:r>
    </w:p>
    <w:p w14:paraId="411C8475" w14:textId="77777777" w:rsidR="00D303ED" w:rsidRDefault="00D303ED" w:rsidP="00D303ED">
      <w:pPr>
        <w:pStyle w:val="Header"/>
        <w:jc w:val="center"/>
        <w:rPr>
          <w:sz w:val="28"/>
          <w:szCs w:val="28"/>
        </w:rPr>
      </w:pPr>
      <w:proofErr w:type="spellStart"/>
      <w:r w:rsidRPr="004B2D67">
        <w:rPr>
          <w:sz w:val="28"/>
          <w:szCs w:val="28"/>
        </w:rPr>
        <w:t>DoN</w:t>
      </w:r>
      <w:proofErr w:type="spellEnd"/>
      <w:r w:rsidRPr="004B2D67">
        <w:rPr>
          <w:sz w:val="28"/>
          <w:szCs w:val="28"/>
        </w:rPr>
        <w:t># MGB-20121</w:t>
      </w:r>
      <w:r>
        <w:rPr>
          <w:sz w:val="28"/>
          <w:szCs w:val="28"/>
        </w:rPr>
        <w:t>716</w:t>
      </w:r>
      <w:r w:rsidRPr="004B2D67">
        <w:rPr>
          <w:sz w:val="28"/>
          <w:szCs w:val="28"/>
        </w:rPr>
        <w:t>-H</w:t>
      </w:r>
      <w:r>
        <w:rPr>
          <w:sz w:val="28"/>
          <w:szCs w:val="28"/>
        </w:rPr>
        <w:t>E</w:t>
      </w:r>
    </w:p>
    <w:p w14:paraId="7E124B2D" w14:textId="77777777" w:rsidR="00D303ED" w:rsidRPr="00D62C31" w:rsidRDefault="00D303ED" w:rsidP="00D303ED">
      <w:pPr>
        <w:pStyle w:val="Header"/>
        <w:jc w:val="center"/>
        <w:rPr>
          <w:sz w:val="28"/>
          <w:szCs w:val="28"/>
        </w:rPr>
      </w:pPr>
    </w:p>
    <w:p w14:paraId="1EDAF2EA" w14:textId="77777777" w:rsidR="00D303ED" w:rsidRPr="008F5F42" w:rsidRDefault="00D303ED" w:rsidP="00D303ED">
      <w:pPr>
        <w:jc w:val="center"/>
        <w:rPr>
          <w:rFonts w:ascii="Garamond" w:hAnsi="Garamond"/>
          <w:b/>
          <w:bCs/>
        </w:rPr>
      </w:pPr>
      <w:r w:rsidRPr="008F5F42">
        <w:rPr>
          <w:rFonts w:ascii="Garamond" w:hAnsi="Garamond"/>
          <w:b/>
          <w:bCs/>
        </w:rPr>
        <w:t>APPLICANT QUESTIONS</w:t>
      </w:r>
    </w:p>
    <w:p w14:paraId="50A5AE55" w14:textId="77777777" w:rsidR="00D303ED" w:rsidRPr="009B5E62" w:rsidRDefault="00D303ED" w:rsidP="00D303ED">
      <w:pPr>
        <w:jc w:val="center"/>
        <w:rPr>
          <w:rFonts w:ascii="Garamond" w:hAnsi="Garamond"/>
        </w:rPr>
      </w:pPr>
      <w:r w:rsidRPr="008F5F42">
        <w:rPr>
          <w:rFonts w:ascii="Garamond" w:hAnsi="Garamond"/>
          <w:i/>
          <w:iCs/>
        </w:rPr>
        <w:t xml:space="preserve">Responses should be sent to </w:t>
      </w:r>
      <w:proofErr w:type="spellStart"/>
      <w:r w:rsidRPr="008F5F42">
        <w:rPr>
          <w:rFonts w:ascii="Garamond" w:hAnsi="Garamond"/>
          <w:i/>
          <w:iCs/>
        </w:rPr>
        <w:t>DoN</w:t>
      </w:r>
      <w:proofErr w:type="spellEnd"/>
      <w:r w:rsidRPr="008F5F42">
        <w:rPr>
          <w:rFonts w:ascii="Garamond" w:hAnsi="Garamond"/>
          <w:i/>
          <w:iCs/>
        </w:rPr>
        <w:t xml:space="preserve"> staff at </w:t>
      </w:r>
      <w:hyperlink r:id="rId7" w:history="1">
        <w:r w:rsidRPr="008F5F42">
          <w:rPr>
            <w:rStyle w:val="Hyperlink"/>
            <w:rFonts w:ascii="Garamond" w:hAnsi="Garamond"/>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Responses must be available in PDF and source document (excel preferred for data and word for narrative)&#10;"/>
      </w:tblPr>
      <w:tblGrid>
        <w:gridCol w:w="9350"/>
      </w:tblGrid>
      <w:tr w:rsidR="00D303ED" w:rsidRPr="008F5F42" w14:paraId="2D5A61FE" w14:textId="77777777" w:rsidTr="008D0C2B">
        <w:trPr>
          <w:tblHeader/>
          <w:jc w:val="center"/>
        </w:trPr>
        <w:tc>
          <w:tcPr>
            <w:tcW w:w="9350" w:type="dxa"/>
          </w:tcPr>
          <w:p w14:paraId="7F1DDCF9" w14:textId="77777777" w:rsidR="00D303ED" w:rsidRPr="008F5F42" w:rsidRDefault="00D303ED" w:rsidP="00401085">
            <w:pPr>
              <w:rPr>
                <w:rFonts w:ascii="Garamond" w:hAnsi="Garamond"/>
                <w:bCs/>
              </w:rPr>
            </w:pPr>
            <w:r w:rsidRPr="008F5F42">
              <w:rPr>
                <w:rFonts w:ascii="Garamond" w:hAnsi="Garamond"/>
                <w:bCs/>
              </w:rPr>
              <w:t xml:space="preserve">While you may submit each answer as available, please </w:t>
            </w:r>
          </w:p>
          <w:p w14:paraId="37B34474" w14:textId="77777777" w:rsidR="00D303ED" w:rsidRPr="008F5F42" w:rsidRDefault="00D303ED" w:rsidP="00D303ED">
            <w:pPr>
              <w:pStyle w:val="ListParagraph"/>
              <w:numPr>
                <w:ilvl w:val="0"/>
                <w:numId w:val="1"/>
              </w:numPr>
              <w:spacing w:after="0" w:line="240" w:lineRule="auto"/>
              <w:rPr>
                <w:rFonts w:ascii="Garamond" w:hAnsi="Garamond"/>
                <w:bCs/>
              </w:rPr>
            </w:pPr>
            <w:r w:rsidRPr="008F5F42">
              <w:rPr>
                <w:rFonts w:ascii="Garamond" w:hAnsi="Garamond"/>
                <w:bCs/>
              </w:rPr>
              <w:t xml:space="preserve">List question number and question for each answer you provide </w:t>
            </w:r>
          </w:p>
          <w:p w14:paraId="7355E3B0" w14:textId="77777777" w:rsidR="00D303ED" w:rsidRPr="008F5F42" w:rsidRDefault="00D303ED" w:rsidP="00D303ED">
            <w:pPr>
              <w:pStyle w:val="ListParagraph"/>
              <w:numPr>
                <w:ilvl w:val="0"/>
                <w:numId w:val="1"/>
              </w:numPr>
              <w:spacing w:after="0" w:line="240" w:lineRule="auto"/>
              <w:rPr>
                <w:rFonts w:ascii="Garamond" w:hAnsi="Garamond"/>
                <w:bCs/>
              </w:rPr>
            </w:pPr>
            <w:r w:rsidRPr="008F5F42">
              <w:rPr>
                <w:rFonts w:ascii="Garamond" w:hAnsi="Garamond"/>
                <w:bCs/>
              </w:rPr>
              <w:t xml:space="preserve">Submit responses as a separate word document, using the above application title and number as a running header and page numbers in the footer </w:t>
            </w:r>
          </w:p>
          <w:p w14:paraId="410CD711" w14:textId="77777777" w:rsidR="00D303ED" w:rsidRPr="008F5F42" w:rsidRDefault="00D303ED" w:rsidP="00D303ED">
            <w:pPr>
              <w:pStyle w:val="ListParagraph"/>
              <w:numPr>
                <w:ilvl w:val="0"/>
                <w:numId w:val="1"/>
              </w:numPr>
              <w:spacing w:after="0" w:line="240" w:lineRule="auto"/>
              <w:rPr>
                <w:rFonts w:ascii="Garamond" w:hAnsi="Garamond"/>
                <w:bCs/>
              </w:rPr>
            </w:pPr>
            <w:r w:rsidRPr="008F5F42">
              <w:rPr>
                <w:rFonts w:ascii="Garamond" w:hAnsi="Garamond"/>
                <w:bCs/>
              </w:rPr>
              <w:t xml:space="preserve">When providing the answer to the final question, submit all questions and answers in one final document </w:t>
            </w:r>
          </w:p>
          <w:p w14:paraId="24A37208" w14:textId="77777777" w:rsidR="00D303ED" w:rsidRPr="008F5F42" w:rsidRDefault="00D303ED" w:rsidP="00D303ED">
            <w:pPr>
              <w:pStyle w:val="ListParagraph"/>
              <w:numPr>
                <w:ilvl w:val="0"/>
                <w:numId w:val="1"/>
              </w:numPr>
              <w:spacing w:after="0" w:line="240" w:lineRule="auto"/>
              <w:rPr>
                <w:rFonts w:ascii="Garamond" w:hAnsi="Garamond"/>
                <w:b/>
              </w:rPr>
            </w:pPr>
            <w:r w:rsidRPr="000A19CD">
              <w:rPr>
                <w:rFonts w:ascii="Garamond" w:hAnsi="Garamond"/>
                <w:bCs/>
              </w:rPr>
              <w:t>Responses must be available in PDF and source document (excel preferred for data and word for narrative)</w:t>
            </w:r>
          </w:p>
        </w:tc>
      </w:tr>
    </w:tbl>
    <w:p w14:paraId="7F6E12E1" w14:textId="77777777" w:rsidR="00D303ED" w:rsidRDefault="00D303ED" w:rsidP="00D303ED">
      <w:pPr>
        <w:tabs>
          <w:tab w:val="left" w:pos="6621"/>
        </w:tabs>
      </w:pPr>
      <w:r>
        <w:tab/>
      </w:r>
    </w:p>
    <w:p w14:paraId="33932FBA" w14:textId="35FCF8BA" w:rsidR="005955B7" w:rsidRPr="0041100F" w:rsidRDefault="005955B7" w:rsidP="005955B7">
      <w:pPr>
        <w:pStyle w:val="ListParagraph"/>
        <w:numPr>
          <w:ilvl w:val="0"/>
          <w:numId w:val="2"/>
        </w:numPr>
        <w:spacing w:after="0"/>
        <w:ind w:left="360"/>
        <w:rPr>
          <w:rFonts w:ascii="Calibri" w:hAnsi="Calibri" w:cs="Calibri"/>
          <w:b/>
          <w:bCs/>
        </w:rPr>
      </w:pPr>
      <w:r w:rsidRPr="0041100F">
        <w:rPr>
          <w:rFonts w:ascii="Calibri" w:hAnsi="Calibri" w:cs="Calibri"/>
          <w:b/>
          <w:bCs/>
        </w:rPr>
        <w:t>The application mentions that there will be “</w:t>
      </w:r>
      <w:r w:rsidRPr="0041100F">
        <w:rPr>
          <w:b/>
          <w:bCs/>
        </w:rPr>
        <w:t>other renovation projects to improve existing services and facilities at the BWFH main campus.</w:t>
      </w:r>
      <w:r w:rsidRPr="0041100F">
        <w:rPr>
          <w:rFonts w:ascii="Calibri" w:hAnsi="Calibri" w:cs="Calibri"/>
          <w:b/>
          <w:bCs/>
        </w:rPr>
        <w:t xml:space="preserve">” Describe these other renovation projects. </w:t>
      </w:r>
    </w:p>
    <w:p w14:paraId="44DEC51F" w14:textId="2AC8F966" w:rsidR="0028198B" w:rsidRPr="0028198B" w:rsidRDefault="0028198B" w:rsidP="0028198B">
      <w:pPr>
        <w:pStyle w:val="ListParagraph"/>
        <w:spacing w:after="0"/>
        <w:ind w:left="360"/>
        <w:rPr>
          <w:rFonts w:ascii="Calibri" w:hAnsi="Calibri" w:cs="Calibri"/>
        </w:rPr>
      </w:pPr>
    </w:p>
    <w:p w14:paraId="546AF54E" w14:textId="0CCA02EA" w:rsidR="0028198B" w:rsidRPr="0028198B" w:rsidRDefault="0028198B" w:rsidP="0028198B">
      <w:pPr>
        <w:pStyle w:val="BodyTextIndent"/>
      </w:pPr>
      <w:r w:rsidRPr="0028198B">
        <w:t xml:space="preserve">“Other renovation projects” refers to other work that must be done on the campus to facilitate this campus expansion. Patient Experience Department must be </w:t>
      </w:r>
      <w:proofErr w:type="gramStart"/>
      <w:r w:rsidRPr="0028198B">
        <w:t>relocated,</w:t>
      </w:r>
      <w:proofErr w:type="gramEnd"/>
      <w:r w:rsidRPr="0028198B">
        <w:t xml:space="preserve"> a corridor must be straightened that will take part of the dining room of the cafeteria; a dining room addition will be added to compensate for that loss. Because the building is an addition, there will be access points on each floor that will disrupt a pre-existing function. This includes Staff Lactation room relocation, Infectious Disease physician office replication, conference room and clinical support staff offices. </w:t>
      </w:r>
    </w:p>
    <w:p w14:paraId="2F1429C5" w14:textId="77777777" w:rsidR="005955B7" w:rsidRDefault="005955B7" w:rsidP="005955B7">
      <w:pPr>
        <w:pStyle w:val="ListParagraph"/>
        <w:spacing w:after="0"/>
        <w:ind w:left="360"/>
      </w:pPr>
    </w:p>
    <w:p w14:paraId="3A7B41EA" w14:textId="383A690F" w:rsidR="003F747D" w:rsidRPr="0041100F" w:rsidRDefault="005955B7" w:rsidP="003F747D">
      <w:pPr>
        <w:pStyle w:val="ListParagraph"/>
        <w:numPr>
          <w:ilvl w:val="0"/>
          <w:numId w:val="2"/>
        </w:numPr>
        <w:spacing w:after="0"/>
        <w:ind w:left="360"/>
        <w:rPr>
          <w:b/>
          <w:bCs/>
        </w:rPr>
      </w:pPr>
      <w:r w:rsidRPr="0041100F">
        <w:rPr>
          <w:b/>
          <w:bCs/>
        </w:rPr>
        <w:t>Does BWFH have more than one inpatient unit?</w:t>
      </w:r>
    </w:p>
    <w:p w14:paraId="33DD2783" w14:textId="6FF60B46" w:rsidR="0028198B" w:rsidRDefault="0028198B" w:rsidP="0028198B"/>
    <w:p w14:paraId="60092985" w14:textId="78FEEC2B" w:rsidR="0028198B" w:rsidRPr="0028198B" w:rsidRDefault="0028198B" w:rsidP="0028198B">
      <w:pPr>
        <w:ind w:left="360"/>
        <w:rPr>
          <w:sz w:val="22"/>
          <w:szCs w:val="22"/>
        </w:rPr>
      </w:pPr>
      <w:r w:rsidRPr="0028198B">
        <w:rPr>
          <w:sz w:val="22"/>
          <w:szCs w:val="22"/>
        </w:rPr>
        <w:t xml:space="preserve">Yes. BWFH currently has 4 medical/surgical inpatient units.  They </w:t>
      </w:r>
      <w:r w:rsidR="003E1CC2">
        <w:rPr>
          <w:sz w:val="22"/>
          <w:szCs w:val="22"/>
        </w:rPr>
        <w:t>all provide medical/surgical inpatient care</w:t>
      </w:r>
      <w:r w:rsidRPr="0028198B">
        <w:rPr>
          <w:sz w:val="22"/>
          <w:szCs w:val="22"/>
        </w:rPr>
        <w:t xml:space="preserve"> – it is just </w:t>
      </w:r>
      <w:r w:rsidR="0041100F">
        <w:rPr>
          <w:sz w:val="22"/>
          <w:szCs w:val="22"/>
        </w:rPr>
        <w:t xml:space="preserve">location within the hospital </w:t>
      </w:r>
      <w:r w:rsidRPr="0028198B">
        <w:rPr>
          <w:sz w:val="22"/>
          <w:szCs w:val="22"/>
        </w:rPr>
        <w:t xml:space="preserve">that separates them. </w:t>
      </w:r>
    </w:p>
    <w:p w14:paraId="259C79D6" w14:textId="77777777" w:rsidR="003F747D" w:rsidRDefault="003F747D" w:rsidP="003F747D">
      <w:pPr>
        <w:pStyle w:val="ListParagraph"/>
      </w:pPr>
    </w:p>
    <w:p w14:paraId="3877667C" w14:textId="33AB6A1F" w:rsidR="006157F3" w:rsidRPr="0041100F" w:rsidRDefault="00301CDD" w:rsidP="003F747D">
      <w:pPr>
        <w:pStyle w:val="ListParagraph"/>
        <w:numPr>
          <w:ilvl w:val="0"/>
          <w:numId w:val="2"/>
        </w:numPr>
        <w:spacing w:after="0"/>
        <w:ind w:left="360"/>
        <w:rPr>
          <w:b/>
          <w:bCs/>
        </w:rPr>
      </w:pPr>
      <w:r w:rsidRPr="0041100F">
        <w:rPr>
          <w:b/>
          <w:bCs/>
        </w:rPr>
        <w:t xml:space="preserve">Is </w:t>
      </w:r>
      <w:r w:rsidR="000F194B" w:rsidRPr="0041100F">
        <w:rPr>
          <w:b/>
          <w:bCs/>
        </w:rPr>
        <w:t xml:space="preserve">the 3T </w:t>
      </w:r>
      <w:r w:rsidR="006157F3" w:rsidRPr="0041100F">
        <w:rPr>
          <w:b/>
          <w:bCs/>
        </w:rPr>
        <w:t>MRI</w:t>
      </w:r>
      <w:r w:rsidRPr="0041100F">
        <w:rPr>
          <w:b/>
          <w:bCs/>
        </w:rPr>
        <w:t xml:space="preserve"> for all </w:t>
      </w:r>
      <w:r w:rsidR="003F747D" w:rsidRPr="0041100F">
        <w:rPr>
          <w:b/>
          <w:bCs/>
        </w:rPr>
        <w:t xml:space="preserve">BWFH </w:t>
      </w:r>
      <w:r w:rsidRPr="0041100F">
        <w:rPr>
          <w:b/>
          <w:bCs/>
        </w:rPr>
        <w:t>patients or a specific group of patients (e.g., ED, inpatient)?</w:t>
      </w:r>
      <w:r w:rsidR="007F1FF6" w:rsidRPr="0041100F">
        <w:rPr>
          <w:b/>
          <w:bCs/>
        </w:rPr>
        <w:t xml:space="preserve"> </w:t>
      </w:r>
    </w:p>
    <w:p w14:paraId="0C7162B9" w14:textId="77777777" w:rsidR="0028198B" w:rsidRDefault="0028198B" w:rsidP="0028198B"/>
    <w:p w14:paraId="3D5D7CC8" w14:textId="29B7471E" w:rsidR="0028198B" w:rsidRPr="0028198B" w:rsidRDefault="0028198B" w:rsidP="0028198B">
      <w:pPr>
        <w:ind w:firstLine="360"/>
        <w:rPr>
          <w:sz w:val="22"/>
          <w:szCs w:val="22"/>
        </w:rPr>
      </w:pPr>
      <w:r w:rsidRPr="0028198B">
        <w:rPr>
          <w:sz w:val="22"/>
          <w:szCs w:val="22"/>
        </w:rPr>
        <w:t>Yes</w:t>
      </w:r>
      <w:r w:rsidR="00BC0A89">
        <w:rPr>
          <w:sz w:val="22"/>
          <w:szCs w:val="22"/>
        </w:rPr>
        <w:t>. T</w:t>
      </w:r>
      <w:r w:rsidRPr="0028198B">
        <w:rPr>
          <w:sz w:val="22"/>
          <w:szCs w:val="22"/>
        </w:rPr>
        <w:t>he additional MRI will be available to serve all classes of patients.</w:t>
      </w:r>
    </w:p>
    <w:p w14:paraId="5D7B6255" w14:textId="77777777" w:rsidR="002551F2" w:rsidRDefault="002551F2" w:rsidP="002551F2">
      <w:pPr>
        <w:pStyle w:val="ListParagraph"/>
      </w:pPr>
    </w:p>
    <w:p w14:paraId="41E7F2BC" w14:textId="4785FF2A" w:rsidR="005955B7" w:rsidRDefault="005955B7" w:rsidP="005955B7">
      <w:pPr>
        <w:pStyle w:val="ListParagraph"/>
        <w:numPr>
          <w:ilvl w:val="0"/>
          <w:numId w:val="2"/>
        </w:numPr>
        <w:spacing w:after="0"/>
        <w:ind w:left="360"/>
        <w:rPr>
          <w:b/>
          <w:bCs/>
        </w:rPr>
      </w:pPr>
      <w:r w:rsidRPr="0041100F">
        <w:rPr>
          <w:b/>
          <w:bCs/>
        </w:rPr>
        <w:t>For the data below, does this include only M/S boarders and exclude behavioral health/psych boarders?</w:t>
      </w:r>
    </w:p>
    <w:p w14:paraId="461912B3" w14:textId="77777777" w:rsidR="0041100F" w:rsidRPr="005955B7" w:rsidRDefault="0041100F" w:rsidP="0041100F">
      <w:pPr>
        <w:pStyle w:val="ListParagraph"/>
        <w:ind w:left="0"/>
        <w:rPr>
          <w:color w:val="4472C4" w:themeColor="accent1"/>
          <w:sz w:val="21"/>
          <w:szCs w:val="21"/>
        </w:rPr>
      </w:pPr>
      <w:r w:rsidRPr="005955B7">
        <w:rPr>
          <w:color w:val="4472C4" w:themeColor="accent1"/>
          <w:sz w:val="21"/>
          <w:szCs w:val="21"/>
        </w:rPr>
        <w:t>ED Boarding at BWH</w:t>
      </w:r>
    </w:p>
    <w:tbl>
      <w:tblPr>
        <w:tblStyle w:val="TableGrid"/>
        <w:tblW w:w="0" w:type="auto"/>
        <w:tblLook w:val="04A0" w:firstRow="1" w:lastRow="0" w:firstColumn="1" w:lastColumn="0" w:noHBand="0" w:noVBand="1"/>
        <w:tblCaption w:val="ED Boarding at BWH"/>
        <w:tblDescription w:val="ED Boarding at BWH Table"/>
      </w:tblPr>
      <w:tblGrid>
        <w:gridCol w:w="5061"/>
        <w:gridCol w:w="1893"/>
        <w:gridCol w:w="1676"/>
      </w:tblGrid>
      <w:tr w:rsidR="0041100F" w:rsidRPr="005955B7" w14:paraId="40332CEC" w14:textId="77777777" w:rsidTr="008D0C2B">
        <w:trPr>
          <w:trHeight w:val="278"/>
          <w:tblHeader/>
        </w:trPr>
        <w:tc>
          <w:tcPr>
            <w:tcW w:w="5061" w:type="dxa"/>
          </w:tcPr>
          <w:p w14:paraId="4AEF367E" w14:textId="77777777" w:rsidR="0041100F" w:rsidRPr="005955B7" w:rsidRDefault="0041100F" w:rsidP="007F564F">
            <w:pPr>
              <w:pStyle w:val="ListParagraph"/>
              <w:spacing w:line="240" w:lineRule="auto"/>
              <w:ind w:left="0"/>
              <w:jc w:val="right"/>
              <w:rPr>
                <w:color w:val="4472C4" w:themeColor="accent1"/>
                <w:sz w:val="21"/>
                <w:szCs w:val="21"/>
                <w:u w:val="single"/>
              </w:rPr>
            </w:pPr>
          </w:p>
        </w:tc>
        <w:tc>
          <w:tcPr>
            <w:tcW w:w="1893" w:type="dxa"/>
          </w:tcPr>
          <w:p w14:paraId="560A54F7" w14:textId="77777777" w:rsidR="0041100F" w:rsidRPr="005955B7" w:rsidRDefault="0041100F" w:rsidP="007F564F">
            <w:pPr>
              <w:pStyle w:val="ListParagraph"/>
              <w:spacing w:line="240" w:lineRule="auto"/>
              <w:ind w:left="0"/>
              <w:jc w:val="right"/>
              <w:rPr>
                <w:color w:val="4472C4" w:themeColor="accent1"/>
                <w:sz w:val="21"/>
                <w:szCs w:val="21"/>
                <w:u w:val="single"/>
              </w:rPr>
            </w:pPr>
            <w:r w:rsidRPr="005955B7">
              <w:rPr>
                <w:b/>
                <w:bCs/>
                <w:color w:val="4472C4" w:themeColor="accent1"/>
                <w:sz w:val="21"/>
                <w:szCs w:val="21"/>
              </w:rPr>
              <w:t>FY18</w:t>
            </w:r>
          </w:p>
        </w:tc>
        <w:tc>
          <w:tcPr>
            <w:tcW w:w="1676" w:type="dxa"/>
          </w:tcPr>
          <w:p w14:paraId="656A75B9" w14:textId="77777777" w:rsidR="0041100F" w:rsidRPr="005955B7" w:rsidRDefault="0041100F" w:rsidP="007F564F">
            <w:pPr>
              <w:pStyle w:val="ListParagraph"/>
              <w:spacing w:line="240" w:lineRule="auto"/>
              <w:ind w:left="0"/>
              <w:jc w:val="right"/>
              <w:rPr>
                <w:color w:val="4472C4" w:themeColor="accent1"/>
                <w:sz w:val="21"/>
                <w:szCs w:val="21"/>
                <w:u w:val="single"/>
              </w:rPr>
            </w:pPr>
            <w:r w:rsidRPr="005955B7">
              <w:rPr>
                <w:b/>
                <w:bCs/>
                <w:color w:val="4472C4" w:themeColor="accent1"/>
                <w:sz w:val="21"/>
                <w:szCs w:val="21"/>
              </w:rPr>
              <w:t>FY19</w:t>
            </w:r>
          </w:p>
        </w:tc>
      </w:tr>
      <w:tr w:rsidR="0041100F" w:rsidRPr="005955B7" w14:paraId="572FCF00" w14:textId="77777777" w:rsidTr="007F564F">
        <w:tc>
          <w:tcPr>
            <w:tcW w:w="5061" w:type="dxa"/>
            <w:vAlign w:val="bottom"/>
          </w:tcPr>
          <w:p w14:paraId="064F3719" w14:textId="77777777" w:rsidR="0041100F" w:rsidRPr="005955B7" w:rsidRDefault="0041100F" w:rsidP="007F564F">
            <w:pPr>
              <w:pStyle w:val="ListParagraph"/>
              <w:spacing w:line="240" w:lineRule="auto"/>
              <w:ind w:left="0"/>
              <w:rPr>
                <w:b/>
                <w:bCs/>
                <w:color w:val="4472C4" w:themeColor="accent1"/>
                <w:sz w:val="20"/>
                <w:szCs w:val="20"/>
                <w:u w:val="single"/>
              </w:rPr>
            </w:pPr>
            <w:r w:rsidRPr="005955B7">
              <w:rPr>
                <w:b/>
                <w:bCs/>
                <w:color w:val="4472C4" w:themeColor="accent1"/>
                <w:sz w:val="20"/>
                <w:szCs w:val="20"/>
              </w:rPr>
              <w:t>ED Boarder Hours</w:t>
            </w:r>
          </w:p>
        </w:tc>
        <w:tc>
          <w:tcPr>
            <w:tcW w:w="1893" w:type="dxa"/>
            <w:vAlign w:val="bottom"/>
          </w:tcPr>
          <w:p w14:paraId="280179FF" w14:textId="77777777" w:rsidR="0041100F" w:rsidRPr="005955B7" w:rsidRDefault="0041100F" w:rsidP="007F564F">
            <w:pPr>
              <w:pStyle w:val="ListParagraph"/>
              <w:spacing w:line="240" w:lineRule="auto"/>
              <w:ind w:left="0"/>
              <w:jc w:val="right"/>
              <w:rPr>
                <w:color w:val="4472C4" w:themeColor="accent1"/>
                <w:sz w:val="20"/>
                <w:szCs w:val="20"/>
              </w:rPr>
            </w:pPr>
            <w:r w:rsidRPr="005955B7">
              <w:rPr>
                <w:color w:val="4472C4" w:themeColor="accent1"/>
                <w:sz w:val="20"/>
                <w:szCs w:val="20"/>
              </w:rPr>
              <w:t>46,570</w:t>
            </w:r>
          </w:p>
        </w:tc>
        <w:tc>
          <w:tcPr>
            <w:tcW w:w="1676" w:type="dxa"/>
            <w:vAlign w:val="bottom"/>
          </w:tcPr>
          <w:p w14:paraId="5BB20327" w14:textId="77777777" w:rsidR="0041100F" w:rsidRPr="005955B7" w:rsidRDefault="0041100F" w:rsidP="007F564F">
            <w:pPr>
              <w:pStyle w:val="ListParagraph"/>
              <w:spacing w:line="240" w:lineRule="auto"/>
              <w:ind w:left="0"/>
              <w:jc w:val="right"/>
              <w:rPr>
                <w:color w:val="4472C4" w:themeColor="accent1"/>
                <w:sz w:val="20"/>
                <w:szCs w:val="20"/>
                <w:u w:val="single"/>
              </w:rPr>
            </w:pPr>
            <w:r w:rsidRPr="005955B7">
              <w:rPr>
                <w:color w:val="4472C4" w:themeColor="accent1"/>
                <w:sz w:val="20"/>
                <w:szCs w:val="20"/>
              </w:rPr>
              <w:t>65,777</w:t>
            </w:r>
          </w:p>
        </w:tc>
      </w:tr>
      <w:tr w:rsidR="0041100F" w:rsidRPr="005955B7" w14:paraId="6BBA84D9" w14:textId="77777777" w:rsidTr="007F564F">
        <w:tc>
          <w:tcPr>
            <w:tcW w:w="5061" w:type="dxa"/>
            <w:vAlign w:val="bottom"/>
          </w:tcPr>
          <w:p w14:paraId="6025190D" w14:textId="77777777" w:rsidR="0041100F" w:rsidRPr="005955B7" w:rsidRDefault="0041100F" w:rsidP="007F564F">
            <w:pPr>
              <w:pStyle w:val="ListParagraph"/>
              <w:spacing w:line="240" w:lineRule="auto"/>
              <w:ind w:left="0"/>
              <w:rPr>
                <w:b/>
                <w:bCs/>
                <w:color w:val="4472C4" w:themeColor="accent1"/>
                <w:sz w:val="20"/>
                <w:szCs w:val="20"/>
                <w:u w:val="single"/>
              </w:rPr>
            </w:pPr>
            <w:r w:rsidRPr="005955B7">
              <w:rPr>
                <w:b/>
                <w:bCs/>
                <w:color w:val="4472C4" w:themeColor="accent1"/>
                <w:sz w:val="20"/>
                <w:szCs w:val="20"/>
              </w:rPr>
              <w:t># of Boarders in the ED &gt; 12 hours</w:t>
            </w:r>
          </w:p>
        </w:tc>
        <w:tc>
          <w:tcPr>
            <w:tcW w:w="1893" w:type="dxa"/>
            <w:vAlign w:val="bottom"/>
          </w:tcPr>
          <w:p w14:paraId="0A3EF0B3" w14:textId="77777777" w:rsidR="0041100F" w:rsidRPr="005955B7" w:rsidRDefault="0041100F" w:rsidP="007F564F">
            <w:pPr>
              <w:pStyle w:val="ListParagraph"/>
              <w:spacing w:line="240" w:lineRule="auto"/>
              <w:ind w:left="0"/>
              <w:jc w:val="right"/>
              <w:rPr>
                <w:color w:val="4472C4" w:themeColor="accent1"/>
                <w:sz w:val="20"/>
                <w:szCs w:val="20"/>
              </w:rPr>
            </w:pPr>
            <w:r w:rsidRPr="005955B7">
              <w:rPr>
                <w:color w:val="4472C4" w:themeColor="accent1"/>
                <w:sz w:val="20"/>
                <w:szCs w:val="20"/>
              </w:rPr>
              <w:t>1,181</w:t>
            </w:r>
          </w:p>
        </w:tc>
        <w:tc>
          <w:tcPr>
            <w:tcW w:w="1676" w:type="dxa"/>
            <w:vAlign w:val="bottom"/>
          </w:tcPr>
          <w:p w14:paraId="2BA4C8DD" w14:textId="77777777" w:rsidR="0041100F" w:rsidRPr="005955B7" w:rsidRDefault="0041100F" w:rsidP="007F564F">
            <w:pPr>
              <w:pStyle w:val="ListParagraph"/>
              <w:spacing w:line="240" w:lineRule="auto"/>
              <w:ind w:left="0"/>
              <w:jc w:val="right"/>
              <w:rPr>
                <w:color w:val="4472C4" w:themeColor="accent1"/>
                <w:sz w:val="20"/>
                <w:szCs w:val="20"/>
                <w:u w:val="single"/>
              </w:rPr>
            </w:pPr>
            <w:r w:rsidRPr="005955B7">
              <w:rPr>
                <w:color w:val="4472C4" w:themeColor="accent1"/>
                <w:sz w:val="20"/>
                <w:szCs w:val="20"/>
              </w:rPr>
              <w:t>1,809</w:t>
            </w:r>
          </w:p>
        </w:tc>
      </w:tr>
      <w:tr w:rsidR="0041100F" w:rsidRPr="005955B7" w14:paraId="2DFB623D" w14:textId="77777777" w:rsidTr="007F564F">
        <w:tc>
          <w:tcPr>
            <w:tcW w:w="5061" w:type="dxa"/>
            <w:vAlign w:val="bottom"/>
          </w:tcPr>
          <w:p w14:paraId="6D876C5E" w14:textId="77777777" w:rsidR="0041100F" w:rsidRPr="005955B7" w:rsidRDefault="0041100F" w:rsidP="007F564F">
            <w:pPr>
              <w:pStyle w:val="ListParagraph"/>
              <w:spacing w:line="240" w:lineRule="auto"/>
              <w:ind w:left="0"/>
              <w:rPr>
                <w:b/>
                <w:bCs/>
                <w:color w:val="4472C4" w:themeColor="accent1"/>
                <w:sz w:val="20"/>
                <w:szCs w:val="20"/>
                <w:u w:val="single"/>
              </w:rPr>
            </w:pPr>
            <w:r w:rsidRPr="005955B7">
              <w:rPr>
                <w:b/>
                <w:bCs/>
                <w:color w:val="4472C4" w:themeColor="accent1"/>
                <w:sz w:val="20"/>
                <w:szCs w:val="20"/>
              </w:rPr>
              <w:t>Average time to Admission for inpatients (in hours)</w:t>
            </w:r>
          </w:p>
        </w:tc>
        <w:tc>
          <w:tcPr>
            <w:tcW w:w="1893" w:type="dxa"/>
            <w:vAlign w:val="bottom"/>
          </w:tcPr>
          <w:p w14:paraId="7F5555F2" w14:textId="77777777" w:rsidR="0041100F" w:rsidRPr="005955B7" w:rsidRDefault="0041100F" w:rsidP="007F564F">
            <w:pPr>
              <w:pStyle w:val="ListParagraph"/>
              <w:spacing w:line="240" w:lineRule="auto"/>
              <w:ind w:left="0"/>
              <w:jc w:val="right"/>
              <w:rPr>
                <w:color w:val="4472C4" w:themeColor="accent1"/>
                <w:sz w:val="20"/>
                <w:szCs w:val="20"/>
              </w:rPr>
            </w:pPr>
            <w:r w:rsidRPr="005955B7">
              <w:rPr>
                <w:color w:val="4472C4" w:themeColor="accent1"/>
                <w:sz w:val="20"/>
                <w:szCs w:val="20"/>
              </w:rPr>
              <w:t>6.73</w:t>
            </w:r>
          </w:p>
        </w:tc>
        <w:tc>
          <w:tcPr>
            <w:tcW w:w="1676" w:type="dxa"/>
            <w:vAlign w:val="bottom"/>
          </w:tcPr>
          <w:p w14:paraId="07CF123D" w14:textId="77777777" w:rsidR="0041100F" w:rsidRPr="005955B7" w:rsidRDefault="0041100F" w:rsidP="007F564F">
            <w:pPr>
              <w:pStyle w:val="ListParagraph"/>
              <w:spacing w:line="240" w:lineRule="auto"/>
              <w:ind w:left="0"/>
              <w:jc w:val="right"/>
              <w:rPr>
                <w:color w:val="4472C4" w:themeColor="accent1"/>
                <w:sz w:val="20"/>
                <w:szCs w:val="20"/>
                <w:u w:val="single"/>
              </w:rPr>
            </w:pPr>
            <w:r w:rsidRPr="005955B7">
              <w:rPr>
                <w:color w:val="4472C4" w:themeColor="accent1"/>
                <w:sz w:val="20"/>
                <w:szCs w:val="20"/>
              </w:rPr>
              <w:t>7.68</w:t>
            </w:r>
          </w:p>
        </w:tc>
      </w:tr>
      <w:tr w:rsidR="0041100F" w:rsidRPr="005955B7" w14:paraId="0DC52FA0" w14:textId="77777777" w:rsidTr="00CD6C57">
        <w:trPr>
          <w:trHeight w:val="332"/>
        </w:trPr>
        <w:tc>
          <w:tcPr>
            <w:tcW w:w="5061" w:type="dxa"/>
            <w:vAlign w:val="bottom"/>
          </w:tcPr>
          <w:p w14:paraId="1FF47ADB" w14:textId="77777777" w:rsidR="0041100F" w:rsidRPr="005955B7" w:rsidRDefault="0041100F" w:rsidP="00CD6C57">
            <w:pPr>
              <w:pStyle w:val="ListParagraph"/>
              <w:spacing w:after="0" w:line="240" w:lineRule="auto"/>
              <w:ind w:left="0"/>
              <w:rPr>
                <w:b/>
                <w:bCs/>
                <w:color w:val="4472C4" w:themeColor="accent1"/>
                <w:sz w:val="20"/>
                <w:szCs w:val="20"/>
                <w:u w:val="single"/>
              </w:rPr>
            </w:pPr>
            <w:r w:rsidRPr="005955B7">
              <w:rPr>
                <w:b/>
                <w:bCs/>
                <w:color w:val="4472C4" w:themeColor="accent1"/>
                <w:sz w:val="20"/>
                <w:szCs w:val="20"/>
              </w:rPr>
              <w:t>Average time to Discharge for all other patients (in hours)</w:t>
            </w:r>
          </w:p>
        </w:tc>
        <w:tc>
          <w:tcPr>
            <w:tcW w:w="1893" w:type="dxa"/>
            <w:vAlign w:val="bottom"/>
          </w:tcPr>
          <w:p w14:paraId="0119DBFC" w14:textId="77777777" w:rsidR="0041100F" w:rsidRPr="005955B7" w:rsidRDefault="0041100F" w:rsidP="00CD6C57">
            <w:pPr>
              <w:pStyle w:val="ListParagraph"/>
              <w:spacing w:after="0" w:line="240" w:lineRule="auto"/>
              <w:ind w:left="0"/>
              <w:jc w:val="right"/>
              <w:rPr>
                <w:color w:val="4472C4" w:themeColor="accent1"/>
                <w:sz w:val="20"/>
                <w:szCs w:val="20"/>
              </w:rPr>
            </w:pPr>
            <w:r w:rsidRPr="005955B7">
              <w:rPr>
                <w:color w:val="4472C4" w:themeColor="accent1"/>
                <w:sz w:val="20"/>
                <w:szCs w:val="20"/>
              </w:rPr>
              <w:t>4.33</w:t>
            </w:r>
          </w:p>
        </w:tc>
        <w:tc>
          <w:tcPr>
            <w:tcW w:w="1676" w:type="dxa"/>
            <w:vAlign w:val="bottom"/>
          </w:tcPr>
          <w:p w14:paraId="5818FD68" w14:textId="77777777" w:rsidR="0041100F" w:rsidRPr="005955B7" w:rsidRDefault="0041100F" w:rsidP="00CD6C57">
            <w:pPr>
              <w:pStyle w:val="ListParagraph"/>
              <w:spacing w:after="0" w:line="240" w:lineRule="auto"/>
              <w:ind w:left="0"/>
              <w:jc w:val="right"/>
              <w:rPr>
                <w:color w:val="4472C4" w:themeColor="accent1"/>
                <w:sz w:val="20"/>
                <w:szCs w:val="20"/>
              </w:rPr>
            </w:pPr>
          </w:p>
          <w:p w14:paraId="51BE54B9" w14:textId="77777777" w:rsidR="0041100F" w:rsidRPr="005955B7" w:rsidRDefault="0041100F" w:rsidP="00CD6C57">
            <w:pPr>
              <w:pStyle w:val="ListParagraph"/>
              <w:spacing w:after="0" w:line="240" w:lineRule="auto"/>
              <w:ind w:left="0"/>
              <w:jc w:val="right"/>
              <w:rPr>
                <w:color w:val="4472C4" w:themeColor="accent1"/>
                <w:sz w:val="20"/>
                <w:szCs w:val="20"/>
                <w:u w:val="single"/>
              </w:rPr>
            </w:pPr>
            <w:r w:rsidRPr="005955B7">
              <w:rPr>
                <w:color w:val="4472C4" w:themeColor="accent1"/>
                <w:sz w:val="20"/>
                <w:szCs w:val="20"/>
              </w:rPr>
              <w:t>4.38</w:t>
            </w:r>
          </w:p>
        </w:tc>
      </w:tr>
    </w:tbl>
    <w:p w14:paraId="26BA6437" w14:textId="5CAC82FC" w:rsidR="0028198B" w:rsidRDefault="0028198B" w:rsidP="0028198B">
      <w:pPr>
        <w:pStyle w:val="ListParagraph"/>
        <w:spacing w:after="0"/>
        <w:ind w:left="360"/>
        <w:rPr>
          <w:b/>
          <w:bCs/>
        </w:rPr>
      </w:pPr>
    </w:p>
    <w:p w14:paraId="1F272C65" w14:textId="77777777" w:rsidR="0041100F" w:rsidRDefault="0041100F" w:rsidP="003E1CC2">
      <w:pPr>
        <w:pStyle w:val="BodyTextIndent"/>
        <w:ind w:left="720"/>
      </w:pPr>
      <w:r w:rsidRPr="0028198B">
        <w:lastRenderedPageBreak/>
        <w:t>Yes, the data in the chart only includes M/S boarders and is exclusive of behavioral health/psych boarders.</w:t>
      </w:r>
    </w:p>
    <w:p w14:paraId="6129E446" w14:textId="77777777" w:rsidR="0041100F" w:rsidRPr="0041100F" w:rsidRDefault="0041100F" w:rsidP="0028198B">
      <w:pPr>
        <w:pStyle w:val="ListParagraph"/>
        <w:spacing w:after="0"/>
        <w:ind w:left="360"/>
        <w:rPr>
          <w:b/>
          <w:bCs/>
        </w:rPr>
      </w:pPr>
    </w:p>
    <w:p w14:paraId="7A57E2F2" w14:textId="22F46A46" w:rsidR="005955B7" w:rsidRDefault="005955B7" w:rsidP="005955B7">
      <w:pPr>
        <w:pStyle w:val="ListParagraph"/>
        <w:numPr>
          <w:ilvl w:val="1"/>
          <w:numId w:val="2"/>
        </w:numPr>
        <w:spacing w:after="0" w:line="240" w:lineRule="auto"/>
        <w:ind w:left="720"/>
        <w:rPr>
          <w:b/>
          <w:bCs/>
        </w:rPr>
      </w:pPr>
      <w:r w:rsidRPr="0041100F">
        <w:rPr>
          <w:b/>
          <w:bCs/>
        </w:rPr>
        <w:t>Generally, for ED boarder data included in the application include only M/S boarders?</w:t>
      </w:r>
    </w:p>
    <w:p w14:paraId="145F1E1D" w14:textId="77777777" w:rsidR="0041100F" w:rsidRDefault="0041100F" w:rsidP="0041100F">
      <w:pPr>
        <w:pStyle w:val="ListParagraph"/>
      </w:pPr>
    </w:p>
    <w:p w14:paraId="5EDC74D4" w14:textId="779977C0" w:rsidR="0041100F" w:rsidRPr="007C7AAC" w:rsidRDefault="0041100F" w:rsidP="0041100F">
      <w:pPr>
        <w:pStyle w:val="ListParagraph"/>
      </w:pPr>
      <w:r>
        <w:t xml:space="preserve">For any BWH ED boarder data provided, psych boarder data is not included. For any BWFH ED boarder data provided, psych boarders </w:t>
      </w:r>
      <w:r w:rsidR="003E1CC2">
        <w:t>were</w:t>
      </w:r>
      <w:r>
        <w:t xml:space="preserve"> included.</w:t>
      </w:r>
    </w:p>
    <w:p w14:paraId="18AA5727" w14:textId="6D695E06" w:rsidR="005955B7" w:rsidRDefault="005955B7" w:rsidP="005955B7">
      <w:pPr>
        <w:pStyle w:val="ListParagraph"/>
      </w:pPr>
    </w:p>
    <w:p w14:paraId="751C57D2" w14:textId="15230B81" w:rsidR="006C229B" w:rsidRPr="0041100F" w:rsidRDefault="006C229B" w:rsidP="00D303ED">
      <w:pPr>
        <w:pStyle w:val="ListParagraph"/>
        <w:numPr>
          <w:ilvl w:val="0"/>
          <w:numId w:val="2"/>
        </w:numPr>
        <w:ind w:left="360"/>
        <w:rPr>
          <w:rFonts w:ascii="Calibri" w:hAnsi="Calibri" w:cs="Calibri"/>
          <w:b/>
          <w:bCs/>
        </w:rPr>
      </w:pPr>
      <w:r w:rsidRPr="0041100F">
        <w:rPr>
          <w:rFonts w:ascii="Calibri" w:hAnsi="Calibri" w:cs="Calibri"/>
          <w:b/>
          <w:bCs/>
        </w:rPr>
        <w:t xml:space="preserve">In the Bed Summary Response submitted, the table indicates that there were “0” patients transferred through the </w:t>
      </w:r>
      <w:r w:rsidRPr="0041100F">
        <w:rPr>
          <w:b/>
          <w:bCs/>
          <w:color w:val="000000"/>
        </w:rPr>
        <w:t xml:space="preserve">BWH to BWFH Transfer Program and shifting services from BWH to BWFH at Baseline (FY19). However, in the Application and follow-up responses it is stated that patients </w:t>
      </w:r>
      <w:r w:rsidR="003F747D" w:rsidRPr="0041100F">
        <w:rPr>
          <w:b/>
          <w:bCs/>
          <w:color w:val="000000"/>
        </w:rPr>
        <w:t>have been</w:t>
      </w:r>
      <w:r w:rsidRPr="0041100F">
        <w:rPr>
          <w:b/>
          <w:bCs/>
          <w:color w:val="000000"/>
        </w:rPr>
        <w:t xml:space="preserve"> transferred from BWH to BWFH</w:t>
      </w:r>
      <w:r w:rsidR="003F747D" w:rsidRPr="0041100F">
        <w:rPr>
          <w:b/>
          <w:bCs/>
          <w:color w:val="000000"/>
        </w:rPr>
        <w:t xml:space="preserve"> prior to FY19</w:t>
      </w:r>
      <w:r w:rsidRPr="0041100F">
        <w:rPr>
          <w:b/>
          <w:bCs/>
          <w:color w:val="000000"/>
        </w:rPr>
        <w:t>. Explain this discrepancy.</w:t>
      </w:r>
    </w:p>
    <w:p w14:paraId="109A235B" w14:textId="034125D8" w:rsidR="005524BF" w:rsidRPr="005955B7" w:rsidRDefault="005524BF" w:rsidP="005524BF">
      <w:pPr>
        <w:rPr>
          <w:rFonts w:ascii="Calibri" w:hAnsi="Calibri" w:cs="Calibri"/>
          <w:color w:val="4472C4" w:themeColor="accent1"/>
          <w:sz w:val="21"/>
          <w:szCs w:val="21"/>
        </w:rPr>
      </w:pPr>
      <w:r w:rsidRPr="005955B7">
        <w:rPr>
          <w:rFonts w:ascii="Calibri" w:hAnsi="Calibri" w:cs="Calibri"/>
          <w:color w:val="4472C4" w:themeColor="accent1"/>
          <w:sz w:val="21"/>
          <w:szCs w:val="21"/>
        </w:rPr>
        <w:t>Bed Need Analysis: Projected Increase in Volume, Patient Days, and Average Daily Census</w:t>
      </w:r>
    </w:p>
    <w:tbl>
      <w:tblPr>
        <w:tblStyle w:val="TableGrid"/>
        <w:tblW w:w="10530" w:type="dxa"/>
        <w:tblInd w:w="-365" w:type="dxa"/>
        <w:tblLayout w:type="fixed"/>
        <w:tblLook w:val="04A0" w:firstRow="1" w:lastRow="0" w:firstColumn="1" w:lastColumn="0" w:noHBand="0" w:noVBand="1"/>
        <w:tblCaption w:val="Bed Need Analysis: Projected Increase in Volume, Patient Days, and Average Daily Census"/>
        <w:tblDescription w:val="Bed Need Analysis: Projected Increase in Volume, Patient Days, and Average Daily Census Table"/>
      </w:tblPr>
      <w:tblGrid>
        <w:gridCol w:w="990"/>
        <w:gridCol w:w="990"/>
        <w:gridCol w:w="810"/>
        <w:gridCol w:w="990"/>
        <w:gridCol w:w="990"/>
        <w:gridCol w:w="810"/>
        <w:gridCol w:w="900"/>
        <w:gridCol w:w="990"/>
        <w:gridCol w:w="720"/>
        <w:gridCol w:w="990"/>
        <w:gridCol w:w="1350"/>
      </w:tblGrid>
      <w:tr w:rsidR="005955B7" w:rsidRPr="005955B7" w14:paraId="43FC7560" w14:textId="77777777" w:rsidTr="008D0C2B">
        <w:trPr>
          <w:tblHeader/>
        </w:trPr>
        <w:tc>
          <w:tcPr>
            <w:tcW w:w="990" w:type="dxa"/>
          </w:tcPr>
          <w:p w14:paraId="044B1D20" w14:textId="77777777" w:rsidR="005524BF" w:rsidRPr="005955B7" w:rsidRDefault="005524BF" w:rsidP="005A3B93">
            <w:pPr>
              <w:rPr>
                <w:rFonts w:ascii="Calibri" w:hAnsi="Calibri" w:cs="Calibri"/>
                <w:color w:val="4472C4" w:themeColor="accent1"/>
                <w:sz w:val="18"/>
                <w:szCs w:val="18"/>
              </w:rPr>
            </w:pPr>
          </w:p>
        </w:tc>
        <w:tc>
          <w:tcPr>
            <w:tcW w:w="2790" w:type="dxa"/>
            <w:gridSpan w:val="3"/>
          </w:tcPr>
          <w:p w14:paraId="50A8F78A" w14:textId="77777777" w:rsidR="005524BF" w:rsidRPr="005955B7" w:rsidRDefault="005524BF" w:rsidP="005A3B93">
            <w:pPr>
              <w:jc w:val="center"/>
              <w:rPr>
                <w:rFonts w:ascii="Calibri" w:hAnsi="Calibri" w:cs="Calibri"/>
                <w:b/>
                <w:bCs/>
                <w:color w:val="4472C4" w:themeColor="accent1"/>
                <w:sz w:val="18"/>
                <w:szCs w:val="18"/>
              </w:rPr>
            </w:pPr>
            <w:bookmarkStart w:id="0" w:name="_GoBack"/>
            <w:r w:rsidRPr="005955B7">
              <w:rPr>
                <w:rFonts w:ascii="Calibri" w:hAnsi="Calibri" w:cs="Calibri"/>
                <w:b/>
                <w:bCs/>
                <w:color w:val="4472C4" w:themeColor="accent1"/>
                <w:sz w:val="18"/>
                <w:szCs w:val="18"/>
              </w:rPr>
              <w:t>Volume</w:t>
            </w:r>
            <w:bookmarkEnd w:id="0"/>
          </w:p>
        </w:tc>
        <w:tc>
          <w:tcPr>
            <w:tcW w:w="2700" w:type="dxa"/>
            <w:gridSpan w:val="3"/>
          </w:tcPr>
          <w:p w14:paraId="7D2D5BB2" w14:textId="77777777" w:rsidR="005524BF" w:rsidRPr="005955B7" w:rsidRDefault="005524BF" w:rsidP="005A3B93">
            <w:pPr>
              <w:jc w:val="center"/>
              <w:rPr>
                <w:rFonts w:ascii="Calibri" w:hAnsi="Calibri" w:cs="Calibri"/>
                <w:b/>
                <w:bCs/>
                <w:color w:val="4472C4" w:themeColor="accent1"/>
                <w:sz w:val="18"/>
                <w:szCs w:val="18"/>
              </w:rPr>
            </w:pPr>
            <w:r w:rsidRPr="005955B7">
              <w:rPr>
                <w:rFonts w:ascii="Calibri" w:hAnsi="Calibri" w:cs="Calibri"/>
                <w:b/>
                <w:bCs/>
                <w:color w:val="4472C4" w:themeColor="accent1"/>
                <w:sz w:val="18"/>
                <w:szCs w:val="18"/>
              </w:rPr>
              <w:t>Patient Days</w:t>
            </w:r>
          </w:p>
        </w:tc>
        <w:tc>
          <w:tcPr>
            <w:tcW w:w="2700" w:type="dxa"/>
            <w:gridSpan w:val="3"/>
          </w:tcPr>
          <w:p w14:paraId="5023B173" w14:textId="77777777" w:rsidR="005524BF" w:rsidRPr="005955B7" w:rsidRDefault="005524BF" w:rsidP="005A3B93">
            <w:pPr>
              <w:rPr>
                <w:rFonts w:ascii="Calibri" w:hAnsi="Calibri" w:cs="Calibri"/>
                <w:b/>
                <w:bCs/>
                <w:color w:val="4472C4" w:themeColor="accent1"/>
                <w:sz w:val="18"/>
                <w:szCs w:val="18"/>
              </w:rPr>
            </w:pPr>
            <w:r w:rsidRPr="005955B7">
              <w:rPr>
                <w:rFonts w:ascii="Calibri" w:hAnsi="Calibri" w:cs="Calibri"/>
                <w:b/>
                <w:bCs/>
                <w:color w:val="4472C4" w:themeColor="accent1"/>
                <w:sz w:val="18"/>
                <w:szCs w:val="18"/>
              </w:rPr>
              <w:t>Average Daily Census</w:t>
            </w:r>
          </w:p>
        </w:tc>
        <w:tc>
          <w:tcPr>
            <w:tcW w:w="1350" w:type="dxa"/>
          </w:tcPr>
          <w:p w14:paraId="045B774D" w14:textId="77777777" w:rsidR="005524BF" w:rsidRPr="005955B7" w:rsidRDefault="005524BF" w:rsidP="005A3B93">
            <w:pPr>
              <w:rPr>
                <w:rFonts w:ascii="Calibri" w:hAnsi="Calibri" w:cs="Calibri"/>
                <w:b/>
                <w:bCs/>
                <w:color w:val="4472C4" w:themeColor="accent1"/>
                <w:sz w:val="18"/>
                <w:szCs w:val="18"/>
              </w:rPr>
            </w:pPr>
            <w:r w:rsidRPr="005955B7">
              <w:rPr>
                <w:rFonts w:ascii="Calibri" w:hAnsi="Calibri" w:cs="Calibri"/>
                <w:b/>
                <w:bCs/>
                <w:color w:val="4472C4" w:themeColor="accent1"/>
                <w:sz w:val="18"/>
                <w:szCs w:val="18"/>
              </w:rPr>
              <w:t>Incremental Bed Need</w:t>
            </w:r>
          </w:p>
        </w:tc>
      </w:tr>
      <w:tr w:rsidR="005955B7" w:rsidRPr="005955B7" w14:paraId="545E5093" w14:textId="77777777" w:rsidTr="005A3B93">
        <w:tc>
          <w:tcPr>
            <w:tcW w:w="990" w:type="dxa"/>
          </w:tcPr>
          <w:p w14:paraId="472FCAC0" w14:textId="77777777" w:rsidR="005524BF" w:rsidRPr="005955B7" w:rsidRDefault="005524BF" w:rsidP="005A3B93">
            <w:pPr>
              <w:rPr>
                <w:rFonts w:ascii="Calibri" w:hAnsi="Calibri" w:cs="Calibri"/>
                <w:color w:val="4472C4" w:themeColor="accent1"/>
                <w:sz w:val="18"/>
                <w:szCs w:val="18"/>
              </w:rPr>
            </w:pPr>
          </w:p>
        </w:tc>
        <w:tc>
          <w:tcPr>
            <w:tcW w:w="990" w:type="dxa"/>
            <w:vAlign w:val="bottom"/>
          </w:tcPr>
          <w:p w14:paraId="0F8210A7"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Baseline (FY19)</w:t>
            </w:r>
          </w:p>
        </w:tc>
        <w:tc>
          <w:tcPr>
            <w:tcW w:w="810" w:type="dxa"/>
            <w:vAlign w:val="bottom"/>
          </w:tcPr>
          <w:p w14:paraId="0BC59589"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FY 2027</w:t>
            </w:r>
          </w:p>
        </w:tc>
        <w:tc>
          <w:tcPr>
            <w:tcW w:w="990" w:type="dxa"/>
            <w:vAlign w:val="bottom"/>
          </w:tcPr>
          <w:p w14:paraId="36066B75"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Increase</w:t>
            </w:r>
          </w:p>
        </w:tc>
        <w:tc>
          <w:tcPr>
            <w:tcW w:w="990" w:type="dxa"/>
            <w:vAlign w:val="bottom"/>
          </w:tcPr>
          <w:p w14:paraId="2F55344F"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Baseline (FY19)</w:t>
            </w:r>
          </w:p>
        </w:tc>
        <w:tc>
          <w:tcPr>
            <w:tcW w:w="810" w:type="dxa"/>
            <w:vAlign w:val="bottom"/>
          </w:tcPr>
          <w:p w14:paraId="72C47524"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FY 2027</w:t>
            </w:r>
          </w:p>
        </w:tc>
        <w:tc>
          <w:tcPr>
            <w:tcW w:w="900" w:type="dxa"/>
            <w:vAlign w:val="bottom"/>
          </w:tcPr>
          <w:p w14:paraId="75CED9FD"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Increase</w:t>
            </w:r>
          </w:p>
        </w:tc>
        <w:tc>
          <w:tcPr>
            <w:tcW w:w="990" w:type="dxa"/>
            <w:vAlign w:val="bottom"/>
          </w:tcPr>
          <w:p w14:paraId="1B8DBF1D"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Baseline (FY19)</w:t>
            </w:r>
          </w:p>
        </w:tc>
        <w:tc>
          <w:tcPr>
            <w:tcW w:w="720" w:type="dxa"/>
            <w:vAlign w:val="bottom"/>
          </w:tcPr>
          <w:p w14:paraId="27E98D49"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FY 2027</w:t>
            </w:r>
          </w:p>
        </w:tc>
        <w:tc>
          <w:tcPr>
            <w:tcW w:w="990" w:type="dxa"/>
            <w:vAlign w:val="bottom"/>
          </w:tcPr>
          <w:p w14:paraId="45DDE384"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Increase</w:t>
            </w:r>
          </w:p>
        </w:tc>
        <w:tc>
          <w:tcPr>
            <w:tcW w:w="1350" w:type="dxa"/>
          </w:tcPr>
          <w:p w14:paraId="6C6E090E"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Adjusted for 85% Occupancy</w:t>
            </w:r>
          </w:p>
        </w:tc>
      </w:tr>
      <w:tr w:rsidR="005955B7" w:rsidRPr="005955B7" w14:paraId="3223C60A" w14:textId="77777777" w:rsidTr="005A3B93">
        <w:tc>
          <w:tcPr>
            <w:tcW w:w="990" w:type="dxa"/>
            <w:vAlign w:val="bottom"/>
          </w:tcPr>
          <w:p w14:paraId="41460639"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color w:val="4472C4" w:themeColor="accent1"/>
                <w:sz w:val="18"/>
                <w:szCs w:val="18"/>
              </w:rPr>
              <w:t>BWFH Patient Growth</w:t>
            </w:r>
          </w:p>
        </w:tc>
        <w:tc>
          <w:tcPr>
            <w:tcW w:w="990" w:type="dxa"/>
            <w:vAlign w:val="bottom"/>
          </w:tcPr>
          <w:p w14:paraId="366984FC"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11,295 </w:t>
            </w:r>
          </w:p>
        </w:tc>
        <w:tc>
          <w:tcPr>
            <w:tcW w:w="810" w:type="dxa"/>
            <w:vAlign w:val="bottom"/>
          </w:tcPr>
          <w:p w14:paraId="091F8DF1"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12,751 </w:t>
            </w:r>
          </w:p>
        </w:tc>
        <w:tc>
          <w:tcPr>
            <w:tcW w:w="990" w:type="dxa"/>
            <w:vAlign w:val="bottom"/>
          </w:tcPr>
          <w:p w14:paraId="1A951A97"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11%</w:t>
            </w:r>
          </w:p>
        </w:tc>
        <w:tc>
          <w:tcPr>
            <w:tcW w:w="990" w:type="dxa"/>
            <w:vAlign w:val="bottom"/>
          </w:tcPr>
          <w:p w14:paraId="6529C3A2"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33,544 </w:t>
            </w:r>
          </w:p>
        </w:tc>
        <w:tc>
          <w:tcPr>
            <w:tcW w:w="810" w:type="dxa"/>
            <w:vAlign w:val="bottom"/>
          </w:tcPr>
          <w:p w14:paraId="0E430136"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37,105 </w:t>
            </w:r>
          </w:p>
        </w:tc>
        <w:tc>
          <w:tcPr>
            <w:tcW w:w="900" w:type="dxa"/>
            <w:vAlign w:val="bottom"/>
          </w:tcPr>
          <w:p w14:paraId="3B92228D"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10%</w:t>
            </w:r>
          </w:p>
        </w:tc>
        <w:tc>
          <w:tcPr>
            <w:tcW w:w="990" w:type="dxa"/>
            <w:vAlign w:val="bottom"/>
          </w:tcPr>
          <w:p w14:paraId="70443BF5"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92 </w:t>
            </w:r>
          </w:p>
        </w:tc>
        <w:tc>
          <w:tcPr>
            <w:tcW w:w="720" w:type="dxa"/>
            <w:vAlign w:val="bottom"/>
          </w:tcPr>
          <w:p w14:paraId="04BD23D0"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102 </w:t>
            </w:r>
          </w:p>
        </w:tc>
        <w:tc>
          <w:tcPr>
            <w:tcW w:w="990" w:type="dxa"/>
            <w:vAlign w:val="bottom"/>
          </w:tcPr>
          <w:p w14:paraId="67139523"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10%</w:t>
            </w:r>
          </w:p>
        </w:tc>
        <w:tc>
          <w:tcPr>
            <w:tcW w:w="1350" w:type="dxa"/>
            <w:vAlign w:val="bottom"/>
          </w:tcPr>
          <w:p w14:paraId="754D50DB"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12 </w:t>
            </w:r>
          </w:p>
        </w:tc>
      </w:tr>
      <w:tr w:rsidR="005955B7" w:rsidRPr="005955B7" w14:paraId="5DE182D5" w14:textId="77777777" w:rsidTr="005A3B93">
        <w:tc>
          <w:tcPr>
            <w:tcW w:w="990" w:type="dxa"/>
            <w:vAlign w:val="bottom"/>
          </w:tcPr>
          <w:p w14:paraId="21713770"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Shifting Services from BWH to BWFH  </w:t>
            </w:r>
          </w:p>
        </w:tc>
        <w:tc>
          <w:tcPr>
            <w:tcW w:w="990" w:type="dxa"/>
            <w:vAlign w:val="bottom"/>
          </w:tcPr>
          <w:p w14:paraId="0F689A4F" w14:textId="77777777" w:rsidR="005524BF" w:rsidRPr="005955B7" w:rsidRDefault="005524BF" w:rsidP="005A3B93">
            <w:pPr>
              <w:jc w:val="right"/>
              <w:rPr>
                <w:rFonts w:ascii="Calibri" w:hAnsi="Calibri" w:cs="Calibri"/>
                <w:color w:val="4472C4" w:themeColor="accent1"/>
                <w:sz w:val="18"/>
                <w:szCs w:val="18"/>
                <w:highlight w:val="yellow"/>
              </w:rPr>
            </w:pPr>
            <w:r w:rsidRPr="005955B7">
              <w:rPr>
                <w:rFonts w:ascii="Calibri" w:hAnsi="Calibri" w:cs="Calibri"/>
                <w:color w:val="4472C4" w:themeColor="accent1"/>
                <w:sz w:val="18"/>
                <w:szCs w:val="18"/>
                <w:highlight w:val="yellow"/>
              </w:rPr>
              <w:t xml:space="preserve">0 </w:t>
            </w:r>
          </w:p>
        </w:tc>
        <w:tc>
          <w:tcPr>
            <w:tcW w:w="810" w:type="dxa"/>
            <w:vAlign w:val="bottom"/>
          </w:tcPr>
          <w:p w14:paraId="3AF47B47"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4,235 </w:t>
            </w:r>
          </w:p>
        </w:tc>
        <w:tc>
          <w:tcPr>
            <w:tcW w:w="990" w:type="dxa"/>
            <w:vAlign w:val="bottom"/>
          </w:tcPr>
          <w:p w14:paraId="502A1D92"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990" w:type="dxa"/>
            <w:vAlign w:val="bottom"/>
          </w:tcPr>
          <w:p w14:paraId="7ABD4E84"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0 </w:t>
            </w:r>
          </w:p>
        </w:tc>
        <w:tc>
          <w:tcPr>
            <w:tcW w:w="810" w:type="dxa"/>
            <w:vAlign w:val="bottom"/>
          </w:tcPr>
          <w:p w14:paraId="4B7A0E0C"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14,993 </w:t>
            </w:r>
          </w:p>
        </w:tc>
        <w:tc>
          <w:tcPr>
            <w:tcW w:w="900" w:type="dxa"/>
            <w:vAlign w:val="bottom"/>
          </w:tcPr>
          <w:p w14:paraId="2479B203"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990" w:type="dxa"/>
            <w:vAlign w:val="bottom"/>
          </w:tcPr>
          <w:p w14:paraId="6BAED3C9"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0 </w:t>
            </w:r>
          </w:p>
        </w:tc>
        <w:tc>
          <w:tcPr>
            <w:tcW w:w="720" w:type="dxa"/>
            <w:vAlign w:val="bottom"/>
          </w:tcPr>
          <w:p w14:paraId="2CFFB6CA"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41 </w:t>
            </w:r>
          </w:p>
        </w:tc>
        <w:tc>
          <w:tcPr>
            <w:tcW w:w="990" w:type="dxa"/>
            <w:vAlign w:val="bottom"/>
          </w:tcPr>
          <w:p w14:paraId="69142518"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1350" w:type="dxa"/>
            <w:vAlign w:val="bottom"/>
          </w:tcPr>
          <w:p w14:paraId="44DFEF06"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49</w:t>
            </w:r>
          </w:p>
        </w:tc>
      </w:tr>
      <w:tr w:rsidR="005955B7" w:rsidRPr="005955B7" w14:paraId="527DD703" w14:textId="77777777" w:rsidTr="005A3B93">
        <w:tc>
          <w:tcPr>
            <w:tcW w:w="990" w:type="dxa"/>
            <w:vAlign w:val="bottom"/>
          </w:tcPr>
          <w:p w14:paraId="2F65146D"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color w:val="4472C4" w:themeColor="accent1"/>
                <w:sz w:val="18"/>
                <w:szCs w:val="18"/>
              </w:rPr>
              <w:t>BWH to BWFH Transfer Program</w:t>
            </w:r>
          </w:p>
        </w:tc>
        <w:tc>
          <w:tcPr>
            <w:tcW w:w="990" w:type="dxa"/>
            <w:vAlign w:val="bottom"/>
          </w:tcPr>
          <w:p w14:paraId="53CD546A" w14:textId="77777777" w:rsidR="005524BF" w:rsidRPr="005955B7" w:rsidRDefault="005524BF" w:rsidP="005A3B93">
            <w:pPr>
              <w:jc w:val="right"/>
              <w:rPr>
                <w:rFonts w:ascii="Calibri" w:hAnsi="Calibri" w:cs="Calibri"/>
                <w:color w:val="4472C4" w:themeColor="accent1"/>
                <w:sz w:val="18"/>
                <w:szCs w:val="18"/>
                <w:highlight w:val="yellow"/>
              </w:rPr>
            </w:pPr>
            <w:r w:rsidRPr="005955B7">
              <w:rPr>
                <w:rFonts w:ascii="Calibri" w:hAnsi="Calibri" w:cs="Calibri"/>
                <w:color w:val="4472C4" w:themeColor="accent1"/>
                <w:sz w:val="18"/>
                <w:szCs w:val="18"/>
                <w:highlight w:val="yellow"/>
              </w:rPr>
              <w:t xml:space="preserve">0 </w:t>
            </w:r>
          </w:p>
        </w:tc>
        <w:tc>
          <w:tcPr>
            <w:tcW w:w="810" w:type="dxa"/>
            <w:vAlign w:val="bottom"/>
          </w:tcPr>
          <w:p w14:paraId="072C56E7"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1,439 </w:t>
            </w:r>
          </w:p>
        </w:tc>
        <w:tc>
          <w:tcPr>
            <w:tcW w:w="990" w:type="dxa"/>
            <w:vAlign w:val="bottom"/>
          </w:tcPr>
          <w:p w14:paraId="4B0EA114"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990" w:type="dxa"/>
            <w:vAlign w:val="bottom"/>
          </w:tcPr>
          <w:p w14:paraId="0B4648D9"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0 </w:t>
            </w:r>
          </w:p>
        </w:tc>
        <w:tc>
          <w:tcPr>
            <w:tcW w:w="810" w:type="dxa"/>
            <w:vAlign w:val="bottom"/>
          </w:tcPr>
          <w:p w14:paraId="22655260"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5,093 </w:t>
            </w:r>
          </w:p>
        </w:tc>
        <w:tc>
          <w:tcPr>
            <w:tcW w:w="900" w:type="dxa"/>
            <w:vAlign w:val="bottom"/>
          </w:tcPr>
          <w:p w14:paraId="2415E06D"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990" w:type="dxa"/>
            <w:vAlign w:val="bottom"/>
          </w:tcPr>
          <w:p w14:paraId="764F8E3C"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0 </w:t>
            </w:r>
          </w:p>
        </w:tc>
        <w:tc>
          <w:tcPr>
            <w:tcW w:w="720" w:type="dxa"/>
            <w:vAlign w:val="bottom"/>
          </w:tcPr>
          <w:p w14:paraId="65108F6D"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14 </w:t>
            </w:r>
          </w:p>
        </w:tc>
        <w:tc>
          <w:tcPr>
            <w:tcW w:w="990" w:type="dxa"/>
            <w:vAlign w:val="bottom"/>
          </w:tcPr>
          <w:p w14:paraId="475B3DB6"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w:t>
            </w:r>
          </w:p>
        </w:tc>
        <w:tc>
          <w:tcPr>
            <w:tcW w:w="1350" w:type="dxa"/>
            <w:vAlign w:val="bottom"/>
          </w:tcPr>
          <w:p w14:paraId="125B454A" w14:textId="77777777" w:rsidR="005524BF" w:rsidRPr="005955B7" w:rsidRDefault="005524BF" w:rsidP="005A3B93">
            <w:pPr>
              <w:jc w:val="right"/>
              <w:rPr>
                <w:rFonts w:ascii="Calibri" w:hAnsi="Calibri" w:cs="Calibri"/>
                <w:color w:val="4472C4" w:themeColor="accent1"/>
                <w:sz w:val="18"/>
                <w:szCs w:val="18"/>
              </w:rPr>
            </w:pPr>
            <w:r w:rsidRPr="005955B7">
              <w:rPr>
                <w:rFonts w:ascii="Calibri" w:hAnsi="Calibri" w:cs="Calibri"/>
                <w:color w:val="4472C4" w:themeColor="accent1"/>
                <w:sz w:val="18"/>
                <w:szCs w:val="18"/>
              </w:rPr>
              <w:t xml:space="preserve">17 </w:t>
            </w:r>
          </w:p>
        </w:tc>
      </w:tr>
      <w:tr w:rsidR="005955B7" w:rsidRPr="005955B7" w14:paraId="54507C0E" w14:textId="77777777" w:rsidTr="005A3B93">
        <w:tc>
          <w:tcPr>
            <w:tcW w:w="990" w:type="dxa"/>
            <w:vAlign w:val="bottom"/>
          </w:tcPr>
          <w:p w14:paraId="40AE7198" w14:textId="77777777" w:rsidR="005524BF" w:rsidRPr="005955B7" w:rsidRDefault="005524BF" w:rsidP="005A3B93">
            <w:pPr>
              <w:rPr>
                <w:rFonts w:ascii="Calibri" w:hAnsi="Calibri" w:cs="Calibri"/>
                <w:color w:val="4472C4" w:themeColor="accent1"/>
                <w:sz w:val="18"/>
                <w:szCs w:val="18"/>
              </w:rPr>
            </w:pPr>
            <w:r w:rsidRPr="005955B7">
              <w:rPr>
                <w:rFonts w:ascii="Calibri" w:hAnsi="Calibri" w:cs="Calibri"/>
                <w:b/>
                <w:bCs/>
                <w:color w:val="4472C4" w:themeColor="accent1"/>
                <w:sz w:val="18"/>
                <w:szCs w:val="18"/>
              </w:rPr>
              <w:t>Total</w:t>
            </w:r>
          </w:p>
        </w:tc>
        <w:tc>
          <w:tcPr>
            <w:tcW w:w="990" w:type="dxa"/>
            <w:vAlign w:val="bottom"/>
          </w:tcPr>
          <w:p w14:paraId="7F48B672"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11,295</w:t>
            </w:r>
          </w:p>
        </w:tc>
        <w:tc>
          <w:tcPr>
            <w:tcW w:w="810" w:type="dxa"/>
            <w:vAlign w:val="bottom"/>
          </w:tcPr>
          <w:p w14:paraId="238C38A3"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18,425</w:t>
            </w:r>
          </w:p>
        </w:tc>
        <w:tc>
          <w:tcPr>
            <w:tcW w:w="990" w:type="dxa"/>
            <w:vAlign w:val="bottom"/>
          </w:tcPr>
          <w:p w14:paraId="55659D8E"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63%</w:t>
            </w:r>
          </w:p>
        </w:tc>
        <w:tc>
          <w:tcPr>
            <w:tcW w:w="990" w:type="dxa"/>
            <w:vAlign w:val="bottom"/>
          </w:tcPr>
          <w:p w14:paraId="365A3058"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33,544</w:t>
            </w:r>
          </w:p>
        </w:tc>
        <w:tc>
          <w:tcPr>
            <w:tcW w:w="810" w:type="dxa"/>
            <w:vAlign w:val="bottom"/>
          </w:tcPr>
          <w:p w14:paraId="3CFD7F0E"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57,191</w:t>
            </w:r>
          </w:p>
        </w:tc>
        <w:tc>
          <w:tcPr>
            <w:tcW w:w="900" w:type="dxa"/>
            <w:vAlign w:val="bottom"/>
          </w:tcPr>
          <w:p w14:paraId="640002D1"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70%</w:t>
            </w:r>
          </w:p>
        </w:tc>
        <w:tc>
          <w:tcPr>
            <w:tcW w:w="990" w:type="dxa"/>
            <w:vAlign w:val="bottom"/>
          </w:tcPr>
          <w:p w14:paraId="6F78F7BF"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92</w:t>
            </w:r>
          </w:p>
        </w:tc>
        <w:tc>
          <w:tcPr>
            <w:tcW w:w="720" w:type="dxa"/>
            <w:vAlign w:val="bottom"/>
          </w:tcPr>
          <w:p w14:paraId="0EC542D7"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157</w:t>
            </w:r>
          </w:p>
        </w:tc>
        <w:tc>
          <w:tcPr>
            <w:tcW w:w="990" w:type="dxa"/>
            <w:vAlign w:val="bottom"/>
          </w:tcPr>
          <w:p w14:paraId="40A1EDAC"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70%</w:t>
            </w:r>
          </w:p>
        </w:tc>
        <w:tc>
          <w:tcPr>
            <w:tcW w:w="1350" w:type="dxa"/>
            <w:vAlign w:val="bottom"/>
          </w:tcPr>
          <w:p w14:paraId="1F27C8D6" w14:textId="77777777" w:rsidR="005524BF" w:rsidRPr="005955B7" w:rsidRDefault="005524BF" w:rsidP="005A3B93">
            <w:pPr>
              <w:jc w:val="center"/>
              <w:rPr>
                <w:rFonts w:ascii="Calibri" w:hAnsi="Calibri" w:cs="Calibri"/>
                <w:color w:val="4472C4" w:themeColor="accent1"/>
                <w:sz w:val="18"/>
                <w:szCs w:val="18"/>
              </w:rPr>
            </w:pPr>
            <w:r w:rsidRPr="005955B7">
              <w:rPr>
                <w:rFonts w:ascii="Calibri" w:hAnsi="Calibri" w:cs="Calibri"/>
                <w:b/>
                <w:bCs/>
                <w:color w:val="4472C4" w:themeColor="accent1"/>
                <w:sz w:val="18"/>
                <w:szCs w:val="18"/>
              </w:rPr>
              <w:t>78</w:t>
            </w:r>
          </w:p>
        </w:tc>
      </w:tr>
    </w:tbl>
    <w:p w14:paraId="0CAC4B13" w14:textId="77777777" w:rsidR="007C7AAC" w:rsidRDefault="007C7AAC" w:rsidP="007C7AAC">
      <w:pPr>
        <w:ind w:left="360"/>
        <w:rPr>
          <w:sz w:val="22"/>
          <w:szCs w:val="22"/>
          <w:highlight w:val="green"/>
          <w:u w:val="single"/>
        </w:rPr>
      </w:pPr>
    </w:p>
    <w:p w14:paraId="48F41202" w14:textId="53CF7270" w:rsidR="0028198B" w:rsidRPr="007C7AAC" w:rsidRDefault="0028198B" w:rsidP="007C7AAC">
      <w:pPr>
        <w:ind w:left="360"/>
        <w:rPr>
          <w:sz w:val="22"/>
          <w:szCs w:val="22"/>
          <w:u w:val="single"/>
        </w:rPr>
      </w:pPr>
      <w:r w:rsidRPr="007C7AAC">
        <w:rPr>
          <w:sz w:val="22"/>
          <w:szCs w:val="22"/>
        </w:rPr>
        <w:t xml:space="preserve">The “Bed Summary Response” was intended to show any incremental volume growth after the baseline period, to demonstrate the need for the 78 requested beds. Any currently shifted services or transfers from BWH to BWFH are included within the 11,295 baseline (FY 2019). The </w:t>
      </w:r>
      <w:r w:rsidR="003E1CC2">
        <w:rPr>
          <w:sz w:val="22"/>
          <w:szCs w:val="22"/>
        </w:rPr>
        <w:t xml:space="preserve">table </w:t>
      </w:r>
      <w:r w:rsidRPr="007C7AAC">
        <w:rPr>
          <w:sz w:val="22"/>
          <w:szCs w:val="22"/>
        </w:rPr>
        <w:t xml:space="preserve">intends to show the growth resulting from shifting services and transfer volume, all </w:t>
      </w:r>
      <w:r w:rsidRPr="007C7AAC">
        <w:rPr>
          <w:i/>
          <w:iCs/>
          <w:sz w:val="22"/>
          <w:szCs w:val="22"/>
          <w:u w:val="single"/>
        </w:rPr>
        <w:t>after</w:t>
      </w:r>
      <w:r w:rsidRPr="007C7AAC">
        <w:rPr>
          <w:sz w:val="22"/>
          <w:szCs w:val="22"/>
        </w:rPr>
        <w:t xml:space="preserve"> the 2019 baseline figures.</w:t>
      </w:r>
    </w:p>
    <w:p w14:paraId="6B66D7EC" w14:textId="77777777" w:rsidR="007C7AAC" w:rsidRPr="0028198B" w:rsidRDefault="007C7AAC" w:rsidP="0028198B">
      <w:pPr>
        <w:rPr>
          <w:rFonts w:ascii="Calibri" w:hAnsi="Calibri" w:cs="Calibri"/>
        </w:rPr>
      </w:pPr>
    </w:p>
    <w:p w14:paraId="2F0DF051" w14:textId="3478DEC3" w:rsidR="005D52AA" w:rsidRDefault="00EC7268" w:rsidP="00926BD8">
      <w:pPr>
        <w:pStyle w:val="ListParagraph"/>
        <w:numPr>
          <w:ilvl w:val="0"/>
          <w:numId w:val="2"/>
        </w:numPr>
        <w:ind w:left="360"/>
        <w:rPr>
          <w:rFonts w:ascii="Calibri" w:hAnsi="Calibri" w:cs="Calibri"/>
          <w:b/>
          <w:bCs/>
        </w:rPr>
      </w:pPr>
      <w:r w:rsidRPr="0041100F">
        <w:rPr>
          <w:rFonts w:ascii="Calibri" w:hAnsi="Calibri" w:cs="Calibri"/>
          <w:b/>
          <w:bCs/>
        </w:rPr>
        <w:t>In the follow-up response</w:t>
      </w:r>
      <w:r w:rsidR="006F2C21" w:rsidRPr="0041100F">
        <w:rPr>
          <w:rFonts w:ascii="Calibri" w:hAnsi="Calibri" w:cs="Calibri"/>
          <w:b/>
          <w:bCs/>
        </w:rPr>
        <w:t xml:space="preserve"> to</w:t>
      </w:r>
      <w:r w:rsidRPr="0041100F">
        <w:rPr>
          <w:rFonts w:ascii="Calibri" w:hAnsi="Calibri" w:cs="Calibri"/>
          <w:b/>
          <w:bCs/>
        </w:rPr>
        <w:t xml:space="preserve"> Question 4c</w:t>
      </w:r>
      <w:r w:rsidR="005D52AA" w:rsidRPr="0041100F">
        <w:rPr>
          <w:rFonts w:ascii="Calibri" w:hAnsi="Calibri" w:cs="Calibri"/>
          <w:b/>
          <w:bCs/>
        </w:rPr>
        <w:t>,</w:t>
      </w:r>
      <w:r w:rsidRPr="0041100F">
        <w:rPr>
          <w:rFonts w:ascii="Calibri" w:hAnsi="Calibri" w:cs="Calibri"/>
          <w:b/>
          <w:bCs/>
        </w:rPr>
        <w:t xml:space="preserve"> a table is provided with number of projected cases</w:t>
      </w:r>
      <w:r w:rsidR="006F2C21" w:rsidRPr="0041100F">
        <w:rPr>
          <w:rFonts w:ascii="Calibri" w:hAnsi="Calibri" w:cs="Calibri"/>
          <w:b/>
          <w:bCs/>
        </w:rPr>
        <w:t xml:space="preserve"> for</w:t>
      </w:r>
      <w:r w:rsidRPr="0041100F">
        <w:rPr>
          <w:rFonts w:ascii="Calibri" w:hAnsi="Calibri" w:cs="Calibri"/>
          <w:b/>
          <w:bCs/>
        </w:rPr>
        <w:t xml:space="preserve"> FY24 through FY27. </w:t>
      </w:r>
    </w:p>
    <w:p w14:paraId="45D14073" w14:textId="77777777" w:rsidR="00BC0A89" w:rsidRPr="00BC0A89" w:rsidRDefault="00BC0A89" w:rsidP="00BC0A89">
      <w:pPr>
        <w:rPr>
          <w:color w:val="4472C4" w:themeColor="accent1"/>
          <w:sz w:val="20"/>
          <w:szCs w:val="20"/>
        </w:rPr>
      </w:pPr>
      <w:r w:rsidRPr="00BC0A89">
        <w:rPr>
          <w:color w:val="4472C4" w:themeColor="accent1"/>
          <w:sz w:val="20"/>
          <w:szCs w:val="20"/>
        </w:rPr>
        <w:t xml:space="preserve">Current &amp; Projected Endoscopy Visits [provided in </w:t>
      </w:r>
      <w:proofErr w:type="spellStart"/>
      <w:r w:rsidRPr="00BC0A89">
        <w:rPr>
          <w:color w:val="4472C4" w:themeColor="accent1"/>
          <w:sz w:val="20"/>
          <w:szCs w:val="20"/>
        </w:rPr>
        <w:t>DoN</w:t>
      </w:r>
      <w:proofErr w:type="spellEnd"/>
      <w:r w:rsidRPr="00BC0A89">
        <w:rPr>
          <w:color w:val="4472C4" w:themeColor="accent1"/>
          <w:sz w:val="20"/>
          <w:szCs w:val="20"/>
        </w:rPr>
        <w:t xml:space="preserve"> Application narrative]</w:t>
      </w:r>
    </w:p>
    <w:tbl>
      <w:tblPr>
        <w:tblStyle w:val="TableGrid"/>
        <w:tblW w:w="0" w:type="auto"/>
        <w:tblLook w:val="04A0" w:firstRow="1" w:lastRow="0" w:firstColumn="1" w:lastColumn="0" w:noHBand="0" w:noVBand="1"/>
        <w:tblCaption w:val="Current and Projected Endoscopy Visits [provided in DoN Application narrative]"/>
        <w:tblDescription w:val="Current and Projected Endoscopy Visits Table [provided in DoN Application narrative]"/>
      </w:tblPr>
      <w:tblGrid>
        <w:gridCol w:w="1569"/>
        <w:gridCol w:w="1555"/>
        <w:gridCol w:w="1556"/>
        <w:gridCol w:w="1556"/>
        <w:gridCol w:w="1557"/>
        <w:gridCol w:w="1557"/>
      </w:tblGrid>
      <w:tr w:rsidR="00BC0A89" w:rsidRPr="009E7688" w14:paraId="54CADF73" w14:textId="77777777" w:rsidTr="008D0C2B">
        <w:trPr>
          <w:tblHeader/>
        </w:trPr>
        <w:tc>
          <w:tcPr>
            <w:tcW w:w="1569" w:type="dxa"/>
            <w:shd w:val="clear" w:color="auto" w:fill="D9E2F3" w:themeFill="accent1" w:themeFillTint="33"/>
          </w:tcPr>
          <w:p w14:paraId="07A24390"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Age Group</w:t>
            </w:r>
          </w:p>
        </w:tc>
        <w:tc>
          <w:tcPr>
            <w:tcW w:w="1555" w:type="dxa"/>
            <w:shd w:val="clear" w:color="auto" w:fill="D9E2F3" w:themeFill="accent1" w:themeFillTint="33"/>
          </w:tcPr>
          <w:p w14:paraId="77069F3C"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FY19</w:t>
            </w:r>
          </w:p>
        </w:tc>
        <w:tc>
          <w:tcPr>
            <w:tcW w:w="1556" w:type="dxa"/>
            <w:shd w:val="clear" w:color="auto" w:fill="D9E2F3" w:themeFill="accent1" w:themeFillTint="33"/>
          </w:tcPr>
          <w:p w14:paraId="5417BC47"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FY24</w:t>
            </w:r>
          </w:p>
        </w:tc>
        <w:tc>
          <w:tcPr>
            <w:tcW w:w="1556" w:type="dxa"/>
            <w:shd w:val="clear" w:color="auto" w:fill="D9E2F3" w:themeFill="accent1" w:themeFillTint="33"/>
          </w:tcPr>
          <w:p w14:paraId="2D9ED6D2"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FY25</w:t>
            </w:r>
          </w:p>
        </w:tc>
        <w:tc>
          <w:tcPr>
            <w:tcW w:w="1557" w:type="dxa"/>
            <w:shd w:val="clear" w:color="auto" w:fill="D9E2F3" w:themeFill="accent1" w:themeFillTint="33"/>
          </w:tcPr>
          <w:p w14:paraId="41A406C3"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FY26</w:t>
            </w:r>
          </w:p>
        </w:tc>
        <w:tc>
          <w:tcPr>
            <w:tcW w:w="1557" w:type="dxa"/>
            <w:shd w:val="clear" w:color="auto" w:fill="D9E2F3" w:themeFill="accent1" w:themeFillTint="33"/>
          </w:tcPr>
          <w:p w14:paraId="4CA443D3"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FY27</w:t>
            </w:r>
          </w:p>
        </w:tc>
      </w:tr>
      <w:tr w:rsidR="00BC0A89" w:rsidRPr="009E7688" w14:paraId="45A8D53C" w14:textId="77777777" w:rsidTr="007F564F">
        <w:tc>
          <w:tcPr>
            <w:tcW w:w="1569" w:type="dxa"/>
            <w:vAlign w:val="bottom"/>
          </w:tcPr>
          <w:p w14:paraId="05EB2AE7" w14:textId="77777777" w:rsidR="00BC0A89" w:rsidRPr="009E7688" w:rsidRDefault="00BC0A89" w:rsidP="007F564F">
            <w:pPr>
              <w:contextualSpacing/>
              <w:rPr>
                <w:b/>
                <w:bCs/>
                <w:color w:val="4472C4" w:themeColor="accent1"/>
                <w:sz w:val="20"/>
                <w:szCs w:val="20"/>
              </w:rPr>
            </w:pPr>
            <w:r>
              <w:rPr>
                <w:b/>
                <w:bCs/>
                <w:color w:val="4472C4" w:themeColor="accent1"/>
                <w:sz w:val="20"/>
                <w:szCs w:val="20"/>
              </w:rPr>
              <w:t>Total</w:t>
            </w:r>
          </w:p>
        </w:tc>
        <w:tc>
          <w:tcPr>
            <w:tcW w:w="1555" w:type="dxa"/>
            <w:vAlign w:val="bottom"/>
          </w:tcPr>
          <w:p w14:paraId="29D99784" w14:textId="77777777" w:rsidR="00BC0A89" w:rsidRPr="009E7688" w:rsidRDefault="00BC0A89" w:rsidP="007F564F">
            <w:pPr>
              <w:contextualSpacing/>
              <w:jc w:val="center"/>
              <w:rPr>
                <w:color w:val="4472C4" w:themeColor="accent1"/>
                <w:sz w:val="20"/>
                <w:szCs w:val="20"/>
              </w:rPr>
            </w:pPr>
            <w:r w:rsidRPr="00AC5394">
              <w:rPr>
                <w:b/>
                <w:bCs/>
                <w:color w:val="000000" w:themeColor="text1"/>
                <w:sz w:val="20"/>
                <w:szCs w:val="20"/>
              </w:rPr>
              <w:t>7,244</w:t>
            </w:r>
          </w:p>
        </w:tc>
        <w:tc>
          <w:tcPr>
            <w:tcW w:w="1556" w:type="dxa"/>
          </w:tcPr>
          <w:p w14:paraId="1B967441" w14:textId="77777777" w:rsidR="00BC0A89" w:rsidRPr="004151F8" w:rsidRDefault="00BC0A89" w:rsidP="007F564F">
            <w:pPr>
              <w:contextualSpacing/>
              <w:jc w:val="center"/>
              <w:rPr>
                <w:b/>
                <w:bCs/>
                <w:color w:val="ED7D31" w:themeColor="accent2"/>
                <w:sz w:val="20"/>
                <w:szCs w:val="20"/>
              </w:rPr>
            </w:pPr>
            <w:r w:rsidRPr="004151F8">
              <w:rPr>
                <w:b/>
                <w:bCs/>
                <w:color w:val="ED7D31" w:themeColor="accent2"/>
                <w:sz w:val="20"/>
                <w:szCs w:val="20"/>
              </w:rPr>
              <w:t xml:space="preserve">7,938 </w:t>
            </w:r>
          </w:p>
        </w:tc>
        <w:tc>
          <w:tcPr>
            <w:tcW w:w="1556" w:type="dxa"/>
          </w:tcPr>
          <w:p w14:paraId="75F69828" w14:textId="77777777" w:rsidR="00BC0A89" w:rsidRPr="004151F8" w:rsidRDefault="00BC0A89" w:rsidP="007F564F">
            <w:pPr>
              <w:contextualSpacing/>
              <w:jc w:val="center"/>
              <w:rPr>
                <w:b/>
                <w:bCs/>
                <w:color w:val="ED7D31" w:themeColor="accent2"/>
                <w:sz w:val="20"/>
                <w:szCs w:val="20"/>
              </w:rPr>
            </w:pPr>
            <w:r w:rsidRPr="004151F8">
              <w:rPr>
                <w:b/>
                <w:bCs/>
                <w:color w:val="ED7D31" w:themeColor="accent2"/>
                <w:sz w:val="20"/>
                <w:szCs w:val="20"/>
              </w:rPr>
              <w:t xml:space="preserve">8,159 </w:t>
            </w:r>
          </w:p>
        </w:tc>
        <w:tc>
          <w:tcPr>
            <w:tcW w:w="1557" w:type="dxa"/>
          </w:tcPr>
          <w:p w14:paraId="10383FBA" w14:textId="77777777" w:rsidR="00BC0A89" w:rsidRPr="004151F8" w:rsidRDefault="00BC0A89" w:rsidP="007F564F">
            <w:pPr>
              <w:contextualSpacing/>
              <w:jc w:val="center"/>
              <w:rPr>
                <w:b/>
                <w:bCs/>
                <w:color w:val="ED7D31" w:themeColor="accent2"/>
                <w:sz w:val="20"/>
                <w:szCs w:val="20"/>
              </w:rPr>
            </w:pPr>
            <w:r w:rsidRPr="004151F8">
              <w:rPr>
                <w:b/>
                <w:bCs/>
                <w:color w:val="ED7D31" w:themeColor="accent2"/>
                <w:sz w:val="20"/>
                <w:szCs w:val="20"/>
              </w:rPr>
              <w:t>8,370</w:t>
            </w:r>
          </w:p>
        </w:tc>
        <w:tc>
          <w:tcPr>
            <w:tcW w:w="1557" w:type="dxa"/>
          </w:tcPr>
          <w:p w14:paraId="58F18C86" w14:textId="77777777" w:rsidR="00BC0A89" w:rsidRPr="004151F8" w:rsidRDefault="00BC0A89" w:rsidP="007F564F">
            <w:pPr>
              <w:contextualSpacing/>
              <w:jc w:val="center"/>
              <w:rPr>
                <w:b/>
                <w:bCs/>
                <w:color w:val="ED7D31" w:themeColor="accent2"/>
                <w:sz w:val="20"/>
                <w:szCs w:val="20"/>
              </w:rPr>
            </w:pPr>
            <w:r w:rsidRPr="004151F8">
              <w:rPr>
                <w:b/>
                <w:bCs/>
                <w:color w:val="ED7D31" w:themeColor="accent2"/>
                <w:sz w:val="20"/>
                <w:szCs w:val="20"/>
              </w:rPr>
              <w:t>8,600</w:t>
            </w:r>
          </w:p>
        </w:tc>
      </w:tr>
    </w:tbl>
    <w:p w14:paraId="706FE6A9" w14:textId="77777777" w:rsidR="00BC0A89" w:rsidRPr="00BC0A89" w:rsidRDefault="00BC0A89" w:rsidP="00BC0A89">
      <w:pPr>
        <w:rPr>
          <w:color w:val="4472C4" w:themeColor="accent1"/>
          <w:sz w:val="20"/>
          <w:szCs w:val="20"/>
        </w:rPr>
      </w:pPr>
      <w:r w:rsidRPr="00BC0A89">
        <w:rPr>
          <w:color w:val="4472C4" w:themeColor="accent1"/>
          <w:sz w:val="20"/>
          <w:szCs w:val="20"/>
        </w:rPr>
        <w:t>Current &amp; Projected Endoscopy Cases [provided in follow-up response]</w:t>
      </w:r>
    </w:p>
    <w:tbl>
      <w:tblPr>
        <w:tblStyle w:val="TableGrid"/>
        <w:tblW w:w="0" w:type="auto"/>
        <w:tblLook w:val="04A0" w:firstRow="1" w:lastRow="0" w:firstColumn="1" w:lastColumn="0" w:noHBand="0" w:noVBand="1"/>
        <w:tblCaption w:val="Current and Projected Endoscopy Cases [provided in follow-up response]"/>
        <w:tblDescription w:val="Current and Projected Endoscopy Cases Table [provided in follow-up response]"/>
      </w:tblPr>
      <w:tblGrid>
        <w:gridCol w:w="1563"/>
        <w:gridCol w:w="1557"/>
        <w:gridCol w:w="1557"/>
        <w:gridCol w:w="1557"/>
        <w:gridCol w:w="1558"/>
        <w:gridCol w:w="1558"/>
      </w:tblGrid>
      <w:tr w:rsidR="00BC0A89" w:rsidRPr="009E7688" w14:paraId="6E6CAA81" w14:textId="77777777" w:rsidTr="008D0C2B">
        <w:trPr>
          <w:tblHeader/>
        </w:trPr>
        <w:tc>
          <w:tcPr>
            <w:tcW w:w="1678" w:type="dxa"/>
            <w:shd w:val="clear" w:color="auto" w:fill="D9E2F3" w:themeFill="accent1" w:themeFillTint="33"/>
          </w:tcPr>
          <w:p w14:paraId="0FF0E532"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Age Group</w:t>
            </w:r>
          </w:p>
        </w:tc>
        <w:tc>
          <w:tcPr>
            <w:tcW w:w="1678" w:type="dxa"/>
            <w:shd w:val="clear" w:color="auto" w:fill="D9E2F3" w:themeFill="accent1" w:themeFillTint="33"/>
          </w:tcPr>
          <w:p w14:paraId="2795761F"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FY19</w:t>
            </w:r>
          </w:p>
        </w:tc>
        <w:tc>
          <w:tcPr>
            <w:tcW w:w="1678" w:type="dxa"/>
            <w:shd w:val="clear" w:color="auto" w:fill="D9E2F3" w:themeFill="accent1" w:themeFillTint="33"/>
          </w:tcPr>
          <w:p w14:paraId="2BE15DA0"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FY24</w:t>
            </w:r>
          </w:p>
        </w:tc>
        <w:tc>
          <w:tcPr>
            <w:tcW w:w="1678" w:type="dxa"/>
            <w:shd w:val="clear" w:color="auto" w:fill="D9E2F3" w:themeFill="accent1" w:themeFillTint="33"/>
          </w:tcPr>
          <w:p w14:paraId="7FD19F35"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FY25</w:t>
            </w:r>
          </w:p>
        </w:tc>
        <w:tc>
          <w:tcPr>
            <w:tcW w:w="1679" w:type="dxa"/>
            <w:shd w:val="clear" w:color="auto" w:fill="D9E2F3" w:themeFill="accent1" w:themeFillTint="33"/>
          </w:tcPr>
          <w:p w14:paraId="27D5BD86"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FY26</w:t>
            </w:r>
          </w:p>
        </w:tc>
        <w:tc>
          <w:tcPr>
            <w:tcW w:w="1679" w:type="dxa"/>
            <w:shd w:val="clear" w:color="auto" w:fill="D9E2F3" w:themeFill="accent1" w:themeFillTint="33"/>
          </w:tcPr>
          <w:p w14:paraId="4DD48E87" w14:textId="77777777" w:rsidR="00BC0A89" w:rsidRPr="009E7688" w:rsidRDefault="00BC0A89" w:rsidP="007F564F">
            <w:pPr>
              <w:contextualSpacing/>
              <w:jc w:val="center"/>
              <w:rPr>
                <w:b/>
                <w:bCs/>
                <w:color w:val="4472C4" w:themeColor="accent1"/>
                <w:sz w:val="20"/>
                <w:szCs w:val="20"/>
              </w:rPr>
            </w:pPr>
            <w:r w:rsidRPr="009E7688">
              <w:rPr>
                <w:b/>
                <w:bCs/>
                <w:color w:val="4472C4" w:themeColor="accent1"/>
                <w:sz w:val="20"/>
                <w:szCs w:val="20"/>
              </w:rPr>
              <w:t>FY27</w:t>
            </w:r>
          </w:p>
        </w:tc>
      </w:tr>
      <w:tr w:rsidR="00BC0A89" w:rsidRPr="009E7688" w14:paraId="65ADD23C" w14:textId="77777777" w:rsidTr="007F564F">
        <w:tc>
          <w:tcPr>
            <w:tcW w:w="1678" w:type="dxa"/>
            <w:vAlign w:val="bottom"/>
          </w:tcPr>
          <w:p w14:paraId="59D6126B"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0-17</w:t>
            </w:r>
          </w:p>
        </w:tc>
        <w:tc>
          <w:tcPr>
            <w:tcW w:w="1678" w:type="dxa"/>
            <w:vAlign w:val="bottom"/>
          </w:tcPr>
          <w:p w14:paraId="048D80F2"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700 </w:t>
            </w:r>
          </w:p>
        </w:tc>
        <w:tc>
          <w:tcPr>
            <w:tcW w:w="1678" w:type="dxa"/>
            <w:vAlign w:val="bottom"/>
          </w:tcPr>
          <w:p w14:paraId="439870DF"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700 </w:t>
            </w:r>
          </w:p>
        </w:tc>
        <w:tc>
          <w:tcPr>
            <w:tcW w:w="1678" w:type="dxa"/>
            <w:vAlign w:val="bottom"/>
          </w:tcPr>
          <w:p w14:paraId="4A2EF440"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700 </w:t>
            </w:r>
          </w:p>
        </w:tc>
        <w:tc>
          <w:tcPr>
            <w:tcW w:w="1679" w:type="dxa"/>
            <w:vAlign w:val="bottom"/>
          </w:tcPr>
          <w:p w14:paraId="065D21E8"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700 </w:t>
            </w:r>
          </w:p>
        </w:tc>
        <w:tc>
          <w:tcPr>
            <w:tcW w:w="1679" w:type="dxa"/>
            <w:vAlign w:val="bottom"/>
          </w:tcPr>
          <w:p w14:paraId="3DEA6EEA"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700 </w:t>
            </w:r>
          </w:p>
        </w:tc>
      </w:tr>
      <w:tr w:rsidR="00BC0A89" w:rsidRPr="009E7688" w14:paraId="5A28BE25" w14:textId="77777777" w:rsidTr="007F564F">
        <w:tc>
          <w:tcPr>
            <w:tcW w:w="1678" w:type="dxa"/>
            <w:vAlign w:val="bottom"/>
          </w:tcPr>
          <w:p w14:paraId="58672FB9"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18-44</w:t>
            </w:r>
          </w:p>
        </w:tc>
        <w:tc>
          <w:tcPr>
            <w:tcW w:w="1678" w:type="dxa"/>
            <w:vAlign w:val="bottom"/>
          </w:tcPr>
          <w:p w14:paraId="099EA394"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690 </w:t>
            </w:r>
          </w:p>
        </w:tc>
        <w:tc>
          <w:tcPr>
            <w:tcW w:w="1678" w:type="dxa"/>
            <w:vAlign w:val="bottom"/>
          </w:tcPr>
          <w:p w14:paraId="25F6104D"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1,140 </w:t>
            </w:r>
          </w:p>
        </w:tc>
        <w:tc>
          <w:tcPr>
            <w:tcW w:w="1678" w:type="dxa"/>
            <w:vAlign w:val="bottom"/>
          </w:tcPr>
          <w:p w14:paraId="6BDC21E7"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1,154 </w:t>
            </w:r>
          </w:p>
        </w:tc>
        <w:tc>
          <w:tcPr>
            <w:tcW w:w="1679" w:type="dxa"/>
            <w:vAlign w:val="bottom"/>
          </w:tcPr>
          <w:p w14:paraId="770D8324"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1,101 </w:t>
            </w:r>
          </w:p>
        </w:tc>
        <w:tc>
          <w:tcPr>
            <w:tcW w:w="1679" w:type="dxa"/>
            <w:vAlign w:val="bottom"/>
          </w:tcPr>
          <w:p w14:paraId="5C6CEF64"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1,173 </w:t>
            </w:r>
          </w:p>
        </w:tc>
      </w:tr>
      <w:tr w:rsidR="00BC0A89" w:rsidRPr="009E7688" w14:paraId="4B65DF4B" w14:textId="77777777" w:rsidTr="007F564F">
        <w:tc>
          <w:tcPr>
            <w:tcW w:w="1678" w:type="dxa"/>
            <w:vAlign w:val="bottom"/>
          </w:tcPr>
          <w:p w14:paraId="68138414"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45-64</w:t>
            </w:r>
          </w:p>
        </w:tc>
        <w:tc>
          <w:tcPr>
            <w:tcW w:w="1678" w:type="dxa"/>
            <w:vAlign w:val="bottom"/>
          </w:tcPr>
          <w:p w14:paraId="4FBEF005"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3,218 </w:t>
            </w:r>
          </w:p>
        </w:tc>
        <w:tc>
          <w:tcPr>
            <w:tcW w:w="1678" w:type="dxa"/>
            <w:vAlign w:val="bottom"/>
          </w:tcPr>
          <w:p w14:paraId="6B0ADA36"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2,805 </w:t>
            </w:r>
          </w:p>
        </w:tc>
        <w:tc>
          <w:tcPr>
            <w:tcW w:w="1678" w:type="dxa"/>
            <w:vAlign w:val="bottom"/>
          </w:tcPr>
          <w:p w14:paraId="1A624720"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2,841 </w:t>
            </w:r>
          </w:p>
        </w:tc>
        <w:tc>
          <w:tcPr>
            <w:tcW w:w="1679" w:type="dxa"/>
            <w:vAlign w:val="bottom"/>
          </w:tcPr>
          <w:p w14:paraId="474F53B1"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2,714 </w:t>
            </w:r>
          </w:p>
        </w:tc>
        <w:tc>
          <w:tcPr>
            <w:tcW w:w="1679" w:type="dxa"/>
            <w:vAlign w:val="bottom"/>
          </w:tcPr>
          <w:p w14:paraId="494A8890"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2,894 </w:t>
            </w:r>
          </w:p>
        </w:tc>
      </w:tr>
      <w:tr w:rsidR="00BC0A89" w:rsidRPr="009E7688" w14:paraId="0E59303A" w14:textId="77777777" w:rsidTr="007F564F">
        <w:tc>
          <w:tcPr>
            <w:tcW w:w="1678" w:type="dxa"/>
            <w:vAlign w:val="bottom"/>
          </w:tcPr>
          <w:p w14:paraId="1E341810"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65 and Up</w:t>
            </w:r>
          </w:p>
        </w:tc>
        <w:tc>
          <w:tcPr>
            <w:tcW w:w="1678" w:type="dxa"/>
            <w:vAlign w:val="bottom"/>
          </w:tcPr>
          <w:p w14:paraId="4F8BF328"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2,636 </w:t>
            </w:r>
          </w:p>
        </w:tc>
        <w:tc>
          <w:tcPr>
            <w:tcW w:w="1678" w:type="dxa"/>
            <w:vAlign w:val="bottom"/>
          </w:tcPr>
          <w:p w14:paraId="46FC1B19"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2,549 </w:t>
            </w:r>
          </w:p>
        </w:tc>
        <w:tc>
          <w:tcPr>
            <w:tcW w:w="1678" w:type="dxa"/>
            <w:vAlign w:val="bottom"/>
          </w:tcPr>
          <w:p w14:paraId="50A8788E"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2,644 </w:t>
            </w:r>
          </w:p>
        </w:tc>
        <w:tc>
          <w:tcPr>
            <w:tcW w:w="1679" w:type="dxa"/>
            <w:vAlign w:val="bottom"/>
          </w:tcPr>
          <w:p w14:paraId="6A25BDB2"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2,584 </w:t>
            </w:r>
          </w:p>
        </w:tc>
        <w:tc>
          <w:tcPr>
            <w:tcW w:w="1679" w:type="dxa"/>
            <w:vAlign w:val="bottom"/>
          </w:tcPr>
          <w:p w14:paraId="44EB34E6" w14:textId="77777777" w:rsidR="00BC0A89" w:rsidRPr="009E7688" w:rsidRDefault="00BC0A89" w:rsidP="007F564F">
            <w:pPr>
              <w:contextualSpacing/>
              <w:jc w:val="right"/>
              <w:rPr>
                <w:color w:val="4472C4" w:themeColor="accent1"/>
                <w:sz w:val="20"/>
                <w:szCs w:val="20"/>
              </w:rPr>
            </w:pPr>
            <w:r w:rsidRPr="009E7688">
              <w:rPr>
                <w:color w:val="4472C4" w:themeColor="accent1"/>
                <w:sz w:val="20"/>
                <w:szCs w:val="20"/>
              </w:rPr>
              <w:t xml:space="preserve">2,818 </w:t>
            </w:r>
          </w:p>
        </w:tc>
      </w:tr>
      <w:tr w:rsidR="00BC0A89" w:rsidRPr="009E7688" w14:paraId="33021DFF" w14:textId="77777777" w:rsidTr="007F564F">
        <w:tc>
          <w:tcPr>
            <w:tcW w:w="1678" w:type="dxa"/>
            <w:vAlign w:val="bottom"/>
          </w:tcPr>
          <w:p w14:paraId="0E9BDE4A" w14:textId="77777777" w:rsidR="00BC0A89" w:rsidRPr="009E7688" w:rsidRDefault="00BC0A89" w:rsidP="007F564F">
            <w:pPr>
              <w:contextualSpacing/>
              <w:rPr>
                <w:b/>
                <w:bCs/>
                <w:color w:val="4472C4" w:themeColor="accent1"/>
                <w:sz w:val="20"/>
                <w:szCs w:val="20"/>
              </w:rPr>
            </w:pPr>
            <w:r w:rsidRPr="009E7688">
              <w:rPr>
                <w:b/>
                <w:bCs/>
                <w:color w:val="4472C4" w:themeColor="accent1"/>
                <w:sz w:val="20"/>
                <w:szCs w:val="20"/>
              </w:rPr>
              <w:t>Total</w:t>
            </w:r>
          </w:p>
        </w:tc>
        <w:tc>
          <w:tcPr>
            <w:tcW w:w="1678" w:type="dxa"/>
            <w:vAlign w:val="bottom"/>
          </w:tcPr>
          <w:p w14:paraId="0CAB7FB9" w14:textId="77777777" w:rsidR="00BC0A89" w:rsidRPr="00AC5394" w:rsidRDefault="00BC0A89" w:rsidP="007F564F">
            <w:pPr>
              <w:contextualSpacing/>
              <w:jc w:val="center"/>
              <w:rPr>
                <w:color w:val="000000" w:themeColor="text1"/>
                <w:sz w:val="20"/>
                <w:szCs w:val="20"/>
              </w:rPr>
            </w:pPr>
            <w:r w:rsidRPr="00AC5394">
              <w:rPr>
                <w:b/>
                <w:bCs/>
                <w:color w:val="000000" w:themeColor="text1"/>
                <w:sz w:val="20"/>
                <w:szCs w:val="20"/>
              </w:rPr>
              <w:t xml:space="preserve">7,244 </w:t>
            </w:r>
          </w:p>
        </w:tc>
        <w:tc>
          <w:tcPr>
            <w:tcW w:w="1678" w:type="dxa"/>
            <w:vAlign w:val="bottom"/>
          </w:tcPr>
          <w:p w14:paraId="2A4F9095" w14:textId="77777777" w:rsidR="00BC0A89" w:rsidRPr="004151F8" w:rsidRDefault="00BC0A89" w:rsidP="007F564F">
            <w:pPr>
              <w:contextualSpacing/>
              <w:jc w:val="center"/>
              <w:rPr>
                <w:color w:val="ED7D31" w:themeColor="accent2"/>
                <w:sz w:val="20"/>
                <w:szCs w:val="20"/>
              </w:rPr>
            </w:pPr>
            <w:r w:rsidRPr="004151F8">
              <w:rPr>
                <w:b/>
                <w:bCs/>
                <w:color w:val="ED7D31" w:themeColor="accent2"/>
                <w:sz w:val="20"/>
                <w:szCs w:val="20"/>
              </w:rPr>
              <w:t xml:space="preserve">7,194 </w:t>
            </w:r>
          </w:p>
        </w:tc>
        <w:tc>
          <w:tcPr>
            <w:tcW w:w="1678" w:type="dxa"/>
            <w:vAlign w:val="bottom"/>
          </w:tcPr>
          <w:p w14:paraId="496A7CB2" w14:textId="77777777" w:rsidR="00BC0A89" w:rsidRPr="004151F8" w:rsidRDefault="00BC0A89" w:rsidP="007F564F">
            <w:pPr>
              <w:contextualSpacing/>
              <w:jc w:val="center"/>
              <w:rPr>
                <w:color w:val="ED7D31" w:themeColor="accent2"/>
                <w:sz w:val="20"/>
                <w:szCs w:val="20"/>
              </w:rPr>
            </w:pPr>
            <w:r w:rsidRPr="004151F8">
              <w:rPr>
                <w:b/>
                <w:bCs/>
                <w:color w:val="ED7D31" w:themeColor="accent2"/>
                <w:sz w:val="20"/>
                <w:szCs w:val="20"/>
              </w:rPr>
              <w:t xml:space="preserve">7,338 </w:t>
            </w:r>
          </w:p>
        </w:tc>
        <w:tc>
          <w:tcPr>
            <w:tcW w:w="1679" w:type="dxa"/>
            <w:vAlign w:val="bottom"/>
          </w:tcPr>
          <w:p w14:paraId="153E86F8" w14:textId="77777777" w:rsidR="00BC0A89" w:rsidRPr="004151F8" w:rsidRDefault="00BC0A89" w:rsidP="007F564F">
            <w:pPr>
              <w:contextualSpacing/>
              <w:jc w:val="center"/>
              <w:rPr>
                <w:color w:val="ED7D31" w:themeColor="accent2"/>
                <w:sz w:val="20"/>
                <w:szCs w:val="20"/>
              </w:rPr>
            </w:pPr>
            <w:r w:rsidRPr="004151F8">
              <w:rPr>
                <w:b/>
                <w:bCs/>
                <w:color w:val="ED7D31" w:themeColor="accent2"/>
                <w:sz w:val="20"/>
                <w:szCs w:val="20"/>
              </w:rPr>
              <w:t xml:space="preserve">7,099 </w:t>
            </w:r>
          </w:p>
        </w:tc>
        <w:tc>
          <w:tcPr>
            <w:tcW w:w="1679" w:type="dxa"/>
            <w:vAlign w:val="bottom"/>
          </w:tcPr>
          <w:p w14:paraId="1ACC8474" w14:textId="77777777" w:rsidR="00BC0A89" w:rsidRPr="004151F8" w:rsidRDefault="00BC0A89" w:rsidP="007F564F">
            <w:pPr>
              <w:contextualSpacing/>
              <w:jc w:val="center"/>
              <w:rPr>
                <w:color w:val="ED7D31" w:themeColor="accent2"/>
                <w:sz w:val="20"/>
                <w:szCs w:val="20"/>
              </w:rPr>
            </w:pPr>
            <w:r w:rsidRPr="004151F8">
              <w:rPr>
                <w:b/>
                <w:bCs/>
                <w:color w:val="ED7D31" w:themeColor="accent2"/>
                <w:sz w:val="20"/>
                <w:szCs w:val="20"/>
              </w:rPr>
              <w:t xml:space="preserve">7,586 </w:t>
            </w:r>
          </w:p>
        </w:tc>
      </w:tr>
    </w:tbl>
    <w:p w14:paraId="0A72F034" w14:textId="77777777" w:rsidR="00BC0A89" w:rsidRDefault="00EC7268" w:rsidP="00BC0A89">
      <w:pPr>
        <w:pStyle w:val="ListParagraph"/>
        <w:numPr>
          <w:ilvl w:val="1"/>
          <w:numId w:val="2"/>
        </w:numPr>
        <w:rPr>
          <w:rFonts w:ascii="Calibri" w:hAnsi="Calibri" w:cs="Calibri"/>
          <w:b/>
          <w:bCs/>
        </w:rPr>
      </w:pPr>
      <w:r w:rsidRPr="0041100F">
        <w:rPr>
          <w:rFonts w:ascii="Calibri" w:hAnsi="Calibri" w:cs="Calibri"/>
          <w:b/>
          <w:bCs/>
        </w:rPr>
        <w:lastRenderedPageBreak/>
        <w:t>The number of projected cases for the 0-17 age group</w:t>
      </w:r>
      <w:r w:rsidR="005D52AA" w:rsidRPr="0041100F">
        <w:rPr>
          <w:rFonts w:ascii="Calibri" w:hAnsi="Calibri" w:cs="Calibri"/>
          <w:b/>
          <w:bCs/>
        </w:rPr>
        <w:t xml:space="preserve"> is the same across all years</w:t>
      </w:r>
      <w:r w:rsidRPr="0041100F">
        <w:rPr>
          <w:rFonts w:ascii="Calibri" w:hAnsi="Calibri" w:cs="Calibri"/>
          <w:b/>
          <w:bCs/>
        </w:rPr>
        <w:t xml:space="preserve">. </w:t>
      </w:r>
      <w:r w:rsidR="00926BD8" w:rsidRPr="0041100F">
        <w:rPr>
          <w:rFonts w:ascii="Calibri" w:hAnsi="Calibri" w:cs="Calibri"/>
          <w:b/>
          <w:bCs/>
        </w:rPr>
        <w:t xml:space="preserve">Confirm that </w:t>
      </w:r>
      <w:r w:rsidR="005D52AA" w:rsidRPr="0041100F">
        <w:rPr>
          <w:rFonts w:ascii="Calibri" w:hAnsi="Calibri" w:cs="Calibri"/>
          <w:b/>
          <w:bCs/>
        </w:rPr>
        <w:t>it is anticipated there will be no increases over the years</w:t>
      </w:r>
      <w:r w:rsidR="00926BD8" w:rsidRPr="0041100F">
        <w:rPr>
          <w:rFonts w:ascii="Calibri" w:hAnsi="Calibri" w:cs="Calibri"/>
          <w:b/>
          <w:bCs/>
        </w:rPr>
        <w:t>. (pages 4-5)</w:t>
      </w:r>
    </w:p>
    <w:p w14:paraId="1B925F1E" w14:textId="77777777" w:rsidR="00BC0A89" w:rsidRDefault="00BC0A89" w:rsidP="00BC0A89">
      <w:pPr>
        <w:pStyle w:val="ListParagraph"/>
        <w:ind w:left="1440"/>
        <w:rPr>
          <w:rFonts w:ascii="Calibri" w:hAnsi="Calibri" w:cs="Calibri"/>
          <w:b/>
          <w:bCs/>
        </w:rPr>
      </w:pPr>
    </w:p>
    <w:p w14:paraId="5E077948" w14:textId="515F60B8" w:rsidR="0041100F" w:rsidRDefault="00CD6C57" w:rsidP="00BC0A89">
      <w:pPr>
        <w:pStyle w:val="ListParagraph"/>
        <w:ind w:left="1440"/>
      </w:pPr>
      <w:r>
        <w:t>BWFH does</w:t>
      </w:r>
      <w:r w:rsidR="0041100F" w:rsidRPr="00D26F62">
        <w:t xml:space="preserve"> not primarily treat pediatric patients</w:t>
      </w:r>
      <w:r>
        <w:t xml:space="preserve">, and as such the hospital does not anticipate any </w:t>
      </w:r>
      <w:r w:rsidR="0041100F" w:rsidRPr="00D26F62">
        <w:t xml:space="preserve">targeted measurable increases to </w:t>
      </w:r>
      <w:r>
        <w:t>the</w:t>
      </w:r>
      <w:r w:rsidR="0041100F" w:rsidRPr="00D26F62">
        <w:t xml:space="preserve"> 0-17 age population</w:t>
      </w:r>
      <w:r>
        <w:t xml:space="preserve"> served</w:t>
      </w:r>
      <w:r w:rsidR="0041100F" w:rsidRPr="00D26F62">
        <w:t>.</w:t>
      </w:r>
    </w:p>
    <w:p w14:paraId="449CA470" w14:textId="77777777" w:rsidR="00BC0A89" w:rsidRPr="00BC0A89" w:rsidRDefault="00BC0A89" w:rsidP="00BC0A89">
      <w:pPr>
        <w:pStyle w:val="ListParagraph"/>
        <w:ind w:left="1440"/>
        <w:rPr>
          <w:rFonts w:ascii="Calibri" w:hAnsi="Calibri" w:cs="Calibri"/>
          <w:b/>
          <w:bCs/>
        </w:rPr>
      </w:pPr>
    </w:p>
    <w:p w14:paraId="2F791EBE" w14:textId="77777777" w:rsidR="006F2C21" w:rsidRPr="0041100F" w:rsidRDefault="00FD406B" w:rsidP="005D52AA">
      <w:pPr>
        <w:pStyle w:val="ListParagraph"/>
        <w:numPr>
          <w:ilvl w:val="1"/>
          <w:numId w:val="2"/>
        </w:numPr>
        <w:rPr>
          <w:rFonts w:ascii="Calibri" w:hAnsi="Calibri" w:cs="Calibri"/>
          <w:b/>
          <w:bCs/>
        </w:rPr>
      </w:pPr>
      <w:r w:rsidRPr="0041100F">
        <w:rPr>
          <w:rFonts w:ascii="Calibri" w:hAnsi="Calibri" w:cs="Calibri"/>
          <w:b/>
          <w:bCs/>
        </w:rPr>
        <w:t xml:space="preserve">Clarify the difference between the number of </w:t>
      </w:r>
      <w:r w:rsidR="005D52AA" w:rsidRPr="0041100F">
        <w:rPr>
          <w:rFonts w:ascii="Calibri" w:hAnsi="Calibri" w:cs="Calibri"/>
          <w:b/>
          <w:bCs/>
        </w:rPr>
        <w:t xml:space="preserve">endoscopy </w:t>
      </w:r>
      <w:r w:rsidRPr="0041100F">
        <w:rPr>
          <w:rFonts w:ascii="Calibri" w:hAnsi="Calibri" w:cs="Calibri"/>
          <w:b/>
          <w:bCs/>
        </w:rPr>
        <w:t xml:space="preserve">cases provided </w:t>
      </w:r>
      <w:r w:rsidR="006F2C21" w:rsidRPr="0041100F">
        <w:rPr>
          <w:rFonts w:ascii="Calibri" w:hAnsi="Calibri" w:cs="Calibri"/>
          <w:b/>
          <w:bCs/>
        </w:rPr>
        <w:t xml:space="preserve">in this table </w:t>
      </w:r>
      <w:r w:rsidRPr="0041100F">
        <w:rPr>
          <w:rFonts w:ascii="Calibri" w:hAnsi="Calibri" w:cs="Calibri"/>
          <w:b/>
          <w:bCs/>
        </w:rPr>
        <w:t xml:space="preserve">versus the number of endoscopy visits provided in Table 7 (page 19 of </w:t>
      </w:r>
      <w:r w:rsidR="005D52AA" w:rsidRPr="0041100F">
        <w:rPr>
          <w:rFonts w:ascii="Calibri" w:hAnsi="Calibri" w:cs="Calibri"/>
          <w:b/>
          <w:bCs/>
        </w:rPr>
        <w:t>a</w:t>
      </w:r>
      <w:r w:rsidRPr="0041100F">
        <w:rPr>
          <w:rFonts w:ascii="Calibri" w:hAnsi="Calibri" w:cs="Calibri"/>
          <w:b/>
          <w:bCs/>
        </w:rPr>
        <w:t>pplication</w:t>
      </w:r>
      <w:r w:rsidR="005D52AA" w:rsidRPr="0041100F">
        <w:rPr>
          <w:rFonts w:ascii="Calibri" w:hAnsi="Calibri" w:cs="Calibri"/>
          <w:b/>
          <w:bCs/>
        </w:rPr>
        <w:t xml:space="preserve"> narrative</w:t>
      </w:r>
      <w:r w:rsidRPr="0041100F">
        <w:rPr>
          <w:rFonts w:ascii="Calibri" w:hAnsi="Calibri" w:cs="Calibri"/>
          <w:b/>
          <w:bCs/>
        </w:rPr>
        <w:t xml:space="preserve">). </w:t>
      </w:r>
    </w:p>
    <w:p w14:paraId="40CB7464" w14:textId="44A303AA" w:rsidR="00FD406B" w:rsidRPr="0041100F" w:rsidRDefault="00FD406B" w:rsidP="006F2C21">
      <w:pPr>
        <w:pStyle w:val="ListParagraph"/>
        <w:numPr>
          <w:ilvl w:val="2"/>
          <w:numId w:val="2"/>
        </w:numPr>
        <w:rPr>
          <w:rFonts w:ascii="Calibri" w:hAnsi="Calibri" w:cs="Calibri"/>
          <w:b/>
          <w:bCs/>
        </w:rPr>
      </w:pPr>
      <w:r w:rsidRPr="0041100F">
        <w:rPr>
          <w:rFonts w:ascii="Calibri" w:hAnsi="Calibri" w:cs="Calibri"/>
          <w:b/>
          <w:bCs/>
        </w:rPr>
        <w:t>For baseline (FY19) the number of cases and visits match (7,244)</w:t>
      </w:r>
      <w:r w:rsidR="006F2C21" w:rsidRPr="0041100F">
        <w:rPr>
          <w:rFonts w:ascii="Calibri" w:hAnsi="Calibri" w:cs="Calibri"/>
          <w:b/>
          <w:bCs/>
        </w:rPr>
        <w:t xml:space="preserve"> in both tables</w:t>
      </w:r>
      <w:r w:rsidRPr="0041100F">
        <w:rPr>
          <w:rFonts w:ascii="Calibri" w:hAnsi="Calibri" w:cs="Calibri"/>
          <w:b/>
          <w:bCs/>
        </w:rPr>
        <w:t>, however</w:t>
      </w:r>
      <w:r w:rsidR="006F2C21" w:rsidRPr="0041100F">
        <w:rPr>
          <w:rFonts w:ascii="Calibri" w:hAnsi="Calibri" w:cs="Calibri"/>
          <w:b/>
          <w:bCs/>
        </w:rPr>
        <w:t>,</w:t>
      </w:r>
      <w:r w:rsidRPr="0041100F">
        <w:rPr>
          <w:rFonts w:ascii="Calibri" w:hAnsi="Calibri" w:cs="Calibri"/>
          <w:b/>
          <w:bCs/>
        </w:rPr>
        <w:t xml:space="preserve"> the projected numbers </w:t>
      </w:r>
      <w:r w:rsidR="005D52AA" w:rsidRPr="0041100F">
        <w:rPr>
          <w:rFonts w:ascii="Calibri" w:hAnsi="Calibri" w:cs="Calibri"/>
          <w:b/>
          <w:bCs/>
        </w:rPr>
        <w:t xml:space="preserve">for FY24-FY27 </w:t>
      </w:r>
      <w:r w:rsidRPr="0041100F">
        <w:rPr>
          <w:rFonts w:ascii="Calibri" w:hAnsi="Calibri" w:cs="Calibri"/>
          <w:b/>
          <w:bCs/>
        </w:rPr>
        <w:t>do not match.</w:t>
      </w:r>
      <w:r w:rsidR="009E7688" w:rsidRPr="0041100F">
        <w:rPr>
          <w:rFonts w:ascii="Calibri" w:hAnsi="Calibri" w:cs="Calibri"/>
          <w:b/>
          <w:bCs/>
        </w:rPr>
        <w:t xml:space="preserve"> Explain the discrepancies in the numbers provided in the two tables.</w:t>
      </w:r>
    </w:p>
    <w:p w14:paraId="1E5B4A74" w14:textId="380711C0" w:rsidR="006D2365" w:rsidRDefault="006D2365" w:rsidP="006D2365">
      <w:pPr>
        <w:pStyle w:val="ListParagraph"/>
        <w:ind w:left="2160"/>
        <w:rPr>
          <w:b/>
          <w:bCs/>
          <w:color w:val="000000" w:themeColor="text1"/>
        </w:rPr>
      </w:pPr>
      <w:r w:rsidRPr="0041100F">
        <w:rPr>
          <w:rFonts w:ascii="Calibri" w:hAnsi="Calibri" w:cs="Calibri"/>
          <w:b/>
          <w:bCs/>
        </w:rPr>
        <w:t xml:space="preserve">Also, in the Application it states that the </w:t>
      </w:r>
      <w:r w:rsidRPr="0041100F">
        <w:rPr>
          <w:b/>
          <w:bCs/>
          <w:color w:val="000000" w:themeColor="text1"/>
        </w:rPr>
        <w:t xml:space="preserve">demand for endoscopy services will </w:t>
      </w:r>
      <w:r w:rsidRPr="0041100F">
        <w:rPr>
          <w:b/>
          <w:bCs/>
          <w:color w:val="ED7D31" w:themeColor="accent2"/>
        </w:rPr>
        <w:t xml:space="preserve">increase by 9.6% by FY24 </w:t>
      </w:r>
      <w:r w:rsidRPr="0041100F">
        <w:rPr>
          <w:b/>
          <w:bCs/>
          <w:color w:val="000000" w:themeColor="text1"/>
        </w:rPr>
        <w:t xml:space="preserve">when the Proposed Project will open, and </w:t>
      </w:r>
      <w:r w:rsidRPr="0041100F">
        <w:rPr>
          <w:b/>
          <w:bCs/>
          <w:color w:val="ED7D31" w:themeColor="accent2"/>
        </w:rPr>
        <w:t>by 18.7% by FY27 from FY19</w:t>
      </w:r>
      <w:r w:rsidRPr="0041100F">
        <w:rPr>
          <w:b/>
          <w:bCs/>
          <w:color w:val="000000" w:themeColor="text1"/>
        </w:rPr>
        <w:t xml:space="preserve"> when services will be fully operational.</w:t>
      </w:r>
      <w:r w:rsidR="009E7688" w:rsidRPr="0041100F">
        <w:rPr>
          <w:b/>
          <w:bCs/>
          <w:color w:val="000000" w:themeColor="text1"/>
        </w:rPr>
        <w:t xml:space="preserve"> The projections shared in the follow-up response does not </w:t>
      </w:r>
      <w:r w:rsidR="00C54A81" w:rsidRPr="0041100F">
        <w:rPr>
          <w:b/>
          <w:bCs/>
          <w:color w:val="000000" w:themeColor="text1"/>
        </w:rPr>
        <w:t>reflect this</w:t>
      </w:r>
      <w:r w:rsidR="009E7688" w:rsidRPr="0041100F">
        <w:rPr>
          <w:b/>
          <w:bCs/>
          <w:color w:val="000000" w:themeColor="text1"/>
        </w:rPr>
        <w:t xml:space="preserve"> increase. </w:t>
      </w:r>
    </w:p>
    <w:p w14:paraId="0240CCF8" w14:textId="1F8C36C5" w:rsidR="00BC0A89" w:rsidRDefault="00BC0A89" w:rsidP="006D2365">
      <w:pPr>
        <w:pStyle w:val="ListParagraph"/>
        <w:ind w:left="2160"/>
        <w:rPr>
          <w:b/>
          <w:bCs/>
          <w:color w:val="000000" w:themeColor="text1"/>
        </w:rPr>
      </w:pPr>
    </w:p>
    <w:p w14:paraId="0849FA22" w14:textId="429C2C12" w:rsidR="00BC0A89" w:rsidRDefault="00BC0A89" w:rsidP="00BC0A89">
      <w:pPr>
        <w:pStyle w:val="ListParagraph"/>
        <w:ind w:left="2160"/>
      </w:pPr>
      <w:r w:rsidRPr="0028198B">
        <w:rPr>
          <w:rFonts w:ascii="Calibri" w:hAnsi="Calibri" w:cs="Calibri"/>
        </w:rPr>
        <w:t>The initial table used an incorrect percent growth, which has been corrected</w:t>
      </w:r>
      <w:r w:rsidR="003E1CC2">
        <w:rPr>
          <w:rFonts w:ascii="Calibri" w:hAnsi="Calibri" w:cs="Calibri"/>
        </w:rPr>
        <w:t xml:space="preserve"> below</w:t>
      </w:r>
      <w:r w:rsidRPr="0028198B">
        <w:rPr>
          <w:rFonts w:ascii="Calibri" w:hAnsi="Calibri" w:cs="Calibri"/>
        </w:rPr>
        <w:t xml:space="preserve">. The below table applies the correct percentage growth and matches the Endoscopy totals from the initial submission. </w:t>
      </w:r>
      <w:r>
        <w:rPr>
          <w:rFonts w:ascii="Calibri" w:hAnsi="Calibri" w:cs="Calibri"/>
        </w:rPr>
        <w:t xml:space="preserve"> </w:t>
      </w:r>
      <w:r w:rsidRPr="007C7AAC">
        <w:t xml:space="preserve">With the revised table </w:t>
      </w:r>
      <w:r>
        <w:t>below</w:t>
      </w:r>
      <w:r w:rsidRPr="007C7AAC">
        <w:t>, the growth percentages now tie to what was listed in the Application. The demand for endoscopy services will increase by 9.6% by FY24, and 18.7% by FY27.</w:t>
      </w:r>
    </w:p>
    <w:p w14:paraId="1EA0D5CD" w14:textId="1B36D4AB" w:rsidR="00BC0A89" w:rsidRDefault="00BC0A89" w:rsidP="00BC0A89">
      <w:pPr>
        <w:pStyle w:val="ListParagraph"/>
        <w:ind w:left="2160"/>
      </w:pPr>
      <w:r w:rsidRPr="004F70FD">
        <w:rPr>
          <w:noProof/>
        </w:rPr>
        <w:drawing>
          <wp:inline distT="0" distB="0" distL="0" distR="0" wp14:anchorId="21896AA1" wp14:editId="2BBEFDA9">
            <wp:extent cx="5105400" cy="1498600"/>
            <wp:effectExtent l="0" t="0" r="0" b="6350"/>
            <wp:docPr id="1" name="Picture 1" descr="Endocopy, FY19, FY24-FY27&#10;&#10;FY19&#10;Age 0-17: 700&#10;Age 18-44: 690&#10;Age 45-64: 3,218&#10;65 and Up: 2,636&#10;Total: 7,244&#10;&#10;FY24&#10;Age 0-17: 700&#10;Age 18-44: 1,271&#10;Age 45-64: 3,126&#10;65 and Up: 2,841&#10;Total: 7,938&#10;&#10;FY25&#10;Age 0-17: 700&#10;Age 18-44: 1,296&#10;Age 45-64: 3,192&#10;65 and Up: 2,970&#10;Total: 8,159&#10;&#10;FY26&#10;Age 0-17: 700&#10;Age 18-44: 1,320&#10;Age 45-64: 3,253&#10;65 and Up: 3,098&#10;Total: 8,370&#10;&#10;FY27&#10;Age 0-17: 700&#10;Age 18-44: 1,346&#10;Age 45-64: 3,321&#10;65 and Up: 3,233&#10;Total: 8,600" title="Table 4.C Revi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1498600"/>
                    </a:xfrm>
                    <a:prstGeom prst="rect">
                      <a:avLst/>
                    </a:prstGeom>
                    <a:noFill/>
                    <a:ln>
                      <a:noFill/>
                    </a:ln>
                  </pic:spPr>
                </pic:pic>
              </a:graphicData>
            </a:graphic>
          </wp:inline>
        </w:drawing>
      </w:r>
    </w:p>
    <w:p w14:paraId="7035C32F" w14:textId="77777777" w:rsidR="00BC0A89" w:rsidRPr="00BC0A89" w:rsidRDefault="00BC0A89" w:rsidP="00BC0A89">
      <w:pPr>
        <w:pStyle w:val="ListParagraph"/>
        <w:ind w:left="2160"/>
      </w:pPr>
    </w:p>
    <w:p w14:paraId="5DDADA23" w14:textId="77777777" w:rsidR="00BC0A89" w:rsidRDefault="006D2365" w:rsidP="00BC0A89">
      <w:pPr>
        <w:pStyle w:val="ListParagraph"/>
        <w:numPr>
          <w:ilvl w:val="2"/>
          <w:numId w:val="2"/>
        </w:numPr>
        <w:rPr>
          <w:rFonts w:ascii="Calibri" w:hAnsi="Calibri" w:cs="Calibri"/>
          <w:b/>
          <w:bCs/>
        </w:rPr>
      </w:pPr>
      <w:bookmarkStart w:id="1" w:name="_Hlk93836229"/>
      <w:r w:rsidRPr="00BC0A89">
        <w:rPr>
          <w:rFonts w:ascii="Calibri" w:hAnsi="Calibri" w:cs="Calibri"/>
          <w:b/>
          <w:bCs/>
        </w:rPr>
        <w:t>Do the endoscopy case/visit projections take into consideration the revised clinical guidelines to begin colonoscopies at age 45?</w:t>
      </w:r>
    </w:p>
    <w:p w14:paraId="0A371952" w14:textId="77777777" w:rsidR="00BC0A89" w:rsidRDefault="00BC0A89" w:rsidP="00BC0A89">
      <w:pPr>
        <w:pStyle w:val="ListParagraph"/>
        <w:ind w:left="2160"/>
        <w:rPr>
          <w:rFonts w:ascii="Calibri" w:hAnsi="Calibri" w:cs="Calibri"/>
          <w:b/>
          <w:bCs/>
        </w:rPr>
      </w:pPr>
    </w:p>
    <w:p w14:paraId="7E2EB18C" w14:textId="7907C443" w:rsidR="00BC0A89" w:rsidRPr="00BC0A89" w:rsidRDefault="00BC0A89" w:rsidP="00BC0A89">
      <w:pPr>
        <w:pStyle w:val="ListParagraph"/>
        <w:ind w:left="2160"/>
        <w:rPr>
          <w:rFonts w:ascii="Calibri" w:hAnsi="Calibri" w:cs="Calibri"/>
          <w:b/>
          <w:bCs/>
        </w:rPr>
      </w:pPr>
      <w:r>
        <w:rPr>
          <w:rFonts w:ascii="Calibri" w:hAnsi="Calibri" w:cs="Calibri"/>
        </w:rPr>
        <w:t>The</w:t>
      </w:r>
      <w:r w:rsidRPr="00BC0A89">
        <w:rPr>
          <w:rFonts w:ascii="Calibri" w:hAnsi="Calibri" w:cs="Calibri"/>
        </w:rPr>
        <w:t xml:space="preserve"> campus expansion plan predates the new clinical guidelines. </w:t>
      </w:r>
      <w:r w:rsidR="00D94569">
        <w:rPr>
          <w:rFonts w:ascii="Calibri" w:hAnsi="Calibri" w:cs="Calibri"/>
        </w:rPr>
        <w:t xml:space="preserve">BWFH </w:t>
      </w:r>
      <w:r w:rsidRPr="00BC0A89">
        <w:rPr>
          <w:rFonts w:ascii="Calibri" w:hAnsi="Calibri" w:cs="Calibri"/>
        </w:rPr>
        <w:t>reviewed the potential impact of this and concluded that:</w:t>
      </w:r>
    </w:p>
    <w:p w14:paraId="605E4A29" w14:textId="0B989E90" w:rsidR="00BC0A89" w:rsidRPr="007C7AAC" w:rsidRDefault="00BC0A89" w:rsidP="00BC0A89">
      <w:pPr>
        <w:pStyle w:val="ListParagraph"/>
        <w:numPr>
          <w:ilvl w:val="0"/>
          <w:numId w:val="9"/>
        </w:numPr>
        <w:rPr>
          <w:rFonts w:ascii="Calibri" w:hAnsi="Calibri" w:cs="Calibri"/>
        </w:rPr>
      </w:pPr>
      <w:r>
        <w:t>The</w:t>
      </w:r>
      <w:r w:rsidRPr="007C7AAC">
        <w:rPr>
          <w:rFonts w:ascii="Calibri" w:hAnsi="Calibri" w:cs="Calibri"/>
        </w:rPr>
        <w:t xml:space="preserve"> current</w:t>
      </w:r>
      <w:r>
        <w:rPr>
          <w:rFonts w:ascii="Calibri" w:hAnsi="Calibri" w:cs="Calibri"/>
        </w:rPr>
        <w:t xml:space="preserve"> endoscopy department</w:t>
      </w:r>
      <w:r w:rsidRPr="007C7AAC">
        <w:rPr>
          <w:rFonts w:ascii="Calibri" w:hAnsi="Calibri" w:cs="Calibri"/>
        </w:rPr>
        <w:t xml:space="preserve"> has inefficient throughput because of limited recovery space and suboptimal layout. W</w:t>
      </w:r>
      <w:r w:rsidR="003E1CC2">
        <w:rPr>
          <w:rFonts w:ascii="Calibri" w:hAnsi="Calibri" w:cs="Calibri"/>
        </w:rPr>
        <w:t xml:space="preserve">ith the proposed project, the department will have an improved layout and recovery space which will allow the hospital to accommodate more cases in standard endoscopy rooms. </w:t>
      </w:r>
    </w:p>
    <w:bookmarkEnd w:id="1"/>
    <w:p w14:paraId="1C4FE77B" w14:textId="401D2B7E" w:rsidR="00BC0A89" w:rsidRPr="007C7AAC" w:rsidRDefault="00BC0A89" w:rsidP="00BC0A89">
      <w:pPr>
        <w:pStyle w:val="ListParagraph"/>
        <w:numPr>
          <w:ilvl w:val="0"/>
          <w:numId w:val="9"/>
        </w:numPr>
        <w:rPr>
          <w:rFonts w:ascii="Calibri" w:hAnsi="Calibri" w:cs="Calibri"/>
        </w:rPr>
      </w:pPr>
      <w:r>
        <w:rPr>
          <w:rFonts w:ascii="Calibri" w:hAnsi="Calibri" w:cs="Calibri"/>
        </w:rPr>
        <w:t>Through the proposed project, BWFH</w:t>
      </w:r>
      <w:r w:rsidRPr="007C7AAC">
        <w:rPr>
          <w:rFonts w:ascii="Calibri" w:hAnsi="Calibri" w:cs="Calibri"/>
        </w:rPr>
        <w:t xml:space="preserve"> will have an additional room equipped for advanced endoscopy. It is not anticipated that this room will be needed </w:t>
      </w:r>
      <w:r w:rsidRPr="007C7AAC">
        <w:rPr>
          <w:rFonts w:ascii="Calibri" w:hAnsi="Calibri" w:cs="Calibri"/>
        </w:rPr>
        <w:lastRenderedPageBreak/>
        <w:t>for a full week’s advanced schedule every week so there will be capacity available.</w:t>
      </w:r>
    </w:p>
    <w:p w14:paraId="40701254" w14:textId="35BF1C6F" w:rsidR="00BC0A89" w:rsidRPr="007C7AAC" w:rsidRDefault="00CD6C57" w:rsidP="00BC0A89">
      <w:pPr>
        <w:pStyle w:val="ListParagraph"/>
        <w:numPr>
          <w:ilvl w:val="0"/>
          <w:numId w:val="9"/>
        </w:numPr>
        <w:rPr>
          <w:rFonts w:ascii="Calibri" w:hAnsi="Calibri" w:cs="Calibri"/>
        </w:rPr>
      </w:pPr>
      <w:r>
        <w:rPr>
          <w:rFonts w:ascii="Calibri" w:hAnsi="Calibri" w:cs="Calibri"/>
        </w:rPr>
        <w:t>The</w:t>
      </w:r>
      <w:r w:rsidR="00BC0A89" w:rsidRPr="007C7AAC">
        <w:rPr>
          <w:rFonts w:ascii="Calibri" w:hAnsi="Calibri" w:cs="Calibri"/>
        </w:rPr>
        <w:t xml:space="preserve"> use of home screening tests will reduce procedure volume over time.</w:t>
      </w:r>
    </w:p>
    <w:p w14:paraId="6403FEBB" w14:textId="12F98CF3" w:rsidR="006D2365" w:rsidRPr="00BC0A89" w:rsidRDefault="006D2365" w:rsidP="006D2365">
      <w:pPr>
        <w:pStyle w:val="ListParagraph"/>
        <w:numPr>
          <w:ilvl w:val="1"/>
          <w:numId w:val="2"/>
        </w:numPr>
        <w:rPr>
          <w:rFonts w:ascii="Calibri" w:hAnsi="Calibri" w:cs="Calibri"/>
          <w:b/>
          <w:bCs/>
        </w:rPr>
      </w:pPr>
      <w:r w:rsidRPr="00BC0A89">
        <w:rPr>
          <w:rFonts w:ascii="Calibri" w:hAnsi="Calibri" w:cs="Calibri"/>
          <w:b/>
          <w:bCs/>
        </w:rPr>
        <w:t>(Any other project</w:t>
      </w:r>
      <w:r w:rsidR="00E7695C" w:rsidRPr="00BC0A89">
        <w:rPr>
          <w:rFonts w:ascii="Calibri" w:hAnsi="Calibri" w:cs="Calibri"/>
          <w:b/>
          <w:bCs/>
        </w:rPr>
        <w:t>ions</w:t>
      </w:r>
      <w:r w:rsidRPr="00BC0A89">
        <w:rPr>
          <w:rFonts w:ascii="Calibri" w:hAnsi="Calibri" w:cs="Calibri"/>
          <w:b/>
          <w:bCs/>
        </w:rPr>
        <w:t xml:space="preserve"> that may need to be reexamined?)</w:t>
      </w:r>
    </w:p>
    <w:p w14:paraId="0AA11362" w14:textId="7E3D67E7" w:rsidR="0028198B" w:rsidRDefault="0028198B" w:rsidP="0028198B">
      <w:pPr>
        <w:pStyle w:val="ListParagraph"/>
        <w:rPr>
          <w:rFonts w:ascii="Calibri" w:hAnsi="Calibri" w:cs="Calibri"/>
        </w:rPr>
      </w:pPr>
    </w:p>
    <w:p w14:paraId="14C80A06" w14:textId="59353A75" w:rsidR="00BC0A89" w:rsidRDefault="00BC0A89" w:rsidP="00BC0A89">
      <w:pPr>
        <w:pStyle w:val="ListParagraph"/>
        <w:ind w:firstLine="720"/>
        <w:rPr>
          <w:rFonts w:ascii="Calibri" w:hAnsi="Calibri" w:cs="Calibri"/>
        </w:rPr>
      </w:pPr>
      <w:r w:rsidRPr="007C7AAC">
        <w:rPr>
          <w:rFonts w:ascii="Calibri" w:hAnsi="Calibri" w:cs="Calibri"/>
        </w:rPr>
        <w:t xml:space="preserve">Not </w:t>
      </w:r>
      <w:proofErr w:type="gramStart"/>
      <w:r w:rsidRPr="007C7AAC">
        <w:rPr>
          <w:rFonts w:ascii="Calibri" w:hAnsi="Calibri" w:cs="Calibri"/>
        </w:rPr>
        <w:t>at this time</w:t>
      </w:r>
      <w:proofErr w:type="gramEnd"/>
      <w:r w:rsidRPr="007C7AAC">
        <w:rPr>
          <w:rFonts w:ascii="Calibri" w:hAnsi="Calibri" w:cs="Calibri"/>
        </w:rPr>
        <w:t>.</w:t>
      </w:r>
    </w:p>
    <w:p w14:paraId="582765D8" w14:textId="7A7B057A" w:rsidR="0028198B" w:rsidRDefault="0028198B" w:rsidP="0028198B">
      <w:pPr>
        <w:pStyle w:val="ListParagraph"/>
        <w:rPr>
          <w:rFonts w:ascii="Calibri" w:hAnsi="Calibri" w:cs="Calibri"/>
        </w:rPr>
      </w:pPr>
    </w:p>
    <w:p w14:paraId="6E7749A7" w14:textId="27A6A4CD" w:rsidR="00BA292B" w:rsidRPr="00BC0A89" w:rsidRDefault="00BA292B" w:rsidP="0028198B">
      <w:pPr>
        <w:pStyle w:val="ListParagraph"/>
        <w:numPr>
          <w:ilvl w:val="0"/>
          <w:numId w:val="2"/>
        </w:numPr>
        <w:rPr>
          <w:rFonts w:ascii="Calibri" w:hAnsi="Calibri" w:cs="Calibri"/>
          <w:b/>
          <w:bCs/>
        </w:rPr>
      </w:pPr>
      <w:r w:rsidRPr="00BC0A89">
        <w:rPr>
          <w:rFonts w:ascii="Calibri" w:hAnsi="Calibri" w:cs="Calibri"/>
          <w:b/>
          <w:bCs/>
        </w:rPr>
        <w:t>The Applicant mentions some r</w:t>
      </w:r>
      <w:r w:rsidRPr="00BC0A89">
        <w:rPr>
          <w:b/>
          <w:bCs/>
          <w:iCs/>
        </w:rPr>
        <w:t>ecent examples of efforts implemented to reduce costs of care delivery that included standardization of EMRs. Explain how this has reduced costs.</w:t>
      </w:r>
      <w:r w:rsidR="000C0401" w:rsidRPr="00BC0A89">
        <w:rPr>
          <w:b/>
          <w:bCs/>
          <w:iCs/>
        </w:rPr>
        <w:t xml:space="preserve"> (Q31, page 40)</w:t>
      </w:r>
    </w:p>
    <w:p w14:paraId="44AAD993" w14:textId="77777777" w:rsidR="00BC0A89" w:rsidRDefault="00BC0A89" w:rsidP="0028198B">
      <w:pPr>
        <w:pStyle w:val="ListParagraph"/>
        <w:rPr>
          <w:rFonts w:ascii="Calibri" w:hAnsi="Calibri" w:cs="Calibri"/>
        </w:rPr>
      </w:pPr>
    </w:p>
    <w:p w14:paraId="6F344D1A" w14:textId="15567328" w:rsidR="0028198B" w:rsidRDefault="0028198B" w:rsidP="00BC0A89">
      <w:pPr>
        <w:pStyle w:val="ListParagraph"/>
        <w:jc w:val="both"/>
        <w:rPr>
          <w:rFonts w:ascii="Calibri" w:hAnsi="Calibri" w:cs="Calibri"/>
        </w:rPr>
      </w:pPr>
      <w:r w:rsidRPr="00B23967">
        <w:rPr>
          <w:rFonts w:ascii="Calibri" w:hAnsi="Calibri" w:cs="Calibri"/>
        </w:rPr>
        <w:t xml:space="preserve">Prior to the adoption of the MGB </w:t>
      </w:r>
      <w:proofErr w:type="spellStart"/>
      <w:r w:rsidRPr="00B23967">
        <w:rPr>
          <w:rFonts w:ascii="Calibri" w:hAnsi="Calibri" w:cs="Calibri"/>
        </w:rPr>
        <w:t>systemwide</w:t>
      </w:r>
      <w:proofErr w:type="spellEnd"/>
      <w:r w:rsidRPr="00B23967">
        <w:rPr>
          <w:rFonts w:ascii="Calibri" w:hAnsi="Calibri" w:cs="Calibri"/>
        </w:rPr>
        <w:t xml:space="preserve"> EMR, BWFH required a standalone, comprehensive IT systems support structure. This included all hardware and software, a stand-alone IT support department, and a physical, labor intensive BWFH Medical Record. This required a fully staffed Medica</w:t>
      </w:r>
      <w:r>
        <w:rPr>
          <w:rFonts w:ascii="Calibri" w:hAnsi="Calibri" w:cs="Calibri"/>
        </w:rPr>
        <w:t>l</w:t>
      </w:r>
      <w:r w:rsidRPr="00B23967">
        <w:rPr>
          <w:rFonts w:ascii="Calibri" w:hAnsi="Calibri" w:cs="Calibri"/>
        </w:rPr>
        <w:t xml:space="preserve"> Records Department. </w:t>
      </w:r>
      <w:r>
        <w:rPr>
          <w:rFonts w:ascii="Calibri" w:hAnsi="Calibri" w:cs="Calibri"/>
        </w:rPr>
        <w:t>Additionally, there was no connectivity to other MGB medical records. From a patient and direct care perspective, this led to additional costs and inconvenience, including requirements for patients to get copies of their BWFH Medical Records if they needed care at another MGB institution, repeat of tests and diagnostics for presentation at any MGB ED (non-BWFH) or Urgent care as there was no view to pre-existing BWFH results. The standardization of the EMR resulted in an integrated record to make the patient experience safer, more efficient and more cost effective.</w:t>
      </w:r>
    </w:p>
    <w:p w14:paraId="308C94A8" w14:textId="77777777" w:rsidR="00BC0A89" w:rsidRDefault="00BC0A89" w:rsidP="00BC0A89">
      <w:pPr>
        <w:pStyle w:val="ListParagraph"/>
        <w:jc w:val="both"/>
        <w:rPr>
          <w:rFonts w:ascii="Calibri" w:hAnsi="Calibri" w:cs="Calibri"/>
        </w:rPr>
      </w:pPr>
    </w:p>
    <w:p w14:paraId="183F04AE" w14:textId="2534095C" w:rsidR="00756DA0" w:rsidRPr="00BC0A89" w:rsidRDefault="00756DA0" w:rsidP="0028198B">
      <w:pPr>
        <w:pStyle w:val="ListParagraph"/>
        <w:numPr>
          <w:ilvl w:val="0"/>
          <w:numId w:val="2"/>
        </w:numPr>
        <w:rPr>
          <w:rFonts w:ascii="Calibri" w:hAnsi="Calibri" w:cs="Calibri"/>
          <w:b/>
          <w:bCs/>
        </w:rPr>
      </w:pPr>
      <w:r w:rsidRPr="00BC0A89">
        <w:rPr>
          <w:rFonts w:ascii="Calibri" w:hAnsi="Calibri" w:cs="Calibri"/>
          <w:b/>
          <w:bCs/>
        </w:rPr>
        <w:t xml:space="preserve">In the follow-up </w:t>
      </w:r>
      <w:proofErr w:type="gramStart"/>
      <w:r w:rsidRPr="00BC0A89">
        <w:rPr>
          <w:rFonts w:ascii="Calibri" w:hAnsi="Calibri" w:cs="Calibri"/>
          <w:b/>
          <w:bCs/>
        </w:rPr>
        <w:t>response</w:t>
      </w:r>
      <w:proofErr w:type="gramEnd"/>
      <w:r w:rsidRPr="00BC0A89">
        <w:rPr>
          <w:rFonts w:ascii="Calibri" w:hAnsi="Calibri" w:cs="Calibri"/>
          <w:b/>
          <w:bCs/>
        </w:rPr>
        <w:t xml:space="preserve"> it is stated that “</w:t>
      </w:r>
      <w:r w:rsidRPr="00BC0A89">
        <w:rPr>
          <w:b/>
          <w:bCs/>
        </w:rPr>
        <w:t>PHM strategies typically are implemented in the physician office setting and are not directly utilized by the hospital</w:t>
      </w:r>
      <w:r w:rsidR="00D66B3F" w:rsidRPr="00BC0A89">
        <w:rPr>
          <w:b/>
          <w:bCs/>
        </w:rPr>
        <w:t xml:space="preserve">…As such, BWFH will participate in PHM strategies to the extent applicable in the hospital </w:t>
      </w:r>
      <w:r w:rsidR="00732C0B" w:rsidRPr="00BC0A89">
        <w:rPr>
          <w:b/>
          <w:bCs/>
        </w:rPr>
        <w:t>setting.”</w:t>
      </w:r>
      <w:r w:rsidRPr="00BC0A89">
        <w:rPr>
          <w:rFonts w:ascii="Calibri" w:hAnsi="Calibri" w:cs="Calibri"/>
          <w:b/>
          <w:bCs/>
        </w:rPr>
        <w:t xml:space="preserve"> (Q31c, page 41)</w:t>
      </w:r>
    </w:p>
    <w:p w14:paraId="111B7809" w14:textId="022F1E8C" w:rsidR="00756DA0" w:rsidRPr="00BC0A89" w:rsidRDefault="00B727C8" w:rsidP="0028198B">
      <w:pPr>
        <w:pStyle w:val="ListParagraph"/>
        <w:numPr>
          <w:ilvl w:val="1"/>
          <w:numId w:val="2"/>
        </w:numPr>
        <w:rPr>
          <w:rFonts w:ascii="Calibri" w:hAnsi="Calibri" w:cs="Calibri"/>
          <w:b/>
          <w:bCs/>
        </w:rPr>
      </w:pPr>
      <w:r w:rsidRPr="00BC0A89">
        <w:rPr>
          <w:rFonts w:ascii="Calibri" w:hAnsi="Calibri" w:cs="Calibri"/>
          <w:b/>
          <w:bCs/>
        </w:rPr>
        <w:t>Which PHM strategies are applicable in the hospital setting</w:t>
      </w:r>
      <w:r w:rsidR="00756DA0" w:rsidRPr="00BC0A89">
        <w:rPr>
          <w:rFonts w:ascii="Calibri" w:hAnsi="Calibri" w:cs="Calibri"/>
          <w:b/>
          <w:bCs/>
        </w:rPr>
        <w:t>, and which ones will BWFH plan to participate in?</w:t>
      </w:r>
    </w:p>
    <w:p w14:paraId="5857CA97" w14:textId="10E22004" w:rsidR="0028198B" w:rsidRPr="0028198B" w:rsidRDefault="0028198B" w:rsidP="00BC0A89">
      <w:pPr>
        <w:ind w:left="720"/>
        <w:rPr>
          <w:sz w:val="22"/>
          <w:szCs w:val="22"/>
          <w:u w:val="single"/>
        </w:rPr>
      </w:pPr>
      <w:bookmarkStart w:id="2" w:name="_Hlk93592543"/>
      <w:r w:rsidRPr="0028198B">
        <w:rPr>
          <w:sz w:val="22"/>
          <w:szCs w:val="22"/>
        </w:rPr>
        <w:t xml:space="preserve">Care in the hospital setting at BWFH is an integral extension of the physician office in the execution of Population Health Strategies.  There are </w:t>
      </w:r>
      <w:r w:rsidR="00BC0A89">
        <w:rPr>
          <w:sz w:val="22"/>
          <w:szCs w:val="22"/>
        </w:rPr>
        <w:t>certain</w:t>
      </w:r>
      <w:r w:rsidRPr="0028198B">
        <w:rPr>
          <w:sz w:val="22"/>
          <w:szCs w:val="22"/>
        </w:rPr>
        <w:t xml:space="preserve"> hospital services that work in support of these patients. These strategies include:</w:t>
      </w:r>
    </w:p>
    <w:p w14:paraId="3EE972FF" w14:textId="1CED7B61" w:rsidR="00BC0A89" w:rsidRDefault="0028198B" w:rsidP="00BC0A89">
      <w:pPr>
        <w:pStyle w:val="ListParagraph"/>
        <w:numPr>
          <w:ilvl w:val="0"/>
          <w:numId w:val="10"/>
        </w:numPr>
      </w:pPr>
      <w:r w:rsidRPr="0028198B">
        <w:t>End of life care: BWFH’s Palliative Care and GIF programs aim to decrease acute care hospital utilization by offering planning and care earlier in the timeline of end stage diseases. Patients and families receive the medical attention and comfort they deserve while reducing the cost of the inpatient stay.</w:t>
      </w:r>
    </w:p>
    <w:p w14:paraId="20D70C13" w14:textId="4E08BF5A" w:rsidR="0028198B" w:rsidRPr="0028198B" w:rsidRDefault="0028198B" w:rsidP="00BC0A89">
      <w:pPr>
        <w:pStyle w:val="ListParagraph"/>
        <w:numPr>
          <w:ilvl w:val="0"/>
          <w:numId w:val="10"/>
        </w:numPr>
      </w:pPr>
      <w:r w:rsidRPr="0028198B">
        <w:t>BWFH admits proportionately more patients to the BW</w:t>
      </w:r>
      <w:r w:rsidR="00BC0A89">
        <w:t>F</w:t>
      </w:r>
      <w:r w:rsidRPr="0028198B">
        <w:t xml:space="preserve">H Home Hospital Program than BWH. This allows for in-home treatment of appropriate patients rather than an admission to an inpatient hospital bed. </w:t>
      </w:r>
    </w:p>
    <w:p w14:paraId="74F7090B" w14:textId="6A248119" w:rsidR="0028198B" w:rsidRPr="0028198B" w:rsidRDefault="00BC0A89" w:rsidP="00BC0A89">
      <w:pPr>
        <w:pStyle w:val="ListParagraph"/>
        <w:numPr>
          <w:ilvl w:val="0"/>
          <w:numId w:val="10"/>
        </w:numPr>
      </w:pPr>
      <w:r>
        <w:t>The</w:t>
      </w:r>
      <w:r w:rsidR="0028198B" w:rsidRPr="0028198B">
        <w:t xml:space="preserve"> BWFH Interventional Nephrology Program is a critical resource in preventing admissions for malfunctioning HD Vascular Access in End Stage Renal disease patients. </w:t>
      </w:r>
    </w:p>
    <w:p w14:paraId="4422EA86" w14:textId="40A1B26B" w:rsidR="0028198B" w:rsidRPr="0028198B" w:rsidRDefault="0028198B" w:rsidP="00BC0A89">
      <w:pPr>
        <w:pStyle w:val="ListParagraph"/>
        <w:numPr>
          <w:ilvl w:val="0"/>
          <w:numId w:val="10"/>
        </w:numPr>
      </w:pPr>
      <w:r w:rsidRPr="0028198B">
        <w:t xml:space="preserve">BWFH serves as a resource for management of substance </w:t>
      </w:r>
      <w:r w:rsidR="00BC0A89">
        <w:t>us</w:t>
      </w:r>
      <w:r w:rsidRPr="0028198B">
        <w:t>e disorders. The hospital offers inpatient, partial hospital and ambulatory services to patients with this disease.</w:t>
      </w:r>
      <w:bookmarkEnd w:id="2"/>
    </w:p>
    <w:p w14:paraId="213672E8" w14:textId="02F6CAF8" w:rsidR="00B605B6" w:rsidRDefault="0028198B" w:rsidP="00CD6C57">
      <w:pPr>
        <w:pStyle w:val="ListParagraph"/>
        <w:numPr>
          <w:ilvl w:val="0"/>
          <w:numId w:val="10"/>
        </w:numPr>
      </w:pPr>
      <w:r w:rsidRPr="0028198B">
        <w:t>BWFH provides a community hospital setting for disease screening such as screening colonoscopies and screening mammography.</w:t>
      </w:r>
    </w:p>
    <w:sectPr w:rsidR="00B605B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C457" w14:textId="77777777" w:rsidR="009F20AC" w:rsidRDefault="009F20AC" w:rsidP="00910A8E">
      <w:r>
        <w:separator/>
      </w:r>
    </w:p>
  </w:endnote>
  <w:endnote w:type="continuationSeparator" w:id="0">
    <w:p w14:paraId="7F054B65" w14:textId="77777777" w:rsidR="009F20AC" w:rsidRDefault="009F20AC" w:rsidP="0091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2869510"/>
      <w:docPartObj>
        <w:docPartGallery w:val="Page Numbers (Bottom of Page)"/>
        <w:docPartUnique/>
      </w:docPartObj>
    </w:sdtPr>
    <w:sdtEndPr>
      <w:rPr>
        <w:rStyle w:val="PageNumber"/>
      </w:rPr>
    </w:sdtEndPr>
    <w:sdtContent>
      <w:p w14:paraId="585AA23C" w14:textId="596ACD3C" w:rsidR="00910A8E" w:rsidRDefault="00910A8E" w:rsidP="005E08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49CA8" w14:textId="77777777" w:rsidR="00910A8E" w:rsidRDefault="00910A8E" w:rsidP="00910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5584348"/>
      <w:docPartObj>
        <w:docPartGallery w:val="Page Numbers (Bottom of Page)"/>
        <w:docPartUnique/>
      </w:docPartObj>
    </w:sdtPr>
    <w:sdtEndPr>
      <w:rPr>
        <w:rStyle w:val="PageNumber"/>
        <w:sz w:val="20"/>
        <w:szCs w:val="20"/>
      </w:rPr>
    </w:sdtEndPr>
    <w:sdtContent>
      <w:p w14:paraId="13C21FAA" w14:textId="5135CF4C" w:rsidR="00910A8E" w:rsidRPr="00910A8E" w:rsidRDefault="00910A8E" w:rsidP="005E08AE">
        <w:pPr>
          <w:pStyle w:val="Footer"/>
          <w:framePr w:wrap="none" w:vAnchor="text" w:hAnchor="margin" w:xAlign="right" w:y="1"/>
          <w:rPr>
            <w:rStyle w:val="PageNumber"/>
            <w:sz w:val="20"/>
            <w:szCs w:val="20"/>
          </w:rPr>
        </w:pPr>
        <w:r w:rsidRPr="00910A8E">
          <w:rPr>
            <w:rStyle w:val="PageNumber"/>
            <w:sz w:val="20"/>
            <w:szCs w:val="20"/>
          </w:rPr>
          <w:fldChar w:fldCharType="begin"/>
        </w:r>
        <w:r w:rsidRPr="00910A8E">
          <w:rPr>
            <w:rStyle w:val="PageNumber"/>
            <w:sz w:val="20"/>
            <w:szCs w:val="20"/>
          </w:rPr>
          <w:instrText xml:space="preserve"> PAGE </w:instrText>
        </w:r>
        <w:r w:rsidRPr="00910A8E">
          <w:rPr>
            <w:rStyle w:val="PageNumber"/>
            <w:sz w:val="20"/>
            <w:szCs w:val="20"/>
          </w:rPr>
          <w:fldChar w:fldCharType="separate"/>
        </w:r>
        <w:r w:rsidR="00B715C1">
          <w:rPr>
            <w:rStyle w:val="PageNumber"/>
            <w:noProof/>
            <w:sz w:val="20"/>
            <w:szCs w:val="20"/>
          </w:rPr>
          <w:t>4</w:t>
        </w:r>
        <w:r w:rsidRPr="00910A8E">
          <w:rPr>
            <w:rStyle w:val="PageNumber"/>
            <w:sz w:val="20"/>
            <w:szCs w:val="20"/>
          </w:rPr>
          <w:fldChar w:fldCharType="end"/>
        </w:r>
      </w:p>
    </w:sdtContent>
  </w:sdt>
  <w:p w14:paraId="63E2ED9A" w14:textId="77777777" w:rsidR="00910A8E" w:rsidRDefault="00910A8E" w:rsidP="00910A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72227" w14:textId="77777777" w:rsidR="009F20AC" w:rsidRDefault="009F20AC" w:rsidP="00910A8E">
      <w:r>
        <w:separator/>
      </w:r>
    </w:p>
  </w:footnote>
  <w:footnote w:type="continuationSeparator" w:id="0">
    <w:p w14:paraId="6A203B1E" w14:textId="77777777" w:rsidR="009F20AC" w:rsidRDefault="009F20AC" w:rsidP="00910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07"/>
    <w:multiLevelType w:val="hybridMultilevel"/>
    <w:tmpl w:val="11764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770F3"/>
    <w:multiLevelType w:val="hybridMultilevel"/>
    <w:tmpl w:val="B5343028"/>
    <w:lvl w:ilvl="0" w:tplc="98DC9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18B8"/>
    <w:multiLevelType w:val="hybridMultilevel"/>
    <w:tmpl w:val="478C578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9DA"/>
    <w:multiLevelType w:val="hybridMultilevel"/>
    <w:tmpl w:val="4964F2DA"/>
    <w:lvl w:ilvl="0" w:tplc="6F686594">
      <w:start w:val="2"/>
      <w:numFmt w:val="lowerLetter"/>
      <w:lvlText w:val="%1."/>
      <w:lvlJc w:val="left"/>
      <w:pPr>
        <w:ind w:left="1080" w:hanging="360"/>
      </w:pPr>
      <w:rPr>
        <w:rFonts w:ascii="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2E4301"/>
    <w:multiLevelType w:val="hybridMultilevel"/>
    <w:tmpl w:val="8EEC6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070ECA"/>
    <w:multiLevelType w:val="hybridMultilevel"/>
    <w:tmpl w:val="17C66E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5DF172A"/>
    <w:multiLevelType w:val="hybridMultilevel"/>
    <w:tmpl w:val="9FE6B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03A79"/>
    <w:multiLevelType w:val="hybridMultilevel"/>
    <w:tmpl w:val="F6F6D36A"/>
    <w:lvl w:ilvl="0" w:tplc="339899C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4F54B2"/>
    <w:multiLevelType w:val="hybridMultilevel"/>
    <w:tmpl w:val="7604DD9C"/>
    <w:lvl w:ilvl="0" w:tplc="085C1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6A6B46"/>
    <w:multiLevelType w:val="hybridMultilevel"/>
    <w:tmpl w:val="76507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7"/>
  </w:num>
  <w:num w:numId="5">
    <w:abstractNumId w:val="1"/>
  </w:num>
  <w:num w:numId="6">
    <w:abstractNumId w:val="4"/>
  </w:num>
  <w:num w:numId="7">
    <w:abstractNumId w:val="9"/>
  </w:num>
  <w:num w:numId="8">
    <w:abstractNumId w:val="3"/>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E7"/>
    <w:rsid w:val="00013923"/>
    <w:rsid w:val="00076508"/>
    <w:rsid w:val="000C0401"/>
    <w:rsid w:val="000C5E75"/>
    <w:rsid w:val="000D1A38"/>
    <w:rsid w:val="000F194B"/>
    <w:rsid w:val="00103C70"/>
    <w:rsid w:val="001239C8"/>
    <w:rsid w:val="00130F00"/>
    <w:rsid w:val="00131C81"/>
    <w:rsid w:val="00152FFB"/>
    <w:rsid w:val="00157640"/>
    <w:rsid w:val="00177945"/>
    <w:rsid w:val="001F317F"/>
    <w:rsid w:val="00243B89"/>
    <w:rsid w:val="002551F2"/>
    <w:rsid w:val="0028198B"/>
    <w:rsid w:val="002A669A"/>
    <w:rsid w:val="002C03C8"/>
    <w:rsid w:val="002D64AE"/>
    <w:rsid w:val="00301CDD"/>
    <w:rsid w:val="00312A55"/>
    <w:rsid w:val="00340A44"/>
    <w:rsid w:val="003469F7"/>
    <w:rsid w:val="0035469C"/>
    <w:rsid w:val="0036427A"/>
    <w:rsid w:val="00382BE8"/>
    <w:rsid w:val="00393F87"/>
    <w:rsid w:val="003C5B6F"/>
    <w:rsid w:val="003E1CC2"/>
    <w:rsid w:val="003E55E7"/>
    <w:rsid w:val="003F747D"/>
    <w:rsid w:val="00403A8A"/>
    <w:rsid w:val="0041100F"/>
    <w:rsid w:val="00414E6C"/>
    <w:rsid w:val="004151F8"/>
    <w:rsid w:val="004268BE"/>
    <w:rsid w:val="00473AA8"/>
    <w:rsid w:val="004B24D5"/>
    <w:rsid w:val="00544A57"/>
    <w:rsid w:val="005524BF"/>
    <w:rsid w:val="00554093"/>
    <w:rsid w:val="00572759"/>
    <w:rsid w:val="005955B7"/>
    <w:rsid w:val="005A66C0"/>
    <w:rsid w:val="005D52AA"/>
    <w:rsid w:val="005F1777"/>
    <w:rsid w:val="006157F3"/>
    <w:rsid w:val="00616D07"/>
    <w:rsid w:val="0062461D"/>
    <w:rsid w:val="00627F4D"/>
    <w:rsid w:val="00636B43"/>
    <w:rsid w:val="00655B47"/>
    <w:rsid w:val="006866D0"/>
    <w:rsid w:val="006C0106"/>
    <w:rsid w:val="006C229B"/>
    <w:rsid w:val="006C5058"/>
    <w:rsid w:val="006D2365"/>
    <w:rsid w:val="006F2C21"/>
    <w:rsid w:val="00732C0B"/>
    <w:rsid w:val="00756DA0"/>
    <w:rsid w:val="0077047A"/>
    <w:rsid w:val="007B196D"/>
    <w:rsid w:val="007C7AAC"/>
    <w:rsid w:val="007F1FF6"/>
    <w:rsid w:val="00822553"/>
    <w:rsid w:val="00863570"/>
    <w:rsid w:val="008848F8"/>
    <w:rsid w:val="008D0C2B"/>
    <w:rsid w:val="008E35C7"/>
    <w:rsid w:val="008E6292"/>
    <w:rsid w:val="0090126C"/>
    <w:rsid w:val="00910A8E"/>
    <w:rsid w:val="00912B8E"/>
    <w:rsid w:val="00926BD8"/>
    <w:rsid w:val="009C73B9"/>
    <w:rsid w:val="009E7688"/>
    <w:rsid w:val="009F20AC"/>
    <w:rsid w:val="00A01459"/>
    <w:rsid w:val="00A1314C"/>
    <w:rsid w:val="00A534D9"/>
    <w:rsid w:val="00A74C69"/>
    <w:rsid w:val="00A8133C"/>
    <w:rsid w:val="00A832DA"/>
    <w:rsid w:val="00A90F81"/>
    <w:rsid w:val="00AA39EA"/>
    <w:rsid w:val="00AC2853"/>
    <w:rsid w:val="00AC3C6F"/>
    <w:rsid w:val="00AC5394"/>
    <w:rsid w:val="00AE3901"/>
    <w:rsid w:val="00AF51E2"/>
    <w:rsid w:val="00B11E58"/>
    <w:rsid w:val="00B605B6"/>
    <w:rsid w:val="00B715C1"/>
    <w:rsid w:val="00B727C8"/>
    <w:rsid w:val="00B87871"/>
    <w:rsid w:val="00BA292B"/>
    <w:rsid w:val="00BC0A89"/>
    <w:rsid w:val="00BC4A1B"/>
    <w:rsid w:val="00C1238A"/>
    <w:rsid w:val="00C33B64"/>
    <w:rsid w:val="00C54A81"/>
    <w:rsid w:val="00C878C7"/>
    <w:rsid w:val="00C960B6"/>
    <w:rsid w:val="00CA0B13"/>
    <w:rsid w:val="00CD6C57"/>
    <w:rsid w:val="00D303ED"/>
    <w:rsid w:val="00D42B2D"/>
    <w:rsid w:val="00D66B3F"/>
    <w:rsid w:val="00D926E0"/>
    <w:rsid w:val="00D94105"/>
    <w:rsid w:val="00D94569"/>
    <w:rsid w:val="00DE0728"/>
    <w:rsid w:val="00E07E21"/>
    <w:rsid w:val="00E139FC"/>
    <w:rsid w:val="00E27423"/>
    <w:rsid w:val="00E338FF"/>
    <w:rsid w:val="00E767CF"/>
    <w:rsid w:val="00E7695C"/>
    <w:rsid w:val="00EC7268"/>
    <w:rsid w:val="00F074EA"/>
    <w:rsid w:val="00F71678"/>
    <w:rsid w:val="00F74D68"/>
    <w:rsid w:val="00F844C2"/>
    <w:rsid w:val="00FA1163"/>
    <w:rsid w:val="00FC61C2"/>
    <w:rsid w:val="00FD406B"/>
    <w:rsid w:val="00FD511E"/>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0E0D"/>
  <w15:chartTrackingRefBased/>
  <w15:docId w15:val="{C87A7480-9D38-6A40-9C1B-989C4B77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3ED"/>
    <w:pPr>
      <w:tabs>
        <w:tab w:val="center" w:pos="4680"/>
        <w:tab w:val="right" w:pos="9360"/>
      </w:tabs>
    </w:pPr>
    <w:rPr>
      <w:sz w:val="22"/>
      <w:szCs w:val="22"/>
    </w:rPr>
  </w:style>
  <w:style w:type="character" w:customStyle="1" w:styleId="HeaderChar">
    <w:name w:val="Header Char"/>
    <w:basedOn w:val="DefaultParagraphFont"/>
    <w:link w:val="Header"/>
    <w:uiPriority w:val="99"/>
    <w:rsid w:val="00D303ED"/>
    <w:rPr>
      <w:sz w:val="22"/>
      <w:szCs w:val="22"/>
    </w:rPr>
  </w:style>
  <w:style w:type="table" w:styleId="TableGrid">
    <w:name w:val="Table Grid"/>
    <w:basedOn w:val="TableNormal"/>
    <w:uiPriority w:val="59"/>
    <w:rsid w:val="00D303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03ED"/>
    <w:pPr>
      <w:spacing w:after="160" w:line="259" w:lineRule="auto"/>
      <w:ind w:left="720"/>
      <w:contextualSpacing/>
    </w:pPr>
    <w:rPr>
      <w:sz w:val="22"/>
      <w:szCs w:val="22"/>
    </w:rPr>
  </w:style>
  <w:style w:type="character" w:styleId="Hyperlink">
    <w:name w:val="Hyperlink"/>
    <w:basedOn w:val="DefaultParagraphFont"/>
    <w:uiPriority w:val="99"/>
    <w:unhideWhenUsed/>
    <w:rsid w:val="00D303ED"/>
    <w:rPr>
      <w:color w:val="0563C1" w:themeColor="hyperlink"/>
      <w:u w:val="single"/>
    </w:rPr>
  </w:style>
  <w:style w:type="character" w:styleId="CommentReference">
    <w:name w:val="annotation reference"/>
    <w:basedOn w:val="DefaultParagraphFont"/>
    <w:uiPriority w:val="99"/>
    <w:semiHidden/>
    <w:unhideWhenUsed/>
    <w:rsid w:val="00A01459"/>
    <w:rPr>
      <w:sz w:val="16"/>
      <w:szCs w:val="16"/>
    </w:rPr>
  </w:style>
  <w:style w:type="paragraph" w:styleId="CommentText">
    <w:name w:val="annotation text"/>
    <w:basedOn w:val="Normal"/>
    <w:link w:val="CommentTextChar"/>
    <w:uiPriority w:val="99"/>
    <w:unhideWhenUsed/>
    <w:rsid w:val="00A0145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014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0A8E"/>
    <w:pPr>
      <w:tabs>
        <w:tab w:val="center" w:pos="4680"/>
        <w:tab w:val="right" w:pos="9360"/>
      </w:tabs>
    </w:pPr>
  </w:style>
  <w:style w:type="character" w:customStyle="1" w:styleId="FooterChar">
    <w:name w:val="Footer Char"/>
    <w:basedOn w:val="DefaultParagraphFont"/>
    <w:link w:val="Footer"/>
    <w:uiPriority w:val="99"/>
    <w:rsid w:val="00910A8E"/>
  </w:style>
  <w:style w:type="character" w:styleId="PageNumber">
    <w:name w:val="page number"/>
    <w:basedOn w:val="DefaultParagraphFont"/>
    <w:uiPriority w:val="99"/>
    <w:semiHidden/>
    <w:unhideWhenUsed/>
    <w:rsid w:val="00910A8E"/>
  </w:style>
  <w:style w:type="paragraph" w:styleId="Revision">
    <w:name w:val="Revision"/>
    <w:hidden/>
    <w:uiPriority w:val="99"/>
    <w:semiHidden/>
    <w:rsid w:val="00E767CF"/>
  </w:style>
  <w:style w:type="character" w:customStyle="1" w:styleId="ListParagraphChar">
    <w:name w:val="List Paragraph Char"/>
    <w:basedOn w:val="DefaultParagraphFont"/>
    <w:link w:val="ListParagraph"/>
    <w:uiPriority w:val="34"/>
    <w:locked/>
    <w:rsid w:val="005955B7"/>
    <w:rPr>
      <w:sz w:val="22"/>
      <w:szCs w:val="22"/>
    </w:rPr>
  </w:style>
  <w:style w:type="paragraph" w:styleId="BodyTextIndent">
    <w:name w:val="Body Text Indent"/>
    <w:basedOn w:val="Normal"/>
    <w:link w:val="BodyTextIndentChar"/>
    <w:uiPriority w:val="99"/>
    <w:unhideWhenUsed/>
    <w:rsid w:val="0028198B"/>
    <w:pPr>
      <w:ind w:left="360"/>
    </w:pPr>
    <w:rPr>
      <w:sz w:val="22"/>
      <w:szCs w:val="22"/>
    </w:rPr>
  </w:style>
  <w:style w:type="character" w:customStyle="1" w:styleId="BodyTextIndentChar">
    <w:name w:val="Body Text Indent Char"/>
    <w:basedOn w:val="DefaultParagraphFont"/>
    <w:link w:val="BodyTextIndent"/>
    <w:uiPriority w:val="99"/>
    <w:rsid w:val="002819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1506</Words>
  <Characters>7940</Characters>
  <Application>Microsoft Office Word</Application>
  <DocSecurity>0</DocSecurity>
  <Lines>283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35</cp:revision>
  <dcterms:created xsi:type="dcterms:W3CDTF">2022-02-14T15:20:00Z</dcterms:created>
  <dcterms:modified xsi:type="dcterms:W3CDTF">2022-02-14T16:06:00Z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